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372D7" w14:textId="77777777" w:rsidR="00153C8B" w:rsidRPr="00153C8B" w:rsidRDefault="00153C8B" w:rsidP="00153C8B">
      <w:pPr>
        <w:spacing w:line="259" w:lineRule="auto"/>
        <w:rPr>
          <w:rFonts w:ascii="Segoe UI" w:eastAsia="DengXian" w:hAnsi="Segoe UI" w:cs="Arial"/>
          <w:sz w:val="20"/>
          <w:szCs w:val="22"/>
          <w:lang w:eastAsia="zh-CN"/>
        </w:rPr>
      </w:pPr>
      <w:r w:rsidRPr="00153C8B">
        <w:rPr>
          <w:rFonts w:ascii="Segoe UI" w:eastAsia="DengXian" w:hAnsi="Segoe UI" w:cs="Arial"/>
          <w:noProof/>
          <w:sz w:val="20"/>
          <w:szCs w:val="22"/>
          <w:lang w:val="pl-PL" w:eastAsia="pl-PL"/>
        </w:rPr>
        <w:drawing>
          <wp:inline distT="0" distB="0" distL="0" distR="0" wp14:anchorId="52B4D5E6" wp14:editId="26327834">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269792C" w14:textId="77777777" w:rsidR="00153C8B" w:rsidRPr="00153C8B" w:rsidRDefault="00153C8B" w:rsidP="00153C8B">
      <w:pPr>
        <w:spacing w:line="259" w:lineRule="auto"/>
        <w:rPr>
          <w:rFonts w:ascii="Segoe UI" w:eastAsia="DengXian" w:hAnsi="Segoe UI" w:cs="Arial"/>
          <w:sz w:val="20"/>
          <w:szCs w:val="22"/>
          <w:lang w:eastAsia="zh-CN"/>
        </w:rPr>
      </w:pPr>
    </w:p>
    <w:p w14:paraId="635A695E" w14:textId="77777777" w:rsidR="00153C8B" w:rsidRPr="00153C8B" w:rsidRDefault="00153C8B" w:rsidP="00153C8B">
      <w:pPr>
        <w:spacing w:line="259" w:lineRule="auto"/>
        <w:rPr>
          <w:rFonts w:ascii="Segoe UI" w:eastAsia="DengXian" w:hAnsi="Segoe UI" w:cs="Arial"/>
          <w:sz w:val="20"/>
          <w:szCs w:val="22"/>
          <w:lang w:eastAsia="zh-CN"/>
        </w:rPr>
      </w:pPr>
    </w:p>
    <w:p w14:paraId="1E8939EE" w14:textId="77777777" w:rsidR="00153C8B" w:rsidRPr="00153C8B" w:rsidRDefault="00153C8B" w:rsidP="00153C8B">
      <w:pPr>
        <w:spacing w:line="259" w:lineRule="auto"/>
        <w:rPr>
          <w:rFonts w:ascii="Segoe UI" w:eastAsia="DengXian" w:hAnsi="Segoe UI" w:cs="Arial"/>
          <w:sz w:val="20"/>
          <w:szCs w:val="22"/>
          <w:lang w:eastAsia="zh-CN"/>
        </w:rPr>
      </w:pPr>
    </w:p>
    <w:p w14:paraId="11801FD4" w14:textId="77777777" w:rsidR="00153C8B" w:rsidRPr="00153C8B" w:rsidRDefault="00153C8B" w:rsidP="00153C8B">
      <w:pPr>
        <w:spacing w:line="259" w:lineRule="auto"/>
        <w:rPr>
          <w:rFonts w:ascii="Segoe UI" w:eastAsia="DengXian" w:hAnsi="Segoe UI" w:cs="Arial"/>
          <w:sz w:val="20"/>
          <w:szCs w:val="22"/>
          <w:lang w:eastAsia="zh-CN"/>
        </w:rPr>
      </w:pPr>
    </w:p>
    <w:p w14:paraId="7B51BC9D" w14:textId="77777777" w:rsidR="00153C8B" w:rsidRPr="00153C8B" w:rsidRDefault="00153C8B" w:rsidP="00153C8B">
      <w:pPr>
        <w:spacing w:line="259" w:lineRule="auto"/>
        <w:rPr>
          <w:rFonts w:ascii="Segoe UI" w:eastAsia="DengXian" w:hAnsi="Segoe UI" w:cs="Arial"/>
          <w:sz w:val="20"/>
          <w:szCs w:val="22"/>
          <w:lang w:eastAsia="zh-CN"/>
        </w:rPr>
      </w:pPr>
    </w:p>
    <w:p w14:paraId="09BDC082"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 xml:space="preserve">Name: </w:t>
      </w:r>
      <w:r w:rsidRPr="00F25D94">
        <w:rPr>
          <w:rFonts w:ascii="Arial" w:eastAsia="DengXian" w:hAnsi="Arial" w:cs="Arial"/>
          <w:b/>
          <w:bCs/>
          <w:i/>
          <w:iCs/>
          <w:sz w:val="28"/>
          <w:szCs w:val="28"/>
          <w:lang w:eastAsia="zh-CN"/>
        </w:rPr>
        <w:t>Anna Poznanska</w:t>
      </w:r>
    </w:p>
    <w:p w14:paraId="4F8EFD3D"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 xml:space="preserve">Student ID: </w:t>
      </w:r>
      <w:r w:rsidRPr="00F25D94">
        <w:rPr>
          <w:rFonts w:ascii="Arial" w:eastAsia="DengXian" w:hAnsi="Arial" w:cs="Arial"/>
          <w:b/>
          <w:bCs/>
          <w:i/>
          <w:iCs/>
          <w:sz w:val="28"/>
          <w:szCs w:val="28"/>
          <w:lang w:eastAsia="zh-CN"/>
        </w:rPr>
        <w:t>2442414</w:t>
      </w:r>
    </w:p>
    <w:p w14:paraId="3B95E7F9" w14:textId="77777777" w:rsidR="00153C8B" w:rsidRPr="00F25D94" w:rsidRDefault="00153C8B" w:rsidP="00153C8B">
      <w:pPr>
        <w:spacing w:line="259" w:lineRule="auto"/>
        <w:jc w:val="both"/>
        <w:rPr>
          <w:rFonts w:ascii="Arial" w:eastAsia="DengXian" w:hAnsi="Arial" w:cs="Arial"/>
          <w:b/>
          <w:bCs/>
          <w:i/>
          <w:iCs/>
          <w:sz w:val="28"/>
          <w:szCs w:val="28"/>
          <w:lang w:eastAsia="zh-CN"/>
        </w:rPr>
      </w:pPr>
      <w:r w:rsidRPr="00153C8B">
        <w:rPr>
          <w:rFonts w:ascii="Arial" w:eastAsia="DengXian" w:hAnsi="Arial" w:cs="Arial"/>
          <w:sz w:val="28"/>
          <w:szCs w:val="28"/>
          <w:lang w:eastAsia="zh-CN"/>
        </w:rPr>
        <w:t xml:space="preserve">Module Code: </w:t>
      </w:r>
      <w:r w:rsidRPr="00F25D94">
        <w:rPr>
          <w:rFonts w:ascii="Arial" w:eastAsia="DengXian" w:hAnsi="Arial" w:cs="Arial"/>
          <w:b/>
          <w:bCs/>
          <w:i/>
          <w:iCs/>
          <w:sz w:val="28"/>
          <w:szCs w:val="28"/>
          <w:lang w:eastAsia="zh-CN"/>
        </w:rPr>
        <w:t>LCHS4008_LON</w:t>
      </w:r>
    </w:p>
    <w:p w14:paraId="00F11AFF" w14:textId="77777777" w:rsidR="00153C8B" w:rsidRPr="00F25D94" w:rsidRDefault="00153C8B" w:rsidP="00153C8B">
      <w:pPr>
        <w:spacing w:line="259" w:lineRule="auto"/>
        <w:jc w:val="both"/>
        <w:rPr>
          <w:rFonts w:ascii="Arial" w:eastAsia="DengXian" w:hAnsi="Arial" w:cs="Arial"/>
          <w:b/>
          <w:bCs/>
          <w:i/>
          <w:iCs/>
          <w:sz w:val="28"/>
          <w:szCs w:val="28"/>
          <w:lang w:eastAsia="zh-CN"/>
        </w:rPr>
      </w:pPr>
      <w:r w:rsidRPr="00153C8B">
        <w:rPr>
          <w:rFonts w:ascii="Arial" w:eastAsia="DengXian" w:hAnsi="Arial" w:cs="Arial"/>
          <w:sz w:val="28"/>
          <w:szCs w:val="28"/>
          <w:lang w:eastAsia="zh-CN"/>
        </w:rPr>
        <w:t xml:space="preserve">Module: </w:t>
      </w:r>
      <w:r w:rsidRPr="00F25D94">
        <w:rPr>
          <w:rFonts w:ascii="Arial" w:eastAsia="DengXian" w:hAnsi="Arial" w:cs="Arial"/>
          <w:b/>
          <w:bCs/>
          <w:i/>
          <w:iCs/>
          <w:sz w:val="28"/>
          <w:szCs w:val="28"/>
          <w:lang w:eastAsia="zh-CN"/>
        </w:rPr>
        <w:t>Introduction to Public Health</w:t>
      </w:r>
    </w:p>
    <w:p w14:paraId="3CA54C74" w14:textId="77777777" w:rsidR="00153C8B" w:rsidRPr="00153C8B" w:rsidRDefault="00153C8B" w:rsidP="00153C8B">
      <w:pPr>
        <w:spacing w:line="259" w:lineRule="auto"/>
        <w:jc w:val="both"/>
        <w:rPr>
          <w:rFonts w:ascii="Arial" w:eastAsia="DengXian" w:hAnsi="Arial" w:cs="Arial"/>
          <w:sz w:val="28"/>
          <w:szCs w:val="28"/>
          <w:lang w:eastAsia="zh-CN"/>
        </w:rPr>
      </w:pPr>
      <w:r w:rsidRPr="00153C8B">
        <w:rPr>
          <w:rFonts w:ascii="Arial" w:eastAsia="DengXian" w:hAnsi="Arial" w:cs="Arial"/>
          <w:sz w:val="28"/>
          <w:szCs w:val="28"/>
          <w:lang w:eastAsia="zh-CN"/>
        </w:rPr>
        <w:t xml:space="preserve">Lecturer: </w:t>
      </w:r>
      <w:r w:rsidRPr="00F25D94">
        <w:rPr>
          <w:rFonts w:ascii="Arial" w:eastAsia="DengXian" w:hAnsi="Arial" w:cs="Arial"/>
          <w:b/>
          <w:bCs/>
          <w:i/>
          <w:iCs/>
          <w:sz w:val="28"/>
          <w:szCs w:val="28"/>
          <w:lang w:eastAsia="zh-CN"/>
        </w:rPr>
        <w:t>Muhammad Aliyu</w:t>
      </w:r>
    </w:p>
    <w:p w14:paraId="2C72D13D" w14:textId="77777777" w:rsidR="00153C8B" w:rsidRPr="00153C8B" w:rsidRDefault="00153C8B" w:rsidP="00153C8B">
      <w:pPr>
        <w:spacing w:line="259" w:lineRule="auto"/>
        <w:jc w:val="both"/>
        <w:rPr>
          <w:rFonts w:ascii="Arial" w:eastAsia="DengXian" w:hAnsi="Arial" w:cs="Arial"/>
          <w:sz w:val="28"/>
          <w:szCs w:val="28"/>
          <w:lang w:eastAsia="zh-CN"/>
        </w:rPr>
      </w:pPr>
    </w:p>
    <w:p w14:paraId="4BD1E0F5" w14:textId="77777777" w:rsidR="00153C8B" w:rsidRPr="00153C8B" w:rsidRDefault="00153C8B" w:rsidP="00153C8B">
      <w:pPr>
        <w:spacing w:line="259" w:lineRule="auto"/>
        <w:jc w:val="both"/>
        <w:rPr>
          <w:rFonts w:ascii="Arial" w:eastAsia="DengXian" w:hAnsi="Arial" w:cs="Arial"/>
          <w:sz w:val="28"/>
          <w:szCs w:val="28"/>
          <w:lang w:eastAsia="zh-CN"/>
        </w:rPr>
      </w:pPr>
    </w:p>
    <w:p w14:paraId="4DB00200" w14:textId="77777777" w:rsidR="00153C8B" w:rsidRPr="00153C8B" w:rsidRDefault="00153C8B" w:rsidP="00153C8B">
      <w:pPr>
        <w:spacing w:line="259" w:lineRule="auto"/>
        <w:jc w:val="both"/>
        <w:rPr>
          <w:rFonts w:ascii="Arial" w:eastAsia="DengXian" w:hAnsi="Arial" w:cs="Arial"/>
          <w:sz w:val="28"/>
          <w:szCs w:val="28"/>
          <w:lang w:eastAsia="zh-CN"/>
        </w:rPr>
      </w:pPr>
    </w:p>
    <w:p w14:paraId="7449A286" w14:textId="77777777" w:rsidR="00153C8B" w:rsidRPr="00153C8B" w:rsidRDefault="00153C8B" w:rsidP="00153C8B">
      <w:pPr>
        <w:spacing w:line="259" w:lineRule="auto"/>
        <w:jc w:val="both"/>
        <w:rPr>
          <w:rFonts w:ascii="Arial" w:eastAsia="DengXian" w:hAnsi="Arial" w:cs="Arial"/>
          <w:sz w:val="28"/>
          <w:szCs w:val="28"/>
          <w:lang w:eastAsia="zh-CN"/>
        </w:rPr>
      </w:pPr>
    </w:p>
    <w:p w14:paraId="47ECD76E" w14:textId="77777777" w:rsidR="00153C8B" w:rsidRPr="00153C8B" w:rsidRDefault="00153C8B" w:rsidP="00153C8B">
      <w:pPr>
        <w:spacing w:line="259" w:lineRule="auto"/>
        <w:jc w:val="both"/>
        <w:rPr>
          <w:rFonts w:ascii="Arial" w:eastAsia="DengXian" w:hAnsi="Arial" w:cs="Arial"/>
          <w:sz w:val="28"/>
          <w:szCs w:val="28"/>
          <w:lang w:eastAsia="zh-CN"/>
        </w:rPr>
      </w:pPr>
    </w:p>
    <w:p w14:paraId="64116E66" w14:textId="77777777" w:rsidR="00153C8B" w:rsidRPr="00153C8B" w:rsidRDefault="00153C8B" w:rsidP="00153C8B">
      <w:pPr>
        <w:spacing w:line="259" w:lineRule="auto"/>
        <w:jc w:val="both"/>
        <w:rPr>
          <w:rFonts w:ascii="Arial" w:eastAsia="DengXian" w:hAnsi="Arial" w:cs="Arial"/>
          <w:sz w:val="28"/>
          <w:szCs w:val="28"/>
          <w:lang w:eastAsia="zh-CN"/>
        </w:rPr>
      </w:pPr>
    </w:p>
    <w:p w14:paraId="0BC53E49" w14:textId="77777777" w:rsidR="00153C8B" w:rsidRPr="00153C8B" w:rsidRDefault="00153C8B" w:rsidP="00153C8B">
      <w:pPr>
        <w:spacing w:line="259" w:lineRule="auto"/>
        <w:jc w:val="both"/>
        <w:rPr>
          <w:rFonts w:ascii="Arial" w:eastAsia="DengXian" w:hAnsi="Arial" w:cs="Arial"/>
          <w:sz w:val="28"/>
          <w:szCs w:val="28"/>
          <w:lang w:eastAsia="zh-CN"/>
        </w:rPr>
      </w:pPr>
    </w:p>
    <w:p w14:paraId="28F33A55" w14:textId="20CD5DA9" w:rsidR="00153C8B" w:rsidRPr="007341F8" w:rsidRDefault="00153C8B" w:rsidP="00153C8B">
      <w:pPr>
        <w:spacing w:line="259" w:lineRule="auto"/>
        <w:jc w:val="both"/>
        <w:rPr>
          <w:rFonts w:ascii="Arial" w:eastAsia="DengXian" w:hAnsi="Arial" w:cs="Arial"/>
          <w:sz w:val="28"/>
          <w:szCs w:val="28"/>
          <w:u w:val="single"/>
          <w:lang w:eastAsia="zh-CN"/>
        </w:rPr>
      </w:pPr>
      <w:r w:rsidRPr="00153C8B">
        <w:rPr>
          <w:rFonts w:ascii="Arial" w:eastAsia="DengXian" w:hAnsi="Arial" w:cs="Arial"/>
          <w:sz w:val="28"/>
          <w:szCs w:val="28"/>
          <w:lang w:eastAsia="zh-CN"/>
        </w:rPr>
        <w:tab/>
      </w:r>
      <w:r w:rsidRPr="00153C8B">
        <w:rPr>
          <w:rFonts w:ascii="Arial" w:eastAsia="DengXian" w:hAnsi="Arial" w:cs="Arial"/>
          <w:sz w:val="28"/>
          <w:szCs w:val="28"/>
          <w:lang w:eastAsia="zh-CN"/>
        </w:rPr>
        <w:tab/>
      </w:r>
      <w:r w:rsidRPr="00153C8B">
        <w:rPr>
          <w:rFonts w:ascii="Arial" w:eastAsia="DengXian" w:hAnsi="Arial" w:cs="Arial"/>
          <w:sz w:val="28"/>
          <w:szCs w:val="28"/>
          <w:lang w:eastAsia="zh-CN"/>
        </w:rPr>
        <w:tab/>
      </w:r>
      <w:r w:rsidRPr="00153C8B">
        <w:rPr>
          <w:rFonts w:ascii="Arial" w:eastAsia="DengXian" w:hAnsi="Arial" w:cs="Arial"/>
          <w:sz w:val="28"/>
          <w:szCs w:val="28"/>
          <w:lang w:eastAsia="zh-CN"/>
        </w:rPr>
        <w:tab/>
      </w:r>
      <w:r w:rsidRPr="007341F8">
        <w:rPr>
          <w:rFonts w:ascii="Arial" w:eastAsia="DengXian" w:hAnsi="Arial" w:cs="Arial"/>
          <w:sz w:val="28"/>
          <w:szCs w:val="28"/>
          <w:u w:val="single"/>
          <w:lang w:eastAsia="zh-CN"/>
        </w:rPr>
        <w:t>Submitted on:    1</w:t>
      </w:r>
      <w:r w:rsidR="00063028" w:rsidRPr="007341F8">
        <w:rPr>
          <w:rFonts w:ascii="Arial" w:eastAsia="DengXian" w:hAnsi="Arial" w:cs="Arial"/>
          <w:sz w:val="28"/>
          <w:szCs w:val="28"/>
          <w:u w:val="single"/>
          <w:lang w:eastAsia="zh-CN"/>
        </w:rPr>
        <w:t>3</w:t>
      </w:r>
      <w:r w:rsidRPr="007341F8">
        <w:rPr>
          <w:rFonts w:ascii="Arial" w:eastAsia="DengXian" w:hAnsi="Arial" w:cs="Arial"/>
          <w:sz w:val="28"/>
          <w:szCs w:val="28"/>
          <w:u w:val="single"/>
          <w:lang w:eastAsia="zh-CN"/>
        </w:rPr>
        <w:t>.12.2025</w:t>
      </w:r>
    </w:p>
    <w:p w14:paraId="4592B8F9" w14:textId="5D14D85A" w:rsidR="00E91AE8" w:rsidRDefault="00E91AE8">
      <w:pPr>
        <w:rPr>
          <w:rFonts w:ascii="Arial" w:eastAsia="DengXian" w:hAnsi="Arial" w:cs="Arial"/>
          <w:sz w:val="28"/>
          <w:szCs w:val="28"/>
          <w:lang w:eastAsia="zh-CN"/>
        </w:rPr>
      </w:pPr>
      <w:r>
        <w:rPr>
          <w:rFonts w:ascii="Arial" w:eastAsia="DengXian" w:hAnsi="Arial" w:cs="Arial"/>
          <w:sz w:val="28"/>
          <w:szCs w:val="28"/>
          <w:lang w:eastAsia="zh-CN"/>
        </w:rPr>
        <w:br w:type="page"/>
      </w:r>
    </w:p>
    <w:sdt>
      <w:sdtPr>
        <w:rPr>
          <w:rFonts w:ascii="Segoe UI" w:eastAsiaTheme="minorEastAsia" w:hAnsi="Segoe UI"/>
          <w:sz w:val="20"/>
          <w:szCs w:val="22"/>
          <w:lang w:eastAsia="zh-CN"/>
        </w:rPr>
        <w:id w:val="100920263"/>
        <w:docPartObj>
          <w:docPartGallery w:val="Table of Contents"/>
          <w:docPartUnique/>
        </w:docPartObj>
      </w:sdtPr>
      <w:sdtEndPr>
        <w:rPr>
          <w:rFonts w:ascii="Arial" w:eastAsiaTheme="minorHAnsi" w:hAnsi="Arial" w:cs="Arial"/>
          <w:b/>
          <w:noProof/>
          <w:sz w:val="22"/>
          <w:lang w:eastAsia="en-US"/>
        </w:rPr>
      </w:sdtEndPr>
      <w:sdtContent>
        <w:p w14:paraId="4ED298A4" w14:textId="77777777" w:rsidR="001557E8" w:rsidRPr="001557E8" w:rsidRDefault="001557E8" w:rsidP="00A411AF">
          <w:pPr>
            <w:keepNext/>
            <w:keepLines/>
            <w:spacing w:before="480" w:after="0" w:line="360" w:lineRule="auto"/>
            <w:rPr>
              <w:rFonts w:ascii="Segoe UI" w:eastAsiaTheme="majorEastAsia" w:hAnsi="Segoe UI" w:cstheme="majorBidi"/>
              <w:b/>
              <w:kern w:val="0"/>
              <w:sz w:val="28"/>
              <w:szCs w:val="28"/>
              <w:lang w:val="en-US"/>
              <w14:ligatures w14:val="none"/>
            </w:rPr>
          </w:pPr>
          <w:r w:rsidRPr="001557E8">
            <w:rPr>
              <w:rFonts w:ascii="Segoe UI" w:eastAsiaTheme="majorEastAsia" w:hAnsi="Segoe UI" w:cstheme="majorBidi"/>
              <w:b/>
              <w:kern w:val="0"/>
              <w:sz w:val="28"/>
              <w:szCs w:val="28"/>
              <w:lang w:val="en-US"/>
              <w14:ligatures w14:val="none"/>
            </w:rPr>
            <w:t>Table of Contents</w:t>
          </w:r>
        </w:p>
        <w:p w14:paraId="688AC205" w14:textId="65AB0DFA" w:rsidR="00CB6336" w:rsidRDefault="001557E8">
          <w:pPr>
            <w:pStyle w:val="TOC2"/>
            <w:rPr>
              <w:rFonts w:asciiTheme="minorHAnsi" w:eastAsiaTheme="minorEastAsia" w:hAnsiTheme="minorHAnsi" w:cstheme="minorBidi"/>
              <w:b w:val="0"/>
              <w:bCs w:val="0"/>
              <w:lang w:eastAsia="en-GB"/>
            </w:rPr>
          </w:pPr>
          <w:r w:rsidRPr="001557E8">
            <w:rPr>
              <w:rFonts w:eastAsia="Times New Roman"/>
              <w:i/>
              <w:iCs/>
              <w:kern w:val="0"/>
              <w:sz w:val="22"/>
              <w:szCs w:val="22"/>
              <w:lang w:eastAsia="en-GB"/>
              <w14:ligatures w14:val="none"/>
            </w:rPr>
            <w:fldChar w:fldCharType="begin"/>
          </w:r>
          <w:r w:rsidRPr="001557E8">
            <w:rPr>
              <w:rFonts w:eastAsia="Times New Roman"/>
              <w:kern w:val="0"/>
              <w:sz w:val="22"/>
              <w:szCs w:val="22"/>
              <w:lang w:eastAsia="en-GB"/>
              <w14:ligatures w14:val="none"/>
            </w:rPr>
            <w:instrText xml:space="preserve"> TOC \o "1-3" \h \z \u </w:instrText>
          </w:r>
          <w:r w:rsidRPr="001557E8">
            <w:rPr>
              <w:rFonts w:eastAsia="Times New Roman"/>
              <w:i/>
              <w:iCs/>
              <w:kern w:val="0"/>
              <w:sz w:val="22"/>
              <w:szCs w:val="22"/>
              <w:lang w:eastAsia="en-GB"/>
              <w14:ligatures w14:val="none"/>
            </w:rPr>
            <w:fldChar w:fldCharType="separate"/>
          </w:r>
          <w:hyperlink w:anchor="_Toc216518484" w:history="1">
            <w:r w:rsidR="00CB6336" w:rsidRPr="00A93587">
              <w:rPr>
                <w:rStyle w:val="Hyperlink"/>
              </w:rPr>
              <w:t>Report on a Health Issue - Type-2 Diabetes</w:t>
            </w:r>
            <w:r w:rsidR="00CB6336">
              <w:rPr>
                <w:webHidden/>
              </w:rPr>
              <w:tab/>
            </w:r>
            <w:r w:rsidR="00CB6336">
              <w:rPr>
                <w:webHidden/>
              </w:rPr>
              <w:fldChar w:fldCharType="begin"/>
            </w:r>
            <w:r w:rsidR="00CB6336">
              <w:rPr>
                <w:webHidden/>
              </w:rPr>
              <w:instrText xml:space="preserve"> PAGEREF _Toc216518484 \h </w:instrText>
            </w:r>
            <w:r w:rsidR="00CB6336">
              <w:rPr>
                <w:webHidden/>
              </w:rPr>
            </w:r>
            <w:r w:rsidR="00CB6336">
              <w:rPr>
                <w:webHidden/>
              </w:rPr>
              <w:fldChar w:fldCharType="separate"/>
            </w:r>
            <w:r w:rsidR="00CB6336">
              <w:rPr>
                <w:webHidden/>
              </w:rPr>
              <w:t>3</w:t>
            </w:r>
            <w:r w:rsidR="00CB6336">
              <w:rPr>
                <w:webHidden/>
              </w:rPr>
              <w:fldChar w:fldCharType="end"/>
            </w:r>
          </w:hyperlink>
        </w:p>
        <w:p w14:paraId="2E423BD2" w14:textId="48B6CA91" w:rsidR="00CB6336" w:rsidRDefault="00CB6336">
          <w:pPr>
            <w:pStyle w:val="TOC2"/>
            <w:rPr>
              <w:rFonts w:asciiTheme="minorHAnsi" w:eastAsiaTheme="minorEastAsia" w:hAnsiTheme="minorHAnsi" w:cstheme="minorBidi"/>
              <w:b w:val="0"/>
              <w:bCs w:val="0"/>
              <w:lang w:eastAsia="en-GB"/>
            </w:rPr>
          </w:pPr>
          <w:hyperlink w:anchor="_Toc216518485" w:history="1">
            <w:r w:rsidRPr="00A93587">
              <w:rPr>
                <w:rStyle w:val="Hyperlink"/>
              </w:rPr>
              <w:t>Introduction</w:t>
            </w:r>
            <w:r>
              <w:rPr>
                <w:webHidden/>
              </w:rPr>
              <w:tab/>
            </w:r>
            <w:r>
              <w:rPr>
                <w:webHidden/>
              </w:rPr>
              <w:fldChar w:fldCharType="begin"/>
            </w:r>
            <w:r>
              <w:rPr>
                <w:webHidden/>
              </w:rPr>
              <w:instrText xml:space="preserve"> PAGEREF _Toc216518485 \h </w:instrText>
            </w:r>
            <w:r>
              <w:rPr>
                <w:webHidden/>
              </w:rPr>
            </w:r>
            <w:r>
              <w:rPr>
                <w:webHidden/>
              </w:rPr>
              <w:fldChar w:fldCharType="separate"/>
            </w:r>
            <w:r>
              <w:rPr>
                <w:webHidden/>
              </w:rPr>
              <w:t>3</w:t>
            </w:r>
            <w:r>
              <w:rPr>
                <w:webHidden/>
              </w:rPr>
              <w:fldChar w:fldCharType="end"/>
            </w:r>
          </w:hyperlink>
        </w:p>
        <w:p w14:paraId="3DFDA063" w14:textId="5AB92754" w:rsidR="00CB6336" w:rsidRPr="00CB6336" w:rsidRDefault="00CB6336">
          <w:pPr>
            <w:pStyle w:val="TOC2"/>
            <w:rPr>
              <w:rFonts w:asciiTheme="minorHAnsi" w:eastAsiaTheme="minorEastAsia" w:hAnsiTheme="minorHAnsi" w:cstheme="minorBidi"/>
              <w:b w:val="0"/>
              <w:bCs w:val="0"/>
              <w:lang w:eastAsia="en-GB"/>
            </w:rPr>
          </w:pPr>
          <w:hyperlink w:anchor="_Toc216518486" w:history="1">
            <w:r w:rsidRPr="00CB6336">
              <w:rPr>
                <w:rStyle w:val="Hyperlink"/>
                <w:b w:val="0"/>
                <w:bCs w:val="0"/>
                <w:i/>
                <w:iCs/>
              </w:rPr>
              <w:t>Definition of the condition, signs and symptoms, and incidence rates</w:t>
            </w:r>
            <w:r w:rsidRPr="00CB6336">
              <w:rPr>
                <w:b w:val="0"/>
                <w:bCs w:val="0"/>
                <w:webHidden/>
              </w:rPr>
              <w:tab/>
            </w:r>
            <w:r w:rsidRPr="00CB6336">
              <w:rPr>
                <w:b w:val="0"/>
                <w:bCs w:val="0"/>
                <w:webHidden/>
              </w:rPr>
              <w:fldChar w:fldCharType="begin"/>
            </w:r>
            <w:r w:rsidRPr="00CB6336">
              <w:rPr>
                <w:b w:val="0"/>
                <w:bCs w:val="0"/>
                <w:webHidden/>
              </w:rPr>
              <w:instrText xml:space="preserve"> PAGEREF _Toc216518486 \h </w:instrText>
            </w:r>
            <w:r w:rsidRPr="00CB6336">
              <w:rPr>
                <w:b w:val="0"/>
                <w:bCs w:val="0"/>
                <w:webHidden/>
              </w:rPr>
            </w:r>
            <w:r w:rsidRPr="00CB6336">
              <w:rPr>
                <w:b w:val="0"/>
                <w:bCs w:val="0"/>
                <w:webHidden/>
              </w:rPr>
              <w:fldChar w:fldCharType="separate"/>
            </w:r>
            <w:r w:rsidRPr="00CB6336">
              <w:rPr>
                <w:b w:val="0"/>
                <w:bCs w:val="0"/>
                <w:webHidden/>
              </w:rPr>
              <w:t>3</w:t>
            </w:r>
            <w:r w:rsidRPr="00CB6336">
              <w:rPr>
                <w:b w:val="0"/>
                <w:bCs w:val="0"/>
                <w:webHidden/>
              </w:rPr>
              <w:fldChar w:fldCharType="end"/>
            </w:r>
          </w:hyperlink>
        </w:p>
        <w:p w14:paraId="45FEB92D" w14:textId="42BDA5BA" w:rsidR="00CB6336" w:rsidRDefault="00CB6336">
          <w:pPr>
            <w:pStyle w:val="TOC2"/>
            <w:rPr>
              <w:rFonts w:asciiTheme="minorHAnsi" w:eastAsiaTheme="minorEastAsia" w:hAnsiTheme="minorHAnsi" w:cstheme="minorBidi"/>
              <w:b w:val="0"/>
              <w:bCs w:val="0"/>
              <w:lang w:eastAsia="en-GB"/>
            </w:rPr>
          </w:pPr>
          <w:hyperlink w:anchor="_Toc216518487" w:history="1">
            <w:r w:rsidRPr="00A93587">
              <w:rPr>
                <w:rStyle w:val="Hyperlink"/>
              </w:rPr>
              <w:t>Main Body</w:t>
            </w:r>
            <w:r>
              <w:rPr>
                <w:webHidden/>
              </w:rPr>
              <w:tab/>
            </w:r>
            <w:r>
              <w:rPr>
                <w:webHidden/>
              </w:rPr>
              <w:fldChar w:fldCharType="begin"/>
            </w:r>
            <w:r>
              <w:rPr>
                <w:webHidden/>
              </w:rPr>
              <w:instrText xml:space="preserve"> PAGEREF _Toc216518487 \h </w:instrText>
            </w:r>
            <w:r>
              <w:rPr>
                <w:webHidden/>
              </w:rPr>
            </w:r>
            <w:r>
              <w:rPr>
                <w:webHidden/>
              </w:rPr>
              <w:fldChar w:fldCharType="separate"/>
            </w:r>
            <w:r>
              <w:rPr>
                <w:webHidden/>
              </w:rPr>
              <w:t>4</w:t>
            </w:r>
            <w:r>
              <w:rPr>
                <w:webHidden/>
              </w:rPr>
              <w:fldChar w:fldCharType="end"/>
            </w:r>
          </w:hyperlink>
        </w:p>
        <w:p w14:paraId="5812CA90" w14:textId="09770B6C" w:rsidR="00CB6336" w:rsidRPr="00CB6336" w:rsidRDefault="00CB6336">
          <w:pPr>
            <w:pStyle w:val="TOC2"/>
            <w:rPr>
              <w:rFonts w:asciiTheme="minorHAnsi" w:eastAsiaTheme="minorEastAsia" w:hAnsiTheme="minorHAnsi" w:cstheme="minorBidi"/>
              <w:b w:val="0"/>
              <w:bCs w:val="0"/>
              <w:lang w:eastAsia="en-GB"/>
            </w:rPr>
          </w:pPr>
          <w:hyperlink w:anchor="_Toc216518488" w:history="1">
            <w:r w:rsidRPr="00CB6336">
              <w:rPr>
                <w:rStyle w:val="Hyperlink"/>
                <w:b w:val="0"/>
                <w:bCs w:val="0"/>
                <w:i/>
                <w:iCs/>
              </w:rPr>
              <w:t>Consequences of Type 2 Diabetes for the Community and the NHS</w:t>
            </w:r>
            <w:r w:rsidRPr="00CB6336">
              <w:rPr>
                <w:b w:val="0"/>
                <w:bCs w:val="0"/>
                <w:webHidden/>
              </w:rPr>
              <w:tab/>
            </w:r>
            <w:r w:rsidRPr="00CB6336">
              <w:rPr>
                <w:b w:val="0"/>
                <w:bCs w:val="0"/>
                <w:webHidden/>
              </w:rPr>
              <w:fldChar w:fldCharType="begin"/>
            </w:r>
            <w:r w:rsidRPr="00CB6336">
              <w:rPr>
                <w:b w:val="0"/>
                <w:bCs w:val="0"/>
                <w:webHidden/>
              </w:rPr>
              <w:instrText xml:space="preserve"> PAGEREF _Toc216518488 \h </w:instrText>
            </w:r>
            <w:r w:rsidRPr="00CB6336">
              <w:rPr>
                <w:b w:val="0"/>
                <w:bCs w:val="0"/>
                <w:webHidden/>
              </w:rPr>
            </w:r>
            <w:r w:rsidRPr="00CB6336">
              <w:rPr>
                <w:b w:val="0"/>
                <w:bCs w:val="0"/>
                <w:webHidden/>
              </w:rPr>
              <w:fldChar w:fldCharType="separate"/>
            </w:r>
            <w:r w:rsidRPr="00CB6336">
              <w:rPr>
                <w:b w:val="0"/>
                <w:bCs w:val="0"/>
                <w:webHidden/>
              </w:rPr>
              <w:t>4</w:t>
            </w:r>
            <w:r w:rsidRPr="00CB6336">
              <w:rPr>
                <w:b w:val="0"/>
                <w:bCs w:val="0"/>
                <w:webHidden/>
              </w:rPr>
              <w:fldChar w:fldCharType="end"/>
            </w:r>
          </w:hyperlink>
        </w:p>
        <w:p w14:paraId="63F1E0A2" w14:textId="46B74A0C" w:rsidR="00CB6336" w:rsidRPr="00CB6336" w:rsidRDefault="00CB6336">
          <w:pPr>
            <w:pStyle w:val="TOC2"/>
            <w:rPr>
              <w:rFonts w:asciiTheme="minorHAnsi" w:eastAsiaTheme="minorEastAsia" w:hAnsiTheme="minorHAnsi" w:cstheme="minorBidi"/>
              <w:b w:val="0"/>
              <w:bCs w:val="0"/>
              <w:lang w:eastAsia="en-GB"/>
            </w:rPr>
          </w:pPr>
          <w:hyperlink w:anchor="_Toc216518489" w:history="1">
            <w:r w:rsidRPr="00CB6336">
              <w:rPr>
                <w:rStyle w:val="Hyperlink"/>
                <w:b w:val="0"/>
                <w:bCs w:val="0"/>
                <w:i/>
                <w:iCs/>
              </w:rPr>
              <w:t>Control and Management of Type 2 Diabetes</w:t>
            </w:r>
            <w:r w:rsidRPr="00CB6336">
              <w:rPr>
                <w:b w:val="0"/>
                <w:bCs w:val="0"/>
                <w:webHidden/>
              </w:rPr>
              <w:tab/>
            </w:r>
            <w:r w:rsidRPr="00CB6336">
              <w:rPr>
                <w:b w:val="0"/>
                <w:bCs w:val="0"/>
                <w:webHidden/>
              </w:rPr>
              <w:fldChar w:fldCharType="begin"/>
            </w:r>
            <w:r w:rsidRPr="00CB6336">
              <w:rPr>
                <w:b w:val="0"/>
                <w:bCs w:val="0"/>
                <w:webHidden/>
              </w:rPr>
              <w:instrText xml:space="preserve"> PAGEREF _Toc216518489 \h </w:instrText>
            </w:r>
            <w:r w:rsidRPr="00CB6336">
              <w:rPr>
                <w:b w:val="0"/>
                <w:bCs w:val="0"/>
                <w:webHidden/>
              </w:rPr>
            </w:r>
            <w:r w:rsidRPr="00CB6336">
              <w:rPr>
                <w:b w:val="0"/>
                <w:bCs w:val="0"/>
                <w:webHidden/>
              </w:rPr>
              <w:fldChar w:fldCharType="separate"/>
            </w:r>
            <w:r w:rsidRPr="00CB6336">
              <w:rPr>
                <w:b w:val="0"/>
                <w:bCs w:val="0"/>
                <w:webHidden/>
              </w:rPr>
              <w:t>5</w:t>
            </w:r>
            <w:r w:rsidRPr="00CB6336">
              <w:rPr>
                <w:b w:val="0"/>
                <w:bCs w:val="0"/>
                <w:webHidden/>
              </w:rPr>
              <w:fldChar w:fldCharType="end"/>
            </w:r>
          </w:hyperlink>
        </w:p>
        <w:p w14:paraId="51439D63" w14:textId="28F7C550" w:rsidR="00CB6336" w:rsidRPr="00CB6336" w:rsidRDefault="00CB6336">
          <w:pPr>
            <w:pStyle w:val="TOC2"/>
            <w:rPr>
              <w:rFonts w:asciiTheme="minorHAnsi" w:eastAsiaTheme="minorEastAsia" w:hAnsiTheme="minorHAnsi" w:cstheme="minorBidi"/>
              <w:b w:val="0"/>
              <w:bCs w:val="0"/>
              <w:lang w:eastAsia="en-GB"/>
            </w:rPr>
          </w:pPr>
          <w:hyperlink w:anchor="_Toc216518490" w:history="1">
            <w:r w:rsidRPr="00CB6336">
              <w:rPr>
                <w:rStyle w:val="Hyperlink"/>
                <w:b w:val="0"/>
                <w:bCs w:val="0"/>
                <w:i/>
                <w:iCs/>
              </w:rPr>
              <w:t>Factors influencing the health and well-being of people affected by the disease/condition and people around them.</w:t>
            </w:r>
            <w:r w:rsidRPr="00CB6336">
              <w:rPr>
                <w:b w:val="0"/>
                <w:bCs w:val="0"/>
                <w:webHidden/>
              </w:rPr>
              <w:tab/>
            </w:r>
            <w:r w:rsidRPr="00CB6336">
              <w:rPr>
                <w:b w:val="0"/>
                <w:bCs w:val="0"/>
                <w:webHidden/>
              </w:rPr>
              <w:fldChar w:fldCharType="begin"/>
            </w:r>
            <w:r w:rsidRPr="00CB6336">
              <w:rPr>
                <w:b w:val="0"/>
                <w:bCs w:val="0"/>
                <w:webHidden/>
              </w:rPr>
              <w:instrText xml:space="preserve"> PAGEREF _Toc216518490 \h </w:instrText>
            </w:r>
            <w:r w:rsidRPr="00CB6336">
              <w:rPr>
                <w:b w:val="0"/>
                <w:bCs w:val="0"/>
                <w:webHidden/>
              </w:rPr>
            </w:r>
            <w:r w:rsidRPr="00CB6336">
              <w:rPr>
                <w:b w:val="0"/>
                <w:bCs w:val="0"/>
                <w:webHidden/>
              </w:rPr>
              <w:fldChar w:fldCharType="separate"/>
            </w:r>
            <w:r w:rsidRPr="00CB6336">
              <w:rPr>
                <w:b w:val="0"/>
                <w:bCs w:val="0"/>
                <w:webHidden/>
              </w:rPr>
              <w:t>6</w:t>
            </w:r>
            <w:r w:rsidRPr="00CB6336">
              <w:rPr>
                <w:b w:val="0"/>
                <w:bCs w:val="0"/>
                <w:webHidden/>
              </w:rPr>
              <w:fldChar w:fldCharType="end"/>
            </w:r>
          </w:hyperlink>
        </w:p>
        <w:p w14:paraId="29F9C671" w14:textId="345B8CF2" w:rsidR="00CB6336" w:rsidRDefault="00CB6336">
          <w:pPr>
            <w:pStyle w:val="TOC2"/>
            <w:rPr>
              <w:rFonts w:asciiTheme="minorHAnsi" w:eastAsiaTheme="minorEastAsia" w:hAnsiTheme="minorHAnsi" w:cstheme="minorBidi"/>
              <w:b w:val="0"/>
              <w:bCs w:val="0"/>
              <w:lang w:eastAsia="en-GB"/>
            </w:rPr>
          </w:pPr>
          <w:hyperlink w:anchor="_Toc216518491" w:history="1">
            <w:r w:rsidRPr="00A93587">
              <w:rPr>
                <w:rStyle w:val="Hyperlink"/>
              </w:rPr>
              <w:t>Conclusion</w:t>
            </w:r>
            <w:r>
              <w:rPr>
                <w:webHidden/>
              </w:rPr>
              <w:tab/>
            </w:r>
            <w:r>
              <w:rPr>
                <w:webHidden/>
              </w:rPr>
              <w:fldChar w:fldCharType="begin"/>
            </w:r>
            <w:r>
              <w:rPr>
                <w:webHidden/>
              </w:rPr>
              <w:instrText xml:space="preserve"> PAGEREF _Toc216518491 \h </w:instrText>
            </w:r>
            <w:r>
              <w:rPr>
                <w:webHidden/>
              </w:rPr>
            </w:r>
            <w:r>
              <w:rPr>
                <w:webHidden/>
              </w:rPr>
              <w:fldChar w:fldCharType="separate"/>
            </w:r>
            <w:r>
              <w:rPr>
                <w:webHidden/>
              </w:rPr>
              <w:t>7</w:t>
            </w:r>
            <w:r>
              <w:rPr>
                <w:webHidden/>
              </w:rPr>
              <w:fldChar w:fldCharType="end"/>
            </w:r>
          </w:hyperlink>
        </w:p>
        <w:p w14:paraId="6E3EB0F8" w14:textId="6CEB0E84" w:rsidR="00CB6336" w:rsidRDefault="00CB6336">
          <w:pPr>
            <w:pStyle w:val="TOC2"/>
            <w:rPr>
              <w:rFonts w:asciiTheme="minorHAnsi" w:eastAsiaTheme="minorEastAsia" w:hAnsiTheme="minorHAnsi" w:cstheme="minorBidi"/>
              <w:b w:val="0"/>
              <w:bCs w:val="0"/>
              <w:lang w:eastAsia="en-GB"/>
            </w:rPr>
          </w:pPr>
          <w:hyperlink w:anchor="_Toc216518492" w:history="1">
            <w:r w:rsidRPr="00A93587">
              <w:rPr>
                <w:rStyle w:val="Hyperlink"/>
                <w:rFonts w:eastAsia="Times New Roman"/>
                <w:kern w:val="0"/>
                <w:lang w:val="fr-FR" w:eastAsia="en-GB"/>
                <w14:ligatures w14:val="none"/>
              </w:rPr>
              <w:t>References List</w:t>
            </w:r>
            <w:r>
              <w:rPr>
                <w:webHidden/>
              </w:rPr>
              <w:tab/>
            </w:r>
            <w:r>
              <w:rPr>
                <w:webHidden/>
              </w:rPr>
              <w:fldChar w:fldCharType="begin"/>
            </w:r>
            <w:r>
              <w:rPr>
                <w:webHidden/>
              </w:rPr>
              <w:instrText xml:space="preserve"> PAGEREF _Toc216518492 \h </w:instrText>
            </w:r>
            <w:r>
              <w:rPr>
                <w:webHidden/>
              </w:rPr>
            </w:r>
            <w:r>
              <w:rPr>
                <w:webHidden/>
              </w:rPr>
              <w:fldChar w:fldCharType="separate"/>
            </w:r>
            <w:r>
              <w:rPr>
                <w:webHidden/>
              </w:rPr>
              <w:t>8</w:t>
            </w:r>
            <w:r>
              <w:rPr>
                <w:webHidden/>
              </w:rPr>
              <w:fldChar w:fldCharType="end"/>
            </w:r>
          </w:hyperlink>
        </w:p>
        <w:p w14:paraId="04E01AAB" w14:textId="761804B7" w:rsidR="001557E8" w:rsidRPr="001557E8" w:rsidRDefault="001557E8" w:rsidP="00A411AF">
          <w:pPr>
            <w:spacing w:line="360" w:lineRule="auto"/>
            <w:rPr>
              <w:rFonts w:ascii="Arial" w:hAnsi="Arial" w:cs="Arial"/>
              <w:b/>
              <w:noProof/>
              <w:sz w:val="22"/>
            </w:rPr>
          </w:pPr>
          <w:r w:rsidRPr="001557E8">
            <w:rPr>
              <w:rFonts w:ascii="Arial" w:hAnsi="Arial" w:cs="Arial"/>
              <w:b/>
              <w:bCs/>
              <w:noProof/>
              <w:sz w:val="22"/>
              <w:szCs w:val="22"/>
            </w:rPr>
            <w:fldChar w:fldCharType="end"/>
          </w:r>
        </w:p>
      </w:sdtContent>
    </w:sdt>
    <w:p w14:paraId="55028266" w14:textId="77777777" w:rsidR="004E6768" w:rsidRDefault="004E6768">
      <w:pPr>
        <w:rPr>
          <w:rFonts w:ascii="Arial" w:eastAsia="DengXian" w:hAnsi="Arial" w:cs="Arial"/>
          <w:sz w:val="28"/>
          <w:szCs w:val="28"/>
          <w:lang w:eastAsia="zh-CN"/>
        </w:rPr>
      </w:pPr>
    </w:p>
    <w:p w14:paraId="47261876" w14:textId="0BABD258" w:rsidR="001557E8" w:rsidRDefault="001557E8">
      <w:pPr>
        <w:rPr>
          <w:rFonts w:ascii="Arial" w:eastAsia="DengXian" w:hAnsi="Arial" w:cs="Arial"/>
          <w:sz w:val="28"/>
          <w:szCs w:val="28"/>
          <w:lang w:eastAsia="zh-CN"/>
        </w:rPr>
      </w:pPr>
      <w:r>
        <w:rPr>
          <w:rFonts w:ascii="Arial" w:eastAsia="DengXian" w:hAnsi="Arial" w:cs="Arial"/>
          <w:sz w:val="28"/>
          <w:szCs w:val="28"/>
          <w:lang w:eastAsia="zh-CN"/>
        </w:rPr>
        <w:br w:type="page"/>
      </w:r>
    </w:p>
    <w:p w14:paraId="204EAFBD" w14:textId="327EE0B4" w:rsidR="002119C2" w:rsidRDefault="002119C2" w:rsidP="002119C2">
      <w:pPr>
        <w:keepNext/>
        <w:keepLines/>
        <w:spacing w:before="120" w:after="120" w:line="360" w:lineRule="auto"/>
        <w:jc w:val="center"/>
        <w:outlineLvl w:val="1"/>
        <w:rPr>
          <w:rFonts w:ascii="Arial" w:eastAsia="DengXian Light" w:hAnsi="Arial" w:cs="Arial"/>
          <w:b/>
          <w:bCs/>
          <w:sz w:val="32"/>
          <w:szCs w:val="32"/>
          <w:u w:val="single"/>
          <w:lang w:eastAsia="zh-CN"/>
        </w:rPr>
      </w:pPr>
      <w:bookmarkStart w:id="0" w:name="_Toc216518484"/>
      <w:r w:rsidRPr="002119C2">
        <w:rPr>
          <w:rFonts w:ascii="Arial" w:eastAsia="DengXian Light" w:hAnsi="Arial" w:cs="Arial"/>
          <w:b/>
          <w:bCs/>
          <w:sz w:val="32"/>
          <w:szCs w:val="32"/>
          <w:u w:val="single"/>
          <w:lang w:eastAsia="zh-CN"/>
        </w:rPr>
        <w:t>Report on a Health Issue - Type-2 Diabetes</w:t>
      </w:r>
      <w:bookmarkEnd w:id="0"/>
    </w:p>
    <w:p w14:paraId="2406BF46" w14:textId="77777777" w:rsidR="003310E3" w:rsidRDefault="003310E3" w:rsidP="002119C2">
      <w:pPr>
        <w:keepNext/>
        <w:keepLines/>
        <w:spacing w:before="120" w:after="120" w:line="360" w:lineRule="auto"/>
        <w:jc w:val="center"/>
        <w:outlineLvl w:val="1"/>
        <w:rPr>
          <w:rFonts w:ascii="Arial" w:eastAsia="DengXian Light" w:hAnsi="Arial" w:cs="Arial"/>
          <w:b/>
          <w:bCs/>
          <w:sz w:val="32"/>
          <w:szCs w:val="32"/>
          <w:u w:val="single"/>
          <w:lang w:eastAsia="zh-CN"/>
        </w:rPr>
      </w:pPr>
    </w:p>
    <w:p w14:paraId="17C8EF04" w14:textId="7B2266E9" w:rsidR="002119C2" w:rsidRPr="007C4D19" w:rsidRDefault="002979B5" w:rsidP="00153C8B">
      <w:pPr>
        <w:keepNext/>
        <w:keepLines/>
        <w:spacing w:before="120" w:after="120" w:line="360" w:lineRule="auto"/>
        <w:outlineLvl w:val="1"/>
        <w:rPr>
          <w:rFonts w:ascii="Arial" w:eastAsia="DengXian Light" w:hAnsi="Arial" w:cs="Arial"/>
          <w:b/>
          <w:bCs/>
          <w:lang w:eastAsia="zh-CN"/>
        </w:rPr>
      </w:pPr>
      <w:bookmarkStart w:id="1" w:name="_Toc216518485"/>
      <w:r w:rsidRPr="007C4D19">
        <w:rPr>
          <w:rFonts w:ascii="Arial" w:eastAsia="DengXian Light" w:hAnsi="Arial" w:cs="Arial"/>
          <w:b/>
          <w:bCs/>
          <w:lang w:eastAsia="zh-CN"/>
        </w:rPr>
        <w:t>Introduction</w:t>
      </w:r>
      <w:bookmarkEnd w:id="1"/>
    </w:p>
    <w:p w14:paraId="35CE4A88" w14:textId="77777777" w:rsidR="003310E3" w:rsidRPr="000C7DE3" w:rsidRDefault="007C4D19" w:rsidP="00063028">
      <w:pPr>
        <w:keepNext/>
        <w:keepLines/>
        <w:spacing w:before="120" w:after="120" w:line="360" w:lineRule="auto"/>
        <w:outlineLvl w:val="1"/>
        <w:rPr>
          <w:rFonts w:ascii="Arial" w:eastAsia="DengXian Light" w:hAnsi="Arial" w:cs="Arial"/>
          <w:b/>
          <w:bCs/>
          <w:i/>
          <w:iCs/>
          <w:sz w:val="22"/>
          <w:szCs w:val="22"/>
          <w:lang w:eastAsia="zh-CN"/>
        </w:rPr>
      </w:pPr>
      <w:bookmarkStart w:id="2" w:name="_Toc216518486"/>
      <w:r w:rsidRPr="000C7DE3">
        <w:rPr>
          <w:rFonts w:ascii="Arial" w:eastAsia="DengXian Light" w:hAnsi="Arial" w:cs="Arial"/>
          <w:b/>
          <w:bCs/>
          <w:i/>
          <w:iCs/>
          <w:sz w:val="22"/>
          <w:szCs w:val="22"/>
          <w:lang w:eastAsia="zh-CN"/>
        </w:rPr>
        <w:t>Definition of the condition, signs and symptoms, and incidence rates</w:t>
      </w:r>
      <w:bookmarkEnd w:id="2"/>
    </w:p>
    <w:p w14:paraId="53D9D541" w14:textId="02774CE9" w:rsidR="00A31C0C" w:rsidRPr="00A31C0C" w:rsidRDefault="00A31C0C" w:rsidP="000018B6">
      <w:pPr>
        <w:keepNext/>
        <w:keepLines/>
        <w:spacing w:before="120" w:after="120" w:line="360" w:lineRule="auto"/>
        <w:rPr>
          <w:rFonts w:ascii="Arial" w:eastAsia="DengXian Light" w:hAnsi="Arial" w:cs="Arial"/>
          <w:sz w:val="22"/>
          <w:szCs w:val="22"/>
          <w:lang w:eastAsia="zh-CN"/>
        </w:rPr>
      </w:pPr>
      <w:r w:rsidRPr="00A31C0C">
        <w:rPr>
          <w:rFonts w:ascii="Arial" w:eastAsia="DengXian Light" w:hAnsi="Arial" w:cs="Arial"/>
          <w:sz w:val="22"/>
          <w:szCs w:val="22"/>
          <w:lang w:eastAsia="zh-CN"/>
        </w:rPr>
        <w:t xml:space="preserve">Type 2 Diabetes is a long-term non-communicable condition in which the body becomes less responsive to insulin or is unable to produce </w:t>
      </w:r>
      <w:proofErr w:type="gramStart"/>
      <w:r w:rsidRPr="00A31C0C">
        <w:rPr>
          <w:rFonts w:ascii="Arial" w:eastAsia="DengXian Light" w:hAnsi="Arial" w:cs="Arial"/>
          <w:sz w:val="22"/>
          <w:szCs w:val="22"/>
          <w:lang w:eastAsia="zh-CN"/>
        </w:rPr>
        <w:t>sufficient amounts</w:t>
      </w:r>
      <w:proofErr w:type="gramEnd"/>
      <w:r w:rsidRPr="00A31C0C">
        <w:rPr>
          <w:rFonts w:ascii="Arial" w:eastAsia="DengXian Light" w:hAnsi="Arial" w:cs="Arial"/>
          <w:sz w:val="22"/>
          <w:szCs w:val="22"/>
          <w:lang w:eastAsia="zh-CN"/>
        </w:rPr>
        <w:t xml:space="preserve"> to regulate blood glucose effectively, resulting in sustained hyperglycaemia (WHO, 2021). The disease develops progressively over time and arises from an interaction of genetic predisposition alongside physiological, environmental and lifestyle-related influences (NICE, 2023). Due to its widespread occurrence and increasing prevalence, Type 2 Diabetes is recognised as a major public health issue with significant long-term health implications.</w:t>
      </w:r>
    </w:p>
    <w:p w14:paraId="517F611E" w14:textId="08073B32" w:rsidR="00A31C0C" w:rsidRDefault="007B68E0" w:rsidP="000018B6">
      <w:pPr>
        <w:keepNext/>
        <w:keepLines/>
        <w:spacing w:before="120" w:after="120" w:line="360" w:lineRule="auto"/>
        <w:rPr>
          <w:rFonts w:ascii="Arial" w:eastAsia="DengXian Light" w:hAnsi="Arial" w:cs="Arial"/>
          <w:sz w:val="22"/>
          <w:szCs w:val="22"/>
          <w:lang w:eastAsia="zh-CN"/>
        </w:rPr>
      </w:pPr>
      <w:r w:rsidRPr="007B68E0">
        <w:rPr>
          <w:rFonts w:ascii="Arial" w:eastAsia="DengXian Light" w:hAnsi="Arial" w:cs="Arial"/>
          <w:sz w:val="22"/>
          <w:szCs w:val="22"/>
          <w:lang w:eastAsia="zh-CN"/>
        </w:rPr>
        <w:t>People living with Type 2 Diabetes may experience symptoms such as increased thirst, frequent urination, ongoing fatigue and visual disturbances. However, the condition often develops without obvious early signs, meaning that diagnosis and appropriate treatment may be delayed (Diabetes UK, 2024).</w:t>
      </w:r>
      <w:r>
        <w:rPr>
          <w:rFonts w:ascii="Arial" w:eastAsia="DengXian Light" w:hAnsi="Arial" w:cs="Arial"/>
          <w:sz w:val="22"/>
          <w:szCs w:val="22"/>
          <w:lang w:eastAsia="zh-CN"/>
        </w:rPr>
        <w:t xml:space="preserve"> </w:t>
      </w:r>
      <w:r w:rsidR="00A31C0C" w:rsidRPr="00A31C0C">
        <w:rPr>
          <w:rFonts w:ascii="Arial" w:eastAsia="DengXian Light" w:hAnsi="Arial" w:cs="Arial"/>
          <w:sz w:val="22"/>
          <w:szCs w:val="22"/>
          <w:lang w:eastAsia="zh-CN"/>
        </w:rPr>
        <w:t>Without effective management, the condition may progress and result in serious complications affecting multiple organ systems, such as cardiovascular disease, renal impairment and nerve damage (NICE, 2023).</w:t>
      </w:r>
    </w:p>
    <w:p w14:paraId="31CB3559" w14:textId="7850DEC7" w:rsidR="00153C8B" w:rsidRP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The scale of Type 2 Diabetes highlights its severity as a public health issue. Globally, over 500 million adults are living with diabetes, with approximately 90% of cases classified as Type 2 Diabetes (WHO, 2021). In the United Kingdom, around 5.8 million people are affected, including both diagnosed and undiagnosed cases, and prevalence continues to rise, demonstrating a substantial burden on individuals, communities and healthcare systems (Diabetes UK, 2024).</w:t>
      </w:r>
    </w:p>
    <w:p w14:paraId="3766D31D" w14:textId="30B14CDC" w:rsidR="00E1522E" w:rsidRDefault="00E1522E">
      <w:pPr>
        <w:rPr>
          <w:rFonts w:ascii="Arial" w:eastAsia="DengXian Light" w:hAnsi="Arial" w:cs="Arial"/>
          <w:sz w:val="22"/>
          <w:szCs w:val="22"/>
          <w:lang w:eastAsia="zh-CN"/>
        </w:rPr>
      </w:pPr>
      <w:r>
        <w:rPr>
          <w:rFonts w:ascii="Arial" w:eastAsia="DengXian Light" w:hAnsi="Arial" w:cs="Arial"/>
          <w:sz w:val="22"/>
          <w:szCs w:val="22"/>
          <w:lang w:eastAsia="zh-CN"/>
        </w:rPr>
        <w:br w:type="page"/>
      </w:r>
    </w:p>
    <w:p w14:paraId="50AB7330" w14:textId="7C28AD34" w:rsidR="00BC1B23" w:rsidRPr="00FB0B36" w:rsidRDefault="00BC1B23" w:rsidP="00153C8B">
      <w:pPr>
        <w:keepNext/>
        <w:keepLines/>
        <w:spacing w:before="120" w:after="120" w:line="360" w:lineRule="auto"/>
        <w:outlineLvl w:val="1"/>
        <w:rPr>
          <w:rFonts w:ascii="Arial" w:eastAsia="DengXian Light" w:hAnsi="Arial" w:cs="Arial"/>
          <w:b/>
          <w:bCs/>
          <w:lang w:eastAsia="zh-CN"/>
        </w:rPr>
      </w:pPr>
      <w:bookmarkStart w:id="3" w:name="_Toc216518487"/>
      <w:r w:rsidRPr="00FB0B36">
        <w:rPr>
          <w:rFonts w:ascii="Arial" w:eastAsia="DengXian Light" w:hAnsi="Arial" w:cs="Arial"/>
          <w:b/>
          <w:bCs/>
          <w:lang w:eastAsia="zh-CN"/>
        </w:rPr>
        <w:t>Main Body</w:t>
      </w:r>
      <w:bookmarkEnd w:id="3"/>
    </w:p>
    <w:p w14:paraId="0CD4AA63" w14:textId="77777777" w:rsidR="00E1522E" w:rsidRPr="000C7DE3" w:rsidRDefault="00FB0B36" w:rsidP="00153C8B">
      <w:pPr>
        <w:keepNext/>
        <w:keepLines/>
        <w:spacing w:before="120" w:after="120" w:line="360" w:lineRule="auto"/>
        <w:outlineLvl w:val="1"/>
        <w:rPr>
          <w:rFonts w:ascii="Arial" w:eastAsia="DengXian Light" w:hAnsi="Arial" w:cs="Arial"/>
          <w:b/>
          <w:bCs/>
          <w:i/>
          <w:iCs/>
          <w:sz w:val="22"/>
          <w:szCs w:val="22"/>
          <w:lang w:eastAsia="zh-CN"/>
        </w:rPr>
      </w:pPr>
      <w:bookmarkStart w:id="4" w:name="_Toc216518488"/>
      <w:r w:rsidRPr="000C7DE3">
        <w:rPr>
          <w:rFonts w:ascii="Arial" w:eastAsia="DengXian Light" w:hAnsi="Arial" w:cs="Arial"/>
          <w:b/>
          <w:bCs/>
          <w:i/>
          <w:iCs/>
          <w:sz w:val="22"/>
          <w:szCs w:val="22"/>
          <w:lang w:eastAsia="zh-CN"/>
        </w:rPr>
        <w:t>Consequences of Type 2 Diabetes for the Community and the NHS</w:t>
      </w:r>
      <w:bookmarkEnd w:id="4"/>
    </w:p>
    <w:p w14:paraId="7DF9E5A1" w14:textId="6309DF9E" w:rsidR="00125A1E" w:rsidRDefault="00125A1E" w:rsidP="000018B6">
      <w:pPr>
        <w:keepNext/>
        <w:keepLines/>
        <w:spacing w:before="120" w:after="120" w:line="360" w:lineRule="auto"/>
        <w:rPr>
          <w:rFonts w:ascii="Arial" w:eastAsia="DengXian Light" w:hAnsi="Arial" w:cs="Arial"/>
          <w:sz w:val="22"/>
          <w:szCs w:val="22"/>
          <w:lang w:eastAsia="zh-CN"/>
        </w:rPr>
      </w:pPr>
      <w:r w:rsidRPr="00125A1E">
        <w:rPr>
          <w:rFonts w:ascii="Arial" w:eastAsia="DengXian Light" w:hAnsi="Arial" w:cs="Arial"/>
          <w:sz w:val="22"/>
          <w:szCs w:val="22"/>
          <w:lang w:eastAsia="zh-CN"/>
        </w:rPr>
        <w:t>The long-term effects of Type 2 Diabetes place a considerable burden on both individuals and the wider community. Inadequate regulation of blood glucose levels significantly increases the likelihood of serious complications, including cardiovascular disease, renal failure, nerve damage, lower-limb amputations and visual impairment (NICE, 2023). Such complications are associated with increased morbidity, earlier mortality and a substantial decline in overall quality of life. From a public health perspective, measures such as morbidity and mortality rates are essential for evaluating the overall disease burden and for monitoring trends within populations over time (UKHSA, 2023).</w:t>
      </w:r>
    </w:p>
    <w:p w14:paraId="7DBB354E" w14:textId="3286F1E0" w:rsidR="00153C8B" w:rsidRP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In the UK, prevalence continues to rise and is closely associated with population ageing, increasing obesity rates and physical inactivity (ONS, 2024). Importantly, the burden of Type 2 Diabetes is not evenly distributed. Higher prevalence rates and poorer outcomes are observed among individuals living in deprived areas and among certain ethnic minority groups, highlighting persistent health inequalities and the social gradient in health (ONS, 2024; King’s Fund, 2023).</w:t>
      </w:r>
    </w:p>
    <w:p w14:paraId="464DA1BE" w14:textId="77777777" w:rsidR="00C82A5E"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 xml:space="preserve">Public health surveillance and epidemiology play a critical role in understanding and responding to the growing burden of Type 2 Diabetes. Surveillance systems enable the systematic collection, analysis and interpretation of data related to disease prevalence, incidence, morbidity and mortality (UKHSA, 2023). In the UK, these data are derived from sources such as primary care records, hospital admissions and population surveys. </w:t>
      </w:r>
      <w:proofErr w:type="gramStart"/>
      <w:r w:rsidR="00C82A5E" w:rsidRPr="00C82A5E">
        <w:rPr>
          <w:rFonts w:ascii="Arial" w:eastAsia="DengXian Light" w:hAnsi="Arial" w:cs="Arial"/>
          <w:sz w:val="22"/>
          <w:szCs w:val="22"/>
          <w:lang w:eastAsia="zh-CN"/>
        </w:rPr>
        <w:t>Through the use of</w:t>
      </w:r>
      <w:proofErr w:type="gramEnd"/>
      <w:r w:rsidR="00C82A5E" w:rsidRPr="00C82A5E">
        <w:rPr>
          <w:rFonts w:ascii="Arial" w:eastAsia="DengXian Light" w:hAnsi="Arial" w:cs="Arial"/>
          <w:sz w:val="22"/>
          <w:szCs w:val="22"/>
          <w:lang w:eastAsia="zh-CN"/>
        </w:rPr>
        <w:t xml:space="preserve"> systematic data collection and analysis, surveillance underpins evidence-informed public health practice by enabling professionals to recognise high-risk groups, observe changes in disease patterns over time and assess the impact of preventive interventions (UKHSA, 2023). In the absence of reliable surveillance systems, effective service planning and targeted allocation of resources would be considerably constrained.</w:t>
      </w:r>
    </w:p>
    <w:p w14:paraId="13299168" w14:textId="05CA8B46" w:rsidR="00153C8B" w:rsidRP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The social consequences of Type 2 Diabetes are significant. Living with a long-term condition can affect daily functioning, independence and mental wellbeing. Fatigue, chronic pain and reduced mobility may limit individuals’ ability to maintain employment and participate in social activities, increasing the risk of financial insecurity and social isolation (Diabetes UK, 2024). Families are often affected, as relatives may take on caregiving responsibilities, leading to emotional strain, stress and changes to household routines. These impacts demonstrate that Type 2 Diabetes is not solely a clinical issue but also a wider social and community concern.</w:t>
      </w:r>
    </w:p>
    <w:p w14:paraId="3CBC052B" w14:textId="77777777" w:rsidR="00153C8B" w:rsidRP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Economic consequences are evident at both individual and population levels. Type 2 Diabetes contributes to reduced productivity through sickness absence, early retirement and long-term disability (King’s Fund, 2023). At a community level, increased reliance on social care services places additional pressure on local authorities. These economic impacts reinforce the importance of prevention and early intervention, as reducing disease incidence and delaying complications can significantly lessen long-term costs to health and social care systems.</w:t>
      </w:r>
    </w:p>
    <w:p w14:paraId="141F19EA" w14:textId="77777777" w:rsid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The NHS faces a substantial and growing burden associated with Type 2 Diabetes. It is estimated that diabetes costs the NHS approximately £10 billion per year, with around 80% of this expenditure spent on treating preventable complications rather than on prevention (Diabetes UK, 2024). Demand for GP appointments, diagnostic testing and long-term monitoring is high, including regular HbA1c testing, blood pressure and cholesterol checks, retinal screening and foot examinations (NICE, 2023). Hospital admissions related to cardiovascular disease, kidney failure and diabetic foot complications further increase pressure on secondary care services. Effective management therefore requires coordinated multidisciplinary input involving GPs, diabetes specialist nurses, dietitians, podiatrists and hospital specialists (NICE, 2023).</w:t>
      </w:r>
    </w:p>
    <w:p w14:paraId="65046AA7" w14:textId="77777777" w:rsidR="00A86571" w:rsidRDefault="00A86571" w:rsidP="000018B6">
      <w:pPr>
        <w:keepNext/>
        <w:keepLines/>
        <w:spacing w:before="120" w:after="120" w:line="360" w:lineRule="auto"/>
        <w:rPr>
          <w:rFonts w:ascii="Arial" w:eastAsia="DengXian Light" w:hAnsi="Arial" w:cs="Arial"/>
          <w:sz w:val="22"/>
          <w:szCs w:val="22"/>
          <w:lang w:eastAsia="zh-CN"/>
        </w:rPr>
      </w:pPr>
    </w:p>
    <w:p w14:paraId="44D26DBD" w14:textId="4D6F738E" w:rsidR="00A86571" w:rsidRPr="000C7DE3" w:rsidRDefault="00A86571" w:rsidP="00153C8B">
      <w:pPr>
        <w:keepNext/>
        <w:keepLines/>
        <w:spacing w:before="120" w:after="120" w:line="360" w:lineRule="auto"/>
        <w:outlineLvl w:val="1"/>
        <w:rPr>
          <w:rFonts w:ascii="Arial" w:eastAsia="DengXian Light" w:hAnsi="Arial" w:cs="Arial"/>
          <w:b/>
          <w:bCs/>
          <w:i/>
          <w:iCs/>
          <w:sz w:val="22"/>
          <w:szCs w:val="22"/>
          <w:lang w:eastAsia="zh-CN"/>
        </w:rPr>
      </w:pPr>
      <w:bookmarkStart w:id="5" w:name="_Toc216518489"/>
      <w:r w:rsidRPr="000C7DE3">
        <w:rPr>
          <w:rFonts w:ascii="Arial" w:eastAsia="DengXian Light" w:hAnsi="Arial" w:cs="Arial"/>
          <w:b/>
          <w:bCs/>
          <w:i/>
          <w:iCs/>
          <w:sz w:val="22"/>
          <w:szCs w:val="22"/>
          <w:lang w:eastAsia="zh-CN"/>
        </w:rPr>
        <w:t>Control and Management of Type 2 Diabetes</w:t>
      </w:r>
      <w:bookmarkEnd w:id="5"/>
    </w:p>
    <w:p w14:paraId="0831F0F1" w14:textId="77777777" w:rsidR="00153C8B" w:rsidRP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Several public health organisations play a key role in addressing Type 2 Diabetes in the UK. The NHS is responsible for delivering prevention programmes, clinical management and long-term care. The Office for National Statistics provides population-level data used to monitor prevalence, trends and health inequalities, while the UK Health Security Agency contributes to disease surveillance and monitoring of population health indicators (ONS, 2024; UKHSA, 2023). Together, these organisations support a coordinated public health response that integrates epidemiological evidence with policy development and service planning.</w:t>
      </w:r>
    </w:p>
    <w:p w14:paraId="7EF4F33C" w14:textId="77777777" w:rsidR="00153C8B" w:rsidRP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In addition to service delivery and surveillance, public health organisations play an important role in reducing inequalities associated with Type 2 Diabetes. Epidemiological data consistently show higher prevalence and poorer outcomes among socioeconomically deprived populations, highlighting the need for targeted and proportionate interventions (ONS, 2024). Public health strategies therefore increasingly focus on addressing upstream determinants of health, rather than relying solely on individual behaviour change (King’s Fund, 2023).</w:t>
      </w:r>
    </w:p>
    <w:p w14:paraId="7C064F57" w14:textId="77777777" w:rsidR="00047463" w:rsidRDefault="00047463" w:rsidP="000018B6">
      <w:pPr>
        <w:keepNext/>
        <w:keepLines/>
        <w:spacing w:before="120" w:after="120" w:line="360" w:lineRule="auto"/>
        <w:rPr>
          <w:rFonts w:ascii="Arial" w:eastAsia="DengXian Light" w:hAnsi="Arial" w:cs="Arial"/>
          <w:sz w:val="22"/>
          <w:szCs w:val="22"/>
          <w:lang w:eastAsia="zh-CN"/>
        </w:rPr>
      </w:pPr>
      <w:r w:rsidRPr="00047463">
        <w:rPr>
          <w:rFonts w:ascii="Arial" w:eastAsia="DengXian Light" w:hAnsi="Arial" w:cs="Arial"/>
          <w:sz w:val="22"/>
          <w:szCs w:val="22"/>
          <w:lang w:eastAsia="zh-CN"/>
        </w:rPr>
        <w:t>In collaboration with the NHS, local authorities play a central role in delivering community-level initiatives that promote healthier diets, encourage physical activity and support weight management. Examples of such interventions include local education programmes, enhanced access to green and recreational spaces, and actions aimed at improving the availability of healthier food options within communities (NHS England, 2023). These strategies acknowledge that individual health behaviours are shaped not only by personal choice but also by wider social, economic and environmental influences.</w:t>
      </w:r>
    </w:p>
    <w:p w14:paraId="45CC01AE" w14:textId="77777777" w:rsidR="001E5BC7" w:rsidRDefault="001E5BC7" w:rsidP="000018B6">
      <w:pPr>
        <w:keepNext/>
        <w:keepLines/>
        <w:spacing w:before="120" w:after="120" w:line="360" w:lineRule="auto"/>
        <w:rPr>
          <w:rFonts w:ascii="Arial" w:eastAsia="DengXian Light" w:hAnsi="Arial" w:cs="Arial"/>
          <w:sz w:val="22"/>
          <w:szCs w:val="22"/>
          <w:lang w:eastAsia="zh-CN"/>
        </w:rPr>
      </w:pPr>
    </w:p>
    <w:p w14:paraId="695BBA1B" w14:textId="217E53F5" w:rsidR="001E5BC7" w:rsidRPr="000C7DE3" w:rsidRDefault="001E5BC7" w:rsidP="008621DC">
      <w:pPr>
        <w:keepNext/>
        <w:keepLines/>
        <w:spacing w:before="120" w:after="120" w:line="360" w:lineRule="auto"/>
        <w:outlineLvl w:val="1"/>
        <w:rPr>
          <w:rFonts w:ascii="Arial" w:eastAsia="DengXian Light" w:hAnsi="Arial" w:cs="Arial"/>
          <w:b/>
          <w:bCs/>
          <w:i/>
          <w:iCs/>
          <w:sz w:val="22"/>
          <w:szCs w:val="22"/>
          <w:lang w:eastAsia="zh-CN"/>
        </w:rPr>
      </w:pPr>
      <w:bookmarkStart w:id="6" w:name="_Toc216518490"/>
      <w:r w:rsidRPr="000C7DE3">
        <w:rPr>
          <w:rFonts w:ascii="Arial" w:eastAsia="DengXian Light" w:hAnsi="Arial" w:cs="Arial"/>
          <w:b/>
          <w:bCs/>
          <w:i/>
          <w:iCs/>
          <w:sz w:val="22"/>
          <w:szCs w:val="22"/>
          <w:lang w:eastAsia="zh-CN"/>
        </w:rPr>
        <w:t>F</w:t>
      </w:r>
      <w:r w:rsidR="008621DC" w:rsidRPr="008621DC">
        <w:rPr>
          <w:rFonts w:ascii="Arial" w:eastAsia="DengXian Light" w:hAnsi="Arial" w:cs="Arial"/>
          <w:b/>
          <w:bCs/>
          <w:i/>
          <w:iCs/>
          <w:sz w:val="22"/>
          <w:szCs w:val="22"/>
          <w:lang w:eastAsia="zh-CN"/>
        </w:rPr>
        <w:t>actors influencing the health and well-being of people affected by the disease/condition and people around them.</w:t>
      </w:r>
      <w:bookmarkEnd w:id="6"/>
    </w:p>
    <w:p w14:paraId="7D666926" w14:textId="4A85CB5B" w:rsidR="0097275D" w:rsidRDefault="0097275D" w:rsidP="000018B6">
      <w:pPr>
        <w:keepNext/>
        <w:keepLines/>
        <w:spacing w:before="120" w:after="120" w:line="360" w:lineRule="auto"/>
        <w:rPr>
          <w:rFonts w:ascii="Arial" w:eastAsia="DengXian Light" w:hAnsi="Arial" w:cs="Arial"/>
          <w:sz w:val="22"/>
          <w:szCs w:val="22"/>
          <w:lang w:eastAsia="zh-CN"/>
        </w:rPr>
      </w:pPr>
      <w:r w:rsidRPr="0097275D">
        <w:rPr>
          <w:rFonts w:ascii="Arial" w:eastAsia="DengXian Light" w:hAnsi="Arial" w:cs="Arial"/>
          <w:sz w:val="22"/>
          <w:szCs w:val="22"/>
          <w:lang w:eastAsia="zh-CN"/>
        </w:rPr>
        <w:t>A wide range of factors influence the development and management of Type 2 Diabetes and its impact on health and wellbeing. Biological factors such as genetics, age, ethnicity and family history interact with lifestyle behaviours to shape individual risk (WHO, 2021). Obesity remains the strongest modifiable risk factor and is closely linked to physical inactivity and unhealthy diets (NICE, 2023). Psychological factors, including stress, anxiety and depression, can negatively affect self-management and blood glucose control. In addition, stigma and feelings of guilt associated with weight and lifestyle may discourage individuals from seeking support (Diabetes UK, 2024).</w:t>
      </w:r>
    </w:p>
    <w:p w14:paraId="11156270" w14:textId="0BC768A6" w:rsidR="00466712"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Public health policy also plays a key role in shaping population health outcomes. National measures such as sugar taxation, calorie labelling and restrictions on unhealthy food marketing aim to create environments that support healthier choices at a population level (King’s Fund, 2023). These policies are particularly important in reducing health inequalities, as they do not rely solely on individual motivation or health literacy. By combining individual-level support with structural interventions, public health approaches to Type 2 Diabetes aim to reduce incidence, improve outcomes and ensure more equitable access to prevention and care services.</w:t>
      </w:r>
    </w:p>
    <w:p w14:paraId="07B4D32C" w14:textId="4995C0E1" w:rsidR="00153C8B" w:rsidRP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Prevention and control of Type 2 Diabetes require a comprehensive public health approach. Primary prevention focuses on reducing exposure to modifiable risk factors before disease develops. Public health campaigns promote healthy eating, increased physical activity and weight management, while screening initiatives target high-risk groups such as older adults, individuals with obesity and people from certain ethnic backgrounds (NHS England, 2023). Programmes such as the NHS Diabetes Prevention Programme reflect a shift towards upstream interventions aimed at reducing disease incidence.</w:t>
      </w:r>
    </w:p>
    <w:p w14:paraId="3F15FE4D" w14:textId="346FDAC5" w:rsidR="00153C8B" w:rsidRP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 xml:space="preserve">Clinical management involves a combination of lifestyle modification and pharmacological treatment. </w:t>
      </w:r>
      <w:proofErr w:type="gramStart"/>
      <w:r w:rsidR="00D544F8" w:rsidRPr="00D544F8">
        <w:rPr>
          <w:rFonts w:ascii="Arial" w:eastAsia="DengXian Light" w:hAnsi="Arial" w:cs="Arial"/>
          <w:sz w:val="22"/>
          <w:szCs w:val="22"/>
          <w:lang w:eastAsia="zh-CN"/>
        </w:rPr>
        <w:t>Dietary changes,</w:t>
      </w:r>
      <w:proofErr w:type="gramEnd"/>
      <w:r w:rsidR="00D544F8" w:rsidRPr="00D544F8">
        <w:rPr>
          <w:rFonts w:ascii="Arial" w:eastAsia="DengXian Light" w:hAnsi="Arial" w:cs="Arial"/>
          <w:sz w:val="22"/>
          <w:szCs w:val="22"/>
          <w:lang w:eastAsia="zh-CN"/>
        </w:rPr>
        <w:t xml:space="preserve"> increased physical activity and weight loss remain central to effective blood glucose control.</w:t>
      </w:r>
      <w:r w:rsidR="00D544F8">
        <w:rPr>
          <w:rFonts w:ascii="Arial" w:eastAsia="DengXian Light" w:hAnsi="Arial" w:cs="Arial"/>
          <w:sz w:val="22"/>
          <w:szCs w:val="22"/>
          <w:lang w:eastAsia="zh-CN"/>
        </w:rPr>
        <w:t xml:space="preserve"> </w:t>
      </w:r>
      <w:r w:rsidRPr="00153C8B">
        <w:rPr>
          <w:rFonts w:ascii="Arial" w:eastAsia="DengXian Light" w:hAnsi="Arial" w:cs="Arial"/>
          <w:sz w:val="22"/>
          <w:szCs w:val="22"/>
          <w:lang w:eastAsia="zh-CN"/>
        </w:rPr>
        <w:t>Where lifestyle changes alone are insufficient, medications such as metformin and other glucose-lowering therapies are prescribed (NICE, 2023). Regular monitoring of blood glucose levels, blood pressure and cholesterol is essential to reduce the risk of complications. Secondary prevention strategies, including routine GP reviews, retinal screening, kidney function tests and foot checks, aim to detect complications early and minimise disability and hospital admissions (NICE, 2023).</w:t>
      </w:r>
    </w:p>
    <w:p w14:paraId="5590643F" w14:textId="77777777" w:rsidR="00153C8B" w:rsidRDefault="00153C8B" w:rsidP="000018B6">
      <w:pPr>
        <w:keepNext/>
        <w:keepLines/>
        <w:spacing w:before="120" w:after="120" w:line="360" w:lineRule="auto"/>
        <w:rPr>
          <w:rFonts w:ascii="Arial" w:eastAsia="DengXian Light" w:hAnsi="Arial" w:cs="Arial"/>
          <w:sz w:val="22"/>
          <w:szCs w:val="22"/>
          <w:lang w:eastAsia="zh-CN"/>
        </w:rPr>
      </w:pPr>
      <w:r w:rsidRPr="00153C8B">
        <w:rPr>
          <w:rFonts w:ascii="Arial" w:eastAsia="DengXian Light" w:hAnsi="Arial" w:cs="Arial"/>
          <w:sz w:val="22"/>
          <w:szCs w:val="22"/>
          <w:lang w:eastAsia="zh-CN"/>
        </w:rPr>
        <w:t>Social determinants of health play a crucial role in shaping exposure to risk and access to care. Income, education, employment conditions, housing quality and access to healthy food influence opportunities for healthy living (ONS, 2024). Individuals living in deprived areas often face barriers to healthcare access and health-promoting resources, increasing vulnerability to Type 2 Diabetes and its complications. Addressing these wider determinants is essential to reducing avoidable and unjust health inequalities (King’s Fund, 2023).</w:t>
      </w:r>
    </w:p>
    <w:p w14:paraId="3B93732B" w14:textId="77777777" w:rsidR="00C11533" w:rsidRDefault="00C11533" w:rsidP="000018B6">
      <w:pPr>
        <w:keepNext/>
        <w:keepLines/>
        <w:spacing w:before="120" w:after="120" w:line="360" w:lineRule="auto"/>
        <w:rPr>
          <w:rFonts w:ascii="Arial" w:eastAsia="DengXian Light" w:hAnsi="Arial" w:cs="Arial"/>
          <w:sz w:val="22"/>
          <w:szCs w:val="22"/>
          <w:lang w:eastAsia="zh-CN"/>
        </w:rPr>
      </w:pPr>
    </w:p>
    <w:p w14:paraId="37FFE76F" w14:textId="77777777" w:rsidR="004B5CFF" w:rsidRDefault="00C11533" w:rsidP="00CB0662">
      <w:pPr>
        <w:widowControl w:val="0"/>
        <w:spacing w:before="120" w:after="120" w:line="360" w:lineRule="auto"/>
        <w:outlineLvl w:val="1"/>
        <w:rPr>
          <w:rFonts w:ascii="Arial" w:eastAsia="DengXian Light" w:hAnsi="Arial" w:cs="Arial"/>
          <w:b/>
          <w:bCs/>
          <w:sz w:val="22"/>
          <w:szCs w:val="22"/>
          <w:lang w:eastAsia="zh-CN"/>
        </w:rPr>
      </w:pPr>
      <w:bookmarkStart w:id="7" w:name="_Toc216518491"/>
      <w:r w:rsidRPr="00C11533">
        <w:rPr>
          <w:rFonts w:ascii="Arial" w:eastAsia="DengXian Light" w:hAnsi="Arial" w:cs="Arial"/>
          <w:b/>
          <w:bCs/>
          <w:sz w:val="22"/>
          <w:szCs w:val="22"/>
          <w:lang w:eastAsia="zh-CN"/>
        </w:rPr>
        <w:t>Conclusion</w:t>
      </w:r>
      <w:bookmarkEnd w:id="7"/>
      <w:r w:rsidR="00D32B25">
        <w:rPr>
          <w:rFonts w:ascii="Arial" w:eastAsia="DengXian Light" w:hAnsi="Arial" w:cs="Arial"/>
          <w:b/>
          <w:bCs/>
          <w:sz w:val="22"/>
          <w:szCs w:val="22"/>
          <w:lang w:eastAsia="zh-CN"/>
        </w:rPr>
        <w:t xml:space="preserve"> </w:t>
      </w:r>
    </w:p>
    <w:p w14:paraId="7A65D449" w14:textId="6548E180" w:rsidR="009D1FC5" w:rsidRPr="00D32B25" w:rsidRDefault="009D1FC5" w:rsidP="000018B6">
      <w:pPr>
        <w:widowControl w:val="0"/>
        <w:spacing w:before="120" w:after="120" w:line="360" w:lineRule="auto"/>
        <w:rPr>
          <w:rFonts w:ascii="Arial" w:eastAsia="DengXian Light" w:hAnsi="Arial" w:cs="Arial"/>
          <w:b/>
          <w:bCs/>
          <w:sz w:val="22"/>
          <w:szCs w:val="22"/>
          <w:lang w:eastAsia="zh-CN"/>
        </w:rPr>
      </w:pPr>
      <w:r w:rsidRPr="009D1FC5">
        <w:rPr>
          <w:rFonts w:ascii="Arial" w:eastAsia="DengXian Light" w:hAnsi="Arial" w:cs="Arial"/>
          <w:sz w:val="22"/>
          <w:szCs w:val="22"/>
          <w:lang w:eastAsia="zh-CN"/>
        </w:rPr>
        <w:t>The growing burden of Type 2 Diabetes poses a significant challenge for public health systems in the UK. Its increasing prevalence and associated long-term complications have wide-ranging effects on individuals, communities and healthcare services. Beyond its impact on physical health, the condition also affects social and psychological wellbeing and places considerable strain on the NHS, with a substantial proportion of healthcare resources directed towards the management of largely preventable complications (Diabetes UK, 2024).</w:t>
      </w:r>
    </w:p>
    <w:p w14:paraId="540D5F77" w14:textId="2A846BCF" w:rsidR="00153C8B" w:rsidRPr="00153C8B" w:rsidRDefault="00564D7D" w:rsidP="000018B6">
      <w:pPr>
        <w:spacing w:before="120" w:after="120" w:line="360" w:lineRule="auto"/>
        <w:rPr>
          <w:rFonts w:ascii="Segoe UI" w:eastAsia="DengXian" w:hAnsi="Segoe UI" w:cs="Arial"/>
          <w:sz w:val="20"/>
          <w:szCs w:val="22"/>
          <w:lang w:eastAsia="zh-CN"/>
        </w:rPr>
      </w:pPr>
      <w:r w:rsidRPr="00564D7D">
        <w:rPr>
          <w:rFonts w:ascii="Arial" w:eastAsia="DengXian Light" w:hAnsi="Arial" w:cs="Arial"/>
          <w:sz w:val="22"/>
          <w:szCs w:val="22"/>
          <w:lang w:eastAsia="zh-CN"/>
        </w:rPr>
        <w:t>Managing Type 2 Diabetes effectively depends on an integrated strategy that places equal emphasis on prevention, timely identification and ongoing care. Reducing the impact of the condition requires action on modifiable behavioural risks as well as on the broader social determinants that influence health outcomes. Enhancing public health surveillance, expanding preventive initiatives and providing sustained support to individuals and families living with the condition are therefore central to improving population health and maintaining the long-term viability of health and social care systems (WHO, 2022).</w:t>
      </w:r>
      <w:r w:rsidR="00153C8B" w:rsidRPr="00153C8B">
        <w:rPr>
          <w:rFonts w:ascii="Segoe UI" w:eastAsia="DengXian" w:hAnsi="Segoe UI" w:cs="Arial"/>
          <w:sz w:val="20"/>
          <w:szCs w:val="22"/>
          <w:lang w:eastAsia="zh-CN"/>
        </w:rPr>
        <w:br w:type="page"/>
      </w:r>
    </w:p>
    <w:p w14:paraId="20142E2D" w14:textId="4AFCD68D" w:rsidR="00153C8B" w:rsidRPr="00153C8B" w:rsidRDefault="00153C8B" w:rsidP="00964F38">
      <w:pPr>
        <w:widowControl w:val="0"/>
        <w:spacing w:before="120" w:after="120" w:line="360" w:lineRule="auto"/>
        <w:outlineLvl w:val="1"/>
        <w:rPr>
          <w:rFonts w:ascii="Arial" w:eastAsia="Times New Roman" w:hAnsi="Arial" w:cs="Arial"/>
          <w:b/>
          <w:bCs/>
          <w:kern w:val="0"/>
          <w:sz w:val="22"/>
          <w:szCs w:val="22"/>
          <w:u w:val="single"/>
          <w:lang w:val="fr-FR" w:eastAsia="en-GB"/>
          <w14:ligatures w14:val="none"/>
        </w:rPr>
      </w:pPr>
      <w:bookmarkStart w:id="8" w:name="_Toc216518492"/>
      <w:proofErr w:type="spellStart"/>
      <w:r w:rsidRPr="00153C8B">
        <w:rPr>
          <w:rFonts w:ascii="Arial" w:eastAsia="Times New Roman" w:hAnsi="Arial" w:cs="Arial"/>
          <w:b/>
          <w:bCs/>
          <w:kern w:val="0"/>
          <w:sz w:val="22"/>
          <w:szCs w:val="22"/>
          <w:u w:val="single"/>
          <w:lang w:val="fr-FR" w:eastAsia="en-GB"/>
          <w14:ligatures w14:val="none"/>
        </w:rPr>
        <w:t>References</w:t>
      </w:r>
      <w:proofErr w:type="spellEnd"/>
      <w:r w:rsidRPr="00153C8B">
        <w:rPr>
          <w:rFonts w:ascii="Arial" w:eastAsia="Times New Roman" w:hAnsi="Arial" w:cs="Arial"/>
          <w:b/>
          <w:bCs/>
          <w:kern w:val="0"/>
          <w:sz w:val="22"/>
          <w:szCs w:val="22"/>
          <w:u w:val="single"/>
          <w:lang w:val="fr-FR" w:eastAsia="en-GB"/>
          <w14:ligatures w14:val="none"/>
        </w:rPr>
        <w:t xml:space="preserve"> List</w:t>
      </w:r>
      <w:bookmarkEnd w:id="8"/>
    </w:p>
    <w:p w14:paraId="413C34F0"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153C8B">
        <w:rPr>
          <w:rFonts w:ascii="Arial" w:eastAsia="Times New Roman" w:hAnsi="Arial" w:cs="Arial"/>
          <w:kern w:val="0"/>
          <w:sz w:val="22"/>
          <w:szCs w:val="22"/>
          <w:lang w:val="fr-FR" w:eastAsia="en-GB"/>
          <w14:ligatures w14:val="none"/>
        </w:rPr>
        <w:t>Diabetes</w:t>
      </w:r>
      <w:proofErr w:type="spellEnd"/>
      <w:r w:rsidRPr="00153C8B">
        <w:rPr>
          <w:rFonts w:ascii="Arial" w:eastAsia="Times New Roman" w:hAnsi="Arial" w:cs="Arial"/>
          <w:kern w:val="0"/>
          <w:sz w:val="22"/>
          <w:szCs w:val="22"/>
          <w:lang w:val="fr-FR" w:eastAsia="en-GB"/>
          <w14:ligatures w14:val="none"/>
        </w:rPr>
        <w:t xml:space="preserve"> UK (2024) </w:t>
      </w:r>
      <w:proofErr w:type="spellStart"/>
      <w:r w:rsidRPr="00153C8B">
        <w:rPr>
          <w:rFonts w:ascii="Arial" w:eastAsia="Times New Roman" w:hAnsi="Arial" w:cs="Arial"/>
          <w:i/>
          <w:iCs/>
          <w:kern w:val="0"/>
          <w:sz w:val="22"/>
          <w:szCs w:val="22"/>
          <w:lang w:val="fr-FR" w:eastAsia="en-GB"/>
          <w14:ligatures w14:val="none"/>
        </w:rPr>
        <w:t>Diabetes</w:t>
      </w:r>
      <w:proofErr w:type="spellEnd"/>
      <w:r w:rsidRPr="00153C8B">
        <w:rPr>
          <w:rFonts w:ascii="Arial" w:eastAsia="Times New Roman" w:hAnsi="Arial" w:cs="Arial"/>
          <w:i/>
          <w:iCs/>
          <w:kern w:val="0"/>
          <w:sz w:val="22"/>
          <w:szCs w:val="22"/>
          <w:lang w:val="fr-FR" w:eastAsia="en-GB"/>
          <w14:ligatures w14:val="none"/>
        </w:rPr>
        <w:t xml:space="preserve"> </w:t>
      </w:r>
      <w:proofErr w:type="spellStart"/>
      <w:r w:rsidRPr="00153C8B">
        <w:rPr>
          <w:rFonts w:ascii="Arial" w:eastAsia="Times New Roman" w:hAnsi="Arial" w:cs="Arial"/>
          <w:i/>
          <w:iCs/>
          <w:kern w:val="0"/>
          <w:sz w:val="22"/>
          <w:szCs w:val="22"/>
          <w:lang w:val="fr-FR" w:eastAsia="en-GB"/>
          <w14:ligatures w14:val="none"/>
        </w:rPr>
        <w:t>prevalence</w:t>
      </w:r>
      <w:proofErr w:type="spellEnd"/>
      <w:r w:rsidRPr="00153C8B">
        <w:rPr>
          <w:rFonts w:ascii="Arial" w:eastAsia="Times New Roman" w:hAnsi="Arial" w:cs="Arial"/>
          <w:i/>
          <w:iCs/>
          <w:kern w:val="0"/>
          <w:sz w:val="22"/>
          <w:szCs w:val="22"/>
          <w:lang w:val="fr-FR" w:eastAsia="en-GB"/>
          <w14:ligatures w14:val="none"/>
        </w:rPr>
        <w:t xml:space="preserve"> 2024</w:t>
      </w:r>
      <w:r w:rsidRPr="00153C8B">
        <w:rPr>
          <w:rFonts w:ascii="Arial" w:eastAsia="Times New Roman" w:hAnsi="Arial" w:cs="Arial"/>
          <w:kern w:val="0"/>
          <w:sz w:val="22"/>
          <w:szCs w:val="22"/>
          <w:lang w:val="fr-FR" w:eastAsia="en-GB"/>
          <w14:ligatures w14:val="none"/>
        </w:rPr>
        <w:t xml:space="preserve">. </w:t>
      </w:r>
      <w:r w:rsidRPr="00153C8B">
        <w:rPr>
          <w:rFonts w:ascii="Arial" w:eastAsia="Times New Roman" w:hAnsi="Arial" w:cs="Arial"/>
          <w:kern w:val="0"/>
          <w:sz w:val="22"/>
          <w:szCs w:val="22"/>
          <w:lang w:eastAsia="en-GB"/>
          <w14:ligatures w14:val="none"/>
        </w:rPr>
        <w:t xml:space="preserve">London: Diabetes UK. Available at: </w:t>
      </w:r>
      <w:hyperlink r:id="rId8" w:tgtFrame="_new" w:history="1">
        <w:r w:rsidRPr="00153C8B">
          <w:rPr>
            <w:rFonts w:ascii="Arial" w:eastAsia="Times New Roman" w:hAnsi="Arial" w:cs="Arial"/>
            <w:color w:val="0000FF"/>
            <w:kern w:val="0"/>
            <w:sz w:val="22"/>
            <w:szCs w:val="22"/>
            <w:u w:val="single"/>
            <w:lang w:eastAsia="en-GB"/>
            <w14:ligatures w14:val="none"/>
          </w:rPr>
          <w:t>https://www.diabetes.org.uk</w:t>
        </w:r>
      </w:hyperlink>
      <w:r w:rsidRPr="00153C8B">
        <w:rPr>
          <w:rFonts w:ascii="Arial" w:eastAsia="Times New Roman" w:hAnsi="Arial" w:cs="Arial"/>
          <w:kern w:val="0"/>
          <w:sz w:val="22"/>
          <w:szCs w:val="22"/>
          <w:lang w:eastAsia="en-GB"/>
          <w14:ligatures w14:val="none"/>
        </w:rPr>
        <w:t xml:space="preserve"> (Accessed: 10 December 2025).</w:t>
      </w:r>
    </w:p>
    <w:p w14:paraId="3DC7A4B1"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Kings Fund (2023) </w:t>
      </w:r>
      <w:r w:rsidRPr="00153C8B">
        <w:rPr>
          <w:rFonts w:ascii="Arial" w:eastAsia="Times New Roman" w:hAnsi="Arial" w:cs="Arial"/>
          <w:i/>
          <w:iCs/>
          <w:kern w:val="0"/>
          <w:sz w:val="22"/>
          <w:szCs w:val="22"/>
          <w:lang w:eastAsia="en-GB"/>
          <w14:ligatures w14:val="none"/>
        </w:rPr>
        <w:t>What are health inequalities?</w:t>
      </w:r>
      <w:r w:rsidRPr="00153C8B">
        <w:rPr>
          <w:rFonts w:ascii="Arial" w:eastAsia="Times New Roman" w:hAnsi="Arial" w:cs="Arial"/>
          <w:kern w:val="0"/>
          <w:sz w:val="22"/>
          <w:szCs w:val="22"/>
          <w:lang w:eastAsia="en-GB"/>
          <w14:ligatures w14:val="none"/>
        </w:rPr>
        <w:t xml:space="preserve"> London: </w:t>
      </w:r>
      <w:r w:rsidRPr="00153C8B">
        <w:rPr>
          <w:rFonts w:ascii="Arial" w:eastAsia="Times New Roman" w:hAnsi="Arial" w:cs="Arial"/>
          <w:i/>
          <w:iCs/>
          <w:kern w:val="0"/>
          <w:sz w:val="22"/>
          <w:szCs w:val="22"/>
          <w:lang w:eastAsia="en-GB"/>
          <w14:ligatures w14:val="none"/>
        </w:rPr>
        <w:t>The King’s Fund</w:t>
      </w:r>
      <w:r w:rsidRPr="00153C8B">
        <w:rPr>
          <w:rFonts w:ascii="Arial" w:eastAsia="Times New Roman" w:hAnsi="Arial" w:cs="Arial"/>
          <w:kern w:val="0"/>
          <w:sz w:val="22"/>
          <w:szCs w:val="22"/>
          <w:lang w:eastAsia="en-GB"/>
          <w14:ligatures w14:val="none"/>
        </w:rPr>
        <w:t xml:space="preserve">. Available at: </w:t>
      </w:r>
      <w:hyperlink r:id="rId9" w:tgtFrame="_new" w:history="1">
        <w:r w:rsidRPr="00153C8B">
          <w:rPr>
            <w:rFonts w:ascii="Arial" w:eastAsia="Times New Roman" w:hAnsi="Arial" w:cs="Arial"/>
            <w:color w:val="0000FF"/>
            <w:kern w:val="0"/>
            <w:sz w:val="22"/>
            <w:szCs w:val="22"/>
            <w:u w:val="single"/>
            <w:lang w:eastAsia="en-GB"/>
            <w14:ligatures w14:val="none"/>
          </w:rPr>
          <w:t>https://www.kingsfund.org.uk</w:t>
        </w:r>
      </w:hyperlink>
      <w:r w:rsidRPr="00153C8B">
        <w:rPr>
          <w:rFonts w:ascii="Arial" w:eastAsia="Times New Roman" w:hAnsi="Arial" w:cs="Arial"/>
          <w:kern w:val="0"/>
          <w:sz w:val="22"/>
          <w:szCs w:val="22"/>
          <w:lang w:eastAsia="en-GB"/>
          <w14:ligatures w14:val="none"/>
        </w:rPr>
        <w:t xml:space="preserve"> (Accessed: 10 December 2025).</w:t>
      </w:r>
    </w:p>
    <w:p w14:paraId="2F05FB69"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National Institute for Health and Care Excellence (NICE) (2023) </w:t>
      </w:r>
      <w:r w:rsidRPr="00153C8B">
        <w:rPr>
          <w:rFonts w:ascii="Arial" w:eastAsia="Times New Roman" w:hAnsi="Arial" w:cs="Arial"/>
          <w:i/>
          <w:iCs/>
          <w:kern w:val="0"/>
          <w:sz w:val="22"/>
          <w:szCs w:val="22"/>
          <w:lang w:eastAsia="en-GB"/>
          <w14:ligatures w14:val="none"/>
        </w:rPr>
        <w:t>Type 2 diabetes in adults: management (NG28)</w:t>
      </w:r>
      <w:r w:rsidRPr="00153C8B">
        <w:rPr>
          <w:rFonts w:ascii="Arial" w:eastAsia="Times New Roman" w:hAnsi="Arial" w:cs="Arial"/>
          <w:kern w:val="0"/>
          <w:sz w:val="22"/>
          <w:szCs w:val="22"/>
          <w:lang w:eastAsia="en-GB"/>
          <w14:ligatures w14:val="none"/>
        </w:rPr>
        <w:t xml:space="preserve">. London: NICE. Available at: </w:t>
      </w:r>
      <w:hyperlink r:id="rId10" w:tgtFrame="_new" w:history="1">
        <w:r w:rsidRPr="00153C8B">
          <w:rPr>
            <w:rFonts w:ascii="Arial" w:eastAsia="Times New Roman" w:hAnsi="Arial" w:cs="Arial"/>
            <w:color w:val="0000FF"/>
            <w:kern w:val="0"/>
            <w:sz w:val="22"/>
            <w:szCs w:val="22"/>
            <w:u w:val="single"/>
            <w:lang w:eastAsia="en-GB"/>
            <w14:ligatures w14:val="none"/>
          </w:rPr>
          <w:t>https://www.nice.org.uk</w:t>
        </w:r>
      </w:hyperlink>
      <w:r w:rsidRPr="00153C8B">
        <w:rPr>
          <w:rFonts w:ascii="Arial" w:eastAsia="Times New Roman" w:hAnsi="Arial" w:cs="Arial"/>
          <w:kern w:val="0"/>
          <w:sz w:val="22"/>
          <w:szCs w:val="22"/>
          <w:lang w:eastAsia="en-GB"/>
          <w14:ligatures w14:val="none"/>
        </w:rPr>
        <w:t xml:space="preserve"> (Accessed: 10 December 2025).</w:t>
      </w:r>
    </w:p>
    <w:p w14:paraId="138AAE35"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NHS England (2023) </w:t>
      </w:r>
      <w:r w:rsidRPr="00153C8B">
        <w:rPr>
          <w:rFonts w:ascii="Arial" w:eastAsia="Times New Roman" w:hAnsi="Arial" w:cs="Arial"/>
          <w:i/>
          <w:iCs/>
          <w:kern w:val="0"/>
          <w:sz w:val="22"/>
          <w:szCs w:val="22"/>
          <w:lang w:eastAsia="en-GB"/>
          <w14:ligatures w14:val="none"/>
        </w:rPr>
        <w:t>NHS Diabetes Prevention Programme</w:t>
      </w:r>
      <w:r w:rsidRPr="00153C8B">
        <w:rPr>
          <w:rFonts w:ascii="Arial" w:eastAsia="Times New Roman" w:hAnsi="Arial" w:cs="Arial"/>
          <w:kern w:val="0"/>
          <w:sz w:val="22"/>
          <w:szCs w:val="22"/>
          <w:lang w:eastAsia="en-GB"/>
          <w14:ligatures w14:val="none"/>
        </w:rPr>
        <w:t xml:space="preserve">. London: NHS England. Available at: </w:t>
      </w:r>
      <w:hyperlink r:id="rId11" w:tgtFrame="_new" w:history="1">
        <w:r w:rsidRPr="00153C8B">
          <w:rPr>
            <w:rFonts w:ascii="Arial" w:eastAsia="Times New Roman" w:hAnsi="Arial" w:cs="Arial"/>
            <w:color w:val="0000FF"/>
            <w:kern w:val="0"/>
            <w:sz w:val="22"/>
            <w:szCs w:val="22"/>
            <w:u w:val="single"/>
            <w:lang w:eastAsia="en-GB"/>
            <w14:ligatures w14:val="none"/>
          </w:rPr>
          <w:t>https://www.england.nhs.uk</w:t>
        </w:r>
      </w:hyperlink>
      <w:r w:rsidRPr="00153C8B">
        <w:rPr>
          <w:rFonts w:ascii="Arial" w:eastAsia="Times New Roman" w:hAnsi="Arial" w:cs="Arial"/>
          <w:kern w:val="0"/>
          <w:sz w:val="22"/>
          <w:szCs w:val="22"/>
          <w:lang w:eastAsia="en-GB"/>
          <w14:ligatures w14:val="none"/>
        </w:rPr>
        <w:t xml:space="preserve"> (Accessed: 10 December 2025).</w:t>
      </w:r>
    </w:p>
    <w:p w14:paraId="4A49F089"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Office for National Statistics (ONS) (2024) </w:t>
      </w:r>
      <w:r w:rsidRPr="00153C8B">
        <w:rPr>
          <w:rFonts w:ascii="Arial" w:eastAsia="Times New Roman" w:hAnsi="Arial" w:cs="Arial"/>
          <w:i/>
          <w:iCs/>
          <w:kern w:val="0"/>
          <w:sz w:val="22"/>
          <w:szCs w:val="22"/>
          <w:lang w:eastAsia="en-GB"/>
          <w14:ligatures w14:val="none"/>
        </w:rPr>
        <w:t>Health inequalities and diabetes in England</w:t>
      </w:r>
      <w:r w:rsidRPr="00153C8B">
        <w:rPr>
          <w:rFonts w:ascii="Arial" w:eastAsia="Times New Roman" w:hAnsi="Arial" w:cs="Arial"/>
          <w:kern w:val="0"/>
          <w:sz w:val="22"/>
          <w:szCs w:val="22"/>
          <w:lang w:eastAsia="en-GB"/>
          <w14:ligatures w14:val="none"/>
        </w:rPr>
        <w:t xml:space="preserve">. Newport: ONS. Available at: </w:t>
      </w:r>
      <w:hyperlink r:id="rId12" w:tgtFrame="_new" w:history="1">
        <w:r w:rsidRPr="00153C8B">
          <w:rPr>
            <w:rFonts w:ascii="Arial" w:eastAsia="Times New Roman" w:hAnsi="Arial" w:cs="Arial"/>
            <w:color w:val="0000FF"/>
            <w:kern w:val="0"/>
            <w:sz w:val="22"/>
            <w:szCs w:val="22"/>
            <w:u w:val="single"/>
            <w:lang w:eastAsia="en-GB"/>
            <w14:ligatures w14:val="none"/>
          </w:rPr>
          <w:t>https://www.ons.gov.uk</w:t>
        </w:r>
      </w:hyperlink>
      <w:r w:rsidRPr="00153C8B">
        <w:rPr>
          <w:rFonts w:ascii="Arial" w:eastAsia="Times New Roman" w:hAnsi="Arial" w:cs="Arial"/>
          <w:kern w:val="0"/>
          <w:sz w:val="22"/>
          <w:szCs w:val="22"/>
          <w:lang w:eastAsia="en-GB"/>
          <w14:ligatures w14:val="none"/>
        </w:rPr>
        <w:t xml:space="preserve"> (Accessed: 10 December 2025).</w:t>
      </w:r>
    </w:p>
    <w:p w14:paraId="119D83FA"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UK Health Security Agency (UKHSA) (2023) </w:t>
      </w:r>
      <w:r w:rsidRPr="00153C8B">
        <w:rPr>
          <w:rFonts w:ascii="Arial" w:eastAsia="Times New Roman" w:hAnsi="Arial" w:cs="Arial"/>
          <w:i/>
          <w:iCs/>
          <w:kern w:val="0"/>
          <w:sz w:val="22"/>
          <w:szCs w:val="22"/>
          <w:lang w:eastAsia="en-GB"/>
          <w14:ligatures w14:val="none"/>
        </w:rPr>
        <w:t>Surveillance of non-communicable diseases</w:t>
      </w:r>
      <w:r w:rsidRPr="00153C8B">
        <w:rPr>
          <w:rFonts w:ascii="Arial" w:eastAsia="Times New Roman" w:hAnsi="Arial" w:cs="Arial"/>
          <w:kern w:val="0"/>
          <w:sz w:val="22"/>
          <w:szCs w:val="22"/>
          <w:lang w:eastAsia="en-GB"/>
          <w14:ligatures w14:val="none"/>
        </w:rPr>
        <w:t xml:space="preserve">. London: UKHSA. Available at: </w:t>
      </w:r>
      <w:hyperlink r:id="rId13" w:tgtFrame="_new" w:history="1">
        <w:r w:rsidRPr="00153C8B">
          <w:rPr>
            <w:rFonts w:ascii="Arial" w:eastAsia="Times New Roman" w:hAnsi="Arial" w:cs="Arial"/>
            <w:color w:val="0000FF"/>
            <w:kern w:val="0"/>
            <w:sz w:val="22"/>
            <w:szCs w:val="22"/>
            <w:u w:val="single"/>
            <w:lang w:eastAsia="en-GB"/>
            <w14:ligatures w14:val="none"/>
          </w:rPr>
          <w:t>https://www.gov.uk/government/organisations/uk-health-security-agency</w:t>
        </w:r>
      </w:hyperlink>
      <w:r w:rsidRPr="00153C8B">
        <w:rPr>
          <w:rFonts w:ascii="Arial" w:eastAsia="Times New Roman" w:hAnsi="Arial" w:cs="Arial"/>
          <w:kern w:val="0"/>
          <w:sz w:val="22"/>
          <w:szCs w:val="22"/>
          <w:lang w:eastAsia="en-GB"/>
          <w14:ligatures w14:val="none"/>
        </w:rPr>
        <w:t xml:space="preserve"> (Accessed: 10 December 2025).</w:t>
      </w:r>
    </w:p>
    <w:p w14:paraId="62DCB6E1"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World Health Organization (WHO) (2021) </w:t>
      </w:r>
      <w:r w:rsidRPr="00153C8B">
        <w:rPr>
          <w:rFonts w:ascii="Arial" w:eastAsia="Times New Roman" w:hAnsi="Arial" w:cs="Arial"/>
          <w:i/>
          <w:iCs/>
          <w:kern w:val="0"/>
          <w:sz w:val="22"/>
          <w:szCs w:val="22"/>
          <w:lang w:eastAsia="en-GB"/>
          <w14:ligatures w14:val="none"/>
        </w:rPr>
        <w:t>Global report on diabetes</w:t>
      </w:r>
      <w:r w:rsidRPr="00153C8B">
        <w:rPr>
          <w:rFonts w:ascii="Arial" w:eastAsia="Times New Roman" w:hAnsi="Arial" w:cs="Arial"/>
          <w:kern w:val="0"/>
          <w:sz w:val="22"/>
          <w:szCs w:val="22"/>
          <w:lang w:eastAsia="en-GB"/>
          <w14:ligatures w14:val="none"/>
        </w:rPr>
        <w:t xml:space="preserve">. Geneva: World Health Organization. Available at: </w:t>
      </w:r>
      <w:hyperlink r:id="rId14" w:tgtFrame="_new" w:history="1">
        <w:r w:rsidRPr="00153C8B">
          <w:rPr>
            <w:rFonts w:ascii="Arial" w:eastAsia="Times New Roman" w:hAnsi="Arial" w:cs="Arial"/>
            <w:color w:val="0000FF"/>
            <w:kern w:val="0"/>
            <w:sz w:val="22"/>
            <w:szCs w:val="22"/>
            <w:u w:val="single"/>
            <w:lang w:eastAsia="en-GB"/>
            <w14:ligatures w14:val="none"/>
          </w:rPr>
          <w:t>https://www.who.int</w:t>
        </w:r>
      </w:hyperlink>
      <w:r w:rsidRPr="00153C8B">
        <w:rPr>
          <w:rFonts w:ascii="Arial" w:eastAsia="Times New Roman" w:hAnsi="Arial" w:cs="Arial"/>
          <w:kern w:val="0"/>
          <w:sz w:val="22"/>
          <w:szCs w:val="22"/>
          <w:lang w:eastAsia="en-GB"/>
          <w14:ligatures w14:val="none"/>
        </w:rPr>
        <w:t xml:space="preserve"> (Accessed: 10 December 2025).</w:t>
      </w:r>
    </w:p>
    <w:p w14:paraId="4860C442" w14:textId="77777777" w:rsidR="00153C8B" w:rsidRPr="00153C8B" w:rsidRDefault="00153C8B" w:rsidP="00153C8B">
      <w:pPr>
        <w:spacing w:before="100" w:beforeAutospacing="1" w:after="100" w:afterAutospacing="1" w:line="240" w:lineRule="auto"/>
        <w:rPr>
          <w:rFonts w:ascii="Arial" w:eastAsia="Times New Roman" w:hAnsi="Arial" w:cs="Arial"/>
          <w:kern w:val="0"/>
          <w:sz w:val="22"/>
          <w:szCs w:val="22"/>
          <w:lang w:eastAsia="en-GB"/>
          <w14:ligatures w14:val="none"/>
        </w:rPr>
      </w:pPr>
      <w:r w:rsidRPr="00153C8B">
        <w:rPr>
          <w:rFonts w:ascii="Arial" w:eastAsia="Times New Roman" w:hAnsi="Arial" w:cs="Arial"/>
          <w:kern w:val="0"/>
          <w:sz w:val="22"/>
          <w:szCs w:val="22"/>
          <w:lang w:eastAsia="en-GB"/>
          <w14:ligatures w14:val="none"/>
        </w:rPr>
        <w:t xml:space="preserve">World Health Organization (WHO) (2022) </w:t>
      </w:r>
      <w:r w:rsidRPr="00153C8B">
        <w:rPr>
          <w:rFonts w:ascii="Arial" w:eastAsia="Times New Roman" w:hAnsi="Arial" w:cs="Arial"/>
          <w:i/>
          <w:iCs/>
          <w:kern w:val="0"/>
          <w:sz w:val="22"/>
          <w:szCs w:val="22"/>
          <w:lang w:eastAsia="en-GB"/>
          <w14:ligatures w14:val="none"/>
        </w:rPr>
        <w:t>Noncommunicable diseases</w:t>
      </w:r>
      <w:r w:rsidRPr="00153C8B">
        <w:rPr>
          <w:rFonts w:ascii="Arial" w:eastAsia="Times New Roman" w:hAnsi="Arial" w:cs="Arial"/>
          <w:kern w:val="0"/>
          <w:sz w:val="22"/>
          <w:szCs w:val="22"/>
          <w:lang w:eastAsia="en-GB"/>
          <w14:ligatures w14:val="none"/>
        </w:rPr>
        <w:t xml:space="preserve">. Geneva: World Health Organization. Available at: </w:t>
      </w:r>
      <w:hyperlink r:id="rId15" w:tgtFrame="_new" w:history="1">
        <w:r w:rsidRPr="00153C8B">
          <w:rPr>
            <w:rFonts w:ascii="Arial" w:eastAsia="Times New Roman" w:hAnsi="Arial" w:cs="Arial"/>
            <w:color w:val="0000FF"/>
            <w:kern w:val="0"/>
            <w:sz w:val="22"/>
            <w:szCs w:val="22"/>
            <w:u w:val="single"/>
            <w:lang w:eastAsia="en-GB"/>
            <w14:ligatures w14:val="none"/>
          </w:rPr>
          <w:t>https://www.who.int</w:t>
        </w:r>
      </w:hyperlink>
      <w:r w:rsidRPr="00153C8B">
        <w:rPr>
          <w:rFonts w:ascii="Arial" w:eastAsia="Times New Roman" w:hAnsi="Arial" w:cs="Arial"/>
          <w:kern w:val="0"/>
          <w:sz w:val="22"/>
          <w:szCs w:val="22"/>
          <w:lang w:eastAsia="en-GB"/>
          <w14:ligatures w14:val="none"/>
        </w:rPr>
        <w:t xml:space="preserve"> (Accessed: 10 December 2025).</w:t>
      </w:r>
    </w:p>
    <w:p w14:paraId="4355EEBE" w14:textId="77777777" w:rsidR="00153C8B" w:rsidRPr="00153C8B" w:rsidRDefault="00153C8B" w:rsidP="00153C8B">
      <w:pPr>
        <w:keepNext/>
        <w:keepLines/>
        <w:spacing w:before="40" w:after="0" w:line="259" w:lineRule="auto"/>
        <w:outlineLvl w:val="1"/>
        <w:rPr>
          <w:rFonts w:ascii="Arial" w:eastAsia="DengXian Light" w:hAnsi="Arial" w:cs="Arial"/>
          <w:color w:val="2F5496"/>
          <w:sz w:val="22"/>
          <w:szCs w:val="22"/>
          <w:lang w:eastAsia="zh-CN"/>
        </w:rPr>
      </w:pPr>
    </w:p>
    <w:p w14:paraId="38472001" w14:textId="77777777" w:rsidR="00BD5D8A" w:rsidRDefault="00BD5D8A"/>
    <w:sectPr w:rsidR="00BD5D8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B9D73" w14:textId="77777777" w:rsidR="00E1522E" w:rsidRDefault="00E1522E" w:rsidP="00E1522E">
      <w:pPr>
        <w:spacing w:after="0" w:line="240" w:lineRule="auto"/>
      </w:pPr>
      <w:r>
        <w:separator/>
      </w:r>
    </w:p>
  </w:endnote>
  <w:endnote w:type="continuationSeparator" w:id="0">
    <w:p w14:paraId="77BE309D" w14:textId="77777777" w:rsidR="00E1522E" w:rsidRDefault="00E1522E" w:rsidP="00E15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18"/>
        <w:szCs w:val="18"/>
      </w:rPr>
      <w:id w:val="-1571263739"/>
      <w:docPartObj>
        <w:docPartGallery w:val="Page Numbers (Bottom of Page)"/>
        <w:docPartUnique/>
      </w:docPartObj>
    </w:sdtPr>
    <w:sdtContent>
      <w:sdt>
        <w:sdtPr>
          <w:rPr>
            <w:rFonts w:ascii="Arial" w:hAnsi="Arial" w:cs="Arial"/>
            <w:sz w:val="18"/>
            <w:szCs w:val="18"/>
          </w:rPr>
          <w:id w:val="-1769616900"/>
          <w:docPartObj>
            <w:docPartGallery w:val="Page Numbers (Top of Page)"/>
            <w:docPartUnique/>
          </w:docPartObj>
        </w:sdtPr>
        <w:sdtContent>
          <w:p w14:paraId="597350C9" w14:textId="69DFFE52" w:rsidR="00E1522E" w:rsidRPr="00E1522E" w:rsidRDefault="00E1522E">
            <w:pPr>
              <w:pStyle w:val="Footer"/>
              <w:jc w:val="right"/>
              <w:rPr>
                <w:rFonts w:ascii="Arial" w:hAnsi="Arial" w:cs="Arial"/>
                <w:sz w:val="18"/>
                <w:szCs w:val="18"/>
              </w:rPr>
            </w:pPr>
            <w:r w:rsidRPr="00E1522E">
              <w:rPr>
                <w:rFonts w:ascii="Arial" w:hAnsi="Arial" w:cs="Arial"/>
                <w:sz w:val="18"/>
                <w:szCs w:val="18"/>
              </w:rPr>
              <w:t xml:space="preserve">Page </w:t>
            </w:r>
            <w:r w:rsidRPr="00E1522E">
              <w:rPr>
                <w:rFonts w:ascii="Arial" w:hAnsi="Arial" w:cs="Arial"/>
                <w:b/>
                <w:bCs/>
                <w:sz w:val="18"/>
                <w:szCs w:val="18"/>
              </w:rPr>
              <w:fldChar w:fldCharType="begin"/>
            </w:r>
            <w:r w:rsidRPr="00E1522E">
              <w:rPr>
                <w:rFonts w:ascii="Arial" w:hAnsi="Arial" w:cs="Arial"/>
                <w:b/>
                <w:bCs/>
                <w:sz w:val="18"/>
                <w:szCs w:val="18"/>
              </w:rPr>
              <w:instrText xml:space="preserve"> PAGE </w:instrText>
            </w:r>
            <w:r w:rsidRPr="00E1522E">
              <w:rPr>
                <w:rFonts w:ascii="Arial" w:hAnsi="Arial" w:cs="Arial"/>
                <w:b/>
                <w:bCs/>
                <w:sz w:val="18"/>
                <w:szCs w:val="18"/>
              </w:rPr>
              <w:fldChar w:fldCharType="separate"/>
            </w:r>
            <w:r w:rsidRPr="00E1522E">
              <w:rPr>
                <w:rFonts w:ascii="Arial" w:hAnsi="Arial" w:cs="Arial"/>
                <w:b/>
                <w:bCs/>
                <w:noProof/>
                <w:sz w:val="18"/>
                <w:szCs w:val="18"/>
              </w:rPr>
              <w:t>2</w:t>
            </w:r>
            <w:r w:rsidRPr="00E1522E">
              <w:rPr>
                <w:rFonts w:ascii="Arial" w:hAnsi="Arial" w:cs="Arial"/>
                <w:b/>
                <w:bCs/>
                <w:sz w:val="18"/>
                <w:szCs w:val="18"/>
              </w:rPr>
              <w:fldChar w:fldCharType="end"/>
            </w:r>
            <w:r w:rsidRPr="00E1522E">
              <w:rPr>
                <w:rFonts w:ascii="Arial" w:hAnsi="Arial" w:cs="Arial"/>
                <w:sz w:val="18"/>
                <w:szCs w:val="18"/>
              </w:rPr>
              <w:t xml:space="preserve"> of </w:t>
            </w:r>
            <w:r w:rsidRPr="00E1522E">
              <w:rPr>
                <w:rFonts w:ascii="Arial" w:hAnsi="Arial" w:cs="Arial"/>
                <w:b/>
                <w:bCs/>
                <w:sz w:val="18"/>
                <w:szCs w:val="18"/>
              </w:rPr>
              <w:fldChar w:fldCharType="begin"/>
            </w:r>
            <w:r w:rsidRPr="00E1522E">
              <w:rPr>
                <w:rFonts w:ascii="Arial" w:hAnsi="Arial" w:cs="Arial"/>
                <w:b/>
                <w:bCs/>
                <w:sz w:val="18"/>
                <w:szCs w:val="18"/>
              </w:rPr>
              <w:instrText xml:space="preserve"> NUMPAGES  </w:instrText>
            </w:r>
            <w:r w:rsidRPr="00E1522E">
              <w:rPr>
                <w:rFonts w:ascii="Arial" w:hAnsi="Arial" w:cs="Arial"/>
                <w:b/>
                <w:bCs/>
                <w:sz w:val="18"/>
                <w:szCs w:val="18"/>
              </w:rPr>
              <w:fldChar w:fldCharType="separate"/>
            </w:r>
            <w:r w:rsidRPr="00E1522E">
              <w:rPr>
                <w:rFonts w:ascii="Arial" w:hAnsi="Arial" w:cs="Arial"/>
                <w:b/>
                <w:bCs/>
                <w:noProof/>
                <w:sz w:val="18"/>
                <w:szCs w:val="18"/>
              </w:rPr>
              <w:t>2</w:t>
            </w:r>
            <w:r w:rsidRPr="00E1522E">
              <w:rPr>
                <w:rFonts w:ascii="Arial" w:hAnsi="Arial" w:cs="Arial"/>
                <w:b/>
                <w:bCs/>
                <w:sz w:val="18"/>
                <w:szCs w:val="18"/>
              </w:rPr>
              <w:fldChar w:fldCharType="end"/>
            </w:r>
          </w:p>
        </w:sdtContent>
      </w:sdt>
    </w:sdtContent>
  </w:sdt>
  <w:p w14:paraId="15412AB6" w14:textId="77777777" w:rsidR="00E1522E" w:rsidRDefault="00E15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09EDF" w14:textId="77777777" w:rsidR="00E1522E" w:rsidRDefault="00E1522E" w:rsidP="00E1522E">
      <w:pPr>
        <w:spacing w:after="0" w:line="240" w:lineRule="auto"/>
      </w:pPr>
      <w:r>
        <w:separator/>
      </w:r>
    </w:p>
  </w:footnote>
  <w:footnote w:type="continuationSeparator" w:id="0">
    <w:p w14:paraId="24286BA1" w14:textId="77777777" w:rsidR="00E1522E" w:rsidRDefault="00E1522E" w:rsidP="00E152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D8A"/>
    <w:rsid w:val="000018B6"/>
    <w:rsid w:val="00047463"/>
    <w:rsid w:val="0004791F"/>
    <w:rsid w:val="00063028"/>
    <w:rsid w:val="000A72B8"/>
    <w:rsid w:val="000C7DE3"/>
    <w:rsid w:val="00125A1E"/>
    <w:rsid w:val="00153C8B"/>
    <w:rsid w:val="001557E8"/>
    <w:rsid w:val="001E24C6"/>
    <w:rsid w:val="001E5BC7"/>
    <w:rsid w:val="002119C2"/>
    <w:rsid w:val="00255C2C"/>
    <w:rsid w:val="002979B5"/>
    <w:rsid w:val="003155EF"/>
    <w:rsid w:val="003310E3"/>
    <w:rsid w:val="003923CB"/>
    <w:rsid w:val="003B114A"/>
    <w:rsid w:val="00424FF2"/>
    <w:rsid w:val="00430D39"/>
    <w:rsid w:val="00466712"/>
    <w:rsid w:val="004B5CFF"/>
    <w:rsid w:val="004E6768"/>
    <w:rsid w:val="00564D7D"/>
    <w:rsid w:val="0066034A"/>
    <w:rsid w:val="007341F8"/>
    <w:rsid w:val="007B68E0"/>
    <w:rsid w:val="007C4D19"/>
    <w:rsid w:val="008621DC"/>
    <w:rsid w:val="00964F38"/>
    <w:rsid w:val="0097275D"/>
    <w:rsid w:val="009B0510"/>
    <w:rsid w:val="009D1FC5"/>
    <w:rsid w:val="00A31C0C"/>
    <w:rsid w:val="00A411AF"/>
    <w:rsid w:val="00A6207A"/>
    <w:rsid w:val="00A86571"/>
    <w:rsid w:val="00BC1B23"/>
    <w:rsid w:val="00BD5D8A"/>
    <w:rsid w:val="00BF69EF"/>
    <w:rsid w:val="00C11533"/>
    <w:rsid w:val="00C82A5E"/>
    <w:rsid w:val="00C909D9"/>
    <w:rsid w:val="00CB0662"/>
    <w:rsid w:val="00CB6336"/>
    <w:rsid w:val="00D32B25"/>
    <w:rsid w:val="00D544F8"/>
    <w:rsid w:val="00D758C7"/>
    <w:rsid w:val="00DD2F1C"/>
    <w:rsid w:val="00E1522E"/>
    <w:rsid w:val="00E91AE8"/>
    <w:rsid w:val="00EF5D71"/>
    <w:rsid w:val="00F25D94"/>
    <w:rsid w:val="00F82BA0"/>
    <w:rsid w:val="00FA0AF6"/>
    <w:rsid w:val="00FB0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43486"/>
  <w15:chartTrackingRefBased/>
  <w15:docId w15:val="{4C9FB3EA-5C6B-4609-8D0D-89678483D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D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5D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5D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5D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5D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5D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5D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5D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5D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D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5D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5D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5D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5D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5D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5D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5D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5D8A"/>
    <w:rPr>
      <w:rFonts w:eastAsiaTheme="majorEastAsia" w:cstheme="majorBidi"/>
      <w:color w:val="272727" w:themeColor="text1" w:themeTint="D8"/>
    </w:rPr>
  </w:style>
  <w:style w:type="paragraph" w:styleId="Title">
    <w:name w:val="Title"/>
    <w:basedOn w:val="Normal"/>
    <w:next w:val="Normal"/>
    <w:link w:val="TitleChar"/>
    <w:uiPriority w:val="10"/>
    <w:qFormat/>
    <w:rsid w:val="00BD5D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5D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5D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5D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5D8A"/>
    <w:pPr>
      <w:spacing w:before="160"/>
      <w:jc w:val="center"/>
    </w:pPr>
    <w:rPr>
      <w:i/>
      <w:iCs/>
      <w:color w:val="404040" w:themeColor="text1" w:themeTint="BF"/>
    </w:rPr>
  </w:style>
  <w:style w:type="character" w:customStyle="1" w:styleId="QuoteChar">
    <w:name w:val="Quote Char"/>
    <w:basedOn w:val="DefaultParagraphFont"/>
    <w:link w:val="Quote"/>
    <w:uiPriority w:val="29"/>
    <w:rsid w:val="00BD5D8A"/>
    <w:rPr>
      <w:i/>
      <w:iCs/>
      <w:color w:val="404040" w:themeColor="text1" w:themeTint="BF"/>
    </w:rPr>
  </w:style>
  <w:style w:type="paragraph" w:styleId="ListParagraph">
    <w:name w:val="List Paragraph"/>
    <w:basedOn w:val="Normal"/>
    <w:uiPriority w:val="34"/>
    <w:qFormat/>
    <w:rsid w:val="00BD5D8A"/>
    <w:pPr>
      <w:ind w:left="720"/>
      <w:contextualSpacing/>
    </w:pPr>
  </w:style>
  <w:style w:type="character" w:styleId="IntenseEmphasis">
    <w:name w:val="Intense Emphasis"/>
    <w:basedOn w:val="DefaultParagraphFont"/>
    <w:uiPriority w:val="21"/>
    <w:qFormat/>
    <w:rsid w:val="00BD5D8A"/>
    <w:rPr>
      <w:i/>
      <w:iCs/>
      <w:color w:val="0F4761" w:themeColor="accent1" w:themeShade="BF"/>
    </w:rPr>
  </w:style>
  <w:style w:type="paragraph" w:styleId="IntenseQuote">
    <w:name w:val="Intense Quote"/>
    <w:basedOn w:val="Normal"/>
    <w:next w:val="Normal"/>
    <w:link w:val="IntenseQuoteChar"/>
    <w:uiPriority w:val="30"/>
    <w:qFormat/>
    <w:rsid w:val="00BD5D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5D8A"/>
    <w:rPr>
      <w:i/>
      <w:iCs/>
      <w:color w:val="0F4761" w:themeColor="accent1" w:themeShade="BF"/>
    </w:rPr>
  </w:style>
  <w:style w:type="character" w:styleId="IntenseReference">
    <w:name w:val="Intense Reference"/>
    <w:basedOn w:val="DefaultParagraphFont"/>
    <w:uiPriority w:val="32"/>
    <w:qFormat/>
    <w:rsid w:val="00BD5D8A"/>
    <w:rPr>
      <w:b/>
      <w:bCs/>
      <w:smallCaps/>
      <w:color w:val="0F4761" w:themeColor="accent1" w:themeShade="BF"/>
      <w:spacing w:val="5"/>
    </w:rPr>
  </w:style>
  <w:style w:type="paragraph" w:styleId="NormalWeb">
    <w:name w:val="Normal (Web)"/>
    <w:basedOn w:val="Normal"/>
    <w:uiPriority w:val="99"/>
    <w:semiHidden/>
    <w:unhideWhenUsed/>
    <w:rsid w:val="00BD5D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C909D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63028"/>
    <w:pPr>
      <w:tabs>
        <w:tab w:val="right" w:leader="dot" w:pos="9016"/>
      </w:tabs>
      <w:spacing w:after="100"/>
      <w:ind w:left="240"/>
    </w:pPr>
    <w:rPr>
      <w:rFonts w:ascii="Arial" w:eastAsia="DengXian Light" w:hAnsi="Arial" w:cs="Arial"/>
      <w:b/>
      <w:bCs/>
      <w:noProof/>
      <w:lang w:eastAsia="zh-CN"/>
    </w:rPr>
  </w:style>
  <w:style w:type="character" w:styleId="Hyperlink">
    <w:name w:val="Hyperlink"/>
    <w:basedOn w:val="DefaultParagraphFont"/>
    <w:uiPriority w:val="99"/>
    <w:unhideWhenUsed/>
    <w:rsid w:val="00C909D9"/>
    <w:rPr>
      <w:color w:val="467886" w:themeColor="hyperlink"/>
      <w:u w:val="single"/>
    </w:rPr>
  </w:style>
  <w:style w:type="paragraph" w:styleId="Header">
    <w:name w:val="header"/>
    <w:basedOn w:val="Normal"/>
    <w:link w:val="HeaderChar"/>
    <w:uiPriority w:val="99"/>
    <w:unhideWhenUsed/>
    <w:rsid w:val="00E15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22E"/>
  </w:style>
  <w:style w:type="paragraph" w:styleId="Footer">
    <w:name w:val="footer"/>
    <w:basedOn w:val="Normal"/>
    <w:link w:val="FooterChar"/>
    <w:uiPriority w:val="99"/>
    <w:unhideWhenUsed/>
    <w:rsid w:val="00E15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22E"/>
  </w:style>
  <w:style w:type="paragraph" w:styleId="TOC1">
    <w:name w:val="toc 1"/>
    <w:basedOn w:val="Normal"/>
    <w:next w:val="Normal"/>
    <w:autoRedefine/>
    <w:uiPriority w:val="39"/>
    <w:unhideWhenUsed/>
    <w:rsid w:val="0006302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063028"/>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Relationship Id="rId13" Type="http://schemas.openxmlformats.org/officeDocument/2006/relationships/hyperlink" Target="https://www.gov.uk/government/organisations/uk-health-security-agenc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hyperlink" Target="https://www.who.int" TargetMode="External"/><Relationship Id="rId10"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www.kingsfund.org.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F1121-78F2-4C3B-B2FC-359200B74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2252</Words>
  <Characters>12840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Poznanska</dc:creator>
  <cp:keywords/>
  <dc:description/>
  <cp:lastModifiedBy>Anna Poznanska</cp:lastModifiedBy>
  <cp:revision>51</cp:revision>
  <dcterms:created xsi:type="dcterms:W3CDTF">2025-12-12T12:50:00Z</dcterms:created>
  <dcterms:modified xsi:type="dcterms:W3CDTF">2025-12-13T11:41:00Z</dcterms:modified>
</cp:coreProperties>
</file>