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t>BIBLIOGRAPHY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t>Essential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Bosanquet</w:t>
      </w:r>
      <w:proofErr w:type="spellEnd"/>
      <w:r>
        <w:rPr>
          <w:rFonts w:ascii="Bookman Old Style" w:hAnsi="Bookman Old Style"/>
          <w:sz w:val="24"/>
          <w:szCs w:val="24"/>
        </w:rPr>
        <w:t>, P.,</w:t>
      </w:r>
      <w:r w:rsidRPr="00E55884">
        <w:rPr>
          <w:rFonts w:ascii="Bookman Old Style" w:hAnsi="Bookman Old Style"/>
          <w:sz w:val="24"/>
          <w:szCs w:val="24"/>
        </w:rPr>
        <w:t xml:space="preserve"> Radford, J. and Webster, R. (2015) </w:t>
      </w:r>
      <w:r w:rsidRPr="00E55884">
        <w:rPr>
          <w:rFonts w:ascii="Bookman Old Style" w:hAnsi="Bookman Old Style"/>
          <w:i/>
          <w:sz w:val="24"/>
          <w:szCs w:val="24"/>
        </w:rPr>
        <w:t>The Teaching Assistant's Guide to Effective Interaction: How to maximise your practice</w:t>
      </w:r>
      <w:r>
        <w:rPr>
          <w:rFonts w:ascii="Bookman Old Style" w:hAnsi="Bookman Old Style"/>
          <w:i/>
          <w:sz w:val="24"/>
          <w:szCs w:val="24"/>
        </w:rPr>
        <w:t>.</w:t>
      </w:r>
      <w:r w:rsidRPr="00E55884">
        <w:rPr>
          <w:rFonts w:ascii="Bookman Old Style" w:hAnsi="Bookman Old Style"/>
          <w:sz w:val="24"/>
          <w:szCs w:val="24"/>
        </w:rPr>
        <w:t xml:space="preserve"> Ox</w:t>
      </w:r>
      <w:r>
        <w:rPr>
          <w:rFonts w:ascii="Bookman Old Style" w:hAnsi="Bookman Old Style"/>
          <w:sz w:val="24"/>
          <w:szCs w:val="24"/>
        </w:rPr>
        <w:t>ford</w:t>
      </w:r>
      <w:r w:rsidRPr="00E55884">
        <w:rPr>
          <w:rFonts w:ascii="Bookman Old Style" w:hAnsi="Bookman Old Style"/>
          <w:sz w:val="24"/>
          <w:szCs w:val="24"/>
        </w:rPr>
        <w:t xml:space="preserve">: Routledge 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Graf, M</w:t>
      </w:r>
      <w:r>
        <w:rPr>
          <w:rFonts w:ascii="Bookman Old Style" w:hAnsi="Bookman Old Style"/>
          <w:sz w:val="24"/>
          <w:szCs w:val="24"/>
        </w:rPr>
        <w:t>.</w:t>
      </w:r>
      <w:r w:rsidRPr="00E55884">
        <w:rPr>
          <w:rFonts w:ascii="Bookman Old Style" w:hAnsi="Bookman Old Style"/>
          <w:sz w:val="24"/>
          <w:szCs w:val="24"/>
        </w:rPr>
        <w:t xml:space="preserve"> (2009) </w:t>
      </w:r>
      <w:r w:rsidRPr="00E55884">
        <w:rPr>
          <w:rFonts w:ascii="Bookman Old Style" w:hAnsi="Bookman Old Style"/>
          <w:i/>
          <w:sz w:val="24"/>
          <w:szCs w:val="24"/>
        </w:rPr>
        <w:t>The Teaching Assistants’ Guide to Understanding and Supporting Learning</w:t>
      </w:r>
      <w:r w:rsidRPr="00E55884">
        <w:rPr>
          <w:rFonts w:ascii="Bookman Old Style" w:hAnsi="Bookman Old Style"/>
          <w:sz w:val="24"/>
          <w:szCs w:val="24"/>
        </w:rPr>
        <w:t xml:space="preserve">. London: Continuum 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proofErr w:type="spellStart"/>
      <w:r w:rsidRPr="00E55884">
        <w:rPr>
          <w:rFonts w:ascii="Bookman Old Style" w:hAnsi="Bookman Old Style"/>
          <w:sz w:val="24"/>
          <w:szCs w:val="24"/>
        </w:rPr>
        <w:t>Gray</w:t>
      </w:r>
      <w:proofErr w:type="spellEnd"/>
      <w:r w:rsidRPr="00E55884">
        <w:rPr>
          <w:rFonts w:ascii="Bookman Old Style" w:hAnsi="Bookman Old Style"/>
          <w:sz w:val="24"/>
          <w:szCs w:val="24"/>
        </w:rPr>
        <w:t xml:space="preserve">, C. and </w:t>
      </w:r>
      <w:proofErr w:type="spellStart"/>
      <w:r w:rsidRPr="00E55884">
        <w:rPr>
          <w:rFonts w:ascii="Bookman Old Style" w:hAnsi="Bookman Old Style"/>
          <w:sz w:val="24"/>
          <w:szCs w:val="24"/>
        </w:rPr>
        <w:t>Macblain</w:t>
      </w:r>
      <w:proofErr w:type="spellEnd"/>
      <w:r w:rsidRPr="00E55884">
        <w:rPr>
          <w:rFonts w:ascii="Bookman Old Style" w:hAnsi="Bookman Old Style"/>
          <w:sz w:val="24"/>
          <w:szCs w:val="24"/>
        </w:rPr>
        <w:t xml:space="preserve">, S. (2015) </w:t>
      </w:r>
      <w:r w:rsidRPr="00E55884">
        <w:rPr>
          <w:rFonts w:ascii="Bookman Old Style" w:hAnsi="Bookman Old Style"/>
          <w:i/>
          <w:sz w:val="24"/>
          <w:szCs w:val="24"/>
        </w:rPr>
        <w:t>Learning Theories in Childhood</w:t>
      </w:r>
      <w:r w:rsidRPr="00E55884">
        <w:rPr>
          <w:rFonts w:ascii="Bookman Old Style" w:hAnsi="Bookman Old Style"/>
          <w:sz w:val="24"/>
          <w:szCs w:val="24"/>
        </w:rPr>
        <w:t>. London: Sage.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proofErr w:type="spellStart"/>
      <w:r w:rsidRPr="00E55884">
        <w:rPr>
          <w:rFonts w:ascii="Bookman Old Style" w:hAnsi="Bookman Old Style"/>
          <w:sz w:val="24"/>
          <w:szCs w:val="24"/>
        </w:rPr>
        <w:t>Moyles</w:t>
      </w:r>
      <w:proofErr w:type="spellEnd"/>
      <w:r w:rsidRPr="00E55884">
        <w:rPr>
          <w:rFonts w:ascii="Bookman Old Style" w:hAnsi="Bookman Old Style"/>
          <w:sz w:val="24"/>
          <w:szCs w:val="24"/>
        </w:rPr>
        <w:t>, J</w:t>
      </w:r>
      <w:r>
        <w:rPr>
          <w:rFonts w:ascii="Bookman Old Style" w:hAnsi="Bookman Old Style"/>
          <w:sz w:val="24"/>
          <w:szCs w:val="24"/>
        </w:rPr>
        <w:t>.</w:t>
      </w:r>
      <w:r w:rsidRPr="00E55884">
        <w:rPr>
          <w:rFonts w:ascii="Bookman Old Style" w:hAnsi="Bookman Old Style"/>
          <w:sz w:val="24"/>
          <w:szCs w:val="24"/>
        </w:rPr>
        <w:t xml:space="preserve"> (2007) </w:t>
      </w:r>
      <w:r w:rsidRPr="00E55884">
        <w:rPr>
          <w:rFonts w:ascii="Bookman Old Style" w:hAnsi="Bookman Old Style"/>
          <w:i/>
          <w:sz w:val="24"/>
          <w:szCs w:val="24"/>
        </w:rPr>
        <w:t>Beginning Teaching: Beginning Learning</w:t>
      </w:r>
      <w:r w:rsidRPr="00E55884">
        <w:rPr>
          <w:rFonts w:ascii="Bookman Old Style" w:hAnsi="Bookman Old Style"/>
          <w:sz w:val="24"/>
          <w:szCs w:val="24"/>
        </w:rPr>
        <w:t xml:space="preserve">. Buckingham: Open University Press 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 xml:space="preserve">Palmer, J. &amp; Cooper, </w:t>
      </w:r>
      <w:proofErr w:type="gramStart"/>
      <w:r w:rsidRPr="00E55884">
        <w:rPr>
          <w:rFonts w:ascii="Bookman Old Style" w:hAnsi="Bookman Old Style"/>
          <w:sz w:val="24"/>
          <w:szCs w:val="24"/>
        </w:rPr>
        <w:t>D.E</w:t>
      </w:r>
      <w:proofErr w:type="gramEnd"/>
      <w:r w:rsidRPr="00E55884">
        <w:rPr>
          <w:rFonts w:ascii="Bookman Old Style" w:hAnsi="Bookman Old Style"/>
          <w:sz w:val="24"/>
          <w:szCs w:val="24"/>
        </w:rPr>
        <w:t xml:space="preserve">. (2001) </w:t>
      </w:r>
      <w:r w:rsidRPr="00E55884">
        <w:rPr>
          <w:rFonts w:ascii="Bookman Old Style" w:hAnsi="Bookman Old Style"/>
          <w:i/>
          <w:sz w:val="24"/>
          <w:szCs w:val="24"/>
        </w:rPr>
        <w:t xml:space="preserve">Fifty Modern Thinkers on Education: From Piaget </w:t>
      </w:r>
      <w:r>
        <w:rPr>
          <w:rFonts w:ascii="Bookman Old Style" w:hAnsi="Bookman Old Style"/>
          <w:i/>
          <w:sz w:val="24"/>
          <w:szCs w:val="24"/>
        </w:rPr>
        <w:t>to the Present Day.</w:t>
      </w:r>
      <w:r w:rsidRPr="00E55884">
        <w:rPr>
          <w:rFonts w:ascii="Bookman Old Style" w:hAnsi="Bookman Old Style"/>
          <w:sz w:val="24"/>
          <w:szCs w:val="24"/>
        </w:rPr>
        <w:t xml:space="preserve"> London: Routledge Key Guides.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t>Recommended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proofErr w:type="spellStart"/>
      <w:r w:rsidRPr="00E55884">
        <w:rPr>
          <w:rFonts w:ascii="Bookman Old Style" w:hAnsi="Bookman Old Style"/>
          <w:sz w:val="24"/>
          <w:szCs w:val="24"/>
        </w:rPr>
        <w:t>Curren</w:t>
      </w:r>
      <w:proofErr w:type="spellEnd"/>
      <w:r w:rsidRPr="00E55884">
        <w:rPr>
          <w:rFonts w:ascii="Bookman Old Style" w:hAnsi="Bookman Old Style"/>
          <w:sz w:val="24"/>
          <w:szCs w:val="24"/>
        </w:rPr>
        <w:t xml:space="preserve">, R. (2006) </w:t>
      </w:r>
      <w:r w:rsidRPr="00E55884">
        <w:rPr>
          <w:rFonts w:ascii="Bookman Old Style" w:hAnsi="Bookman Old Style"/>
          <w:i/>
          <w:sz w:val="24"/>
          <w:szCs w:val="24"/>
        </w:rPr>
        <w:t>Philosophy of Education: An anthology</w:t>
      </w:r>
      <w:r>
        <w:rPr>
          <w:rFonts w:ascii="Bookman Old Style" w:hAnsi="Bookman Old Style"/>
          <w:i/>
          <w:sz w:val="24"/>
          <w:szCs w:val="24"/>
        </w:rPr>
        <w:t>.</w:t>
      </w:r>
      <w:r>
        <w:rPr>
          <w:rFonts w:ascii="Bookman Old Style" w:hAnsi="Bookman Old Style"/>
          <w:sz w:val="24"/>
          <w:szCs w:val="24"/>
        </w:rPr>
        <w:t xml:space="preserve"> London: Routledge </w:t>
      </w:r>
    </w:p>
    <w:p w:rsid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 xml:space="preserve">Hargreaves, A. (2003) </w:t>
      </w:r>
      <w:r w:rsidRPr="00E55884">
        <w:rPr>
          <w:rFonts w:ascii="Bookman Old Style" w:hAnsi="Bookman Old Style"/>
          <w:i/>
          <w:sz w:val="24"/>
          <w:szCs w:val="24"/>
        </w:rPr>
        <w:t xml:space="preserve">Teaching in the Knowledge Society: </w:t>
      </w:r>
      <w:r>
        <w:rPr>
          <w:rFonts w:ascii="Bookman Old Style" w:hAnsi="Bookman Old Style"/>
          <w:i/>
          <w:sz w:val="24"/>
          <w:szCs w:val="24"/>
        </w:rPr>
        <w:t>E</w:t>
      </w:r>
      <w:r w:rsidRPr="00E55884">
        <w:rPr>
          <w:rFonts w:ascii="Bookman Old Style" w:hAnsi="Bookman Old Style"/>
          <w:i/>
          <w:sz w:val="24"/>
          <w:szCs w:val="24"/>
        </w:rPr>
        <w:t>duc</w:t>
      </w:r>
      <w:r>
        <w:rPr>
          <w:rFonts w:ascii="Bookman Old Style" w:hAnsi="Bookman Old Style"/>
          <w:i/>
          <w:sz w:val="24"/>
          <w:szCs w:val="24"/>
        </w:rPr>
        <w:t xml:space="preserve">ation in the age of insecurity. </w:t>
      </w:r>
      <w:r w:rsidRPr="00E55884">
        <w:rPr>
          <w:rFonts w:ascii="Bookman Old Style" w:hAnsi="Bookman Old Style"/>
          <w:sz w:val="24"/>
          <w:szCs w:val="24"/>
        </w:rPr>
        <w:t>Maidenhead: Open University Press.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 xml:space="preserve">Wilmot, E. (2006) </w:t>
      </w:r>
      <w:r w:rsidRPr="00E55884">
        <w:rPr>
          <w:rFonts w:ascii="Bookman Old Style" w:hAnsi="Bookman Old Style"/>
          <w:i/>
          <w:sz w:val="24"/>
          <w:szCs w:val="24"/>
        </w:rPr>
        <w:t>Personalising Learning in the Primary Classroom.</w:t>
      </w:r>
      <w:r w:rsidRPr="00E55884">
        <w:rPr>
          <w:rFonts w:ascii="Bookman Old Style" w:hAnsi="Bookman Old Style"/>
          <w:sz w:val="24"/>
          <w:szCs w:val="24"/>
        </w:rPr>
        <w:t xml:space="preserve"> Carmarthen: Crown House Publishing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t>Background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Lafollette, H.</w:t>
      </w:r>
      <w:r>
        <w:rPr>
          <w:rFonts w:ascii="Bookman Old Style" w:hAnsi="Bookman Old Style"/>
          <w:sz w:val="24"/>
          <w:szCs w:val="24"/>
        </w:rPr>
        <w:t xml:space="preserve"> </w:t>
      </w:r>
      <w:r w:rsidRPr="00E55884">
        <w:rPr>
          <w:rFonts w:ascii="Bookman Old Style" w:hAnsi="Bookman Old Style"/>
          <w:sz w:val="24"/>
          <w:szCs w:val="24"/>
        </w:rPr>
        <w:t xml:space="preserve">(2014) </w:t>
      </w:r>
      <w:r w:rsidRPr="00E55884">
        <w:rPr>
          <w:rFonts w:ascii="Bookman Old Style" w:hAnsi="Bookman Old Style"/>
          <w:i/>
          <w:sz w:val="24"/>
          <w:szCs w:val="24"/>
        </w:rPr>
        <w:t>Ethics in Practice: An Anthology</w:t>
      </w:r>
      <w:r>
        <w:rPr>
          <w:rFonts w:ascii="Bookman Old Style" w:hAnsi="Bookman Old Style"/>
          <w:sz w:val="24"/>
          <w:szCs w:val="24"/>
        </w:rPr>
        <w:t>.</w:t>
      </w:r>
      <w:r w:rsidRPr="00E55884">
        <w:rPr>
          <w:rFonts w:ascii="Bookman Old Style" w:hAnsi="Bookman Old Style"/>
          <w:sz w:val="24"/>
          <w:szCs w:val="24"/>
        </w:rPr>
        <w:t xml:space="preserve"> (4th </w:t>
      </w:r>
      <w:proofErr w:type="spellStart"/>
      <w:r w:rsidRPr="00E55884">
        <w:rPr>
          <w:rFonts w:ascii="Bookman Old Style" w:hAnsi="Bookman Old Style"/>
          <w:sz w:val="24"/>
          <w:szCs w:val="24"/>
        </w:rPr>
        <w:t>edn</w:t>
      </w:r>
      <w:proofErr w:type="spellEnd"/>
      <w:r w:rsidRPr="00E55884">
        <w:rPr>
          <w:rFonts w:ascii="Bookman Old Style" w:hAnsi="Bookman Old Style"/>
          <w:sz w:val="24"/>
          <w:szCs w:val="24"/>
        </w:rPr>
        <w:t>) London: Wiley-Black.</w:t>
      </w:r>
    </w:p>
    <w:p w:rsidR="00E55884" w:rsidRPr="00E55884" w:rsidRDefault="00E55884" w:rsidP="00E55884">
      <w:pPr>
        <w:spacing w:line="240" w:lineRule="auto"/>
        <w:ind w:left="720" w:hanging="720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Moon, B., Brown, S. &amp; Ben-</w:t>
      </w:r>
      <w:proofErr w:type="spellStart"/>
      <w:r w:rsidRPr="00E55884">
        <w:rPr>
          <w:rFonts w:ascii="Bookman Old Style" w:hAnsi="Bookman Old Style"/>
          <w:sz w:val="24"/>
          <w:szCs w:val="24"/>
        </w:rPr>
        <w:t>Peretz</w:t>
      </w:r>
      <w:proofErr w:type="spellEnd"/>
      <w:r w:rsidRPr="00E55884">
        <w:rPr>
          <w:rFonts w:ascii="Bookman Old Style" w:hAnsi="Bookman Old Style"/>
          <w:sz w:val="24"/>
          <w:szCs w:val="24"/>
        </w:rPr>
        <w:t>, M. (</w:t>
      </w:r>
      <w:proofErr w:type="spellStart"/>
      <w:proofErr w:type="gramStart"/>
      <w:r w:rsidRPr="00E55884">
        <w:rPr>
          <w:rFonts w:ascii="Bookman Old Style" w:hAnsi="Bookman Old Style"/>
          <w:sz w:val="24"/>
          <w:szCs w:val="24"/>
        </w:rPr>
        <w:t>eds</w:t>
      </w:r>
      <w:proofErr w:type="spellEnd"/>
      <w:proofErr w:type="gramEnd"/>
      <w:r w:rsidRPr="00E55884">
        <w:rPr>
          <w:rFonts w:ascii="Bookman Old Style" w:hAnsi="Bookman Old Style"/>
          <w:sz w:val="24"/>
          <w:szCs w:val="24"/>
        </w:rPr>
        <w:t xml:space="preserve">). (2000) </w:t>
      </w:r>
      <w:r w:rsidRPr="00E55884">
        <w:rPr>
          <w:rFonts w:ascii="Bookman Old Style" w:hAnsi="Bookman Old Style"/>
          <w:i/>
          <w:sz w:val="24"/>
          <w:szCs w:val="24"/>
        </w:rPr>
        <w:t>Routledge Inter</w:t>
      </w:r>
      <w:r>
        <w:rPr>
          <w:rFonts w:ascii="Bookman Old Style" w:hAnsi="Bookman Old Style"/>
          <w:i/>
          <w:sz w:val="24"/>
          <w:szCs w:val="24"/>
        </w:rPr>
        <w:t>national Companion to Education.</w:t>
      </w:r>
      <w:bookmarkStart w:id="0" w:name="_GoBack"/>
      <w:bookmarkEnd w:id="0"/>
      <w:r w:rsidRPr="00E55884">
        <w:rPr>
          <w:rFonts w:ascii="Bookman Old Style" w:hAnsi="Bookman Old Style"/>
          <w:sz w:val="24"/>
          <w:szCs w:val="24"/>
        </w:rPr>
        <w:t xml:space="preserve"> London: Routledge.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t xml:space="preserve">Journals </w:t>
      </w:r>
    </w:p>
    <w:p w:rsid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NFER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i/>
          <w:sz w:val="24"/>
          <w:szCs w:val="24"/>
        </w:rPr>
      </w:pPr>
      <w:proofErr w:type="spellStart"/>
      <w:r>
        <w:rPr>
          <w:rFonts w:ascii="Bookman Old Style" w:hAnsi="Bookman Old Style"/>
          <w:sz w:val="24"/>
          <w:szCs w:val="24"/>
        </w:rPr>
        <w:t>Nasen</w:t>
      </w:r>
      <w:proofErr w:type="spellEnd"/>
      <w:r>
        <w:rPr>
          <w:rFonts w:ascii="Bookman Old Style" w:hAnsi="Bookman Old Style"/>
          <w:sz w:val="24"/>
          <w:szCs w:val="24"/>
        </w:rPr>
        <w:t xml:space="preserve"> – </w:t>
      </w:r>
      <w:r>
        <w:rPr>
          <w:rFonts w:ascii="Bookman Old Style" w:hAnsi="Bookman Old Style"/>
          <w:i/>
          <w:sz w:val="24"/>
          <w:szCs w:val="24"/>
        </w:rPr>
        <w:t xml:space="preserve">Support for Learning </w:t>
      </w:r>
      <w:r>
        <w:rPr>
          <w:rFonts w:ascii="Bookman Old Style" w:hAnsi="Bookman Old Style"/>
          <w:sz w:val="24"/>
          <w:szCs w:val="24"/>
        </w:rPr>
        <w:t xml:space="preserve">and </w:t>
      </w:r>
      <w:r>
        <w:rPr>
          <w:rFonts w:ascii="Bookman Old Style" w:hAnsi="Bookman Old Style"/>
          <w:i/>
          <w:sz w:val="24"/>
          <w:szCs w:val="24"/>
        </w:rPr>
        <w:t>British Journal of Special Education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Research articles will be introduced as appropriate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b/>
          <w:sz w:val="24"/>
          <w:szCs w:val="24"/>
        </w:rPr>
      </w:pPr>
      <w:r w:rsidRPr="00E55884">
        <w:rPr>
          <w:rFonts w:ascii="Bookman Old Style" w:hAnsi="Bookman Old Style"/>
          <w:b/>
          <w:sz w:val="24"/>
          <w:szCs w:val="24"/>
        </w:rPr>
        <w:lastRenderedPageBreak/>
        <w:t>Websites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4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https://hwb.wales.gov.uk/Home/Pages/Home.aspx?lang=cy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5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https://hwb.wales.gov.uk/Home/Pages/Home.aspx?lang=en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6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https://estyn.gov.wales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  <w:r w:rsidRPr="00E55884">
        <w:rPr>
          <w:rFonts w:ascii="Bookman Old Style" w:hAnsi="Bookman Old Style"/>
          <w:sz w:val="24"/>
          <w:szCs w:val="24"/>
        </w:rPr>
        <w:t xml:space="preserve"> </w:t>
      </w:r>
      <w:r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7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http://www.estyn.llyw.cymru/language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  <w:r w:rsidRPr="00E55884"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8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http://wales.gov.uk/topics/educationandskills/earlyyearshome/foundation_phase/foundationphasepractitioners/frameworkchildlearning/?lang=en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9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http://wales.gov.uk/topics/educationandskills/schoolshome/curriculuminwales/arevisedcurriculumforwales/nationalcurriculum/?lang=en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hyperlink r:id="rId10" w:history="1">
        <w:r w:rsidRPr="0051032E">
          <w:rPr>
            <w:rStyle w:val="Hyperlink"/>
            <w:rFonts w:ascii="Bookman Old Style" w:hAnsi="Bookman Old Style"/>
            <w:sz w:val="24"/>
            <w:szCs w:val="24"/>
          </w:rPr>
          <w:t>www.qca.org.uk/</w:t>
        </w:r>
      </w:hyperlink>
      <w:r>
        <w:rPr>
          <w:rFonts w:ascii="Bookman Old Style" w:hAnsi="Bookman Old Style"/>
          <w:sz w:val="24"/>
          <w:szCs w:val="24"/>
        </w:rPr>
        <w:t xml:space="preserve"> </w:t>
      </w:r>
      <w:r w:rsidRPr="00E55884">
        <w:rPr>
          <w:rFonts w:ascii="Bookman Old Style" w:hAnsi="Bookman Old Style"/>
          <w:sz w:val="24"/>
          <w:szCs w:val="24"/>
        </w:rPr>
        <w:t xml:space="preserve"> </w:t>
      </w: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p w:rsidR="00E55884" w:rsidRPr="00E55884" w:rsidRDefault="00E55884" w:rsidP="00E55884">
      <w:pPr>
        <w:spacing w:line="240" w:lineRule="auto"/>
        <w:rPr>
          <w:rFonts w:ascii="Bookman Old Style" w:hAnsi="Bookman Old Style"/>
          <w:sz w:val="24"/>
          <w:szCs w:val="24"/>
        </w:rPr>
      </w:pPr>
      <w:r w:rsidRPr="00E55884">
        <w:rPr>
          <w:rFonts w:ascii="Bookman Old Style" w:hAnsi="Bookman Old Style"/>
          <w:sz w:val="24"/>
          <w:szCs w:val="24"/>
        </w:rPr>
        <w:t>Students will be directed to a range of additional websites, bilingual where possible, during module delivery.</w:t>
      </w:r>
    </w:p>
    <w:p w:rsidR="000430FD" w:rsidRPr="00E55884" w:rsidRDefault="000430FD" w:rsidP="00E55884">
      <w:pPr>
        <w:spacing w:line="240" w:lineRule="auto"/>
        <w:rPr>
          <w:rFonts w:ascii="Bookman Old Style" w:hAnsi="Bookman Old Style"/>
          <w:sz w:val="24"/>
          <w:szCs w:val="24"/>
        </w:rPr>
      </w:pPr>
    </w:p>
    <w:sectPr w:rsidR="000430FD" w:rsidRPr="00E558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5884"/>
    <w:rsid w:val="000430FD"/>
    <w:rsid w:val="00E55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2B9290F-2FD2-4169-8951-00C871153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588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ales.gov.uk/topics/educationandskills/earlyyearshome/foundation_phase/foundationphasepractitioners/frameworkchildlearning/?lang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estyn.llyw.cymru/languag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styn.gov.wale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hwb.wales.gov.uk/Home/Pages/Home.aspx?lang=en" TargetMode="External"/><Relationship Id="rId10" Type="http://schemas.openxmlformats.org/officeDocument/2006/relationships/hyperlink" Target="http://www.qca.org.uk/" TargetMode="External"/><Relationship Id="rId4" Type="http://schemas.openxmlformats.org/officeDocument/2006/relationships/hyperlink" Target="https://hwb.wales.gov.uk/Home/Pages/Home.aspx?lang=cy" TargetMode="External"/><Relationship Id="rId9" Type="http://schemas.openxmlformats.org/officeDocument/2006/relationships/hyperlink" Target="http://wales.gov.uk/topics/educationandskills/schoolshome/curriculuminwales/arevisedcurriculumforwales/nationalcurriculum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362</Words>
  <Characters>2068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Jill Morgan</cp:lastModifiedBy>
  <cp:revision>1</cp:revision>
  <dcterms:created xsi:type="dcterms:W3CDTF">2017-08-16T11:41:00Z</dcterms:created>
  <dcterms:modified xsi:type="dcterms:W3CDTF">2017-08-16T11:48:00Z</dcterms:modified>
</cp:coreProperties>
</file>