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925ABE2" w:rsidR="7908378C" w:rsidRDefault="7908378C" w:rsidP="33572C6E">
            <w:pPr>
              <w:ind w:right="237"/>
              <w:rPr>
                <w:b/>
                <w:bCs/>
                <w:color w:val="auto"/>
                <w:sz w:val="32"/>
                <w:szCs w:val="32"/>
              </w:rPr>
            </w:pPr>
            <w:r w:rsidRPr="33572C6E">
              <w:rPr>
                <w:b/>
                <w:bCs/>
                <w:color w:val="auto"/>
                <w:sz w:val="32"/>
                <w:szCs w:val="32"/>
              </w:rPr>
              <w:t xml:space="preserve">Learner name: </w:t>
            </w:r>
            <w:r w:rsidR="00EB5976">
              <w:rPr>
                <w:b/>
                <w:bCs/>
                <w:color w:val="auto"/>
                <w:sz w:val="32"/>
                <w:szCs w:val="32"/>
              </w:rPr>
              <w:t xml:space="preserve">Leah Williams </w:t>
            </w:r>
          </w:p>
          <w:p w14:paraId="3A3A802D" w14:textId="77777777" w:rsidR="33572C6E" w:rsidRDefault="33572C6E" w:rsidP="33572C6E">
            <w:pPr>
              <w:ind w:right="237"/>
              <w:rPr>
                <w:b/>
                <w:bCs/>
                <w:color w:val="auto"/>
                <w:sz w:val="32"/>
                <w:szCs w:val="32"/>
              </w:rPr>
            </w:pPr>
          </w:p>
          <w:p w14:paraId="1D86F74A" w14:textId="5E77286E" w:rsidR="33572C6E" w:rsidRDefault="7908378C" w:rsidP="33572C6E">
            <w:pPr>
              <w:ind w:right="237"/>
              <w:rPr>
                <w:b/>
                <w:bCs/>
                <w:color w:val="auto"/>
                <w:sz w:val="32"/>
                <w:szCs w:val="32"/>
              </w:rPr>
            </w:pPr>
            <w:r w:rsidRPr="33572C6E">
              <w:rPr>
                <w:b/>
                <w:bCs/>
                <w:color w:val="auto"/>
                <w:sz w:val="32"/>
                <w:szCs w:val="32"/>
              </w:rPr>
              <w:t>Learner’s University Registration Number:</w:t>
            </w:r>
            <w:r w:rsidR="00F333AA">
              <w:rPr>
                <w:b/>
                <w:bCs/>
                <w:color w:val="auto"/>
                <w:sz w:val="32"/>
                <w:szCs w:val="32"/>
              </w:rPr>
              <w:t xml:space="preserve"> </w:t>
            </w:r>
            <w:r w:rsidR="00F333AA" w:rsidRPr="00F333AA">
              <w:rPr>
                <w:b/>
                <w:bCs/>
                <w:color w:val="auto"/>
                <w:sz w:val="32"/>
                <w:szCs w:val="32"/>
              </w:rPr>
              <w:t>2117673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32933C98" w14:textId="580A8964" w:rsidR="00AA666E" w:rsidRPr="00E676F7" w:rsidRDefault="00AA666E"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5DD3677E"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r w:rsidR="00C05C73">
        <w:rPr>
          <w:rFonts w:eastAsia="Arial"/>
          <w:b/>
          <w:bCs/>
          <w:color w:val="000000" w:themeColor="text1"/>
          <w:sz w:val="24"/>
          <w:szCs w:val="24"/>
        </w:rPr>
        <w:t xml:space="preserve"> </w:t>
      </w:r>
    </w:p>
    <w:p w14:paraId="4BBC525A" w14:textId="2C62A870" w:rsidR="5B843AF0" w:rsidRPr="00E676F7" w:rsidRDefault="5B843AF0" w:rsidP="5B843AF0">
      <w:pPr>
        <w:ind w:right="237"/>
        <w:jc w:val="both"/>
        <w:rPr>
          <w:rFonts w:eastAsia="Arial"/>
          <w:color w:val="000000" w:themeColor="text1"/>
          <w:sz w:val="24"/>
          <w:szCs w:val="24"/>
        </w:rPr>
      </w:pPr>
    </w:p>
    <w:p w14:paraId="6C16A766" w14:textId="53A0ED7A" w:rsidR="002A4A16" w:rsidRPr="001C2067" w:rsidRDefault="00346ED7" w:rsidP="00346ED7">
      <w:pPr>
        <w:ind w:right="237"/>
        <w:jc w:val="both"/>
        <w:rPr>
          <w:rFonts w:eastAsia="Arial"/>
          <w:color w:val="000000" w:themeColor="text1"/>
          <w:sz w:val="24"/>
          <w:szCs w:val="24"/>
        </w:rPr>
      </w:pPr>
      <w:r w:rsidRPr="001C2067">
        <w:rPr>
          <w:color w:val="000000" w:themeColor="text1"/>
          <w:sz w:val="24"/>
          <w:szCs w:val="24"/>
        </w:rPr>
        <w:t xml:space="preserve">Policing in the current social climate is increasingly difficult with an increase in </w:t>
      </w:r>
      <w:r w:rsidRPr="001C2067">
        <w:rPr>
          <w:rFonts w:eastAsia="Arial"/>
          <w:color w:val="000000" w:themeColor="text1"/>
          <w:sz w:val="24"/>
          <w:szCs w:val="24"/>
        </w:rPr>
        <w:t xml:space="preserve">assisting in public safety and welfare calls, with only around 17% of those now crime related </w:t>
      </w:r>
      <w:r w:rsidR="002A4A16" w:rsidRPr="001C2067">
        <w:rPr>
          <w:rFonts w:eastAsia="Arial"/>
          <w:color w:val="000000" w:themeColor="text1"/>
          <w:sz w:val="24"/>
          <w:szCs w:val="24"/>
        </w:rPr>
        <w:t>(College of Policing, 2021</w:t>
      </w:r>
      <w:r w:rsidR="002A4A16" w:rsidRPr="001C2067">
        <w:rPr>
          <w:color w:val="000000" w:themeColor="text1"/>
          <w:sz w:val="24"/>
          <w:szCs w:val="24"/>
        </w:rPr>
        <w:t xml:space="preserve">; </w:t>
      </w:r>
      <w:proofErr w:type="spellStart"/>
      <w:r w:rsidR="002A4A16" w:rsidRPr="001C2067">
        <w:rPr>
          <w:color w:val="000000" w:themeColor="text1"/>
          <w:sz w:val="24"/>
          <w:szCs w:val="24"/>
          <w:shd w:val="clear" w:color="auto" w:fill="FFFFFF"/>
        </w:rPr>
        <w:t>Bartkowiak-Théron</w:t>
      </w:r>
      <w:proofErr w:type="spellEnd"/>
      <w:r w:rsidR="002A4A16" w:rsidRPr="001C2067">
        <w:rPr>
          <w:color w:val="000000" w:themeColor="text1"/>
          <w:sz w:val="24"/>
          <w:szCs w:val="24"/>
          <w:shd w:val="clear" w:color="auto" w:fill="FFFFFF"/>
        </w:rPr>
        <w:t xml:space="preserve"> &amp; Asquith, 2012)</w:t>
      </w:r>
    </w:p>
    <w:p w14:paraId="3C20E100" w14:textId="77777777" w:rsidR="002A4A16" w:rsidRPr="001C2067" w:rsidRDefault="002A4A16" w:rsidP="00346ED7">
      <w:pPr>
        <w:ind w:right="237"/>
        <w:jc w:val="both"/>
        <w:rPr>
          <w:rFonts w:eastAsia="Arial"/>
          <w:b/>
          <w:bCs/>
          <w:color w:val="000000" w:themeColor="text1"/>
          <w:sz w:val="24"/>
          <w:szCs w:val="24"/>
          <w:u w:val="single"/>
        </w:rPr>
      </w:pPr>
    </w:p>
    <w:p w14:paraId="54649B09" w14:textId="657C4FC7" w:rsidR="002A4A16" w:rsidRPr="001C2067" w:rsidRDefault="00346ED7" w:rsidP="00346ED7">
      <w:pPr>
        <w:ind w:right="237"/>
        <w:jc w:val="both"/>
        <w:rPr>
          <w:rFonts w:eastAsia="Arial"/>
          <w:color w:val="000000" w:themeColor="text1"/>
          <w:sz w:val="24"/>
          <w:szCs w:val="24"/>
        </w:rPr>
      </w:pPr>
      <w:r w:rsidRPr="001C2067">
        <w:rPr>
          <w:rFonts w:eastAsia="Arial"/>
          <w:color w:val="000000" w:themeColor="text1"/>
          <w:sz w:val="24"/>
          <w:szCs w:val="24"/>
        </w:rPr>
        <w:t>P</w:t>
      </w:r>
      <w:r w:rsidR="002A4A16" w:rsidRPr="001C2067">
        <w:rPr>
          <w:rFonts w:eastAsia="Arial"/>
          <w:color w:val="000000" w:themeColor="text1"/>
          <w:sz w:val="24"/>
          <w:szCs w:val="24"/>
        </w:rPr>
        <w:t>olice play a vital role in supporting vulnerable victims at risk of harm, a person is defined as vulnerable if because of their circumstances they are unable to protect themselves from harm or exploitation (</w:t>
      </w:r>
      <w:r w:rsidR="002A4A16" w:rsidRPr="001C2067">
        <w:rPr>
          <w:color w:val="000000" w:themeColor="text1"/>
          <w:sz w:val="24"/>
          <w:szCs w:val="24"/>
        </w:rPr>
        <w:t>College of Policing, 2021).</w:t>
      </w:r>
      <w:r w:rsidR="002A4A16" w:rsidRPr="001C2067">
        <w:rPr>
          <w:rStyle w:val="apple-converted-space"/>
          <w:color w:val="000000" w:themeColor="text1"/>
          <w:sz w:val="24"/>
          <w:szCs w:val="24"/>
        </w:rPr>
        <w:t> A person’s vulnerability is based on their personal factors such as sexuality, mental health, and their situational factors such as isolation and poverty, increas</w:t>
      </w:r>
      <w:r w:rsidR="009249B3" w:rsidRPr="001C2067">
        <w:rPr>
          <w:rStyle w:val="apple-converted-space"/>
          <w:color w:val="000000" w:themeColor="text1"/>
          <w:sz w:val="24"/>
          <w:szCs w:val="24"/>
        </w:rPr>
        <w:t>ing</w:t>
      </w:r>
      <w:r w:rsidR="002A4A16" w:rsidRPr="001C2067">
        <w:rPr>
          <w:rStyle w:val="apple-converted-space"/>
          <w:color w:val="000000" w:themeColor="text1"/>
          <w:sz w:val="24"/>
          <w:szCs w:val="24"/>
        </w:rPr>
        <w:t xml:space="preserve"> their risk of harm. </w:t>
      </w:r>
      <w:r w:rsidR="009249B3" w:rsidRPr="001C2067">
        <w:rPr>
          <w:rStyle w:val="apple-converted-space"/>
          <w:color w:val="000000" w:themeColor="text1"/>
          <w:sz w:val="24"/>
          <w:szCs w:val="24"/>
        </w:rPr>
        <w:t>Anyone</w:t>
      </w:r>
      <w:r w:rsidR="002A4A16" w:rsidRPr="001C2067">
        <w:rPr>
          <w:rStyle w:val="apple-converted-space"/>
          <w:color w:val="000000" w:themeColor="text1"/>
          <w:sz w:val="24"/>
          <w:szCs w:val="24"/>
        </w:rPr>
        <w:t xml:space="preserve"> can be</w:t>
      </w:r>
      <w:r w:rsidR="009249B3" w:rsidRPr="001C2067">
        <w:rPr>
          <w:rStyle w:val="apple-converted-space"/>
          <w:color w:val="000000" w:themeColor="text1"/>
          <w:sz w:val="24"/>
          <w:szCs w:val="24"/>
        </w:rPr>
        <w:t>come</w:t>
      </w:r>
      <w:r w:rsidR="002A4A16" w:rsidRPr="001C2067">
        <w:rPr>
          <w:rStyle w:val="apple-converted-space"/>
          <w:color w:val="000000" w:themeColor="text1"/>
          <w:sz w:val="24"/>
          <w:szCs w:val="24"/>
        </w:rPr>
        <w:t xml:space="preserve"> vulnerable at </w:t>
      </w:r>
      <w:proofErr w:type="spellStart"/>
      <w:r w:rsidR="002A4A16" w:rsidRPr="001C2067">
        <w:rPr>
          <w:rStyle w:val="apple-converted-space"/>
          <w:color w:val="000000" w:themeColor="text1"/>
          <w:sz w:val="24"/>
          <w:szCs w:val="24"/>
        </w:rPr>
        <w:t>anytime</w:t>
      </w:r>
      <w:proofErr w:type="spellEnd"/>
      <w:r w:rsidR="002A4A16" w:rsidRPr="001C2067">
        <w:rPr>
          <w:rStyle w:val="apple-converted-space"/>
          <w:color w:val="000000" w:themeColor="text1"/>
          <w:sz w:val="24"/>
          <w:szCs w:val="24"/>
        </w:rPr>
        <w:t xml:space="preserve">, so </w:t>
      </w:r>
      <w:proofErr w:type="spellStart"/>
      <w:r w:rsidR="001F0D88" w:rsidRPr="001C2067">
        <w:rPr>
          <w:rStyle w:val="apple-converted-space"/>
          <w:color w:val="000000" w:themeColor="text1"/>
          <w:sz w:val="24"/>
          <w:szCs w:val="24"/>
        </w:rPr>
        <w:t>its</w:t>
      </w:r>
      <w:proofErr w:type="spellEnd"/>
      <w:r w:rsidR="002A4A16" w:rsidRPr="001C2067">
        <w:rPr>
          <w:rStyle w:val="apple-converted-space"/>
          <w:color w:val="000000" w:themeColor="text1"/>
          <w:sz w:val="24"/>
          <w:szCs w:val="24"/>
        </w:rPr>
        <w:t xml:space="preserve"> vital officers don’t have preconceived biases (</w:t>
      </w:r>
      <w:proofErr w:type="spellStart"/>
      <w:r w:rsidR="002A4A16" w:rsidRPr="001C2067">
        <w:rPr>
          <w:color w:val="000000" w:themeColor="text1"/>
          <w:sz w:val="24"/>
          <w:szCs w:val="24"/>
        </w:rPr>
        <w:t>Briody</w:t>
      </w:r>
      <w:proofErr w:type="spellEnd"/>
      <w:r w:rsidR="002A4A16" w:rsidRPr="001C2067">
        <w:rPr>
          <w:color w:val="000000" w:themeColor="text1"/>
          <w:sz w:val="24"/>
          <w:szCs w:val="24"/>
        </w:rPr>
        <w:t>, 2021).</w:t>
      </w:r>
      <w:r w:rsidR="002A4A16" w:rsidRPr="001C2067">
        <w:rPr>
          <w:rStyle w:val="apple-converted-space"/>
          <w:color w:val="000000" w:themeColor="text1"/>
          <w:sz w:val="24"/>
          <w:szCs w:val="24"/>
        </w:rPr>
        <w:t> </w:t>
      </w:r>
    </w:p>
    <w:p w14:paraId="329C8089" w14:textId="77777777" w:rsidR="002A4A16" w:rsidRPr="001C2067" w:rsidRDefault="002A4A16" w:rsidP="00346ED7">
      <w:pPr>
        <w:jc w:val="both"/>
        <w:rPr>
          <w:color w:val="000000" w:themeColor="text1"/>
          <w:sz w:val="24"/>
          <w:szCs w:val="24"/>
        </w:rPr>
      </w:pPr>
    </w:p>
    <w:p w14:paraId="38FBE08F" w14:textId="46606E9F" w:rsidR="002A4A16" w:rsidRPr="001C2067" w:rsidRDefault="002A4A16" w:rsidP="00346ED7">
      <w:pPr>
        <w:ind w:right="237"/>
        <w:jc w:val="both"/>
        <w:rPr>
          <w:rFonts w:eastAsia="Arial"/>
          <w:color w:val="000000" w:themeColor="text1"/>
          <w:sz w:val="24"/>
          <w:szCs w:val="24"/>
        </w:rPr>
      </w:pPr>
      <w:r w:rsidRPr="001C2067">
        <w:rPr>
          <w:rFonts w:eastAsia="Arial"/>
          <w:color w:val="000000" w:themeColor="text1"/>
          <w:sz w:val="24"/>
          <w:szCs w:val="24"/>
        </w:rPr>
        <w:t xml:space="preserve">The incident I am going to discuss is my attendance to a domestic related assault and damage with a female victim who reported the behaviour by her partner and my reflection will be completed using Gibb’s Model of Reflection (MindTools, 2016). The female described her partner punching her repeatedly to the face and then </w:t>
      </w:r>
      <w:r w:rsidRPr="001C2067">
        <w:rPr>
          <w:rFonts w:eastAsia="Arial"/>
          <w:color w:val="000000" w:themeColor="text1"/>
          <w:sz w:val="24"/>
          <w:szCs w:val="24"/>
        </w:rPr>
        <w:lastRenderedPageBreak/>
        <w:t>damaging her mobile phone, prevent</w:t>
      </w:r>
      <w:r w:rsidR="006825A7" w:rsidRPr="001C2067">
        <w:rPr>
          <w:rFonts w:eastAsia="Arial"/>
          <w:color w:val="000000" w:themeColor="text1"/>
          <w:sz w:val="24"/>
          <w:szCs w:val="24"/>
        </w:rPr>
        <w:t>ing</w:t>
      </w:r>
      <w:r w:rsidRPr="001C2067">
        <w:rPr>
          <w:rFonts w:eastAsia="Arial"/>
          <w:color w:val="000000" w:themeColor="text1"/>
          <w:sz w:val="24"/>
          <w:szCs w:val="24"/>
        </w:rPr>
        <w:t xml:space="preserve"> her contacting anyone. On arrival at the address, my colleague dealt with the alleged perpetrator, and I went to safeguard and gain the victims initial account and complete DASH questions. The perpetrator was subsequently arrested for domestic violence related ABH and criminal damage and conveyed to custody. </w:t>
      </w:r>
    </w:p>
    <w:p w14:paraId="31E2B128" w14:textId="77777777" w:rsidR="002A4A16" w:rsidRPr="001C2067" w:rsidRDefault="002A4A16" w:rsidP="00346ED7">
      <w:pPr>
        <w:jc w:val="both"/>
        <w:rPr>
          <w:color w:val="000000" w:themeColor="text1"/>
          <w:sz w:val="24"/>
          <w:szCs w:val="24"/>
        </w:rPr>
      </w:pPr>
    </w:p>
    <w:p w14:paraId="60B311E3" w14:textId="6F55EE00" w:rsidR="002A4A16" w:rsidRPr="001C2067" w:rsidRDefault="002A4A16" w:rsidP="00346ED7">
      <w:pPr>
        <w:ind w:right="237"/>
        <w:jc w:val="both"/>
        <w:rPr>
          <w:rFonts w:eastAsia="Arial"/>
          <w:b/>
          <w:bCs/>
          <w:color w:val="000000" w:themeColor="text1"/>
          <w:sz w:val="24"/>
          <w:szCs w:val="24"/>
        </w:rPr>
      </w:pPr>
      <w:r w:rsidRPr="001C2067">
        <w:rPr>
          <w:rFonts w:eastAsia="Arial"/>
          <w:color w:val="000000" w:themeColor="text1"/>
          <w:sz w:val="24"/>
          <w:szCs w:val="24"/>
        </w:rPr>
        <w:t xml:space="preserve">From a legislative perspective, obtaining the victims account and seeing the physical injuries she sustained I was mindful of the offence within Section 47 Offences Against the Person Act 1861 of Actual Bodily Harm (ABH). This </w:t>
      </w:r>
      <w:r w:rsidR="00346ED7" w:rsidRPr="001C2067">
        <w:rPr>
          <w:rFonts w:eastAsia="Arial"/>
          <w:color w:val="000000" w:themeColor="text1"/>
          <w:sz w:val="24"/>
          <w:szCs w:val="24"/>
        </w:rPr>
        <w:t>offence</w:t>
      </w:r>
      <w:r w:rsidRPr="001C2067">
        <w:rPr>
          <w:rFonts w:eastAsia="Arial"/>
          <w:color w:val="000000" w:themeColor="text1"/>
          <w:sz w:val="24"/>
          <w:szCs w:val="24"/>
        </w:rPr>
        <w:t xml:space="preserve"> includes points to prove such as unlawfully assaulting another occasioning them actual bodily harm. This offence was made out as ABH due to the degree of injury, in law the level of </w:t>
      </w:r>
      <w:r w:rsidR="001F0D88" w:rsidRPr="001C2067">
        <w:rPr>
          <w:rFonts w:eastAsia="Arial"/>
          <w:color w:val="000000" w:themeColor="text1"/>
          <w:sz w:val="24"/>
          <w:szCs w:val="24"/>
        </w:rPr>
        <w:t>injury</w:t>
      </w:r>
      <w:r w:rsidRPr="001C2067">
        <w:rPr>
          <w:rFonts w:eastAsia="Arial"/>
          <w:color w:val="000000" w:themeColor="text1"/>
          <w:sz w:val="24"/>
          <w:szCs w:val="24"/>
        </w:rPr>
        <w:t xml:space="preserve"> </w:t>
      </w:r>
      <w:r w:rsidR="00C05C73" w:rsidRPr="001C2067">
        <w:rPr>
          <w:rFonts w:eastAsia="Arial"/>
          <w:color w:val="000000" w:themeColor="text1"/>
          <w:sz w:val="24"/>
          <w:szCs w:val="24"/>
        </w:rPr>
        <w:t>is</w:t>
      </w:r>
      <w:r w:rsidRPr="001C2067">
        <w:rPr>
          <w:rFonts w:eastAsia="Arial"/>
          <w:color w:val="000000" w:themeColor="text1"/>
          <w:sz w:val="24"/>
          <w:szCs w:val="24"/>
        </w:rPr>
        <w:t xml:space="preserve"> deemed ABH not common assault if they are more than transient</w:t>
      </w:r>
      <w:r w:rsidRPr="001C2067">
        <w:rPr>
          <w:rFonts w:eastAsia="Arial"/>
          <w:b/>
          <w:bCs/>
          <w:color w:val="000000" w:themeColor="text1"/>
          <w:sz w:val="24"/>
          <w:szCs w:val="24"/>
        </w:rPr>
        <w:t xml:space="preserve"> (</w:t>
      </w:r>
      <w:r w:rsidRPr="001C2067">
        <w:rPr>
          <w:color w:val="000000" w:themeColor="text1"/>
          <w:sz w:val="24"/>
          <w:szCs w:val="24"/>
        </w:rPr>
        <w:t>Legislation.gov.uk, 2011</w:t>
      </w:r>
      <w:r w:rsidRPr="001C2067">
        <w:rPr>
          <w:rFonts w:eastAsia="Arial"/>
          <w:b/>
          <w:bCs/>
          <w:color w:val="000000" w:themeColor="text1"/>
          <w:sz w:val="24"/>
          <w:szCs w:val="24"/>
        </w:rPr>
        <w:t xml:space="preserve">). </w:t>
      </w:r>
      <w:r w:rsidRPr="001C2067">
        <w:rPr>
          <w:rFonts w:eastAsia="Arial"/>
          <w:color w:val="000000" w:themeColor="text1"/>
          <w:sz w:val="24"/>
          <w:szCs w:val="24"/>
        </w:rPr>
        <w:t xml:space="preserve">I was also very aware of the Domestic Abuse Act 2021 whereby both persons are personally connected, and the behaviour is abusive, in this instance physically abusive </w:t>
      </w:r>
      <w:r w:rsidRPr="001C2067">
        <w:rPr>
          <w:rFonts w:eastAsia="Arial"/>
          <w:b/>
          <w:bCs/>
          <w:color w:val="000000" w:themeColor="text1"/>
          <w:sz w:val="24"/>
          <w:szCs w:val="24"/>
        </w:rPr>
        <w:t>(</w:t>
      </w:r>
      <w:r w:rsidRPr="001C2067">
        <w:rPr>
          <w:color w:val="000000" w:themeColor="text1"/>
          <w:sz w:val="24"/>
          <w:szCs w:val="24"/>
        </w:rPr>
        <w:t>GOV.UK, 2021).</w:t>
      </w:r>
      <w:r w:rsidRPr="001C2067">
        <w:rPr>
          <w:rStyle w:val="apple-converted-space"/>
          <w:color w:val="000000" w:themeColor="text1"/>
          <w:sz w:val="24"/>
          <w:szCs w:val="24"/>
        </w:rPr>
        <w:t> </w:t>
      </w:r>
    </w:p>
    <w:p w14:paraId="50C220CF" w14:textId="77777777" w:rsidR="002A4A16" w:rsidRPr="001C2067" w:rsidRDefault="002A4A16" w:rsidP="00346ED7">
      <w:pPr>
        <w:ind w:right="237"/>
        <w:jc w:val="both"/>
        <w:rPr>
          <w:rFonts w:eastAsia="Arial"/>
          <w:b/>
          <w:bCs/>
          <w:color w:val="000000" w:themeColor="text1"/>
          <w:sz w:val="24"/>
          <w:szCs w:val="24"/>
        </w:rPr>
      </w:pPr>
    </w:p>
    <w:p w14:paraId="42717BE4" w14:textId="2428A8EB" w:rsidR="002A4A16" w:rsidRPr="001C2067" w:rsidRDefault="002A4A16" w:rsidP="00346ED7">
      <w:pPr>
        <w:ind w:right="237"/>
        <w:jc w:val="both"/>
        <w:rPr>
          <w:rFonts w:eastAsia="Arial"/>
          <w:color w:val="000000" w:themeColor="text1"/>
          <w:sz w:val="24"/>
          <w:szCs w:val="24"/>
        </w:rPr>
      </w:pPr>
      <w:r w:rsidRPr="001C2067">
        <w:rPr>
          <w:rFonts w:eastAsia="Arial"/>
          <w:color w:val="000000" w:themeColor="text1"/>
          <w:sz w:val="24"/>
          <w:szCs w:val="24"/>
        </w:rPr>
        <w:t>Socially</w:t>
      </w:r>
      <w:r w:rsidR="00346ED7" w:rsidRPr="001C2067">
        <w:rPr>
          <w:rFonts w:eastAsia="Arial"/>
          <w:color w:val="000000" w:themeColor="text1"/>
          <w:sz w:val="24"/>
          <w:szCs w:val="24"/>
        </w:rPr>
        <w:t>,</w:t>
      </w:r>
      <w:r w:rsidRPr="001C2067">
        <w:rPr>
          <w:rFonts w:eastAsia="Arial"/>
          <w:color w:val="000000" w:themeColor="text1"/>
          <w:sz w:val="24"/>
          <w:szCs w:val="24"/>
        </w:rPr>
        <w:t xml:space="preserve"> </w:t>
      </w:r>
      <w:r w:rsidR="00346ED7" w:rsidRPr="001C2067">
        <w:rPr>
          <w:rFonts w:eastAsia="Arial"/>
          <w:color w:val="000000" w:themeColor="text1"/>
          <w:sz w:val="24"/>
          <w:szCs w:val="24"/>
        </w:rPr>
        <w:t>d</w:t>
      </w:r>
      <w:r w:rsidRPr="001C2067">
        <w:rPr>
          <w:rFonts w:eastAsia="Arial"/>
          <w:color w:val="000000" w:themeColor="text1"/>
          <w:sz w:val="24"/>
          <w:szCs w:val="24"/>
        </w:rPr>
        <w:t xml:space="preserve">omestic </w:t>
      </w:r>
      <w:r w:rsidR="00346ED7" w:rsidRPr="001C2067">
        <w:rPr>
          <w:rFonts w:eastAsia="Arial"/>
          <w:color w:val="000000" w:themeColor="text1"/>
          <w:sz w:val="24"/>
          <w:szCs w:val="24"/>
        </w:rPr>
        <w:t>v</w:t>
      </w:r>
      <w:r w:rsidRPr="001C2067">
        <w:rPr>
          <w:rFonts w:eastAsia="Arial"/>
          <w:color w:val="000000" w:themeColor="text1"/>
          <w:sz w:val="24"/>
          <w:szCs w:val="24"/>
        </w:rPr>
        <w:t>iolence has a significant effect on individuals, families, and communities with the effects on physical and mental health being devastating. The crime survey in England and Wales (CSEW) identified that 2.4 million adults experienced domestic abuse in 2022 which had increased 7.7% from 2021 (</w:t>
      </w:r>
      <w:r w:rsidRPr="001C2067">
        <w:rPr>
          <w:color w:val="000000" w:themeColor="text1"/>
          <w:sz w:val="24"/>
          <w:szCs w:val="24"/>
        </w:rPr>
        <w:t>Office for National Statistics, 2022).</w:t>
      </w:r>
      <w:r w:rsidRPr="001C2067">
        <w:rPr>
          <w:rFonts w:eastAsia="Arial"/>
          <w:color w:val="000000" w:themeColor="text1"/>
          <w:sz w:val="24"/>
          <w:szCs w:val="24"/>
        </w:rPr>
        <w:t xml:space="preserve"> Domestic abuse accounts for 1.5 million reports to police in England and Wales, with only an estimated 24% of domestic related incidents being reported</w:t>
      </w:r>
      <w:r w:rsidR="008C03A6" w:rsidRPr="001C2067">
        <w:rPr>
          <w:rFonts w:eastAsia="Arial"/>
          <w:color w:val="000000" w:themeColor="text1"/>
          <w:sz w:val="24"/>
          <w:szCs w:val="24"/>
        </w:rPr>
        <w:t xml:space="preserve"> </w:t>
      </w:r>
      <w:r w:rsidRPr="001C2067">
        <w:rPr>
          <w:rFonts w:eastAsia="Arial"/>
          <w:color w:val="000000" w:themeColor="text1"/>
          <w:sz w:val="24"/>
          <w:szCs w:val="24"/>
        </w:rPr>
        <w:t>(</w:t>
      </w:r>
      <w:r w:rsidRPr="001C2067">
        <w:rPr>
          <w:color w:val="000000" w:themeColor="text1"/>
          <w:sz w:val="24"/>
          <w:szCs w:val="24"/>
        </w:rPr>
        <w:t>Office for National Statistics, 2022</w:t>
      </w:r>
      <w:r w:rsidRPr="001C2067">
        <w:rPr>
          <w:rFonts w:eastAsia="Arial"/>
          <w:color w:val="000000" w:themeColor="text1"/>
          <w:sz w:val="24"/>
          <w:szCs w:val="24"/>
        </w:rPr>
        <w:t>).</w:t>
      </w:r>
      <w:r w:rsidR="008C03A6" w:rsidRPr="001C2067">
        <w:rPr>
          <w:rFonts w:eastAsia="Arial"/>
          <w:color w:val="000000" w:themeColor="text1"/>
          <w:sz w:val="24"/>
          <w:szCs w:val="24"/>
        </w:rPr>
        <w:t xml:space="preserve"> </w:t>
      </w:r>
      <w:r w:rsidRPr="001C2067">
        <w:rPr>
          <w:rFonts w:eastAsia="Arial"/>
          <w:color w:val="000000" w:themeColor="text1"/>
          <w:sz w:val="24"/>
          <w:szCs w:val="24"/>
        </w:rPr>
        <w:t>1 in 5 adults will experience domestic abuse in their lifetime</w:t>
      </w:r>
      <w:r w:rsidR="008C03A6" w:rsidRPr="001C2067">
        <w:rPr>
          <w:rFonts w:eastAsia="Arial"/>
          <w:color w:val="000000" w:themeColor="text1"/>
          <w:sz w:val="24"/>
          <w:szCs w:val="24"/>
        </w:rPr>
        <w:t xml:space="preserve"> </w:t>
      </w:r>
      <w:r w:rsidRPr="001C2067">
        <w:rPr>
          <w:color w:val="000000" w:themeColor="text1"/>
          <w:sz w:val="24"/>
          <w:szCs w:val="24"/>
        </w:rPr>
        <w:t>NCDV; 2023; GOV.UK, 2021</w:t>
      </w:r>
      <w:r w:rsidRPr="001C2067">
        <w:rPr>
          <w:rFonts w:eastAsia="Arial"/>
          <w:color w:val="000000" w:themeColor="text1"/>
          <w:sz w:val="24"/>
          <w:szCs w:val="24"/>
        </w:rPr>
        <w:t>).</w:t>
      </w:r>
    </w:p>
    <w:p w14:paraId="16AAB9BD" w14:textId="77777777" w:rsidR="002A4A16" w:rsidRPr="001C2067" w:rsidRDefault="002A4A16" w:rsidP="00346ED7">
      <w:pPr>
        <w:jc w:val="both"/>
        <w:rPr>
          <w:color w:val="000000" w:themeColor="text1"/>
          <w:sz w:val="24"/>
          <w:szCs w:val="24"/>
        </w:rPr>
      </w:pPr>
    </w:p>
    <w:p w14:paraId="2EA44E52" w14:textId="2C7DBACC" w:rsidR="002A4A16" w:rsidRPr="001C2067" w:rsidRDefault="002A4A16" w:rsidP="00346ED7">
      <w:pPr>
        <w:overflowPunct/>
        <w:autoSpaceDE/>
        <w:autoSpaceDN/>
        <w:adjustRightInd/>
        <w:spacing w:before="100" w:beforeAutospacing="1" w:after="100" w:afterAutospacing="1"/>
        <w:jc w:val="both"/>
        <w:textAlignment w:val="auto"/>
        <w:rPr>
          <w:b/>
          <w:bCs/>
          <w:color w:val="000000" w:themeColor="text1"/>
          <w:sz w:val="24"/>
          <w:szCs w:val="24"/>
          <w:u w:val="single"/>
        </w:rPr>
      </w:pPr>
      <w:r w:rsidRPr="001C2067">
        <w:rPr>
          <w:color w:val="000000" w:themeColor="text1"/>
          <w:sz w:val="24"/>
          <w:szCs w:val="24"/>
        </w:rPr>
        <w:t xml:space="preserve">My attendance at the incident was overall a success, with the perpetrator </w:t>
      </w:r>
      <w:r w:rsidR="008C03A6" w:rsidRPr="001C2067">
        <w:rPr>
          <w:color w:val="000000" w:themeColor="text1"/>
          <w:sz w:val="24"/>
          <w:szCs w:val="24"/>
        </w:rPr>
        <w:t>arrested</w:t>
      </w:r>
      <w:r w:rsidRPr="001C2067">
        <w:rPr>
          <w:color w:val="000000" w:themeColor="text1"/>
          <w:sz w:val="24"/>
          <w:szCs w:val="24"/>
        </w:rPr>
        <w:t xml:space="preserve">, the victim </w:t>
      </w:r>
      <w:r w:rsidR="006825A7" w:rsidRPr="001C2067">
        <w:rPr>
          <w:color w:val="000000" w:themeColor="text1"/>
          <w:sz w:val="24"/>
          <w:szCs w:val="24"/>
        </w:rPr>
        <w:t>safeguarded,</w:t>
      </w:r>
      <w:r w:rsidRPr="001C2067">
        <w:rPr>
          <w:color w:val="000000" w:themeColor="text1"/>
          <w:sz w:val="24"/>
          <w:szCs w:val="24"/>
        </w:rPr>
        <w:t xml:space="preserve"> and appropriate referrals being made.</w:t>
      </w:r>
      <w:r w:rsidR="006825A7" w:rsidRPr="001C2067">
        <w:rPr>
          <w:color w:val="000000" w:themeColor="text1"/>
          <w:sz w:val="24"/>
          <w:szCs w:val="24"/>
        </w:rPr>
        <w:t xml:space="preserve"> </w:t>
      </w:r>
      <w:r w:rsidRPr="001C2067">
        <w:rPr>
          <w:color w:val="000000" w:themeColor="text1"/>
          <w:sz w:val="24"/>
          <w:szCs w:val="24"/>
        </w:rPr>
        <w:t xml:space="preserve">I completed a DASH referral, ensuring the victim had further safeguarding and support moving forwards, to try </w:t>
      </w:r>
      <w:r w:rsidR="008C03A6" w:rsidRPr="001C2067">
        <w:rPr>
          <w:color w:val="000000" w:themeColor="text1"/>
          <w:sz w:val="24"/>
          <w:szCs w:val="24"/>
        </w:rPr>
        <w:t>and prevent revictimization.</w:t>
      </w:r>
      <w:r w:rsidRPr="001C2067">
        <w:rPr>
          <w:color w:val="000000" w:themeColor="text1"/>
          <w:sz w:val="24"/>
          <w:szCs w:val="24"/>
        </w:rPr>
        <w:t xml:space="preserve">  On reflection, I did</w:t>
      </w:r>
      <w:r w:rsidR="006825A7" w:rsidRPr="001C2067">
        <w:rPr>
          <w:color w:val="000000" w:themeColor="text1"/>
          <w:sz w:val="24"/>
          <w:szCs w:val="24"/>
        </w:rPr>
        <w:t>n’t</w:t>
      </w:r>
      <w:r w:rsidRPr="001C2067">
        <w:rPr>
          <w:color w:val="000000" w:themeColor="text1"/>
          <w:sz w:val="24"/>
          <w:szCs w:val="24"/>
        </w:rPr>
        <w:t xml:space="preserve"> take the victim personal statement at that point, as due to my own unconscious bias believing the victim would retract her statement the next day, I lazily stated she could complete the victim personal statement </w:t>
      </w:r>
      <w:r w:rsidR="00346ED7" w:rsidRPr="001C2067">
        <w:rPr>
          <w:color w:val="000000" w:themeColor="text1"/>
          <w:sz w:val="24"/>
          <w:szCs w:val="24"/>
        </w:rPr>
        <w:t>later</w:t>
      </w:r>
      <w:r w:rsidRPr="001C2067">
        <w:rPr>
          <w:color w:val="000000" w:themeColor="text1"/>
          <w:sz w:val="24"/>
          <w:szCs w:val="24"/>
        </w:rPr>
        <w:t>, which was poor practice</w:t>
      </w:r>
      <w:r w:rsidR="006825A7" w:rsidRPr="001C2067">
        <w:rPr>
          <w:color w:val="000000" w:themeColor="text1"/>
          <w:sz w:val="24"/>
          <w:szCs w:val="24"/>
        </w:rPr>
        <w:t xml:space="preserve">. </w:t>
      </w:r>
      <w:r w:rsidRPr="001C2067">
        <w:rPr>
          <w:color w:val="000000" w:themeColor="text1"/>
          <w:sz w:val="24"/>
          <w:szCs w:val="24"/>
        </w:rPr>
        <w:t>In future, I would take every call as a new incident and try not to have preconceived thoughts on the persons involved, ensuring I complete all relevant forms and referrals available for myself, regardless of how tired I am on shift.</w:t>
      </w:r>
    </w:p>
    <w:p w14:paraId="1D91CE55" w14:textId="77777777" w:rsidR="008C03A6" w:rsidRPr="001C2067" w:rsidRDefault="002A4A16" w:rsidP="008C03A6">
      <w:pPr>
        <w:tabs>
          <w:tab w:val="left" w:pos="5626"/>
        </w:tabs>
        <w:jc w:val="both"/>
        <w:rPr>
          <w:color w:val="000000" w:themeColor="text1"/>
          <w:sz w:val="24"/>
          <w:szCs w:val="24"/>
        </w:rPr>
      </w:pPr>
      <w:r w:rsidRPr="001C2067">
        <w:rPr>
          <w:color w:val="000000" w:themeColor="text1"/>
          <w:sz w:val="24"/>
          <w:szCs w:val="24"/>
        </w:rPr>
        <w:tab/>
      </w:r>
    </w:p>
    <w:p w14:paraId="1027BA5A" w14:textId="2DC90D13" w:rsidR="002A4A16" w:rsidRPr="001C2067" w:rsidRDefault="002A4A16" w:rsidP="008C03A6">
      <w:pPr>
        <w:tabs>
          <w:tab w:val="left" w:pos="5626"/>
        </w:tabs>
        <w:jc w:val="both"/>
        <w:rPr>
          <w:color w:val="000000" w:themeColor="text1"/>
          <w:sz w:val="24"/>
          <w:szCs w:val="24"/>
        </w:rPr>
      </w:pPr>
      <w:r w:rsidRPr="001C2067">
        <w:rPr>
          <w:rFonts w:eastAsia="Arial"/>
          <w:color w:val="000000" w:themeColor="text1"/>
          <w:sz w:val="24"/>
          <w:szCs w:val="24"/>
        </w:rPr>
        <w:t xml:space="preserve">Although there is now a requirement for police to utilise the identification and assessment models available to them </w:t>
      </w:r>
      <w:r w:rsidR="00346ED7" w:rsidRPr="001C2067">
        <w:rPr>
          <w:rFonts w:eastAsia="Arial"/>
          <w:color w:val="000000" w:themeColor="text1"/>
          <w:sz w:val="24"/>
          <w:szCs w:val="24"/>
        </w:rPr>
        <w:t>regarding</w:t>
      </w:r>
      <w:r w:rsidRPr="001C2067">
        <w:rPr>
          <w:rFonts w:eastAsia="Arial"/>
          <w:color w:val="000000" w:themeColor="text1"/>
          <w:sz w:val="24"/>
          <w:szCs w:val="24"/>
        </w:rPr>
        <w:t xml:space="preserve"> vulnerability, police often respond to an incident and deal with the symptoms of the issues, without further support then the root causes of these vulnerabilities cannot be resolved (</w:t>
      </w:r>
      <w:proofErr w:type="spellStart"/>
      <w:r w:rsidRPr="001C2067">
        <w:rPr>
          <w:color w:val="000000" w:themeColor="text1"/>
          <w:sz w:val="24"/>
          <w:szCs w:val="24"/>
        </w:rPr>
        <w:t>Bartkowiak-Théron</w:t>
      </w:r>
      <w:proofErr w:type="spellEnd"/>
      <w:r w:rsidRPr="001C2067">
        <w:rPr>
          <w:color w:val="000000" w:themeColor="text1"/>
          <w:sz w:val="24"/>
          <w:szCs w:val="24"/>
        </w:rPr>
        <w:t xml:space="preserve"> &amp; Asquith, 2017). There</w:t>
      </w:r>
      <w:r w:rsidR="00346ED7" w:rsidRPr="001C2067">
        <w:rPr>
          <w:color w:val="000000" w:themeColor="text1"/>
          <w:sz w:val="24"/>
          <w:szCs w:val="24"/>
        </w:rPr>
        <w:t>’</w:t>
      </w:r>
      <w:r w:rsidRPr="001C2067">
        <w:rPr>
          <w:color w:val="000000" w:themeColor="text1"/>
          <w:sz w:val="24"/>
          <w:szCs w:val="24"/>
        </w:rPr>
        <w:t xml:space="preserve">s no single </w:t>
      </w:r>
      <w:r w:rsidR="00346ED7" w:rsidRPr="001C2067">
        <w:rPr>
          <w:color w:val="000000" w:themeColor="text1"/>
          <w:sz w:val="24"/>
          <w:szCs w:val="24"/>
        </w:rPr>
        <w:t>causative factor</w:t>
      </w:r>
      <w:r w:rsidRPr="001C2067">
        <w:rPr>
          <w:color w:val="000000" w:themeColor="text1"/>
          <w:sz w:val="24"/>
          <w:szCs w:val="24"/>
        </w:rPr>
        <w:t xml:space="preserve"> </w:t>
      </w:r>
      <w:r w:rsidR="00346ED7" w:rsidRPr="001C2067">
        <w:rPr>
          <w:color w:val="000000" w:themeColor="text1"/>
          <w:sz w:val="24"/>
          <w:szCs w:val="24"/>
        </w:rPr>
        <w:t>for</w:t>
      </w:r>
      <w:r w:rsidRPr="001C2067">
        <w:rPr>
          <w:color w:val="000000" w:themeColor="text1"/>
          <w:sz w:val="24"/>
          <w:szCs w:val="24"/>
        </w:rPr>
        <w:t xml:space="preserve"> domestic abuse, </w:t>
      </w:r>
      <w:r w:rsidR="00346ED7" w:rsidRPr="001C2067">
        <w:rPr>
          <w:color w:val="000000" w:themeColor="text1"/>
          <w:sz w:val="24"/>
          <w:szCs w:val="24"/>
        </w:rPr>
        <w:t>it’s</w:t>
      </w:r>
      <w:r w:rsidRPr="001C2067">
        <w:rPr>
          <w:color w:val="000000" w:themeColor="text1"/>
          <w:sz w:val="24"/>
          <w:szCs w:val="24"/>
        </w:rPr>
        <w:t xml:space="preserve"> a multifaceted issue with several factors such as substance use, lower education levels, poverty, mental health issues</w:t>
      </w:r>
      <w:r w:rsidR="00346ED7" w:rsidRPr="001C2067">
        <w:rPr>
          <w:color w:val="000000" w:themeColor="text1"/>
          <w:sz w:val="24"/>
          <w:szCs w:val="24"/>
        </w:rPr>
        <w:t xml:space="preserve"> and </w:t>
      </w:r>
      <w:r w:rsidRPr="001C2067">
        <w:rPr>
          <w:color w:val="000000" w:themeColor="text1"/>
          <w:sz w:val="24"/>
          <w:szCs w:val="24"/>
        </w:rPr>
        <w:t>personality disorders</w:t>
      </w:r>
      <w:r w:rsidR="00346ED7" w:rsidRPr="001C2067">
        <w:rPr>
          <w:color w:val="000000" w:themeColor="text1"/>
          <w:sz w:val="24"/>
          <w:szCs w:val="24"/>
        </w:rPr>
        <w:t xml:space="preserve"> </w:t>
      </w:r>
      <w:r w:rsidRPr="001C2067">
        <w:rPr>
          <w:color w:val="000000" w:themeColor="text1"/>
          <w:sz w:val="24"/>
          <w:szCs w:val="24"/>
        </w:rPr>
        <w:t>(Gillette, 2021). Vulnerable victims often feel trapped within abusive relationships, so when police intervention occurs it</w:t>
      </w:r>
      <w:r w:rsidR="00346ED7" w:rsidRPr="001C2067">
        <w:rPr>
          <w:color w:val="000000" w:themeColor="text1"/>
          <w:sz w:val="24"/>
          <w:szCs w:val="24"/>
        </w:rPr>
        <w:t>’</w:t>
      </w:r>
      <w:r w:rsidRPr="001C2067">
        <w:rPr>
          <w:color w:val="000000" w:themeColor="text1"/>
          <w:sz w:val="24"/>
          <w:szCs w:val="24"/>
        </w:rPr>
        <w:t>s vital along with partner agencies that interventions are implemented to safeguard the victim as soon as possible and reduce the likelihood of further abuse (Strive, 2012;</w:t>
      </w:r>
      <w:r w:rsidR="00346ED7" w:rsidRPr="001C2067">
        <w:rPr>
          <w:color w:val="000000" w:themeColor="text1"/>
          <w:sz w:val="24"/>
          <w:szCs w:val="24"/>
        </w:rPr>
        <w:t xml:space="preserve"> </w:t>
      </w:r>
      <w:proofErr w:type="spellStart"/>
      <w:r w:rsidRPr="001C2067">
        <w:rPr>
          <w:color w:val="000000" w:themeColor="text1"/>
          <w:sz w:val="24"/>
          <w:szCs w:val="24"/>
        </w:rPr>
        <w:t>Hindin</w:t>
      </w:r>
      <w:proofErr w:type="spellEnd"/>
      <w:r w:rsidRPr="001C2067">
        <w:rPr>
          <w:color w:val="000000" w:themeColor="text1"/>
          <w:sz w:val="24"/>
          <w:szCs w:val="24"/>
        </w:rPr>
        <w:t xml:space="preserve">, Kishor &amp; </w:t>
      </w:r>
      <w:proofErr w:type="spellStart"/>
      <w:r w:rsidRPr="001C2067">
        <w:rPr>
          <w:color w:val="000000" w:themeColor="text1"/>
          <w:sz w:val="24"/>
          <w:szCs w:val="24"/>
        </w:rPr>
        <w:t>Ansara</w:t>
      </w:r>
      <w:proofErr w:type="spellEnd"/>
      <w:r w:rsidRPr="001C2067">
        <w:rPr>
          <w:color w:val="000000" w:themeColor="text1"/>
          <w:sz w:val="24"/>
          <w:szCs w:val="24"/>
        </w:rPr>
        <w:t xml:space="preserve">, 2008). </w:t>
      </w:r>
    </w:p>
    <w:p w14:paraId="5F24B668" w14:textId="77777777" w:rsidR="002A4A16" w:rsidRPr="001C2067" w:rsidRDefault="002A4A16" w:rsidP="00346ED7">
      <w:pPr>
        <w:ind w:right="237"/>
        <w:jc w:val="both"/>
        <w:rPr>
          <w:rFonts w:eastAsia="Arial"/>
          <w:color w:val="000000" w:themeColor="text1"/>
          <w:sz w:val="24"/>
          <w:szCs w:val="24"/>
        </w:rPr>
      </w:pPr>
    </w:p>
    <w:p w14:paraId="302CFF94" w14:textId="0109E983" w:rsidR="002A4A16" w:rsidRPr="001C2067" w:rsidRDefault="002A4A16" w:rsidP="00346ED7">
      <w:pPr>
        <w:ind w:right="237"/>
        <w:jc w:val="both"/>
        <w:rPr>
          <w:rFonts w:eastAsia="Arial"/>
          <w:color w:val="000000" w:themeColor="text1"/>
          <w:sz w:val="24"/>
          <w:szCs w:val="24"/>
        </w:rPr>
      </w:pPr>
      <w:r w:rsidRPr="001C2067">
        <w:rPr>
          <w:rFonts w:eastAsia="Arial"/>
          <w:color w:val="000000" w:themeColor="text1"/>
          <w:sz w:val="24"/>
          <w:szCs w:val="24"/>
        </w:rPr>
        <w:lastRenderedPageBreak/>
        <w:t xml:space="preserve">The Domestic Abuse, Stalking and Honour Based Violence (DASH) risk identification and assessment model assists police in identifying, assessing, and managing risk to vulnerable victims. DASH can help police be proactive </w:t>
      </w:r>
      <w:r w:rsidR="00346ED7" w:rsidRPr="001C2067">
        <w:rPr>
          <w:rFonts w:eastAsia="Arial"/>
          <w:color w:val="000000" w:themeColor="text1"/>
          <w:sz w:val="24"/>
          <w:szCs w:val="24"/>
        </w:rPr>
        <w:t>regarding</w:t>
      </w:r>
      <w:r w:rsidRPr="001C2067">
        <w:rPr>
          <w:rFonts w:eastAsia="Arial"/>
          <w:color w:val="000000" w:themeColor="text1"/>
          <w:sz w:val="24"/>
          <w:szCs w:val="24"/>
        </w:rPr>
        <w:t xml:space="preserve"> domestic incidents, </w:t>
      </w:r>
      <w:r w:rsidR="00346ED7" w:rsidRPr="001C2067">
        <w:rPr>
          <w:rFonts w:eastAsia="Arial"/>
          <w:color w:val="000000" w:themeColor="text1"/>
          <w:sz w:val="24"/>
          <w:szCs w:val="24"/>
        </w:rPr>
        <w:t xml:space="preserve">with </w:t>
      </w:r>
      <w:r w:rsidR="00C05C73" w:rsidRPr="001C2067">
        <w:rPr>
          <w:rFonts w:eastAsia="Arial"/>
          <w:color w:val="000000" w:themeColor="text1"/>
          <w:sz w:val="24"/>
          <w:szCs w:val="24"/>
        </w:rPr>
        <w:t>must ask</w:t>
      </w:r>
      <w:r w:rsidRPr="001C2067">
        <w:rPr>
          <w:rFonts w:eastAsia="Arial"/>
          <w:color w:val="000000" w:themeColor="text1"/>
          <w:sz w:val="24"/>
          <w:szCs w:val="24"/>
        </w:rPr>
        <w:t xml:space="preserve"> questions, resulting in increased identification of vulnerabilities and increased referrals to partner agencies (</w:t>
      </w:r>
      <w:r w:rsidRPr="001C2067">
        <w:rPr>
          <w:color w:val="000000" w:themeColor="text1"/>
          <w:sz w:val="24"/>
          <w:szCs w:val="24"/>
        </w:rPr>
        <w:t>Dash Risk Checklist, 2009).</w:t>
      </w:r>
      <w:r w:rsidRPr="001C2067">
        <w:rPr>
          <w:rStyle w:val="apple-converted-space"/>
          <w:color w:val="000000" w:themeColor="text1"/>
          <w:sz w:val="24"/>
          <w:szCs w:val="24"/>
        </w:rPr>
        <w:t> </w:t>
      </w:r>
      <w:r w:rsidRPr="001C2067">
        <w:rPr>
          <w:rFonts w:eastAsia="Arial"/>
          <w:color w:val="000000" w:themeColor="text1"/>
          <w:sz w:val="24"/>
          <w:szCs w:val="24"/>
        </w:rPr>
        <w:t>Utilising DASH can assist in identifying vulnerable victims and ha</w:t>
      </w:r>
      <w:r w:rsidR="00E30790" w:rsidRPr="001C2067">
        <w:rPr>
          <w:rFonts w:eastAsia="Arial"/>
          <w:color w:val="000000" w:themeColor="text1"/>
          <w:sz w:val="24"/>
          <w:szCs w:val="24"/>
        </w:rPr>
        <w:t>s</w:t>
      </w:r>
      <w:r w:rsidRPr="001C2067">
        <w:rPr>
          <w:rFonts w:eastAsia="Arial"/>
          <w:color w:val="000000" w:themeColor="text1"/>
          <w:sz w:val="24"/>
          <w:szCs w:val="24"/>
        </w:rPr>
        <w:t xml:space="preserve"> been shown to decrease the risk of further domestic violence occurring, however, should not be relied on (</w:t>
      </w:r>
      <w:r w:rsidRPr="001C2067">
        <w:rPr>
          <w:color w:val="000000" w:themeColor="text1"/>
          <w:sz w:val="24"/>
          <w:szCs w:val="24"/>
          <w:shd w:val="clear" w:color="auto" w:fill="FFFFFF"/>
        </w:rPr>
        <w:t>Dowling, Morgan, Boyd &amp; Voce, 2018)</w:t>
      </w:r>
      <w:r w:rsidRPr="001C2067">
        <w:rPr>
          <w:rFonts w:eastAsia="Arial"/>
          <w:color w:val="000000" w:themeColor="text1"/>
          <w:sz w:val="24"/>
          <w:szCs w:val="24"/>
        </w:rPr>
        <w:t>. Although DASH can assist in identifying vulnerable victims, it</w:t>
      </w:r>
      <w:r w:rsidR="00346ED7" w:rsidRPr="001C2067">
        <w:rPr>
          <w:rFonts w:eastAsia="Arial"/>
          <w:color w:val="000000" w:themeColor="text1"/>
          <w:sz w:val="24"/>
          <w:szCs w:val="24"/>
        </w:rPr>
        <w:t>’</w:t>
      </w:r>
      <w:r w:rsidRPr="001C2067">
        <w:rPr>
          <w:rFonts w:eastAsia="Arial"/>
          <w:color w:val="000000" w:themeColor="text1"/>
          <w:sz w:val="24"/>
          <w:szCs w:val="24"/>
        </w:rPr>
        <w:t>s essential that officers use their professional judgement alongside these to identify vulnerability and conduct a dynamic risk assessment and objective assessment on vulnerability and risk should be taken for each police interaction, not relying on previous markers and information (</w:t>
      </w:r>
      <w:r w:rsidRPr="001C2067">
        <w:rPr>
          <w:color w:val="000000" w:themeColor="text1"/>
          <w:sz w:val="24"/>
          <w:szCs w:val="24"/>
        </w:rPr>
        <w:t>College of Policing, 2021).</w:t>
      </w:r>
      <w:r w:rsidRPr="001C2067">
        <w:rPr>
          <w:rStyle w:val="apple-converted-space"/>
          <w:color w:val="000000" w:themeColor="text1"/>
          <w:sz w:val="24"/>
          <w:szCs w:val="24"/>
        </w:rPr>
        <w:t> </w:t>
      </w:r>
    </w:p>
    <w:p w14:paraId="4955A609" w14:textId="77777777" w:rsidR="002A4A16" w:rsidRPr="001C2067" w:rsidRDefault="002A4A16" w:rsidP="00346ED7">
      <w:pPr>
        <w:jc w:val="both"/>
        <w:rPr>
          <w:color w:val="000000" w:themeColor="text1"/>
          <w:sz w:val="24"/>
          <w:szCs w:val="24"/>
        </w:rPr>
      </w:pPr>
    </w:p>
    <w:p w14:paraId="75CF8CDF" w14:textId="3FA74FCF" w:rsidR="002A4A16" w:rsidRPr="001C2067" w:rsidRDefault="002A4A16" w:rsidP="00346ED7">
      <w:pPr>
        <w:jc w:val="both"/>
        <w:rPr>
          <w:color w:val="000000" w:themeColor="text1"/>
          <w:sz w:val="24"/>
          <w:szCs w:val="24"/>
        </w:rPr>
      </w:pPr>
      <w:r w:rsidRPr="001C2067">
        <w:rPr>
          <w:color w:val="000000" w:themeColor="text1"/>
          <w:sz w:val="24"/>
          <w:szCs w:val="24"/>
        </w:rPr>
        <w:t>Multi-Agency Safeguarding Hubs (MASH) was introduced within England and Wales as a partnership between social services, police services and education to identify and manage vulnerable individuals at the earliest opportunity and to introduce interventions to reduce the likelihood of these individuals becoming repeat victims (</w:t>
      </w:r>
      <w:proofErr w:type="spellStart"/>
      <w:r w:rsidRPr="001C2067">
        <w:rPr>
          <w:color w:val="000000" w:themeColor="text1"/>
          <w:sz w:val="24"/>
          <w:szCs w:val="24"/>
        </w:rPr>
        <w:t>Shorrock</w:t>
      </w:r>
      <w:proofErr w:type="spellEnd"/>
      <w:r w:rsidRPr="001C2067">
        <w:rPr>
          <w:color w:val="000000" w:themeColor="text1"/>
          <w:sz w:val="24"/>
          <w:szCs w:val="24"/>
        </w:rPr>
        <w:t>, McManus &amp; Kirby, 2020; Crockett et al, 2016</w:t>
      </w:r>
      <w:r w:rsidR="00346ED7" w:rsidRPr="001C2067">
        <w:rPr>
          <w:color w:val="000000" w:themeColor="text1"/>
          <w:sz w:val="24"/>
          <w:szCs w:val="24"/>
        </w:rPr>
        <w:t xml:space="preserve">). </w:t>
      </w:r>
      <w:r w:rsidRPr="001C2067">
        <w:rPr>
          <w:color w:val="000000" w:themeColor="text1"/>
          <w:sz w:val="24"/>
          <w:szCs w:val="24"/>
        </w:rPr>
        <w:t>Multi agency co-operation is essential in early identification of risk to vulnerable individuals, this partnership aims to improve safeguarding of vulnerable individuals allowing for improved information sharing, coordinated interventions, thus, reducing the risk of repeat victimisation (Home office, 2015; College of Policing, 2015).</w:t>
      </w:r>
      <w:r w:rsidRPr="001C2067">
        <w:rPr>
          <w:rStyle w:val="apple-converted-space"/>
          <w:color w:val="000000" w:themeColor="text1"/>
          <w:sz w:val="24"/>
          <w:szCs w:val="24"/>
        </w:rPr>
        <w:t> </w:t>
      </w:r>
    </w:p>
    <w:p w14:paraId="365C2C8A" w14:textId="77777777" w:rsidR="002A4A16" w:rsidRPr="001C2067" w:rsidRDefault="002A4A16" w:rsidP="00346ED7">
      <w:pPr>
        <w:jc w:val="both"/>
        <w:rPr>
          <w:color w:val="000000" w:themeColor="text1"/>
          <w:sz w:val="24"/>
          <w:szCs w:val="24"/>
        </w:rPr>
      </w:pPr>
    </w:p>
    <w:p w14:paraId="1C197962" w14:textId="1E187633" w:rsidR="002A4A16" w:rsidRPr="001C2067" w:rsidRDefault="002A4A16" w:rsidP="00346ED7">
      <w:pPr>
        <w:jc w:val="both"/>
        <w:rPr>
          <w:color w:val="000000" w:themeColor="text1"/>
          <w:sz w:val="24"/>
          <w:szCs w:val="24"/>
        </w:rPr>
      </w:pPr>
      <w:r w:rsidRPr="001C2067">
        <w:rPr>
          <w:color w:val="000000" w:themeColor="text1"/>
          <w:sz w:val="24"/>
          <w:szCs w:val="24"/>
        </w:rPr>
        <w:t>The MASH framework is imbedded in policing practices, with a DASH public protection notice (PPN) required at all domestic related calls, however, the safeguarding processes and practices are still inconsistent. In reference to this specific incident that was domestic related, the Multi-Agency Risk Assessment Conference (MARACs) which is where information about the victim is shared by social services, police, health practitioners and domestic violence advisors (IDVAs). The primary focus is to safeguard the victim, discuss interventions and create a coordinated action plan, to prevent further harm</w:t>
      </w:r>
      <w:r w:rsidR="00566483" w:rsidRPr="001C2067">
        <w:rPr>
          <w:color w:val="000000" w:themeColor="text1"/>
          <w:sz w:val="24"/>
          <w:szCs w:val="24"/>
        </w:rPr>
        <w:t xml:space="preserve">. </w:t>
      </w:r>
      <w:r w:rsidRPr="001C2067">
        <w:rPr>
          <w:color w:val="000000" w:themeColor="text1"/>
          <w:sz w:val="24"/>
          <w:szCs w:val="24"/>
        </w:rPr>
        <w:t>Although multiagency has become orthodox in policing, resulting substantial increase</w:t>
      </w:r>
      <w:r w:rsidR="008C03A6" w:rsidRPr="001C2067">
        <w:rPr>
          <w:color w:val="000000" w:themeColor="text1"/>
          <w:sz w:val="24"/>
          <w:szCs w:val="24"/>
        </w:rPr>
        <w:t>s</w:t>
      </w:r>
      <w:r w:rsidRPr="001C2067">
        <w:rPr>
          <w:color w:val="000000" w:themeColor="text1"/>
          <w:sz w:val="24"/>
          <w:szCs w:val="24"/>
        </w:rPr>
        <w:t xml:space="preserve"> in information </w:t>
      </w:r>
      <w:r w:rsidR="008C03A6" w:rsidRPr="001C2067">
        <w:rPr>
          <w:color w:val="000000" w:themeColor="text1"/>
          <w:sz w:val="24"/>
          <w:szCs w:val="24"/>
        </w:rPr>
        <w:t xml:space="preserve">sharing </w:t>
      </w:r>
      <w:r w:rsidRPr="001C2067">
        <w:rPr>
          <w:color w:val="000000" w:themeColor="text1"/>
          <w:sz w:val="24"/>
          <w:szCs w:val="24"/>
        </w:rPr>
        <w:t>between partners, ther</w:t>
      </w:r>
      <w:r w:rsidR="008C03A6" w:rsidRPr="001C2067">
        <w:rPr>
          <w:color w:val="000000" w:themeColor="text1"/>
          <w:sz w:val="24"/>
          <w:szCs w:val="24"/>
        </w:rPr>
        <w:t>e’</w:t>
      </w:r>
      <w:r w:rsidRPr="001C2067">
        <w:rPr>
          <w:color w:val="000000" w:themeColor="text1"/>
          <w:sz w:val="24"/>
          <w:szCs w:val="24"/>
        </w:rPr>
        <w:t xml:space="preserve">s a lack of evidence of the effectiveness of MASH and MARAC schemes, thus, limiting our knowledge on how these schemes benefit and safeguard vulnerable, </w:t>
      </w:r>
      <w:proofErr w:type="gramStart"/>
      <w:r w:rsidRPr="001C2067">
        <w:rPr>
          <w:color w:val="000000" w:themeColor="text1"/>
          <w:sz w:val="24"/>
          <w:szCs w:val="24"/>
        </w:rPr>
        <w:t>at risk</w:t>
      </w:r>
      <w:proofErr w:type="gramEnd"/>
      <w:r w:rsidRPr="001C2067">
        <w:rPr>
          <w:color w:val="000000" w:themeColor="text1"/>
          <w:sz w:val="24"/>
          <w:szCs w:val="24"/>
        </w:rPr>
        <w:t xml:space="preserve"> individuals (</w:t>
      </w:r>
      <w:proofErr w:type="spellStart"/>
      <w:r w:rsidR="00566483" w:rsidRPr="001C2067">
        <w:rPr>
          <w:color w:val="000000" w:themeColor="text1"/>
          <w:sz w:val="24"/>
          <w:szCs w:val="24"/>
        </w:rPr>
        <w:t>Shorrock</w:t>
      </w:r>
      <w:proofErr w:type="spellEnd"/>
      <w:r w:rsidR="00566483" w:rsidRPr="001C2067">
        <w:rPr>
          <w:color w:val="000000" w:themeColor="text1"/>
          <w:sz w:val="24"/>
          <w:szCs w:val="24"/>
        </w:rPr>
        <w:t>, McManus &amp; Kirby, 2020).</w:t>
      </w:r>
    </w:p>
    <w:p w14:paraId="18526485" w14:textId="77777777" w:rsidR="002A4A16" w:rsidRPr="001C2067" w:rsidRDefault="002A4A16" w:rsidP="00346ED7">
      <w:pPr>
        <w:jc w:val="both"/>
        <w:rPr>
          <w:color w:val="000000" w:themeColor="text1"/>
          <w:sz w:val="24"/>
          <w:szCs w:val="24"/>
        </w:rPr>
      </w:pPr>
    </w:p>
    <w:p w14:paraId="0B560B98" w14:textId="150764A0" w:rsidR="002A4A16" w:rsidRPr="001C2067" w:rsidRDefault="002A4A16" w:rsidP="00346ED7">
      <w:pPr>
        <w:jc w:val="both"/>
        <w:rPr>
          <w:color w:val="000000" w:themeColor="text1"/>
          <w:sz w:val="24"/>
          <w:szCs w:val="24"/>
        </w:rPr>
      </w:pPr>
      <w:r w:rsidRPr="001C2067">
        <w:rPr>
          <w:color w:val="000000" w:themeColor="text1"/>
          <w:sz w:val="24"/>
          <w:szCs w:val="24"/>
        </w:rPr>
        <w:t xml:space="preserve">Substance misuse </w:t>
      </w:r>
      <w:r w:rsidR="001F0D88" w:rsidRPr="001C2067">
        <w:rPr>
          <w:color w:val="000000" w:themeColor="text1"/>
          <w:sz w:val="24"/>
          <w:szCs w:val="24"/>
        </w:rPr>
        <w:t xml:space="preserve">is </w:t>
      </w:r>
      <w:r w:rsidRPr="001C2067">
        <w:rPr>
          <w:color w:val="000000" w:themeColor="text1"/>
          <w:sz w:val="24"/>
          <w:szCs w:val="24"/>
        </w:rPr>
        <w:t>a strong contributor to domestic violence, with violence four times more likely to occur when substances are involved and visible signs of alcohol present in half of domestic violence incidents (</w:t>
      </w:r>
      <w:proofErr w:type="spellStart"/>
      <w:r w:rsidRPr="001C2067">
        <w:rPr>
          <w:color w:val="000000" w:themeColor="text1"/>
          <w:sz w:val="24"/>
          <w:szCs w:val="24"/>
        </w:rPr>
        <w:t>Foran</w:t>
      </w:r>
      <w:proofErr w:type="spellEnd"/>
      <w:r w:rsidRPr="001C2067">
        <w:rPr>
          <w:color w:val="000000" w:themeColor="text1"/>
          <w:sz w:val="24"/>
          <w:szCs w:val="24"/>
        </w:rPr>
        <w:t xml:space="preserve"> &amp; O'Leary, 2008; </w:t>
      </w:r>
      <w:proofErr w:type="spellStart"/>
      <w:r w:rsidRPr="001C2067">
        <w:rPr>
          <w:color w:val="000000" w:themeColor="text1"/>
          <w:sz w:val="24"/>
          <w:szCs w:val="24"/>
        </w:rPr>
        <w:t>Hindin</w:t>
      </w:r>
      <w:proofErr w:type="spellEnd"/>
      <w:r w:rsidRPr="001C2067">
        <w:rPr>
          <w:color w:val="000000" w:themeColor="text1"/>
          <w:sz w:val="24"/>
          <w:szCs w:val="24"/>
        </w:rPr>
        <w:t xml:space="preserve">, Kishor &amp; </w:t>
      </w:r>
      <w:proofErr w:type="spellStart"/>
      <w:r w:rsidRPr="001C2067">
        <w:rPr>
          <w:color w:val="000000" w:themeColor="text1"/>
          <w:sz w:val="24"/>
          <w:szCs w:val="24"/>
        </w:rPr>
        <w:t>Ansara</w:t>
      </w:r>
      <w:proofErr w:type="spellEnd"/>
      <w:r w:rsidRPr="001C2067">
        <w:rPr>
          <w:color w:val="000000" w:themeColor="text1"/>
          <w:sz w:val="24"/>
          <w:szCs w:val="24"/>
        </w:rPr>
        <w:t xml:space="preserve">, 2008). </w:t>
      </w:r>
      <w:r w:rsidR="008C03A6" w:rsidRPr="001C2067">
        <w:rPr>
          <w:color w:val="000000" w:themeColor="text1"/>
          <w:sz w:val="24"/>
          <w:szCs w:val="24"/>
        </w:rPr>
        <w:t>S</w:t>
      </w:r>
      <w:r w:rsidRPr="001C2067">
        <w:rPr>
          <w:color w:val="000000" w:themeColor="text1"/>
          <w:sz w:val="24"/>
          <w:szCs w:val="24"/>
        </w:rPr>
        <w:t>tudies identif</w:t>
      </w:r>
      <w:r w:rsidR="008C03A6" w:rsidRPr="001C2067">
        <w:rPr>
          <w:color w:val="000000" w:themeColor="text1"/>
          <w:sz w:val="24"/>
          <w:szCs w:val="24"/>
        </w:rPr>
        <w:t>ied</w:t>
      </w:r>
      <w:r w:rsidRPr="001C2067">
        <w:rPr>
          <w:color w:val="000000" w:themeColor="text1"/>
          <w:sz w:val="24"/>
          <w:szCs w:val="24"/>
        </w:rPr>
        <w:t xml:space="preserve"> that substance misuse increased the frequency and severity of domestic violence, with the likelihood of violence two to three times higher when substance misuse is involved. The studies used both controlled and uncontrolled groups, allowing for a naturalistic study to be conducted, the study suggested that effective treatment for substance misuse reduces the frequency and severity of abuse, advocating the proposal of conditional cautions for rehabilitative conditions to be put in place (Murphy &amp; Ting, 2010). The police can divert domestic abuse aggressor with substance dependency into treatment via local health and social care services, however, the difficulty is only the CPS can give a conditional caution to attend, which is more likely to be successful (Thompson &amp; </w:t>
      </w:r>
      <w:proofErr w:type="spellStart"/>
      <w:r w:rsidRPr="001C2067">
        <w:rPr>
          <w:color w:val="000000" w:themeColor="text1"/>
          <w:sz w:val="24"/>
          <w:szCs w:val="24"/>
        </w:rPr>
        <w:t>Kingree</w:t>
      </w:r>
      <w:proofErr w:type="spellEnd"/>
      <w:r w:rsidRPr="001C2067">
        <w:rPr>
          <w:color w:val="000000" w:themeColor="text1"/>
          <w:sz w:val="24"/>
          <w:szCs w:val="24"/>
        </w:rPr>
        <w:t>, 2006).</w:t>
      </w:r>
      <w:r w:rsidR="008C03A6" w:rsidRPr="001C2067">
        <w:rPr>
          <w:color w:val="000000" w:themeColor="text1"/>
          <w:sz w:val="24"/>
          <w:szCs w:val="24"/>
        </w:rPr>
        <w:t xml:space="preserve"> </w:t>
      </w:r>
      <w:r w:rsidRPr="001C2067">
        <w:rPr>
          <w:color w:val="000000" w:themeColor="text1"/>
          <w:sz w:val="24"/>
          <w:szCs w:val="24"/>
        </w:rPr>
        <w:t xml:space="preserve">Schmidt and Sherman </w:t>
      </w:r>
      <w:r w:rsidRPr="001C2067">
        <w:rPr>
          <w:color w:val="000000" w:themeColor="text1"/>
          <w:sz w:val="24"/>
          <w:szCs w:val="24"/>
        </w:rPr>
        <w:lastRenderedPageBreak/>
        <w:t>(1993) identified that arresting at domestic related incidents has been shown to decrease the risk of further assaults by up to half on the same victim within a 6 month follow up. The study further showed that prosecution isn’t required as the arrest provides immediate safeguarding to the victim and reiterates to communities that domestic violence isn’t acceptable (Strive, 2012).</w:t>
      </w:r>
    </w:p>
    <w:p w14:paraId="7F078D19" w14:textId="77777777" w:rsidR="002A4A16" w:rsidRPr="001C2067" w:rsidRDefault="002A4A16" w:rsidP="00346ED7">
      <w:pPr>
        <w:jc w:val="both"/>
        <w:rPr>
          <w:color w:val="000000" w:themeColor="text1"/>
          <w:sz w:val="24"/>
          <w:szCs w:val="24"/>
        </w:rPr>
      </w:pPr>
    </w:p>
    <w:p w14:paraId="2453B077" w14:textId="1C745E6C" w:rsidR="002A4A16" w:rsidRPr="001C2067" w:rsidRDefault="002A4A16" w:rsidP="00346ED7">
      <w:pPr>
        <w:jc w:val="both"/>
        <w:rPr>
          <w:color w:val="000000" w:themeColor="text1"/>
          <w:sz w:val="24"/>
          <w:szCs w:val="24"/>
        </w:rPr>
      </w:pPr>
      <w:r w:rsidRPr="001C2067">
        <w:rPr>
          <w:color w:val="000000" w:themeColor="text1"/>
          <w:sz w:val="24"/>
          <w:szCs w:val="24"/>
        </w:rPr>
        <w:t>There</w:t>
      </w:r>
      <w:r w:rsidR="00566483" w:rsidRPr="001C2067">
        <w:rPr>
          <w:color w:val="000000" w:themeColor="text1"/>
          <w:sz w:val="24"/>
          <w:szCs w:val="24"/>
        </w:rPr>
        <w:t>’</w:t>
      </w:r>
      <w:r w:rsidRPr="001C2067">
        <w:rPr>
          <w:color w:val="000000" w:themeColor="text1"/>
          <w:sz w:val="24"/>
          <w:szCs w:val="24"/>
        </w:rPr>
        <w:t>s a wealth of studies on domestic violence and despite understanding the factors that increase likelihood of domestic violence, there</w:t>
      </w:r>
      <w:r w:rsidR="00566483" w:rsidRPr="001C2067">
        <w:rPr>
          <w:color w:val="000000" w:themeColor="text1"/>
          <w:sz w:val="24"/>
          <w:szCs w:val="24"/>
        </w:rPr>
        <w:t>’</w:t>
      </w:r>
      <w:r w:rsidRPr="001C2067">
        <w:rPr>
          <w:color w:val="000000" w:themeColor="text1"/>
          <w:sz w:val="24"/>
          <w:szCs w:val="24"/>
        </w:rPr>
        <w:t xml:space="preserve">s </w:t>
      </w:r>
      <w:r w:rsidR="00566483" w:rsidRPr="001C2067">
        <w:rPr>
          <w:color w:val="000000" w:themeColor="text1"/>
          <w:sz w:val="24"/>
          <w:szCs w:val="24"/>
        </w:rPr>
        <w:t>limited</w:t>
      </w:r>
      <w:r w:rsidRPr="001C2067">
        <w:rPr>
          <w:color w:val="000000" w:themeColor="text1"/>
          <w:sz w:val="24"/>
          <w:szCs w:val="24"/>
        </w:rPr>
        <w:t xml:space="preserve"> understanding </w:t>
      </w:r>
      <w:r w:rsidR="00566483" w:rsidRPr="001C2067">
        <w:rPr>
          <w:color w:val="000000" w:themeColor="text1"/>
          <w:sz w:val="24"/>
          <w:szCs w:val="24"/>
        </w:rPr>
        <w:t xml:space="preserve">in </w:t>
      </w:r>
      <w:r w:rsidRPr="001C2067">
        <w:rPr>
          <w:color w:val="000000" w:themeColor="text1"/>
          <w:sz w:val="24"/>
          <w:szCs w:val="24"/>
        </w:rPr>
        <w:t>interventions, thus, not providing the best possible safeguarding for vulnerable victims. The intervention that is most successful in identifying vulnerable victims is DASH which has identified 100,000 high risk victims each year for enhanced risk supervision since its implementation in 2009 (Am, 2021.).</w:t>
      </w:r>
      <w:r w:rsidRPr="001C2067">
        <w:rPr>
          <w:rStyle w:val="apple-converted-space"/>
          <w:color w:val="000000" w:themeColor="text1"/>
          <w:sz w:val="24"/>
          <w:szCs w:val="24"/>
        </w:rPr>
        <w:t> </w:t>
      </w:r>
      <w:r w:rsidRPr="001C2067">
        <w:rPr>
          <w:color w:val="000000" w:themeColor="text1"/>
          <w:sz w:val="24"/>
          <w:szCs w:val="24"/>
        </w:rPr>
        <w:t xml:space="preserve"> The MASH is exceptionally effective by having all partner agencies involved is one of the earliest interventions to identify and prevent further abuse, with interventions coordinated by partner agencies, providing the victim the greatest chance of getting an intervention that is most likely to help them break the abuse cycle</w:t>
      </w:r>
      <w:r w:rsidR="00566483" w:rsidRPr="001C2067">
        <w:rPr>
          <w:color w:val="000000" w:themeColor="text1"/>
          <w:sz w:val="24"/>
          <w:szCs w:val="24"/>
        </w:rPr>
        <w:t xml:space="preserve">. </w:t>
      </w:r>
      <w:r w:rsidRPr="001C2067">
        <w:rPr>
          <w:color w:val="000000" w:themeColor="text1"/>
          <w:sz w:val="24"/>
          <w:szCs w:val="24"/>
        </w:rPr>
        <w:t>A combination of interventions is likely to be required to successfully reduce the risk of abuse and revictimization, due to the multifaceted nature of domestic violence</w:t>
      </w:r>
      <w:r w:rsidR="006825A7" w:rsidRPr="001C2067">
        <w:rPr>
          <w:color w:val="000000" w:themeColor="text1"/>
          <w:sz w:val="24"/>
          <w:szCs w:val="24"/>
        </w:rPr>
        <w:t xml:space="preserve">. </w:t>
      </w:r>
    </w:p>
    <w:p w14:paraId="285D4D00" w14:textId="77777777" w:rsidR="002A4A16" w:rsidRPr="001C2067" w:rsidRDefault="002A4A16" w:rsidP="00346ED7">
      <w:pPr>
        <w:tabs>
          <w:tab w:val="left" w:pos="5626"/>
        </w:tabs>
        <w:jc w:val="both"/>
        <w:rPr>
          <w:b/>
          <w:bCs/>
          <w:color w:val="000000" w:themeColor="text1"/>
          <w:sz w:val="24"/>
          <w:szCs w:val="24"/>
          <w:u w:val="single"/>
        </w:rPr>
      </w:pPr>
    </w:p>
    <w:p w14:paraId="0C27C0A8" w14:textId="35A00A11" w:rsidR="002A4A16" w:rsidRPr="001C2067" w:rsidRDefault="002A4A16" w:rsidP="00346ED7">
      <w:pPr>
        <w:jc w:val="both"/>
        <w:rPr>
          <w:color w:val="000000" w:themeColor="text1"/>
          <w:sz w:val="24"/>
          <w:szCs w:val="24"/>
        </w:rPr>
      </w:pPr>
      <w:r w:rsidRPr="001C2067">
        <w:rPr>
          <w:color w:val="000000" w:themeColor="text1"/>
          <w:sz w:val="24"/>
          <w:szCs w:val="24"/>
        </w:rPr>
        <w:t xml:space="preserve">Evidence based policing (EBP) is the use of research and best evidence to inform policing policies, procedures and decisions, this approach should allow officers to reflect on their actions and learn from their successful and not so successful incidents. Policing is a practical </w:t>
      </w:r>
      <w:proofErr w:type="gramStart"/>
      <w:r w:rsidRPr="001C2067">
        <w:rPr>
          <w:color w:val="000000" w:themeColor="text1"/>
          <w:sz w:val="24"/>
          <w:szCs w:val="24"/>
        </w:rPr>
        <w:t>role,</w:t>
      </w:r>
      <w:proofErr w:type="gramEnd"/>
      <w:r w:rsidRPr="001C2067">
        <w:rPr>
          <w:color w:val="000000" w:themeColor="text1"/>
          <w:sz w:val="24"/>
          <w:szCs w:val="24"/>
        </w:rPr>
        <w:t xml:space="preserve"> however, research can be used to better understand issues within our communities and interventions can be implemented to explore innovative methods to resolve incidents (College of Policing, 2022;</w:t>
      </w:r>
      <w:r w:rsidRPr="001C2067">
        <w:rPr>
          <w:color w:val="000000" w:themeColor="text1"/>
          <w:sz w:val="24"/>
          <w:szCs w:val="24"/>
          <w:shd w:val="clear" w:color="auto" w:fill="FFFFFF"/>
        </w:rPr>
        <w:t xml:space="preserve"> Sherman, 1998.</w:t>
      </w:r>
      <w:r w:rsidRPr="001C2067">
        <w:rPr>
          <w:color w:val="000000" w:themeColor="text1"/>
          <w:sz w:val="24"/>
          <w:szCs w:val="24"/>
        </w:rPr>
        <w:t>).</w:t>
      </w:r>
      <w:r w:rsidRPr="001C2067">
        <w:rPr>
          <w:rStyle w:val="apple-converted-space"/>
          <w:color w:val="000000" w:themeColor="text1"/>
          <w:sz w:val="24"/>
          <w:szCs w:val="24"/>
        </w:rPr>
        <w:t> EPB requires generalisations of types of crimes and individuals involved in these crimes to create procedures, tactics, training, and strategies to resolve a situation, crime reduction and prevention strategies (</w:t>
      </w:r>
      <w:r w:rsidRPr="001C2067">
        <w:rPr>
          <w:color w:val="000000" w:themeColor="text1"/>
          <w:sz w:val="24"/>
          <w:szCs w:val="24"/>
        </w:rPr>
        <w:t xml:space="preserve">Lum, Koper &amp; </w:t>
      </w:r>
      <w:proofErr w:type="spellStart"/>
      <w:r w:rsidRPr="001C2067">
        <w:rPr>
          <w:color w:val="000000" w:themeColor="text1"/>
          <w:sz w:val="24"/>
          <w:szCs w:val="24"/>
        </w:rPr>
        <w:t>Telep</w:t>
      </w:r>
      <w:proofErr w:type="spellEnd"/>
      <w:r w:rsidRPr="001C2067">
        <w:rPr>
          <w:color w:val="000000" w:themeColor="text1"/>
          <w:sz w:val="24"/>
          <w:szCs w:val="24"/>
        </w:rPr>
        <w:t>, 2010).</w:t>
      </w:r>
      <w:r w:rsidR="00C05C73" w:rsidRPr="001C2067">
        <w:rPr>
          <w:color w:val="000000" w:themeColor="text1"/>
          <w:sz w:val="24"/>
          <w:szCs w:val="24"/>
        </w:rPr>
        <w:t xml:space="preserve"> </w:t>
      </w:r>
    </w:p>
    <w:p w14:paraId="0F05E08E" w14:textId="77777777" w:rsidR="00E120FB" w:rsidRPr="001C2067" w:rsidRDefault="00E120FB" w:rsidP="00346ED7">
      <w:pPr>
        <w:jc w:val="both"/>
        <w:rPr>
          <w:b/>
          <w:bCs/>
          <w:color w:val="000000" w:themeColor="text1"/>
          <w:sz w:val="24"/>
          <w:szCs w:val="24"/>
          <w:u w:val="single"/>
        </w:rPr>
      </w:pPr>
    </w:p>
    <w:p w14:paraId="46E709D9" w14:textId="6977D467" w:rsidR="00E120FB" w:rsidRPr="001C2067" w:rsidRDefault="00E120FB" w:rsidP="00346ED7">
      <w:pPr>
        <w:jc w:val="both"/>
        <w:rPr>
          <w:color w:val="000000" w:themeColor="text1"/>
          <w:sz w:val="24"/>
          <w:szCs w:val="24"/>
        </w:rPr>
      </w:pPr>
      <w:r w:rsidRPr="001C2067">
        <w:rPr>
          <w:color w:val="000000" w:themeColor="text1"/>
          <w:sz w:val="24"/>
          <w:szCs w:val="24"/>
        </w:rPr>
        <w:t>Proactive policing is strategy-based policing in which the force will develop and implement tactics to prevent or limit crime based on research and statistics. Proactive policing has been successful in reducing crime and disorder, such as hot spot policing</w:t>
      </w:r>
      <w:r w:rsidR="00566483" w:rsidRPr="001C2067">
        <w:rPr>
          <w:color w:val="000000" w:themeColor="text1"/>
          <w:sz w:val="24"/>
          <w:szCs w:val="24"/>
        </w:rPr>
        <w:t xml:space="preserve"> </w:t>
      </w:r>
      <w:r w:rsidRPr="001C2067">
        <w:rPr>
          <w:color w:val="000000" w:themeColor="text1"/>
          <w:sz w:val="24"/>
          <w:szCs w:val="24"/>
        </w:rPr>
        <w:t>increas</w:t>
      </w:r>
      <w:r w:rsidR="00566483" w:rsidRPr="001C2067">
        <w:rPr>
          <w:color w:val="000000" w:themeColor="text1"/>
          <w:sz w:val="24"/>
          <w:szCs w:val="24"/>
        </w:rPr>
        <w:t>ing</w:t>
      </w:r>
      <w:r w:rsidRPr="001C2067">
        <w:rPr>
          <w:color w:val="000000" w:themeColor="text1"/>
          <w:sz w:val="24"/>
          <w:szCs w:val="24"/>
        </w:rPr>
        <w:t xml:space="preserve"> patrols where crime is concentrated and is successful in deterring offenders (Lum, Koper, Wu, Johnson &amp; Stoltz, 2020).</w:t>
      </w:r>
      <w:r w:rsidR="008C03A6" w:rsidRPr="001C2067">
        <w:rPr>
          <w:color w:val="000000" w:themeColor="text1"/>
          <w:sz w:val="24"/>
          <w:szCs w:val="24"/>
        </w:rPr>
        <w:t xml:space="preserve"> </w:t>
      </w:r>
      <w:r w:rsidRPr="001C2067">
        <w:rPr>
          <w:color w:val="000000" w:themeColor="text1"/>
          <w:sz w:val="24"/>
          <w:szCs w:val="24"/>
        </w:rPr>
        <w:t>Proactive policing implemented the safeguarding of victims when a prosecution is not being pursued by implementing Domestic Violence Protection Notices (DVPN), which provide a 48-hour non-molestation notice, prior to an application to the magistrate’s court for a Domestic Violence Protection Order (DVPO) which provides a non-molestation order for 28 days (Ewin, Bates &amp; Taylor, 2020; Constabulary, H.M.I. of and Fire, 2021</w:t>
      </w:r>
      <w:r w:rsidR="008C03A6" w:rsidRPr="001C2067">
        <w:rPr>
          <w:color w:val="000000" w:themeColor="text1"/>
          <w:sz w:val="24"/>
          <w:szCs w:val="24"/>
        </w:rPr>
        <w:t xml:space="preserve">). </w:t>
      </w:r>
      <w:r w:rsidRPr="001C2067">
        <w:rPr>
          <w:color w:val="000000" w:themeColor="text1"/>
          <w:sz w:val="24"/>
          <w:szCs w:val="24"/>
        </w:rPr>
        <w:t xml:space="preserve">The disruption of living circumstances alone has positive impacts on decreasing the risk of repeat victimisation, however, when coupled with other interventions such as referrals to domestic mediation services (Kelly et al, 2013; Russell, 2012). </w:t>
      </w:r>
    </w:p>
    <w:p w14:paraId="2871991C" w14:textId="77777777" w:rsidR="00E120FB" w:rsidRPr="001C2067" w:rsidRDefault="00E120FB" w:rsidP="00346ED7">
      <w:pPr>
        <w:jc w:val="both"/>
        <w:rPr>
          <w:b/>
          <w:bCs/>
          <w:color w:val="000000" w:themeColor="text1"/>
          <w:sz w:val="24"/>
          <w:szCs w:val="24"/>
          <w:u w:val="single"/>
        </w:rPr>
      </w:pPr>
    </w:p>
    <w:p w14:paraId="290B8165" w14:textId="0C0CF28F" w:rsidR="00E120FB" w:rsidRPr="001C2067" w:rsidRDefault="00E120FB" w:rsidP="00346ED7">
      <w:pPr>
        <w:jc w:val="both"/>
        <w:rPr>
          <w:b/>
          <w:bCs/>
          <w:color w:val="000000" w:themeColor="text1"/>
          <w:sz w:val="24"/>
          <w:szCs w:val="24"/>
          <w:u w:val="single"/>
        </w:rPr>
      </w:pPr>
      <w:r w:rsidRPr="001C2067">
        <w:rPr>
          <w:color w:val="000000" w:themeColor="text1"/>
          <w:sz w:val="24"/>
          <w:szCs w:val="24"/>
        </w:rPr>
        <w:t>There are limits to this type of policing as it often targets vulnerable individuals, predominantly from minority ethnic groups as statistically these groups are more likely to be involved in criminal activity. This has caused racial profiling, resulting in criminalisation of vulnerable people, such as the increased use of stop search powers on black individuals</w:t>
      </w:r>
      <w:r w:rsidR="006825A7" w:rsidRPr="001C2067">
        <w:rPr>
          <w:color w:val="000000" w:themeColor="text1"/>
          <w:sz w:val="24"/>
          <w:szCs w:val="24"/>
        </w:rPr>
        <w:t>.</w:t>
      </w:r>
      <w:r w:rsidR="008819FB" w:rsidRPr="001C2067">
        <w:rPr>
          <w:b/>
          <w:bCs/>
          <w:color w:val="000000" w:themeColor="text1"/>
          <w:sz w:val="24"/>
          <w:szCs w:val="24"/>
        </w:rPr>
        <w:t xml:space="preserve"> </w:t>
      </w:r>
      <w:r w:rsidRPr="001C2067">
        <w:rPr>
          <w:color w:val="000000" w:themeColor="text1"/>
          <w:sz w:val="24"/>
          <w:szCs w:val="24"/>
        </w:rPr>
        <w:t xml:space="preserve">Proactive policing is more effective than reactive policing but in the current climate can be difficult to implement due to the current demand on </w:t>
      </w:r>
      <w:r w:rsidRPr="001C2067">
        <w:rPr>
          <w:color w:val="000000" w:themeColor="text1"/>
          <w:sz w:val="24"/>
          <w:szCs w:val="24"/>
        </w:rPr>
        <w:lastRenderedPageBreak/>
        <w:t xml:space="preserve">response policing and should be used with caution </w:t>
      </w:r>
      <w:r w:rsidR="008819FB" w:rsidRPr="001C2067">
        <w:rPr>
          <w:color w:val="000000" w:themeColor="text1"/>
          <w:sz w:val="24"/>
          <w:szCs w:val="24"/>
        </w:rPr>
        <w:t>regarding</w:t>
      </w:r>
      <w:r w:rsidRPr="001C2067">
        <w:rPr>
          <w:color w:val="000000" w:themeColor="text1"/>
          <w:sz w:val="24"/>
          <w:szCs w:val="24"/>
        </w:rPr>
        <w:t xml:space="preserve"> assumptions being made on individuals. </w:t>
      </w:r>
    </w:p>
    <w:p w14:paraId="396FB857" w14:textId="77777777" w:rsidR="00E120FB" w:rsidRPr="001C2067" w:rsidRDefault="00E120FB" w:rsidP="00346ED7">
      <w:pPr>
        <w:jc w:val="both"/>
        <w:rPr>
          <w:color w:val="000000" w:themeColor="text1"/>
          <w:sz w:val="24"/>
          <w:szCs w:val="24"/>
        </w:rPr>
      </w:pPr>
    </w:p>
    <w:p w14:paraId="0F3D421B" w14:textId="5EA0AC9A" w:rsidR="00E120FB" w:rsidRPr="001C2067" w:rsidRDefault="00E120FB" w:rsidP="00346ED7">
      <w:pPr>
        <w:jc w:val="both"/>
        <w:rPr>
          <w:color w:val="000000" w:themeColor="text1"/>
          <w:sz w:val="24"/>
          <w:szCs w:val="24"/>
        </w:rPr>
      </w:pPr>
      <w:r w:rsidRPr="001C2067">
        <w:rPr>
          <w:color w:val="000000" w:themeColor="text1"/>
          <w:sz w:val="24"/>
          <w:szCs w:val="24"/>
        </w:rPr>
        <w:t>Predictive policing is a police strategy that creates tactics from the collection and analysis of data from previous crim</w:t>
      </w:r>
      <w:r w:rsidR="006825A7" w:rsidRPr="001C2067">
        <w:rPr>
          <w:color w:val="000000" w:themeColor="text1"/>
          <w:sz w:val="24"/>
          <w:szCs w:val="24"/>
        </w:rPr>
        <w:t>e</w:t>
      </w:r>
      <w:r w:rsidRPr="001C2067">
        <w:rPr>
          <w:color w:val="000000" w:themeColor="text1"/>
          <w:sz w:val="24"/>
          <w:szCs w:val="24"/>
        </w:rPr>
        <w:t>, which statistically identif</w:t>
      </w:r>
      <w:r w:rsidR="006825A7" w:rsidRPr="001C2067">
        <w:rPr>
          <w:color w:val="000000" w:themeColor="text1"/>
          <w:sz w:val="24"/>
          <w:szCs w:val="24"/>
        </w:rPr>
        <w:t>ies</w:t>
      </w:r>
      <w:r w:rsidRPr="001C2067">
        <w:rPr>
          <w:color w:val="000000" w:themeColor="text1"/>
          <w:sz w:val="24"/>
          <w:szCs w:val="24"/>
        </w:rPr>
        <w:t xml:space="preserve"> demographical areas whereby the probability of criminal activity is more likely to occur, and prevention tactics can be implemented. This method increase</w:t>
      </w:r>
      <w:r w:rsidR="008819FB" w:rsidRPr="001C2067">
        <w:rPr>
          <w:color w:val="000000" w:themeColor="text1"/>
          <w:sz w:val="24"/>
          <w:szCs w:val="24"/>
        </w:rPr>
        <w:t>s</w:t>
      </w:r>
      <w:r w:rsidRPr="001C2067">
        <w:rPr>
          <w:color w:val="000000" w:themeColor="text1"/>
          <w:sz w:val="24"/>
          <w:szCs w:val="24"/>
        </w:rPr>
        <w:t xml:space="preserve"> efficacy by understanding crime trends, helping police forces to deploy adequate resources where and when require</w:t>
      </w:r>
      <w:r w:rsidR="006825A7" w:rsidRPr="001C2067">
        <w:rPr>
          <w:color w:val="000000" w:themeColor="text1"/>
          <w:sz w:val="24"/>
          <w:szCs w:val="24"/>
        </w:rPr>
        <w:t>d</w:t>
      </w:r>
      <w:r w:rsidRPr="001C2067">
        <w:rPr>
          <w:color w:val="000000" w:themeColor="text1"/>
          <w:sz w:val="24"/>
          <w:szCs w:val="24"/>
        </w:rPr>
        <w:t xml:space="preserve">, </w:t>
      </w:r>
      <w:r w:rsidR="006825A7" w:rsidRPr="001C2067">
        <w:rPr>
          <w:color w:val="000000" w:themeColor="text1"/>
          <w:sz w:val="24"/>
          <w:szCs w:val="24"/>
        </w:rPr>
        <w:t>allowing for</w:t>
      </w:r>
      <w:r w:rsidRPr="001C2067">
        <w:rPr>
          <w:color w:val="000000" w:themeColor="text1"/>
          <w:sz w:val="24"/>
          <w:szCs w:val="24"/>
        </w:rPr>
        <w:t xml:space="preserve"> effective tactical</w:t>
      </w:r>
      <w:r w:rsidR="006825A7" w:rsidRPr="001C2067">
        <w:rPr>
          <w:color w:val="000000" w:themeColor="text1"/>
          <w:sz w:val="24"/>
          <w:szCs w:val="24"/>
        </w:rPr>
        <w:t xml:space="preserve"> </w:t>
      </w:r>
      <w:r w:rsidRPr="001C2067">
        <w:rPr>
          <w:color w:val="000000" w:themeColor="text1"/>
          <w:sz w:val="24"/>
          <w:szCs w:val="24"/>
        </w:rPr>
        <w:t>planning (Meijer &amp; Wessels, 2019). The assumption within research is that near repeat crime is likely to reoccur in a similar geographical location, at a similar time, thus, allowing forces to develop strategies such as mobile patrol</w:t>
      </w:r>
      <w:r w:rsidR="008819FB" w:rsidRPr="001C2067">
        <w:rPr>
          <w:color w:val="000000" w:themeColor="text1"/>
          <w:sz w:val="24"/>
          <w:szCs w:val="24"/>
        </w:rPr>
        <w:t xml:space="preserve">. </w:t>
      </w:r>
      <w:r w:rsidRPr="001C2067">
        <w:rPr>
          <w:color w:val="000000" w:themeColor="text1"/>
          <w:sz w:val="24"/>
          <w:szCs w:val="24"/>
        </w:rPr>
        <w:t>A strength of this method is by using predictive policing techniques forces are far more aware of hot spot identification alongside identifying ‘peak’ times for criminal activity (</w:t>
      </w:r>
      <w:proofErr w:type="spellStart"/>
      <w:r w:rsidRPr="001C2067">
        <w:rPr>
          <w:color w:val="000000" w:themeColor="text1"/>
          <w:sz w:val="24"/>
          <w:szCs w:val="24"/>
          <w:shd w:val="clear" w:color="auto" w:fill="FFFFFF"/>
        </w:rPr>
        <w:t>Andrejevic</w:t>
      </w:r>
      <w:proofErr w:type="spellEnd"/>
      <w:r w:rsidRPr="001C2067">
        <w:rPr>
          <w:color w:val="000000" w:themeColor="text1"/>
          <w:sz w:val="24"/>
          <w:szCs w:val="24"/>
          <w:shd w:val="clear" w:color="auto" w:fill="FFFFFF"/>
        </w:rPr>
        <w:t>, 2017</w:t>
      </w:r>
      <w:r w:rsidRPr="001C2067">
        <w:rPr>
          <w:color w:val="000000" w:themeColor="text1"/>
          <w:sz w:val="24"/>
          <w:szCs w:val="24"/>
        </w:rPr>
        <w:t xml:space="preserve">; </w:t>
      </w:r>
      <w:r w:rsidRPr="001C2067">
        <w:rPr>
          <w:color w:val="000000" w:themeColor="text1"/>
          <w:sz w:val="24"/>
          <w:szCs w:val="24"/>
          <w:shd w:val="clear" w:color="auto" w:fill="FFFFFF"/>
        </w:rPr>
        <w:t xml:space="preserve">Haberman &amp; Ratcliffe, 2012). </w:t>
      </w:r>
      <w:r w:rsidR="00C05C73" w:rsidRPr="001C2067">
        <w:rPr>
          <w:color w:val="000000" w:themeColor="text1"/>
          <w:sz w:val="24"/>
          <w:szCs w:val="24"/>
        </w:rPr>
        <w:t xml:space="preserve"> </w:t>
      </w:r>
      <w:r w:rsidRPr="001C2067">
        <w:rPr>
          <w:color w:val="000000" w:themeColor="text1"/>
          <w:sz w:val="24"/>
          <w:szCs w:val="24"/>
        </w:rPr>
        <w:t>A tactic used within predictive policing is pre-emptive policing, whereby officers act before the criminal activities take place, such as stop searches to identify weapons before an assault (</w:t>
      </w:r>
      <w:r w:rsidRPr="001C2067">
        <w:rPr>
          <w:color w:val="000000" w:themeColor="text1"/>
          <w:sz w:val="24"/>
          <w:szCs w:val="24"/>
          <w:shd w:val="clear" w:color="auto" w:fill="FFFFFF"/>
        </w:rPr>
        <w:t xml:space="preserve">Smart-Akande, </w:t>
      </w:r>
      <w:proofErr w:type="spellStart"/>
      <w:r w:rsidRPr="001C2067">
        <w:rPr>
          <w:color w:val="000000" w:themeColor="text1"/>
          <w:sz w:val="24"/>
          <w:szCs w:val="24"/>
          <w:shd w:val="clear" w:color="auto" w:fill="FFFFFF"/>
        </w:rPr>
        <w:t>Pinney</w:t>
      </w:r>
      <w:proofErr w:type="spellEnd"/>
      <w:r w:rsidRPr="001C2067">
        <w:rPr>
          <w:color w:val="000000" w:themeColor="text1"/>
          <w:sz w:val="24"/>
          <w:szCs w:val="24"/>
          <w:shd w:val="clear" w:color="auto" w:fill="FFFFFF"/>
        </w:rPr>
        <w:t xml:space="preserve">, </w:t>
      </w:r>
      <w:proofErr w:type="spellStart"/>
      <w:r w:rsidRPr="001C2067">
        <w:rPr>
          <w:color w:val="000000" w:themeColor="text1"/>
          <w:sz w:val="24"/>
          <w:szCs w:val="24"/>
          <w:shd w:val="clear" w:color="auto" w:fill="FFFFFF"/>
        </w:rPr>
        <w:t>Hewage</w:t>
      </w:r>
      <w:proofErr w:type="spellEnd"/>
      <w:r w:rsidRPr="001C2067">
        <w:rPr>
          <w:color w:val="000000" w:themeColor="text1"/>
          <w:sz w:val="24"/>
          <w:szCs w:val="24"/>
          <w:shd w:val="clear" w:color="auto" w:fill="FFFFFF"/>
        </w:rPr>
        <w:t xml:space="preserve">, Khan &amp; </w:t>
      </w:r>
      <w:proofErr w:type="spellStart"/>
      <w:r w:rsidRPr="001C2067">
        <w:rPr>
          <w:color w:val="000000" w:themeColor="text1"/>
          <w:sz w:val="24"/>
          <w:szCs w:val="24"/>
          <w:shd w:val="clear" w:color="auto" w:fill="FFFFFF"/>
        </w:rPr>
        <w:t>Mallikarachchi</w:t>
      </w:r>
      <w:proofErr w:type="spellEnd"/>
      <w:r w:rsidRPr="001C2067">
        <w:rPr>
          <w:color w:val="000000" w:themeColor="text1"/>
          <w:sz w:val="24"/>
          <w:szCs w:val="24"/>
          <w:shd w:val="clear" w:color="auto" w:fill="FFFFFF"/>
        </w:rPr>
        <w:t xml:space="preserve">, 2022). </w:t>
      </w:r>
    </w:p>
    <w:p w14:paraId="3C1DC0A1" w14:textId="77777777" w:rsidR="00E120FB" w:rsidRPr="001C2067" w:rsidRDefault="00E120FB" w:rsidP="00346ED7">
      <w:pPr>
        <w:jc w:val="both"/>
        <w:rPr>
          <w:color w:val="000000" w:themeColor="text1"/>
          <w:sz w:val="24"/>
          <w:szCs w:val="24"/>
        </w:rPr>
      </w:pPr>
    </w:p>
    <w:p w14:paraId="3E23FF83" w14:textId="115A8AF7" w:rsidR="00E120FB" w:rsidRPr="001C2067" w:rsidRDefault="00E120FB" w:rsidP="00346ED7">
      <w:pPr>
        <w:jc w:val="both"/>
        <w:rPr>
          <w:b/>
          <w:bCs/>
          <w:color w:val="000000" w:themeColor="text1"/>
          <w:sz w:val="24"/>
          <w:szCs w:val="24"/>
          <w:u w:val="single"/>
        </w:rPr>
      </w:pPr>
      <w:r w:rsidRPr="001C2067">
        <w:rPr>
          <w:color w:val="000000" w:themeColor="text1"/>
          <w:sz w:val="24"/>
          <w:szCs w:val="24"/>
        </w:rPr>
        <w:t>Problem oriented policing (POP) strategy</w:t>
      </w:r>
      <w:r w:rsidR="009249B3" w:rsidRPr="001C2067">
        <w:rPr>
          <w:color w:val="000000" w:themeColor="text1"/>
          <w:sz w:val="24"/>
          <w:szCs w:val="24"/>
        </w:rPr>
        <w:t xml:space="preserve"> is</w:t>
      </w:r>
      <w:r w:rsidRPr="001C2067">
        <w:rPr>
          <w:color w:val="000000" w:themeColor="text1"/>
          <w:sz w:val="24"/>
          <w:szCs w:val="24"/>
        </w:rPr>
        <w:t xml:space="preserve"> to tackle crime which identifies a specific problem, analyses this problem to understand it, develops a tactic to solve it and then analyses its success.</w:t>
      </w:r>
      <w:r w:rsidR="008819FB" w:rsidRPr="001C2067">
        <w:rPr>
          <w:color w:val="000000" w:themeColor="text1"/>
          <w:sz w:val="24"/>
          <w:szCs w:val="24"/>
        </w:rPr>
        <w:t xml:space="preserve"> </w:t>
      </w:r>
      <w:r w:rsidRPr="001C2067">
        <w:rPr>
          <w:color w:val="000000" w:themeColor="text1"/>
          <w:sz w:val="24"/>
          <w:szCs w:val="24"/>
        </w:rPr>
        <w:t xml:space="preserve">POP is effective in identifying victims who are at risk at being repeat victims in the future, which allows for appropriate interventions to be implemented such as substance rehabilitation, to manage the root cause of the problem, thus, reducing the individuals risk of future harm (Weisburd &amp; </w:t>
      </w:r>
      <w:proofErr w:type="spellStart"/>
      <w:r w:rsidRPr="001C2067">
        <w:rPr>
          <w:color w:val="000000" w:themeColor="text1"/>
          <w:sz w:val="24"/>
          <w:szCs w:val="24"/>
        </w:rPr>
        <w:t>Majmundar</w:t>
      </w:r>
      <w:proofErr w:type="spellEnd"/>
      <w:r w:rsidRPr="001C2067">
        <w:rPr>
          <w:color w:val="000000" w:themeColor="text1"/>
          <w:sz w:val="24"/>
          <w:szCs w:val="24"/>
        </w:rPr>
        <w:t>, 2018</w:t>
      </w:r>
      <w:r w:rsidRPr="001C2067">
        <w:rPr>
          <w:color w:val="000000" w:themeColor="text1"/>
          <w:sz w:val="24"/>
          <w:szCs w:val="24"/>
          <w:shd w:val="clear" w:color="auto" w:fill="FFFFFF"/>
        </w:rPr>
        <w:t>). Sherman and Strang (1996) identified there</w:t>
      </w:r>
      <w:r w:rsidR="006825A7" w:rsidRPr="001C2067">
        <w:rPr>
          <w:color w:val="000000" w:themeColor="text1"/>
          <w:sz w:val="24"/>
          <w:szCs w:val="24"/>
          <w:shd w:val="clear" w:color="auto" w:fill="FFFFFF"/>
        </w:rPr>
        <w:t>’s</w:t>
      </w:r>
      <w:r w:rsidRPr="001C2067">
        <w:rPr>
          <w:color w:val="000000" w:themeColor="text1"/>
          <w:sz w:val="24"/>
          <w:szCs w:val="24"/>
          <w:shd w:val="clear" w:color="auto" w:fill="FFFFFF"/>
        </w:rPr>
        <w:t xml:space="preserve"> a substantially increased risk of repeat abuse in the first 24 hours post incident allowing for short term safeguarding such as refuges. POP is effective when a specific problem is identified that forces can create policies and tactics such as arrest, positive actio</w:t>
      </w:r>
      <w:r w:rsidR="006825A7" w:rsidRPr="001C2067">
        <w:rPr>
          <w:color w:val="000000" w:themeColor="text1"/>
          <w:sz w:val="24"/>
          <w:szCs w:val="24"/>
          <w:shd w:val="clear" w:color="auto" w:fill="FFFFFF"/>
        </w:rPr>
        <w:t>n.</w:t>
      </w:r>
      <w:r w:rsidRPr="001C2067">
        <w:rPr>
          <w:color w:val="000000" w:themeColor="text1"/>
          <w:sz w:val="24"/>
          <w:szCs w:val="24"/>
          <w:shd w:val="clear" w:color="auto" w:fill="FFFFFF"/>
        </w:rPr>
        <w:t xml:space="preserve"> </w:t>
      </w:r>
    </w:p>
    <w:p w14:paraId="1CD20E58" w14:textId="77777777" w:rsidR="00E120FB" w:rsidRPr="001C2067" w:rsidRDefault="00E120FB" w:rsidP="006825A7">
      <w:pPr>
        <w:jc w:val="both"/>
        <w:rPr>
          <w:color w:val="000000" w:themeColor="text1"/>
          <w:sz w:val="24"/>
          <w:szCs w:val="24"/>
        </w:rPr>
      </w:pPr>
    </w:p>
    <w:p w14:paraId="417D0356" w14:textId="10478595" w:rsidR="00E120FB" w:rsidRPr="001C2067" w:rsidRDefault="00E120FB" w:rsidP="006825A7">
      <w:pPr>
        <w:jc w:val="both"/>
        <w:rPr>
          <w:color w:val="000000" w:themeColor="text1"/>
          <w:sz w:val="24"/>
          <w:szCs w:val="24"/>
        </w:rPr>
      </w:pPr>
      <w:r w:rsidRPr="001C2067">
        <w:rPr>
          <w:color w:val="000000" w:themeColor="text1"/>
          <w:sz w:val="24"/>
          <w:szCs w:val="24"/>
        </w:rPr>
        <w:t xml:space="preserve">The police </w:t>
      </w:r>
      <w:r w:rsidR="006825A7" w:rsidRPr="001C2067">
        <w:rPr>
          <w:color w:val="000000" w:themeColor="text1"/>
          <w:sz w:val="24"/>
          <w:szCs w:val="24"/>
        </w:rPr>
        <w:t>adopt</w:t>
      </w:r>
      <w:r w:rsidRPr="001C2067">
        <w:rPr>
          <w:color w:val="000000" w:themeColor="text1"/>
          <w:sz w:val="24"/>
          <w:szCs w:val="24"/>
        </w:rPr>
        <w:t xml:space="preserve"> a variety of strategies to reduce crime, prevent crime and support</w:t>
      </w:r>
      <w:r w:rsidR="009249B3" w:rsidRPr="001C2067">
        <w:rPr>
          <w:color w:val="000000" w:themeColor="text1"/>
          <w:sz w:val="24"/>
          <w:szCs w:val="24"/>
        </w:rPr>
        <w:t xml:space="preserve"> </w:t>
      </w:r>
      <w:r w:rsidRPr="001C2067">
        <w:rPr>
          <w:color w:val="000000" w:themeColor="text1"/>
          <w:sz w:val="24"/>
          <w:szCs w:val="24"/>
        </w:rPr>
        <w:t xml:space="preserve">vulnerable individuals. Whist each strategy has its own strengths and weaknesses, proactive policing is most effective in identifying, supporting, and managing vulnerable victims aswell as addressing the root cause of the problems, rather than the symptomatic nature of the incident. Predictive policing can lead to more </w:t>
      </w:r>
      <w:r w:rsidR="008C03A6" w:rsidRPr="001C2067">
        <w:rPr>
          <w:color w:val="000000" w:themeColor="text1"/>
          <w:sz w:val="24"/>
          <w:szCs w:val="24"/>
          <w:shd w:val="clear" w:color="auto" w:fill="FFFFFF"/>
        </w:rPr>
        <w:t xml:space="preserve">discriminatory </w:t>
      </w:r>
      <w:r w:rsidRPr="001C2067">
        <w:rPr>
          <w:color w:val="000000" w:themeColor="text1"/>
          <w:sz w:val="24"/>
          <w:szCs w:val="24"/>
        </w:rPr>
        <w:t xml:space="preserve">police interventions, leading to racial profiling (Meijer &amp; Wessels, 2019). </w:t>
      </w:r>
    </w:p>
    <w:p w14:paraId="1FC1915E" w14:textId="5D5F68F5" w:rsidR="69F7424F" w:rsidRPr="001C2067" w:rsidRDefault="008C03A6" w:rsidP="006825A7">
      <w:pPr>
        <w:ind w:right="237"/>
        <w:jc w:val="both"/>
        <w:rPr>
          <w:b/>
          <w:bCs/>
          <w:color w:val="000000" w:themeColor="text1"/>
          <w:sz w:val="24"/>
          <w:szCs w:val="24"/>
        </w:rPr>
      </w:pPr>
      <w:r w:rsidRPr="001C2067">
        <w:rPr>
          <w:color w:val="000000" w:themeColor="text1"/>
          <w:sz w:val="24"/>
          <w:szCs w:val="24"/>
        </w:rPr>
        <w:t>Predictive policing is effective when used alongside other policing methods, as it enhances these interventions by applying statistics to guide tactics. It’s important that within these policing strategies to focus on identifying and developing effective interventions to address the root of the problems, not just manage the symptoms at incidents.</w:t>
      </w:r>
    </w:p>
    <w:p w14:paraId="681AC1AB" w14:textId="44267AB3" w:rsidR="69F7424F" w:rsidRDefault="69F7424F" w:rsidP="69F7424F">
      <w:pPr>
        <w:ind w:right="237"/>
        <w:jc w:val="center"/>
        <w:rPr>
          <w:b/>
          <w:bCs/>
          <w:sz w:val="24"/>
          <w:szCs w:val="24"/>
        </w:rPr>
      </w:pPr>
    </w:p>
    <w:p w14:paraId="338936BD" w14:textId="5346CA80" w:rsidR="008C03A6" w:rsidRDefault="008C03A6" w:rsidP="008C03A6">
      <w:pPr>
        <w:ind w:right="237"/>
        <w:rPr>
          <w:b/>
          <w:bCs/>
          <w:sz w:val="24"/>
          <w:szCs w:val="24"/>
        </w:rPr>
      </w:pPr>
      <w:r>
        <w:rPr>
          <w:b/>
          <w:bCs/>
          <w:sz w:val="24"/>
          <w:szCs w:val="24"/>
        </w:rPr>
        <w:t xml:space="preserve">Words </w:t>
      </w:r>
      <w:r w:rsidR="001F0D88">
        <w:rPr>
          <w:b/>
          <w:bCs/>
          <w:sz w:val="24"/>
          <w:szCs w:val="24"/>
        </w:rPr>
        <w:t>–</w:t>
      </w:r>
      <w:r>
        <w:rPr>
          <w:b/>
          <w:bCs/>
          <w:sz w:val="24"/>
          <w:szCs w:val="24"/>
        </w:rPr>
        <w:t xml:space="preserve"> </w:t>
      </w:r>
      <w:r w:rsidR="001F0D88">
        <w:rPr>
          <w:b/>
          <w:bCs/>
          <w:sz w:val="24"/>
          <w:szCs w:val="24"/>
        </w:rPr>
        <w:t>2198.</w:t>
      </w: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561F33B2" w14:textId="4244A05E" w:rsidR="00025650" w:rsidRPr="00E676F7" w:rsidRDefault="00025650" w:rsidP="005C43F1">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56DEF403" w14:textId="77777777" w:rsidR="00C5679D" w:rsidRPr="00EB5976" w:rsidRDefault="00C5679D" w:rsidP="00C5679D">
      <w:pPr>
        <w:jc w:val="both"/>
        <w:rPr>
          <w:color w:val="000000" w:themeColor="text1"/>
          <w:sz w:val="24"/>
          <w:szCs w:val="24"/>
          <w:shd w:val="clear" w:color="auto" w:fill="FFFFFF"/>
        </w:rPr>
      </w:pPr>
      <w:r w:rsidRPr="00EB5976">
        <w:rPr>
          <w:color w:val="000000" w:themeColor="text1"/>
          <w:sz w:val="24"/>
          <w:szCs w:val="24"/>
        </w:rPr>
        <w:t>A criminal investigation is an investigation that is conducted by warranted police officers or staff with the view to it being ascertained whether a person should be charged with and then possibly found guilty of an offence (Ministry of Justice, 2015).  Criminal investigations have been at the core of policing since the mid twentieth century and although there have been substantial technological innovations regarding forensic analysis and information recording, the core investigation process remains very similar (</w:t>
      </w:r>
      <w:r w:rsidRPr="00EB5976">
        <w:rPr>
          <w:color w:val="000000" w:themeColor="text1"/>
          <w:sz w:val="24"/>
          <w:szCs w:val="24"/>
          <w:shd w:val="clear" w:color="auto" w:fill="FFFFFF"/>
        </w:rPr>
        <w:t xml:space="preserve">Eck, &amp; </w:t>
      </w:r>
      <w:proofErr w:type="spellStart"/>
      <w:r w:rsidRPr="00EB5976">
        <w:rPr>
          <w:color w:val="000000" w:themeColor="text1"/>
          <w:sz w:val="24"/>
          <w:szCs w:val="24"/>
          <w:shd w:val="clear" w:color="auto" w:fill="FFFFFF"/>
        </w:rPr>
        <w:t>Rossmo</w:t>
      </w:r>
      <w:proofErr w:type="spellEnd"/>
      <w:r w:rsidRPr="00EB5976">
        <w:rPr>
          <w:color w:val="000000" w:themeColor="text1"/>
          <w:sz w:val="24"/>
          <w:szCs w:val="24"/>
          <w:shd w:val="clear" w:color="auto" w:fill="FFFFFF"/>
        </w:rPr>
        <w:t xml:space="preserve">, 2019; </w:t>
      </w:r>
      <w:r w:rsidRPr="00EB5976">
        <w:rPr>
          <w:rStyle w:val="author"/>
          <w:color w:val="000000" w:themeColor="text1"/>
          <w:sz w:val="24"/>
          <w:szCs w:val="24"/>
          <w:shd w:val="clear" w:color="auto" w:fill="FFFFFF"/>
        </w:rPr>
        <w:t xml:space="preserve">Braga </w:t>
      </w:r>
      <w:r w:rsidRPr="00EB5976">
        <w:rPr>
          <w:color w:val="000000" w:themeColor="text1"/>
          <w:sz w:val="24"/>
          <w:szCs w:val="24"/>
          <w:shd w:val="clear" w:color="auto" w:fill="FFFFFF"/>
        </w:rPr>
        <w:t>&amp; </w:t>
      </w:r>
      <w:proofErr w:type="spellStart"/>
      <w:r w:rsidRPr="00EB5976">
        <w:rPr>
          <w:rStyle w:val="author"/>
          <w:color w:val="000000" w:themeColor="text1"/>
          <w:sz w:val="24"/>
          <w:szCs w:val="24"/>
          <w:shd w:val="clear" w:color="auto" w:fill="FFFFFF"/>
        </w:rPr>
        <w:t>Dusseault</w:t>
      </w:r>
      <w:proofErr w:type="spellEnd"/>
      <w:r w:rsidRPr="00EB5976">
        <w:rPr>
          <w:rStyle w:val="author"/>
          <w:color w:val="000000" w:themeColor="text1"/>
          <w:sz w:val="24"/>
          <w:szCs w:val="24"/>
          <w:shd w:val="clear" w:color="auto" w:fill="FFFFFF"/>
        </w:rPr>
        <w:t xml:space="preserve">, </w:t>
      </w:r>
      <w:r w:rsidRPr="00EB5976">
        <w:rPr>
          <w:rStyle w:val="pubyear"/>
          <w:color w:val="000000" w:themeColor="text1"/>
          <w:sz w:val="24"/>
          <w:szCs w:val="24"/>
          <w:shd w:val="clear" w:color="auto" w:fill="FFFFFF"/>
        </w:rPr>
        <w:t>2018</w:t>
      </w:r>
      <w:r w:rsidRPr="00EB5976">
        <w:rPr>
          <w:color w:val="000000" w:themeColor="text1"/>
          <w:sz w:val="24"/>
          <w:szCs w:val="24"/>
          <w:shd w:val="clear" w:color="auto" w:fill="FFFFFF"/>
        </w:rPr>
        <w:t>). </w:t>
      </w:r>
    </w:p>
    <w:p w14:paraId="4243ED1C" w14:textId="77777777" w:rsidR="00C5679D" w:rsidRPr="00EB5976" w:rsidRDefault="00C5679D" w:rsidP="00C5679D">
      <w:pPr>
        <w:jc w:val="both"/>
        <w:rPr>
          <w:color w:val="000000" w:themeColor="text1"/>
          <w:sz w:val="24"/>
          <w:szCs w:val="24"/>
          <w:shd w:val="clear" w:color="auto" w:fill="FFFFFF"/>
        </w:rPr>
      </w:pPr>
    </w:p>
    <w:p w14:paraId="42EC12BB" w14:textId="77777777" w:rsidR="00C5679D" w:rsidRPr="00EB5976" w:rsidRDefault="00C5679D" w:rsidP="00C5679D">
      <w:pPr>
        <w:jc w:val="both"/>
        <w:rPr>
          <w:color w:val="000000" w:themeColor="text1"/>
          <w:sz w:val="24"/>
          <w:szCs w:val="24"/>
        </w:rPr>
      </w:pPr>
      <w:r w:rsidRPr="00EB5976">
        <w:rPr>
          <w:color w:val="000000" w:themeColor="text1"/>
          <w:sz w:val="24"/>
          <w:szCs w:val="24"/>
          <w:shd w:val="clear" w:color="auto" w:fill="FFFFFF"/>
        </w:rPr>
        <w:t xml:space="preserve">The incident I’m going to discuss is a domestic based double attempted murder, whereby an </w:t>
      </w:r>
      <w:r w:rsidRPr="00EB5976">
        <w:rPr>
          <w:color w:val="000000" w:themeColor="text1"/>
          <w:sz w:val="24"/>
          <w:szCs w:val="24"/>
        </w:rPr>
        <w:t>ex-partner had attended his ex-</w:t>
      </w:r>
      <w:proofErr w:type="gramStart"/>
      <w:r w:rsidRPr="00EB5976">
        <w:rPr>
          <w:color w:val="000000" w:themeColor="text1"/>
          <w:sz w:val="24"/>
          <w:szCs w:val="24"/>
        </w:rPr>
        <w:t>girlfriends</w:t>
      </w:r>
      <w:proofErr w:type="gramEnd"/>
      <w:r w:rsidRPr="00EB5976">
        <w:rPr>
          <w:color w:val="000000" w:themeColor="text1"/>
          <w:sz w:val="24"/>
          <w:szCs w:val="24"/>
        </w:rPr>
        <w:t xml:space="preserve"> mothers address and stabbed the her elderly mother numerous times along with her son which at the time were life threatening injuries. Regarding legislation I was especially focused on the Domestic Abuse Act 2021 as this offence although a double attempted murder, it was a domestic </w:t>
      </w:r>
      <w:r w:rsidRPr="00EB5976">
        <w:rPr>
          <w:color w:val="000000" w:themeColor="text1"/>
          <w:sz w:val="24"/>
          <w:szCs w:val="24"/>
        </w:rPr>
        <w:lastRenderedPageBreak/>
        <w:t xml:space="preserve">related element at the core (Legislation.gov.uk, 2021). Socially domestic violence is a serious and complex issue with 2.4 million adults suffering from domestic abuse in 2022, with one in four women being physically abused during their lifetime (Horley, 2001; Officer for National Statistics, 2022). </w:t>
      </w:r>
    </w:p>
    <w:p w14:paraId="75975550" w14:textId="77777777" w:rsidR="00C5679D" w:rsidRPr="00EB5976" w:rsidRDefault="00C5679D" w:rsidP="00C5679D">
      <w:pPr>
        <w:jc w:val="both"/>
        <w:rPr>
          <w:color w:val="000000" w:themeColor="text1"/>
          <w:sz w:val="24"/>
          <w:szCs w:val="24"/>
        </w:rPr>
      </w:pPr>
    </w:p>
    <w:p w14:paraId="49B0E5E8" w14:textId="77777777" w:rsidR="00C5679D" w:rsidRPr="00EB5976" w:rsidRDefault="00C5679D" w:rsidP="00C5679D">
      <w:pPr>
        <w:jc w:val="both"/>
        <w:rPr>
          <w:color w:val="000000" w:themeColor="text1"/>
          <w:sz w:val="24"/>
          <w:szCs w:val="24"/>
        </w:rPr>
      </w:pPr>
      <w:r w:rsidRPr="00EB5976">
        <w:rPr>
          <w:color w:val="000000" w:themeColor="text1"/>
          <w:sz w:val="24"/>
          <w:szCs w:val="24"/>
        </w:rPr>
        <w:t>I attended an incident as a detective constable within the Criminal Investigation Department (CID) whereby an ex-partner had attended his ex-</w:t>
      </w:r>
      <w:proofErr w:type="gramStart"/>
      <w:r w:rsidRPr="00EB5976">
        <w:rPr>
          <w:color w:val="000000" w:themeColor="text1"/>
          <w:sz w:val="24"/>
          <w:szCs w:val="24"/>
        </w:rPr>
        <w:t>girlfriends</w:t>
      </w:r>
      <w:proofErr w:type="gramEnd"/>
      <w:r w:rsidRPr="00EB5976">
        <w:rPr>
          <w:color w:val="000000" w:themeColor="text1"/>
          <w:sz w:val="24"/>
          <w:szCs w:val="24"/>
        </w:rPr>
        <w:t xml:space="preserve"> mothers address and stabbed the her elderly mother numerous times along with her son which at the time were life threatening injuries. The male has pre-emptively gone to the address with a knife in his possession and as soon as the mother opened the front door, has repeatedly stabbed her in the chest and arms, causing substantial injuries. As the son has come down the stairs from hearing the screaming, he has subsequently been stabbed three times in the chest, resulting in a collapsed lung. The suspect has then fled the address, with the knife used in the assaults still in his possession. Emergency services have attended the scene, took both victims to hospital and response officers have conducted immediate area searches for the male, to protect himself and the public, whilst also aware that he could dispose of vital evidence in the knife. Due to the seriousness of the incident, CID were informed as soon as response arrived on scene, allowing CID to complete fast track enquires. Fast track actions are investigative actions that pursued in the ‘golden hour’ that are likely to determine central facts, preserve key evidence and lead to early enquires that set up the initial investigative plan (College of policing, 2013). During golden hour the evidence is the first chance to obtain evidence and may be the only time to collect some evidence such as forensic evidence, if these are not identified and preserved early on evidence may be contaminated or lost (College of Policing, 2013; Nath Singh &amp; </w:t>
      </w:r>
      <w:proofErr w:type="spellStart"/>
      <w:r w:rsidRPr="00EB5976">
        <w:rPr>
          <w:color w:val="000000" w:themeColor="text1"/>
          <w:sz w:val="24"/>
          <w:szCs w:val="24"/>
        </w:rPr>
        <w:t>Ranu</w:t>
      </w:r>
      <w:proofErr w:type="spellEnd"/>
      <w:r w:rsidRPr="00EB5976">
        <w:rPr>
          <w:color w:val="000000" w:themeColor="text1"/>
          <w:sz w:val="24"/>
          <w:szCs w:val="24"/>
        </w:rPr>
        <w:t xml:space="preserve"> Paul, 2022). </w:t>
      </w:r>
      <w:r w:rsidRPr="00EB5976">
        <w:rPr>
          <w:rStyle w:val="apple-converted-space"/>
          <w:color w:val="000000" w:themeColor="text1"/>
          <w:sz w:val="24"/>
          <w:szCs w:val="24"/>
        </w:rPr>
        <w:t>There are difficulties in the initial investigation in finding the balance for speed of action to preserve evidence and safeguard victims and the need for accuracy. (</w:t>
      </w:r>
      <w:proofErr w:type="spellStart"/>
      <w:r w:rsidRPr="00EB5976">
        <w:rPr>
          <w:color w:val="000000" w:themeColor="text1"/>
          <w:sz w:val="24"/>
          <w:szCs w:val="24"/>
          <w:shd w:val="clear" w:color="auto" w:fill="FFFFFF"/>
        </w:rPr>
        <w:t>Mistek</w:t>
      </w:r>
      <w:proofErr w:type="spellEnd"/>
      <w:r w:rsidRPr="00EB5976">
        <w:rPr>
          <w:color w:val="000000" w:themeColor="text1"/>
          <w:sz w:val="24"/>
          <w:szCs w:val="24"/>
          <w:shd w:val="clear" w:color="auto" w:fill="FFFFFF"/>
        </w:rPr>
        <w:t xml:space="preserve">, </w:t>
      </w:r>
      <w:proofErr w:type="spellStart"/>
      <w:r w:rsidRPr="00EB5976">
        <w:rPr>
          <w:color w:val="000000" w:themeColor="text1"/>
          <w:sz w:val="24"/>
          <w:szCs w:val="24"/>
          <w:shd w:val="clear" w:color="auto" w:fill="FFFFFF"/>
        </w:rPr>
        <w:t>Fikiet</w:t>
      </w:r>
      <w:proofErr w:type="spellEnd"/>
      <w:r w:rsidRPr="00EB5976">
        <w:rPr>
          <w:color w:val="000000" w:themeColor="text1"/>
          <w:sz w:val="24"/>
          <w:szCs w:val="24"/>
          <w:shd w:val="clear" w:color="auto" w:fill="FFFFFF"/>
        </w:rPr>
        <w:t xml:space="preserve">, </w:t>
      </w:r>
      <w:proofErr w:type="spellStart"/>
      <w:r w:rsidRPr="00EB5976">
        <w:rPr>
          <w:color w:val="000000" w:themeColor="text1"/>
          <w:sz w:val="24"/>
          <w:szCs w:val="24"/>
          <w:shd w:val="clear" w:color="auto" w:fill="FFFFFF"/>
        </w:rPr>
        <w:t>Khandasammy</w:t>
      </w:r>
      <w:proofErr w:type="spellEnd"/>
      <w:r w:rsidRPr="00EB5976">
        <w:rPr>
          <w:color w:val="000000" w:themeColor="text1"/>
          <w:sz w:val="24"/>
          <w:szCs w:val="24"/>
          <w:shd w:val="clear" w:color="auto" w:fill="FFFFFF"/>
        </w:rPr>
        <w:t xml:space="preserve"> &amp; </w:t>
      </w:r>
      <w:proofErr w:type="spellStart"/>
      <w:r w:rsidRPr="00EB5976">
        <w:rPr>
          <w:color w:val="000000" w:themeColor="text1"/>
          <w:sz w:val="24"/>
          <w:szCs w:val="24"/>
          <w:shd w:val="clear" w:color="auto" w:fill="FFFFFF"/>
        </w:rPr>
        <w:t>Lednev</w:t>
      </w:r>
      <w:proofErr w:type="spellEnd"/>
      <w:r w:rsidRPr="00EB5976">
        <w:rPr>
          <w:color w:val="000000" w:themeColor="text1"/>
          <w:sz w:val="24"/>
          <w:szCs w:val="24"/>
          <w:shd w:val="clear" w:color="auto" w:fill="FFFFFF"/>
        </w:rPr>
        <w:t>, 2018).</w:t>
      </w:r>
      <w:r w:rsidRPr="00EB5976">
        <w:rPr>
          <w:color w:val="000000" w:themeColor="text1"/>
          <w:sz w:val="24"/>
          <w:szCs w:val="24"/>
        </w:rPr>
        <w:t xml:space="preserve"> </w:t>
      </w:r>
    </w:p>
    <w:p w14:paraId="2270DB43" w14:textId="77777777" w:rsidR="00C5679D" w:rsidRPr="00EB5976" w:rsidRDefault="00C5679D" w:rsidP="00C5679D">
      <w:pPr>
        <w:jc w:val="both"/>
        <w:rPr>
          <w:color w:val="000000" w:themeColor="text1"/>
          <w:sz w:val="24"/>
          <w:szCs w:val="24"/>
        </w:rPr>
      </w:pPr>
    </w:p>
    <w:p w14:paraId="5E9854FB" w14:textId="11DFAC7E" w:rsidR="00C5679D" w:rsidRPr="00EB5976" w:rsidRDefault="00C5679D" w:rsidP="00C5679D">
      <w:pPr>
        <w:jc w:val="both"/>
        <w:rPr>
          <w:color w:val="000000" w:themeColor="text1"/>
          <w:sz w:val="24"/>
          <w:szCs w:val="24"/>
        </w:rPr>
      </w:pPr>
      <w:r w:rsidRPr="00EB5976">
        <w:rPr>
          <w:color w:val="000000" w:themeColor="text1"/>
          <w:sz w:val="24"/>
          <w:szCs w:val="24"/>
        </w:rPr>
        <w:t>My initial concern at scene was safeguarding of the two victims, as they had been conveyed to hospital and the suspect was still not in custody, I set up a password at the hospital to allow individuals to speak or see both victims and kept a taser trained officer with both victims in hospital. As a trainee detective with limited policing experience, my initial attendance on scene was extremely nerve racking due to the seriousness of the offence. My first question on scene was ‘What has happened?’, my process of the initial investigation process is to check all accounts initially taken by response officers for inconsistencies and focus on the detail of each account. I follow the ABC approach when conducting golden hour enquires which is to assume nothing, believe nothing and challenge everything, it’s vital as an investigator to ensure assumptions are not made on first attendance until proven otherwise (College of Policing, 2013). This approach assists in remaining impartial in investigations, as initial indications can identify a suspect, resulting in investigators having tunnel vision the suspect is guilty, resulting in no longer being open to alternate scenarios whereby the suspect may be innocent. This results in guilt confirming investigation as opposed to an objective investigation that looks at all reasonable lines of enquire, whether they prove the suspects guilt or innocence (</w:t>
      </w:r>
      <w:proofErr w:type="spellStart"/>
      <w:r w:rsidRPr="00EB5976">
        <w:rPr>
          <w:color w:val="000000" w:themeColor="text1"/>
          <w:sz w:val="24"/>
          <w:szCs w:val="24"/>
          <w:shd w:val="clear" w:color="auto" w:fill="FFFFFF"/>
        </w:rPr>
        <w:t>Rassin</w:t>
      </w:r>
      <w:proofErr w:type="spellEnd"/>
      <w:r w:rsidRPr="00EB5976">
        <w:rPr>
          <w:color w:val="000000" w:themeColor="text1"/>
          <w:sz w:val="24"/>
          <w:szCs w:val="24"/>
          <w:shd w:val="clear" w:color="auto" w:fill="FFFFFF"/>
        </w:rPr>
        <w:t xml:space="preserve">, </w:t>
      </w:r>
      <w:proofErr w:type="spellStart"/>
      <w:r w:rsidRPr="00EB5976">
        <w:rPr>
          <w:color w:val="000000" w:themeColor="text1"/>
          <w:sz w:val="24"/>
          <w:szCs w:val="24"/>
          <w:shd w:val="clear" w:color="auto" w:fill="FFFFFF"/>
        </w:rPr>
        <w:t>Eerland</w:t>
      </w:r>
      <w:proofErr w:type="spellEnd"/>
      <w:r w:rsidRPr="00EB5976">
        <w:rPr>
          <w:color w:val="000000" w:themeColor="text1"/>
          <w:sz w:val="24"/>
          <w:szCs w:val="24"/>
          <w:shd w:val="clear" w:color="auto" w:fill="FFFFFF"/>
        </w:rPr>
        <w:t xml:space="preserve"> &amp; </w:t>
      </w:r>
      <w:proofErr w:type="spellStart"/>
      <w:r w:rsidRPr="00EB5976">
        <w:rPr>
          <w:color w:val="000000" w:themeColor="text1"/>
          <w:sz w:val="24"/>
          <w:szCs w:val="24"/>
          <w:shd w:val="clear" w:color="auto" w:fill="FFFFFF"/>
        </w:rPr>
        <w:t>Kuijpers</w:t>
      </w:r>
      <w:proofErr w:type="spellEnd"/>
      <w:r w:rsidRPr="00EB5976">
        <w:rPr>
          <w:color w:val="000000" w:themeColor="text1"/>
          <w:sz w:val="24"/>
          <w:szCs w:val="24"/>
          <w:shd w:val="clear" w:color="auto" w:fill="FFFFFF"/>
        </w:rPr>
        <w:t xml:space="preserve">, 2010). </w:t>
      </w:r>
      <w:r w:rsidRPr="00EB5976">
        <w:rPr>
          <w:color w:val="000000" w:themeColor="text1"/>
          <w:sz w:val="24"/>
          <w:szCs w:val="24"/>
        </w:rPr>
        <w:t xml:space="preserve">I completed house to house enquires, CCTV enquires and identified </w:t>
      </w:r>
      <w:r w:rsidR="00EB5976" w:rsidRPr="00EB5976">
        <w:rPr>
          <w:color w:val="000000" w:themeColor="text1"/>
          <w:sz w:val="24"/>
          <w:szCs w:val="24"/>
        </w:rPr>
        <w:t>several</w:t>
      </w:r>
      <w:r w:rsidRPr="00EB5976">
        <w:rPr>
          <w:color w:val="000000" w:themeColor="text1"/>
          <w:sz w:val="24"/>
          <w:szCs w:val="24"/>
        </w:rPr>
        <w:t xml:space="preserve"> CCTV systems that identified the suspect on route to the call with a knife in his possession. </w:t>
      </w:r>
    </w:p>
    <w:p w14:paraId="0C1A2129" w14:textId="77777777" w:rsidR="00EB5976" w:rsidRPr="00EB5976" w:rsidRDefault="00EB5976" w:rsidP="00C5679D">
      <w:pPr>
        <w:jc w:val="both"/>
        <w:rPr>
          <w:color w:val="000000" w:themeColor="text1"/>
          <w:sz w:val="24"/>
          <w:szCs w:val="24"/>
        </w:rPr>
      </w:pPr>
    </w:p>
    <w:p w14:paraId="29121619" w14:textId="68BB5C27" w:rsidR="00EB5976" w:rsidRPr="00EB5976" w:rsidRDefault="00EB5976" w:rsidP="00C5679D">
      <w:pPr>
        <w:jc w:val="both"/>
        <w:rPr>
          <w:color w:val="000000" w:themeColor="text1"/>
          <w:sz w:val="24"/>
          <w:szCs w:val="24"/>
        </w:rPr>
      </w:pPr>
      <w:r w:rsidRPr="00EB5976">
        <w:rPr>
          <w:color w:val="000000" w:themeColor="text1"/>
          <w:sz w:val="24"/>
          <w:szCs w:val="24"/>
        </w:rPr>
        <w:lastRenderedPageBreak/>
        <w:t>CCTV is time sensitive so it’s essential this is a priority fast track action as this may become crucial in building up a timeline of the offence further into the investigation. I also considered taking around an hour prior to the offence and an hour after, to see the suspects movements and gather the bigger picture of the offence (</w:t>
      </w:r>
      <w:r w:rsidRPr="00EB5976">
        <w:rPr>
          <w:sz w:val="24"/>
          <w:szCs w:val="24"/>
        </w:rPr>
        <w:t>Limited, H.S.I.C, (n.d.).</w:t>
      </w:r>
      <w:r w:rsidRPr="00EB5976">
        <w:rPr>
          <w:rStyle w:val="apple-converted-space"/>
          <w:sz w:val="24"/>
          <w:szCs w:val="24"/>
        </w:rPr>
        <w:t> </w:t>
      </w:r>
    </w:p>
    <w:p w14:paraId="15011181" w14:textId="77777777" w:rsidR="00C5679D" w:rsidRPr="00EB5976" w:rsidRDefault="00C5679D" w:rsidP="00C5679D">
      <w:pPr>
        <w:jc w:val="both"/>
        <w:rPr>
          <w:color w:val="000000" w:themeColor="text1"/>
          <w:sz w:val="24"/>
          <w:szCs w:val="24"/>
        </w:rPr>
      </w:pPr>
    </w:p>
    <w:p w14:paraId="5FFBDD6F" w14:textId="77B540C6" w:rsidR="00FE1FBB" w:rsidRPr="00EB5976" w:rsidRDefault="00C5679D" w:rsidP="00C5679D">
      <w:pPr>
        <w:jc w:val="both"/>
        <w:rPr>
          <w:sz w:val="24"/>
          <w:szCs w:val="24"/>
        </w:rPr>
      </w:pPr>
      <w:r w:rsidRPr="00EB5976">
        <w:rPr>
          <w:color w:val="000000" w:themeColor="text1"/>
          <w:sz w:val="24"/>
          <w:szCs w:val="24"/>
        </w:rPr>
        <w:t xml:space="preserve">I have then asked response to set up a scene log and close the scene down until crime scene investigators (CSI) arrived to try and best preserve the scene. On CSI arrival we created a common approach path (CAP) to limit disturbance at the scene with only authorised personnel entering, which is essential for scene preservation (Nath Singh &amp; </w:t>
      </w:r>
      <w:proofErr w:type="spellStart"/>
      <w:r w:rsidRPr="00EB5976">
        <w:rPr>
          <w:color w:val="000000" w:themeColor="text1"/>
          <w:sz w:val="24"/>
          <w:szCs w:val="24"/>
        </w:rPr>
        <w:t>Ranu</w:t>
      </w:r>
      <w:proofErr w:type="spellEnd"/>
      <w:r w:rsidRPr="00EB5976">
        <w:rPr>
          <w:color w:val="000000" w:themeColor="text1"/>
          <w:sz w:val="24"/>
          <w:szCs w:val="24"/>
        </w:rPr>
        <w:t xml:space="preserve"> Paul, 2022). </w:t>
      </w:r>
      <w:r w:rsidRPr="00EB5976">
        <w:rPr>
          <w:rStyle w:val="apple-converted-space"/>
          <w:color w:val="000000" w:themeColor="text1"/>
          <w:sz w:val="24"/>
          <w:szCs w:val="24"/>
        </w:rPr>
        <w:t xml:space="preserve">The importance of forensic preservation is based on </w:t>
      </w:r>
      <w:proofErr w:type="spellStart"/>
      <w:r w:rsidRPr="00EB5976">
        <w:rPr>
          <w:rStyle w:val="apple-converted-space"/>
          <w:color w:val="000000" w:themeColor="text1"/>
          <w:sz w:val="24"/>
          <w:szCs w:val="24"/>
        </w:rPr>
        <w:t>Locard’s</w:t>
      </w:r>
      <w:proofErr w:type="spellEnd"/>
      <w:r w:rsidRPr="00EB5976">
        <w:rPr>
          <w:rStyle w:val="apple-converted-space"/>
          <w:color w:val="000000" w:themeColor="text1"/>
          <w:sz w:val="24"/>
          <w:szCs w:val="24"/>
        </w:rPr>
        <w:t xml:space="preserve"> exchange principle that states every contact leaves a trace, meaning that whenever two objects come into contact there is an exchange of materials. Within this crime scene I was aware that this may lead to a connection between the suspect, victim, and the crime scene, thus, helping to support a hypothesis of what has occurred at the scene. </w:t>
      </w:r>
      <w:r w:rsidR="00E379B4" w:rsidRPr="00EB5976">
        <w:rPr>
          <w:rStyle w:val="apple-converted-space"/>
          <w:color w:val="000000" w:themeColor="text1"/>
          <w:sz w:val="24"/>
          <w:szCs w:val="24"/>
        </w:rPr>
        <w:t>Forensic evidence is a completely objective form of evidence, DNA, a single fragment of hair or a fingerprint</w:t>
      </w:r>
      <w:r w:rsidR="00FE1FBB" w:rsidRPr="00EB5976">
        <w:rPr>
          <w:rStyle w:val="apple-converted-space"/>
          <w:color w:val="000000" w:themeColor="text1"/>
          <w:sz w:val="24"/>
          <w:szCs w:val="24"/>
        </w:rPr>
        <w:t xml:space="preserve"> can be analysed and identify a suspect which is admissible in court, thus, resulting in overwhelming evidence (</w:t>
      </w:r>
      <w:r w:rsidR="00FE1FBB" w:rsidRPr="00EB5976">
        <w:rPr>
          <w:sz w:val="24"/>
          <w:szCs w:val="24"/>
        </w:rPr>
        <w:t xml:space="preserve">Beaver, 2010). Forensic evidence </w:t>
      </w:r>
      <w:r w:rsidR="00EB5976" w:rsidRPr="00EB5976">
        <w:rPr>
          <w:sz w:val="24"/>
          <w:szCs w:val="24"/>
        </w:rPr>
        <w:t>provides insightful information and detail regarding the offence; h</w:t>
      </w:r>
      <w:r w:rsidR="00FE1FBB" w:rsidRPr="00EB5976">
        <w:rPr>
          <w:sz w:val="24"/>
          <w:szCs w:val="24"/>
        </w:rPr>
        <w:t xml:space="preserve">owever, this type of evidence should contribute to the investigation and other golden hour enquires such as CCTV, witness and victim statements should still be completed to obtain </w:t>
      </w:r>
      <w:r w:rsidR="00EB5976" w:rsidRPr="00EB5976">
        <w:rPr>
          <w:sz w:val="24"/>
          <w:szCs w:val="24"/>
        </w:rPr>
        <w:t>a comprehensive investigation (‌</w:t>
      </w:r>
      <w:proofErr w:type="spellStart"/>
      <w:r w:rsidR="00EB5976" w:rsidRPr="00EB5976">
        <w:rPr>
          <w:sz w:val="24"/>
          <w:szCs w:val="24"/>
        </w:rPr>
        <w:t>Wüllenweber</w:t>
      </w:r>
      <w:proofErr w:type="spellEnd"/>
      <w:r w:rsidR="00EB5976" w:rsidRPr="00EB5976">
        <w:rPr>
          <w:sz w:val="24"/>
          <w:szCs w:val="24"/>
        </w:rPr>
        <w:t xml:space="preserve"> &amp; Giles, 2021; Beaver, 2010).</w:t>
      </w:r>
    </w:p>
    <w:p w14:paraId="2EEB29C9" w14:textId="77777777" w:rsidR="00C5679D" w:rsidRPr="00EB5976" w:rsidRDefault="00C5679D" w:rsidP="00C5679D">
      <w:pPr>
        <w:jc w:val="both"/>
        <w:rPr>
          <w:color w:val="000000" w:themeColor="text1"/>
          <w:sz w:val="24"/>
          <w:szCs w:val="24"/>
        </w:rPr>
      </w:pPr>
    </w:p>
    <w:p w14:paraId="0EAECF8D" w14:textId="77777777" w:rsidR="00C5679D" w:rsidRPr="00EB5976" w:rsidRDefault="00C5679D" w:rsidP="00C5679D">
      <w:pPr>
        <w:jc w:val="both"/>
        <w:rPr>
          <w:color w:val="000000" w:themeColor="text1"/>
          <w:sz w:val="24"/>
          <w:szCs w:val="24"/>
        </w:rPr>
      </w:pPr>
      <w:r w:rsidRPr="00EB5976">
        <w:rPr>
          <w:color w:val="000000" w:themeColor="text1"/>
          <w:sz w:val="24"/>
          <w:szCs w:val="24"/>
        </w:rPr>
        <w:t>Crimes can only be solved through a guilty plea, witness statements or physical evidence, so early identification and collection of this evidence is essential to the success of the case. An unsolved crime is often due to an overall failure of evidence, with issues lying in the collection, evaluation, and analysis of this evidence, which is why early scene preservation and accurate fast track actions are essential (</w:t>
      </w:r>
      <w:proofErr w:type="spellStart"/>
      <w:r w:rsidRPr="00EB5976">
        <w:rPr>
          <w:color w:val="000000" w:themeColor="text1"/>
          <w:sz w:val="24"/>
          <w:szCs w:val="24"/>
        </w:rPr>
        <w:t>Rossmo</w:t>
      </w:r>
      <w:proofErr w:type="spellEnd"/>
      <w:r w:rsidRPr="00EB5976">
        <w:rPr>
          <w:color w:val="000000" w:themeColor="text1"/>
          <w:sz w:val="24"/>
          <w:szCs w:val="24"/>
        </w:rPr>
        <w:t xml:space="preserve"> &amp; Pollock, 2019). </w:t>
      </w:r>
    </w:p>
    <w:p w14:paraId="4FDA43D4" w14:textId="77777777" w:rsidR="00C5679D" w:rsidRPr="00EB5976" w:rsidRDefault="00C5679D" w:rsidP="00C5679D">
      <w:pPr>
        <w:rPr>
          <w:color w:val="000000" w:themeColor="text1"/>
          <w:sz w:val="24"/>
          <w:szCs w:val="24"/>
        </w:rPr>
      </w:pPr>
    </w:p>
    <w:p w14:paraId="0368FE8D" w14:textId="77777777" w:rsidR="00C5679D" w:rsidRPr="00EB5976" w:rsidRDefault="00C5679D" w:rsidP="00C5679D">
      <w:pPr>
        <w:jc w:val="both"/>
        <w:rPr>
          <w:color w:val="000000" w:themeColor="text1"/>
          <w:sz w:val="24"/>
          <w:szCs w:val="24"/>
        </w:rPr>
      </w:pPr>
      <w:r w:rsidRPr="00EB5976">
        <w:rPr>
          <w:color w:val="000000" w:themeColor="text1"/>
          <w:sz w:val="24"/>
          <w:szCs w:val="24"/>
        </w:rPr>
        <w:t>An interview is the questioning of a person regarding their suspected involvement in criminal activities which is required under caution. Interviewing the suspect is one of the most important elements of the investigation as they provide an opportunity to ascertain further evidence to support an informed and impartial investigation (Home Office, 2020).</w:t>
      </w:r>
      <w:r w:rsidRPr="00EB5976">
        <w:rPr>
          <w:rStyle w:val="apple-converted-space"/>
          <w:color w:val="000000" w:themeColor="text1"/>
          <w:sz w:val="24"/>
          <w:szCs w:val="24"/>
        </w:rPr>
        <w:t> </w:t>
      </w:r>
      <w:r w:rsidRPr="00EB5976">
        <w:rPr>
          <w:color w:val="000000" w:themeColor="text1"/>
          <w:sz w:val="24"/>
          <w:szCs w:val="24"/>
        </w:rPr>
        <w:t xml:space="preserve"> I ensured I abided by key legislation to consider the welfare of the suspect for Code C of The Police and Criminal Evidence Act (PACE) 1984, which relates to the detention, treatment and questioning of suspects, I specifically considered Annex G, whether the interview would be detrimental to the suspects mental or physical health. As the offence was extremely violence and traumatic in nature, along with checking the warning markers for depression on our Niche system (Home Office, 2018; Home Office, 2019). After a medical assessment the suspect was cleared for interview, so I went onto prepare for interview.  </w:t>
      </w:r>
    </w:p>
    <w:p w14:paraId="6DFA153A" w14:textId="77777777" w:rsidR="00C5679D" w:rsidRPr="00EB5976" w:rsidRDefault="00C5679D" w:rsidP="00C5679D">
      <w:pPr>
        <w:jc w:val="both"/>
        <w:rPr>
          <w:color w:val="000000" w:themeColor="text1"/>
          <w:sz w:val="24"/>
          <w:szCs w:val="24"/>
        </w:rPr>
      </w:pPr>
    </w:p>
    <w:p w14:paraId="2E0D4024" w14:textId="77777777" w:rsidR="00C5679D" w:rsidRPr="00EB5976" w:rsidRDefault="00C5679D" w:rsidP="00C5679D">
      <w:pPr>
        <w:jc w:val="both"/>
        <w:rPr>
          <w:color w:val="000000" w:themeColor="text1"/>
          <w:sz w:val="24"/>
          <w:szCs w:val="24"/>
        </w:rPr>
      </w:pPr>
      <w:r w:rsidRPr="00EB5976">
        <w:rPr>
          <w:color w:val="000000" w:themeColor="text1"/>
          <w:sz w:val="24"/>
          <w:szCs w:val="24"/>
        </w:rPr>
        <w:t xml:space="preserve">My interview planning covered my interview topics, points to prove for the offence of attempted murder being the intention to kill, not just to cause grievous bodily harm, the relationship between the suspects and victims and any exhibits I planned on using. By creating an interview plan it allowed me to establish material that is already available, identifying gaps in evidence for further lines of enquires, decide the main objectives of the interview and to create a legal briefing document (College of Policing, 2020. Throughout my planning preparation for interview, I was extremely nervous and </w:t>
      </w:r>
      <w:r w:rsidRPr="00EB5976">
        <w:rPr>
          <w:color w:val="000000" w:themeColor="text1"/>
          <w:sz w:val="24"/>
          <w:szCs w:val="24"/>
        </w:rPr>
        <w:lastRenderedPageBreak/>
        <w:t xml:space="preserve">intimidated as I was extremely conscious that this was a key element for the success of the investigation. To commence the interview, I ensured I adhered to Code E and F from PACE 1984 whereby I used South Wales Police aide memoire to ensure I covered all introductions and attendees, the caution to the suspect and explained the procedures of the interview being audio and visually recorded (College of Policing, 2020; Code E Revised, </w:t>
      </w:r>
      <w:proofErr w:type="spellStart"/>
      <w:r w:rsidRPr="00EB5976">
        <w:rPr>
          <w:color w:val="000000" w:themeColor="text1"/>
          <w:sz w:val="24"/>
          <w:szCs w:val="24"/>
        </w:rPr>
        <w:t>n.d</w:t>
      </w:r>
      <w:proofErr w:type="spellEnd"/>
      <w:r w:rsidRPr="00EB5976">
        <w:rPr>
          <w:color w:val="000000" w:themeColor="text1"/>
          <w:sz w:val="24"/>
          <w:szCs w:val="24"/>
        </w:rPr>
        <w:t>).</w:t>
      </w:r>
    </w:p>
    <w:p w14:paraId="4D627879" w14:textId="77777777" w:rsidR="00C5679D" w:rsidRPr="00EB5976" w:rsidRDefault="00C5679D" w:rsidP="00C5679D">
      <w:pPr>
        <w:jc w:val="both"/>
        <w:rPr>
          <w:color w:val="000000" w:themeColor="text1"/>
          <w:sz w:val="24"/>
          <w:szCs w:val="24"/>
        </w:rPr>
      </w:pPr>
    </w:p>
    <w:p w14:paraId="55B49A2A" w14:textId="77777777" w:rsidR="00C5679D" w:rsidRPr="00EB5976" w:rsidRDefault="00C5679D" w:rsidP="00C5679D">
      <w:pPr>
        <w:jc w:val="both"/>
        <w:rPr>
          <w:color w:val="000000" w:themeColor="text1"/>
          <w:sz w:val="24"/>
          <w:szCs w:val="24"/>
        </w:rPr>
      </w:pPr>
      <w:r w:rsidRPr="00EB5976">
        <w:rPr>
          <w:color w:val="000000" w:themeColor="text1"/>
          <w:sz w:val="24"/>
          <w:szCs w:val="24"/>
        </w:rPr>
        <w:t xml:space="preserve">The interview I utilised a ‘tell, describe, explain’ method to utilise open questions, which allows the suspect to provide an account, as opposed to closed or leading questions which have been proven to result in dishonesty or inadmissibility in court (College of Policing, 2013). To my surprise the suspect admitted the offence, when shown CCTV further admitted the premeditation by removing the knife before attending the address. The suspect stated he was suicidal since the end of his relationship with the victim’s sister / daughter, so I ensured I adhered to Code C of PACE 1984 and submitted a high-risk public protection notice (PPN) to partner agencies to ensure the suspect had adequate support services in place (College of Policing, 2019). The suspect was subsequently remanded in custody, due to the seriousness of the offences, the risk to himself, victims, and other members of the public. </w:t>
      </w:r>
    </w:p>
    <w:p w14:paraId="1CAECFEA" w14:textId="77777777" w:rsidR="00C5679D" w:rsidRPr="00EB5976" w:rsidRDefault="00C5679D" w:rsidP="00C5679D">
      <w:pPr>
        <w:rPr>
          <w:color w:val="000000" w:themeColor="text1"/>
          <w:sz w:val="24"/>
          <w:szCs w:val="24"/>
        </w:rPr>
      </w:pPr>
    </w:p>
    <w:p w14:paraId="4C5A8E94" w14:textId="7DF690FF" w:rsidR="00C5679D" w:rsidRPr="00EB5976" w:rsidRDefault="00C5679D" w:rsidP="00EB5976">
      <w:pPr>
        <w:ind w:right="237"/>
        <w:jc w:val="both"/>
        <w:rPr>
          <w:color w:val="000000" w:themeColor="text1"/>
          <w:sz w:val="24"/>
          <w:szCs w:val="24"/>
        </w:rPr>
      </w:pPr>
      <w:r w:rsidRPr="00EB5976">
        <w:rPr>
          <w:color w:val="000000" w:themeColor="text1"/>
          <w:sz w:val="24"/>
          <w:szCs w:val="24"/>
        </w:rPr>
        <w:t>When dealing with protracted serious and complex investigations then following the Code of Practice for Victims of Crime is vital to ensure victims are provided with timely updates and ensuring their needs are met (Ministry of Justice, 2021). The Codes of Practice for Victims of Crime sets of minimum standards</w:t>
      </w:r>
      <w:r w:rsidR="00EB5976" w:rsidRPr="00EB5976">
        <w:rPr>
          <w:color w:val="000000" w:themeColor="text1"/>
          <w:sz w:val="24"/>
          <w:szCs w:val="24"/>
        </w:rPr>
        <w:t xml:space="preserve"> that must be provided to all victims by police. </w:t>
      </w:r>
      <w:r w:rsidRPr="00EB5976">
        <w:rPr>
          <w:color w:val="000000" w:themeColor="text1"/>
          <w:sz w:val="24"/>
          <w:szCs w:val="24"/>
        </w:rPr>
        <w:t>I adhered to the Code of Practice for Victims of Crime which provides the minimum standards that must be provided to victims of crime, which provided my victims the right to be treated with respect and sensitivity. I also provided services to assist the victims and family to understand the criminal justice process, with key investigation actions being explained within 5 working days of the incident (Ministry of Justice, 2020).</w:t>
      </w:r>
      <w:r w:rsidRPr="00EB5976">
        <w:rPr>
          <w:rStyle w:val="apple-converted-space"/>
          <w:color w:val="000000" w:themeColor="text1"/>
          <w:sz w:val="24"/>
          <w:szCs w:val="24"/>
        </w:rPr>
        <w:t xml:space="preserve"> Both victims were provided my personal contact details to contact myself at </w:t>
      </w:r>
      <w:proofErr w:type="spellStart"/>
      <w:r w:rsidRPr="00EB5976">
        <w:rPr>
          <w:rStyle w:val="apple-converted-space"/>
          <w:color w:val="000000" w:themeColor="text1"/>
          <w:sz w:val="24"/>
          <w:szCs w:val="24"/>
        </w:rPr>
        <w:t>anytime</w:t>
      </w:r>
      <w:proofErr w:type="spellEnd"/>
      <w:r w:rsidRPr="00EB5976">
        <w:rPr>
          <w:rStyle w:val="apple-converted-space"/>
          <w:color w:val="000000" w:themeColor="text1"/>
          <w:sz w:val="24"/>
          <w:szCs w:val="24"/>
        </w:rPr>
        <w:t xml:space="preserve"> to discuss the investigation and agreed a weekly phone call to discuss the case. I referred both victims to South Wales Victim Support, put in a high risk PPN for the elderly female victim due to her mobility issues along with the severity of injury, so care support services could be implemented before she left hospital. Victim support was essential to provide the victims practical support such as referrals to other organisations and emotional support with the use of counsellors, these support services are essential in maintain the </w:t>
      </w:r>
      <w:r w:rsidR="00EB5976" w:rsidRPr="00EB5976">
        <w:rPr>
          <w:rStyle w:val="apple-converted-space"/>
          <w:color w:val="000000" w:themeColor="text1"/>
          <w:sz w:val="24"/>
          <w:szCs w:val="24"/>
        </w:rPr>
        <w:t>victim’s</w:t>
      </w:r>
      <w:r w:rsidRPr="00EB5976">
        <w:rPr>
          <w:rStyle w:val="apple-converted-space"/>
          <w:color w:val="000000" w:themeColor="text1"/>
          <w:sz w:val="24"/>
          <w:szCs w:val="24"/>
        </w:rPr>
        <w:t xml:space="preserve"> wellbeing (Victim Support, 2016). After utilising victim support services in 2021 80% of victims felt better able to cope, 76% felt safer and 79% said their wellbeing improved, with my </w:t>
      </w:r>
      <w:r w:rsidR="00EB5976" w:rsidRPr="00EB5976">
        <w:rPr>
          <w:rStyle w:val="apple-converted-space"/>
          <w:color w:val="000000" w:themeColor="text1"/>
          <w:sz w:val="24"/>
          <w:szCs w:val="24"/>
        </w:rPr>
        <w:t>victim’s</w:t>
      </w:r>
      <w:r w:rsidRPr="00EB5976">
        <w:rPr>
          <w:rStyle w:val="apple-converted-space"/>
          <w:color w:val="000000" w:themeColor="text1"/>
          <w:sz w:val="24"/>
          <w:szCs w:val="24"/>
        </w:rPr>
        <w:t xml:space="preserve"> welfare a top priority the referral was crucial in getting their lives back on track (</w:t>
      </w:r>
      <w:r w:rsidRPr="00EB5976">
        <w:rPr>
          <w:color w:val="000000" w:themeColor="text1"/>
          <w:sz w:val="24"/>
          <w:szCs w:val="24"/>
        </w:rPr>
        <w:t>Victim Support, 2021).</w:t>
      </w:r>
      <w:r w:rsidRPr="00EB5976">
        <w:rPr>
          <w:rStyle w:val="apple-converted-space"/>
          <w:color w:val="000000" w:themeColor="text1"/>
          <w:sz w:val="24"/>
          <w:szCs w:val="24"/>
        </w:rPr>
        <w:t xml:space="preserve"> </w:t>
      </w:r>
    </w:p>
    <w:p w14:paraId="12F8BCAA" w14:textId="77777777" w:rsidR="00C5679D" w:rsidRPr="00EB5976" w:rsidRDefault="00C5679D" w:rsidP="00C5679D">
      <w:pPr>
        <w:rPr>
          <w:color w:val="000000" w:themeColor="text1"/>
          <w:sz w:val="24"/>
          <w:szCs w:val="24"/>
        </w:rPr>
      </w:pPr>
    </w:p>
    <w:p w14:paraId="6B6A7329" w14:textId="77777777" w:rsidR="00C5679D" w:rsidRPr="00EB5976" w:rsidRDefault="00C5679D" w:rsidP="00C5679D">
      <w:pPr>
        <w:jc w:val="both"/>
        <w:rPr>
          <w:color w:val="000000" w:themeColor="text1"/>
          <w:sz w:val="24"/>
          <w:szCs w:val="24"/>
        </w:rPr>
      </w:pPr>
      <w:r w:rsidRPr="00EB5976">
        <w:rPr>
          <w:color w:val="000000" w:themeColor="text1"/>
          <w:sz w:val="24"/>
          <w:szCs w:val="24"/>
        </w:rPr>
        <w:t xml:space="preserve">Policing has values at the core of </w:t>
      </w:r>
      <w:proofErr w:type="spellStart"/>
      <w:proofErr w:type="gramStart"/>
      <w:r w:rsidRPr="00EB5976">
        <w:rPr>
          <w:color w:val="000000" w:themeColor="text1"/>
          <w:sz w:val="24"/>
          <w:szCs w:val="24"/>
        </w:rPr>
        <w:t>it’s</w:t>
      </w:r>
      <w:proofErr w:type="spellEnd"/>
      <w:proofErr w:type="gramEnd"/>
      <w:r w:rsidRPr="00EB5976">
        <w:rPr>
          <w:color w:val="000000" w:themeColor="text1"/>
          <w:sz w:val="24"/>
          <w:szCs w:val="24"/>
        </w:rPr>
        <w:t xml:space="preserve"> existence, with all officers expected to hold a core set of personal values including transparency, integrity, impartiality and public service (College of Policing, 2016). Personal values such a confirmation bias and tunnel vision have been identified as the most common cause of investigation failure, with 61% of failed investigations resulting from these personal factors (</w:t>
      </w:r>
      <w:proofErr w:type="spellStart"/>
      <w:r w:rsidRPr="00EB5976">
        <w:rPr>
          <w:color w:val="000000" w:themeColor="text1"/>
          <w:sz w:val="24"/>
          <w:szCs w:val="24"/>
        </w:rPr>
        <w:t>Rossmo</w:t>
      </w:r>
      <w:proofErr w:type="spellEnd"/>
      <w:r w:rsidRPr="00EB5976">
        <w:rPr>
          <w:color w:val="000000" w:themeColor="text1"/>
          <w:sz w:val="24"/>
          <w:szCs w:val="24"/>
        </w:rPr>
        <w:t xml:space="preserve"> &amp; Pollock, 2019). </w:t>
      </w:r>
    </w:p>
    <w:p w14:paraId="6DD0EEF1" w14:textId="77777777" w:rsidR="00C5679D" w:rsidRPr="00EB5976" w:rsidRDefault="00C5679D" w:rsidP="00C5679D">
      <w:pPr>
        <w:jc w:val="both"/>
        <w:rPr>
          <w:color w:val="000000" w:themeColor="text1"/>
          <w:sz w:val="24"/>
          <w:szCs w:val="24"/>
        </w:rPr>
      </w:pPr>
    </w:p>
    <w:p w14:paraId="036B87EB" w14:textId="64D57173" w:rsidR="00C5679D" w:rsidRPr="00EB5976" w:rsidRDefault="00C5679D" w:rsidP="00C5679D">
      <w:pPr>
        <w:jc w:val="both"/>
        <w:rPr>
          <w:color w:val="000000" w:themeColor="text1"/>
          <w:sz w:val="24"/>
          <w:szCs w:val="24"/>
        </w:rPr>
      </w:pPr>
      <w:r w:rsidRPr="00EB5976">
        <w:rPr>
          <w:color w:val="000000" w:themeColor="text1"/>
          <w:sz w:val="24"/>
          <w:szCs w:val="24"/>
        </w:rPr>
        <w:lastRenderedPageBreak/>
        <w:t xml:space="preserve">Police forces are victim led, which often results in officers subconsciously feeling they are on the </w:t>
      </w:r>
      <w:r w:rsidR="00E379B4" w:rsidRPr="00EB5976">
        <w:rPr>
          <w:color w:val="000000" w:themeColor="text1"/>
          <w:sz w:val="24"/>
          <w:szCs w:val="24"/>
        </w:rPr>
        <w:t>victim’s</w:t>
      </w:r>
      <w:r w:rsidRPr="00EB5976">
        <w:rPr>
          <w:color w:val="000000" w:themeColor="text1"/>
          <w:sz w:val="24"/>
          <w:szCs w:val="24"/>
        </w:rPr>
        <w:t xml:space="preserve"> side, as opposed to being an impartial evidence gatherer, I struggled within this </w:t>
      </w:r>
      <w:r w:rsidR="00E379B4" w:rsidRPr="00EB5976">
        <w:rPr>
          <w:color w:val="000000" w:themeColor="text1"/>
          <w:sz w:val="24"/>
          <w:szCs w:val="24"/>
        </w:rPr>
        <w:t>incident</w:t>
      </w:r>
      <w:r w:rsidRPr="00EB5976">
        <w:rPr>
          <w:color w:val="000000" w:themeColor="text1"/>
          <w:sz w:val="24"/>
          <w:szCs w:val="24"/>
        </w:rPr>
        <w:t xml:space="preserve"> to remain impartial due to the violent nature of the offence. It was essential I followed all reasonable lines of enquires and didn’t get tunnel vision, I had to take the investigation forward with an open mind to conduct an effective and objective investigation. During the investigation it was essential to consider section 3.5 from Codes of Practice to the Criminal Procedures and Investigations Act 1996, so we pursued all reasonably lines of enquiry, whether they pointed away or towards the suspect (Ministry of Justice, 2020).</w:t>
      </w:r>
      <w:r w:rsidRPr="00EB5976">
        <w:rPr>
          <w:rStyle w:val="apple-converted-space"/>
          <w:color w:val="000000" w:themeColor="text1"/>
          <w:sz w:val="24"/>
          <w:szCs w:val="24"/>
        </w:rPr>
        <w:t> </w:t>
      </w:r>
    </w:p>
    <w:p w14:paraId="4F49F94B" w14:textId="77777777" w:rsidR="00C5679D" w:rsidRPr="00EB5976" w:rsidRDefault="00C5679D" w:rsidP="00C5679D">
      <w:pPr>
        <w:rPr>
          <w:color w:val="000000" w:themeColor="text1"/>
          <w:sz w:val="24"/>
          <w:szCs w:val="24"/>
        </w:rPr>
      </w:pPr>
    </w:p>
    <w:p w14:paraId="63ED918E" w14:textId="77777777" w:rsidR="00C5679D" w:rsidRPr="00EB5976" w:rsidRDefault="00C5679D" w:rsidP="00C5679D">
      <w:pPr>
        <w:jc w:val="both"/>
        <w:rPr>
          <w:color w:val="000000" w:themeColor="text1"/>
          <w:sz w:val="24"/>
          <w:szCs w:val="24"/>
        </w:rPr>
      </w:pPr>
      <w:r w:rsidRPr="00EB5976">
        <w:rPr>
          <w:color w:val="000000" w:themeColor="text1"/>
          <w:sz w:val="24"/>
          <w:szCs w:val="24"/>
        </w:rPr>
        <w:t xml:space="preserve">The Police and Criminal Evidence Act 1984 is a piece of legislation that was introduced to reduce confirmation bias in criminal investigations by introducing policies and procedures. PACE 1984 provides officers clear guidelines to follow such as informing the suspect of legal rights, the right to remain silent and the right to obtain legal advice at </w:t>
      </w:r>
      <w:proofErr w:type="spellStart"/>
      <w:r w:rsidRPr="00EB5976">
        <w:rPr>
          <w:color w:val="000000" w:themeColor="text1"/>
          <w:sz w:val="24"/>
          <w:szCs w:val="24"/>
        </w:rPr>
        <w:t>anytime</w:t>
      </w:r>
      <w:proofErr w:type="spellEnd"/>
      <w:r w:rsidRPr="00EB5976">
        <w:rPr>
          <w:color w:val="000000" w:themeColor="text1"/>
          <w:sz w:val="24"/>
          <w:szCs w:val="24"/>
        </w:rPr>
        <w:t xml:space="preserve"> during the process (Code E Revised, </w:t>
      </w:r>
      <w:proofErr w:type="spellStart"/>
      <w:r w:rsidRPr="00EB5976">
        <w:rPr>
          <w:color w:val="000000" w:themeColor="text1"/>
          <w:sz w:val="24"/>
          <w:szCs w:val="24"/>
        </w:rPr>
        <w:t>n.d</w:t>
      </w:r>
      <w:proofErr w:type="spellEnd"/>
      <w:r w:rsidRPr="00EB5976">
        <w:rPr>
          <w:color w:val="000000" w:themeColor="text1"/>
          <w:sz w:val="24"/>
          <w:szCs w:val="24"/>
        </w:rPr>
        <w:t xml:space="preserve">). Although policies are in place, this doesn’t completely counteract confirmation biases of investigators, as bias is often unconscious and investigators can be influenced by their personal opinions without realising, thus, making choices not solely based on impartial evidence. PACE assists in preventing personal bias in investigations ensuring all officers have adequate and regular training in non-biased interview </w:t>
      </w:r>
      <w:proofErr w:type="gramStart"/>
      <w:r w:rsidRPr="00EB5976">
        <w:rPr>
          <w:color w:val="000000" w:themeColor="text1"/>
          <w:sz w:val="24"/>
          <w:szCs w:val="24"/>
        </w:rPr>
        <w:t>techniques</w:t>
      </w:r>
      <w:proofErr w:type="gramEnd"/>
      <w:r w:rsidRPr="00EB5976">
        <w:rPr>
          <w:color w:val="000000" w:themeColor="text1"/>
          <w:sz w:val="24"/>
          <w:szCs w:val="24"/>
        </w:rPr>
        <w:t xml:space="preserve"> so they don’t inadvertently influence witness or suspect accounts ((Home Office, 2020).</w:t>
      </w:r>
      <w:r w:rsidRPr="00EB5976">
        <w:rPr>
          <w:rStyle w:val="apple-converted-space"/>
          <w:color w:val="000000" w:themeColor="text1"/>
          <w:sz w:val="24"/>
          <w:szCs w:val="24"/>
        </w:rPr>
        <w:t> </w:t>
      </w:r>
    </w:p>
    <w:p w14:paraId="2BF5D03A" w14:textId="77777777" w:rsidR="00C5679D" w:rsidRDefault="00C5679D" w:rsidP="00C5679D">
      <w:pPr>
        <w:jc w:val="both"/>
      </w:pPr>
    </w:p>
    <w:p w14:paraId="4E2706D5" w14:textId="77777777" w:rsidR="00C5679D" w:rsidRDefault="00C5679D" w:rsidP="00C5679D"/>
    <w:p w14:paraId="4A3DF098" w14:textId="77777777" w:rsidR="00C5679D" w:rsidRDefault="00C5679D" w:rsidP="00C5679D"/>
    <w:p w14:paraId="424576ED" w14:textId="24F28B59" w:rsidR="0FF883D4" w:rsidRPr="00EB5976" w:rsidRDefault="00C5679D" w:rsidP="0FF883D4">
      <w:pPr>
        <w:ind w:right="237"/>
        <w:jc w:val="both"/>
        <w:rPr>
          <w:b/>
          <w:bCs/>
          <w:color w:val="000000" w:themeColor="text1"/>
          <w:sz w:val="24"/>
          <w:szCs w:val="24"/>
        </w:rPr>
      </w:pPr>
      <w:r w:rsidRPr="00EB5976">
        <w:rPr>
          <w:b/>
          <w:bCs/>
          <w:color w:val="000000" w:themeColor="text1"/>
          <w:sz w:val="24"/>
          <w:szCs w:val="24"/>
        </w:rPr>
        <w:t xml:space="preserve">Word count - </w:t>
      </w:r>
      <w:r w:rsidR="00EB5976" w:rsidRPr="00EB5976">
        <w:rPr>
          <w:b/>
          <w:bCs/>
          <w:color w:val="000000" w:themeColor="text1"/>
          <w:sz w:val="24"/>
          <w:szCs w:val="24"/>
        </w:rPr>
        <w:t>2170</w:t>
      </w: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482B2B3A" w14:textId="58CD1802" w:rsidR="0FF883D4" w:rsidRDefault="0FF883D4" w:rsidP="005C43F1">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372C747" w14:textId="77777777" w:rsidR="00C255F1" w:rsidRPr="001452A6" w:rsidRDefault="00C255F1" w:rsidP="001452A6">
      <w:pPr>
        <w:keepNext/>
        <w:spacing w:before="240" w:after="60"/>
        <w:ind w:right="237"/>
        <w:jc w:val="both"/>
        <w:rPr>
          <w:sz w:val="24"/>
          <w:szCs w:val="24"/>
        </w:rPr>
      </w:pPr>
    </w:p>
    <w:p w14:paraId="6D55E721"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Am, P. (2021.) ‘</w:t>
      </w:r>
      <w:r w:rsidRPr="001452A6">
        <w:rPr>
          <w:rFonts w:ascii="Arial" w:hAnsi="Arial" w:cs="Arial"/>
          <w:i/>
          <w:iCs/>
          <w:color w:val="000000"/>
        </w:rPr>
        <w:t>Improving the police response to domestic violence and abuse in the UK and EU</w:t>
      </w:r>
      <w:r w:rsidRPr="001452A6">
        <w:rPr>
          <w:rFonts w:ascii="Arial" w:hAnsi="Arial" w:cs="Arial"/>
          <w:color w:val="000000"/>
        </w:rPr>
        <w:t xml:space="preserve">’ Cardiff University. Available at: </w:t>
      </w:r>
      <w:hyperlink r:id="rId16" w:history="1">
        <w:r w:rsidRPr="001452A6">
          <w:rPr>
            <w:rStyle w:val="Hyperlink"/>
            <w:rFonts w:ascii="Arial" w:hAnsi="Arial" w:cs="Arial"/>
          </w:rPr>
          <w:t>https://www.cardiff.ac.uk/social-sciences/research/impact/improving-the-police-response-to-domestic-violence-and-abuse-in-the-uk-and-eu</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27.04.2023).</w:t>
      </w:r>
    </w:p>
    <w:p w14:paraId="4BDBECF4"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390DEC4"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222222"/>
          <w:shd w:val="clear" w:color="auto" w:fill="FFFFFF"/>
        </w:rPr>
      </w:pPr>
    </w:p>
    <w:p w14:paraId="37BECFC2" w14:textId="0C715254"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roofErr w:type="spellStart"/>
      <w:r w:rsidRPr="001452A6">
        <w:rPr>
          <w:rFonts w:ascii="Arial" w:hAnsi="Arial" w:cs="Arial"/>
          <w:color w:val="222222"/>
          <w:shd w:val="clear" w:color="auto" w:fill="FFFFFF"/>
        </w:rPr>
        <w:t>Bartkowiak-Théron</w:t>
      </w:r>
      <w:proofErr w:type="spellEnd"/>
      <w:r w:rsidRPr="001452A6">
        <w:rPr>
          <w:rFonts w:ascii="Arial" w:hAnsi="Arial" w:cs="Arial"/>
          <w:color w:val="222222"/>
          <w:shd w:val="clear" w:color="auto" w:fill="FFFFFF"/>
        </w:rPr>
        <w:t>, I. and Asquith, N.L. (2012</w:t>
      </w:r>
      <w:r w:rsidR="001452A6" w:rsidRPr="001452A6">
        <w:rPr>
          <w:rFonts w:ascii="Arial" w:hAnsi="Arial" w:cs="Arial"/>
          <w:color w:val="222222"/>
          <w:shd w:val="clear" w:color="auto" w:fill="FFFFFF"/>
        </w:rPr>
        <w:t>)</w:t>
      </w:r>
      <w:r w:rsidRPr="001452A6">
        <w:rPr>
          <w:rFonts w:ascii="Arial" w:hAnsi="Arial" w:cs="Arial"/>
          <w:color w:val="222222"/>
          <w:shd w:val="clear" w:color="auto" w:fill="FFFFFF"/>
        </w:rPr>
        <w:t xml:space="preserve"> ‘The extraordinary intricacies of policing vulnerability’</w:t>
      </w:r>
      <w:r w:rsidRPr="001452A6">
        <w:rPr>
          <w:rStyle w:val="apple-converted-space"/>
          <w:rFonts w:ascii="Arial" w:hAnsi="Arial" w:cs="Arial"/>
          <w:color w:val="222222"/>
          <w:shd w:val="clear" w:color="auto" w:fill="FFFFFF"/>
        </w:rPr>
        <w:t> </w:t>
      </w:r>
      <w:r w:rsidRPr="001452A6">
        <w:rPr>
          <w:rFonts w:ascii="Arial" w:hAnsi="Arial" w:cs="Arial"/>
          <w:i/>
          <w:iCs/>
          <w:color w:val="222222"/>
        </w:rPr>
        <w:t>Australasian policing</w:t>
      </w:r>
      <w:r w:rsidRPr="001452A6">
        <w:rPr>
          <w:rFonts w:ascii="Arial" w:hAnsi="Arial" w:cs="Arial"/>
          <w:color w:val="222222"/>
          <w:shd w:val="clear" w:color="auto" w:fill="FFFFFF"/>
        </w:rPr>
        <w:t>,</w:t>
      </w:r>
      <w:r w:rsidRPr="001452A6">
        <w:rPr>
          <w:rStyle w:val="apple-converted-space"/>
          <w:rFonts w:ascii="Arial" w:hAnsi="Arial" w:cs="Arial"/>
          <w:color w:val="222222"/>
          <w:shd w:val="clear" w:color="auto" w:fill="FFFFFF"/>
        </w:rPr>
        <w:t> </w:t>
      </w:r>
      <w:r w:rsidRPr="001452A6">
        <w:rPr>
          <w:rFonts w:ascii="Arial" w:hAnsi="Arial" w:cs="Arial"/>
          <w:i/>
          <w:iCs/>
          <w:color w:val="222222"/>
        </w:rPr>
        <w:t>4</w:t>
      </w:r>
      <w:r w:rsidRPr="001452A6">
        <w:rPr>
          <w:rFonts w:ascii="Arial" w:hAnsi="Arial" w:cs="Arial"/>
          <w:color w:val="222222"/>
          <w:shd w:val="clear" w:color="auto" w:fill="FFFFFF"/>
        </w:rPr>
        <w:t xml:space="preserve">(2). pp. 43 – 49. </w:t>
      </w:r>
    </w:p>
    <w:p w14:paraId="2E35150D"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43D029EB" w14:textId="79947246" w:rsidR="001452A6" w:rsidRPr="001452A6" w:rsidRDefault="001452A6" w:rsidP="001452A6">
      <w:pPr>
        <w:pStyle w:val="NormalWeb"/>
        <w:shd w:val="clear" w:color="auto" w:fill="FFFFFF"/>
        <w:spacing w:before="0" w:beforeAutospacing="0" w:after="0" w:afterAutospacing="0" w:line="360" w:lineRule="atLeast"/>
        <w:jc w:val="both"/>
        <w:rPr>
          <w:rFonts w:ascii="Arial" w:hAnsi="Arial" w:cs="Arial"/>
          <w:color w:val="000000"/>
        </w:rPr>
      </w:pPr>
      <w:r w:rsidRPr="001452A6">
        <w:rPr>
          <w:rFonts w:ascii="Arial" w:hAnsi="Arial" w:cs="Arial"/>
          <w:color w:val="000000"/>
        </w:rPr>
        <w:t xml:space="preserve">Beaver, K.M. (2010) ‘The promises and pitfalls of forensic evidence in unsolved crimes’ </w:t>
      </w:r>
      <w:r w:rsidRPr="001452A6">
        <w:rPr>
          <w:rFonts w:ascii="Arial" w:hAnsi="Arial" w:cs="Arial"/>
          <w:i/>
          <w:iCs/>
          <w:color w:val="000000"/>
        </w:rPr>
        <w:t>Criminology &amp; Public Policy</w:t>
      </w:r>
      <w:r w:rsidRPr="001452A6">
        <w:rPr>
          <w:rFonts w:ascii="Arial" w:hAnsi="Arial" w:cs="Arial"/>
          <w:color w:val="000000"/>
        </w:rPr>
        <w:t xml:space="preserve">, 9(2), pp.405–410. </w:t>
      </w:r>
    </w:p>
    <w:p w14:paraId="1AE37712"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457569D1"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roofErr w:type="spellStart"/>
      <w:r w:rsidRPr="001452A6">
        <w:rPr>
          <w:rFonts w:ascii="Arial" w:hAnsi="Arial" w:cs="Arial"/>
          <w:color w:val="000000"/>
        </w:rPr>
        <w:t>Briody</w:t>
      </w:r>
      <w:proofErr w:type="spellEnd"/>
      <w:r w:rsidRPr="001452A6">
        <w:rPr>
          <w:rFonts w:ascii="Arial" w:hAnsi="Arial" w:cs="Arial"/>
          <w:color w:val="000000"/>
        </w:rPr>
        <w:t>, L. (2021) ‘Policing and Vulnerability: who is vulnerable</w:t>
      </w:r>
      <w:r w:rsidRPr="001452A6">
        <w:rPr>
          <w:rFonts w:ascii="Arial" w:hAnsi="Arial" w:cs="Arial"/>
          <w:i/>
          <w:iCs/>
          <w:color w:val="000000"/>
        </w:rPr>
        <w:t>?</w:t>
      </w:r>
      <w:r w:rsidRPr="001452A6">
        <w:rPr>
          <w:rStyle w:val="apple-converted-space"/>
          <w:rFonts w:ascii="Arial" w:hAnsi="Arial" w:cs="Arial"/>
          <w:color w:val="000000"/>
        </w:rPr>
        <w:t xml:space="preserve"> ‘ </w:t>
      </w:r>
      <w:r w:rsidRPr="001452A6">
        <w:rPr>
          <w:rFonts w:ascii="Arial" w:hAnsi="Arial" w:cs="Arial"/>
          <w:color w:val="000000"/>
        </w:rPr>
        <w:t xml:space="preserve">Available at: </w:t>
      </w:r>
      <w:hyperlink r:id="rId17" w:history="1">
        <w:r w:rsidRPr="001452A6">
          <w:rPr>
            <w:rStyle w:val="Hyperlink"/>
            <w:rFonts w:ascii="Arial" w:hAnsi="Arial" w:cs="Arial"/>
          </w:rPr>
          <w:t>https://www.keele.ac.uk/media/k-microsites/k-ilas/pgconference2021/posters2021/Laura%20Briody.pdf</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28.04.2023).</w:t>
      </w:r>
    </w:p>
    <w:p w14:paraId="51B26188"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44694573"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59A3468"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‌CODE E. (n.d.) ‘Revised Code of Practice on Audio Recording Interviews with Suspects Code E’ Available at: </w:t>
      </w:r>
      <w:hyperlink r:id="rId18" w:history="1">
        <w:r w:rsidRPr="001452A6">
          <w:rPr>
            <w:rStyle w:val="Hyperlink"/>
            <w:rFonts w:ascii="Arial" w:hAnsi="Arial" w:cs="Arial"/>
          </w:rPr>
          <w:t>https://assets.publishing.service.gov.uk/government/uploads/system/uploads/attachment_data/file/495716/52344_00_Pace_Code_E_Accessible_v0.3.pdf</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13.04.2023).</w:t>
      </w:r>
    </w:p>
    <w:p w14:paraId="13BAF578"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57D93546" w14:textId="77777777" w:rsidR="00C255F1" w:rsidRPr="001452A6" w:rsidRDefault="00C255F1" w:rsidP="001452A6">
      <w:pPr>
        <w:pStyle w:val="NormalWeb"/>
        <w:spacing w:line="276" w:lineRule="auto"/>
        <w:jc w:val="both"/>
        <w:rPr>
          <w:rFonts w:ascii="Arial" w:hAnsi="Arial" w:cs="Arial"/>
        </w:rPr>
      </w:pPr>
      <w:r w:rsidRPr="001452A6">
        <w:rPr>
          <w:rFonts w:ascii="Arial" w:hAnsi="Arial" w:cs="Arial"/>
        </w:rPr>
        <w:t>College of Policing (2013) ‘Investigation process’</w:t>
      </w:r>
      <w:r w:rsidRPr="001452A6">
        <w:rPr>
          <w:rFonts w:ascii="Arial" w:hAnsi="Arial" w:cs="Arial"/>
          <w:i/>
          <w:iCs/>
        </w:rPr>
        <w:t xml:space="preserve"> </w:t>
      </w:r>
      <w:r w:rsidRPr="001452A6">
        <w:rPr>
          <w:rFonts w:ascii="Arial" w:hAnsi="Arial" w:cs="Arial"/>
        </w:rPr>
        <w:t xml:space="preserve">Available at: </w:t>
      </w:r>
      <w:r w:rsidRPr="001452A6">
        <w:rPr>
          <w:rFonts w:ascii="Arial" w:hAnsi="Arial" w:cs="Arial"/>
          <w:color w:val="0000FF"/>
        </w:rPr>
        <w:t>https://www.app.college.police.uk/app-content/investigations/investigation- process/#</w:t>
      </w:r>
      <w:proofErr w:type="gramStart"/>
      <w:r w:rsidRPr="001452A6">
        <w:rPr>
          <w:rFonts w:ascii="Arial" w:hAnsi="Arial" w:cs="Arial"/>
          <w:color w:val="0000FF"/>
        </w:rPr>
        <w:t>golden-hour</w:t>
      </w:r>
      <w:proofErr w:type="gramEnd"/>
      <w:r w:rsidRPr="001452A6">
        <w:rPr>
          <w:rFonts w:ascii="Arial" w:hAnsi="Arial" w:cs="Arial"/>
          <w:color w:val="0000FF"/>
        </w:rPr>
        <w:t xml:space="preserve"> </w:t>
      </w:r>
      <w:r w:rsidRPr="001452A6">
        <w:rPr>
          <w:rFonts w:ascii="Arial" w:hAnsi="Arial" w:cs="Arial"/>
        </w:rPr>
        <w:t xml:space="preserve">(accessed: 01.04.2023). </w:t>
      </w:r>
    </w:p>
    <w:p w14:paraId="7BB76E73" w14:textId="77777777" w:rsidR="00C255F1" w:rsidRPr="001452A6" w:rsidRDefault="00C255F1" w:rsidP="001452A6">
      <w:pPr>
        <w:pStyle w:val="NormalWeb"/>
        <w:spacing w:line="276" w:lineRule="auto"/>
        <w:jc w:val="both"/>
        <w:rPr>
          <w:rFonts w:ascii="Arial" w:hAnsi="Arial" w:cs="Arial"/>
        </w:rPr>
      </w:pPr>
    </w:p>
    <w:p w14:paraId="42DDA0D0" w14:textId="77777777" w:rsidR="00C255F1" w:rsidRPr="001452A6" w:rsidRDefault="00C255F1" w:rsidP="001452A6">
      <w:pPr>
        <w:pStyle w:val="NormalWeb"/>
        <w:spacing w:line="276" w:lineRule="auto"/>
        <w:jc w:val="both"/>
        <w:rPr>
          <w:rFonts w:ascii="Arial" w:hAnsi="Arial" w:cs="Arial"/>
        </w:rPr>
      </w:pPr>
      <w:r w:rsidRPr="001452A6">
        <w:rPr>
          <w:rFonts w:ascii="Arial" w:hAnsi="Arial" w:cs="Arial"/>
        </w:rPr>
        <w:t>College of Policing (2013) ‘Investigative interviewing’</w:t>
      </w:r>
      <w:r w:rsidRPr="001452A6">
        <w:rPr>
          <w:rFonts w:ascii="Arial" w:hAnsi="Arial" w:cs="Arial"/>
          <w:i/>
          <w:iCs/>
        </w:rPr>
        <w:t xml:space="preserve"> </w:t>
      </w:r>
      <w:r w:rsidRPr="001452A6">
        <w:rPr>
          <w:rFonts w:ascii="Arial" w:hAnsi="Arial" w:cs="Arial"/>
        </w:rPr>
        <w:t xml:space="preserve">Available at: </w:t>
      </w:r>
      <w:r w:rsidRPr="001452A6">
        <w:rPr>
          <w:rFonts w:ascii="Arial" w:hAnsi="Arial" w:cs="Arial"/>
          <w:color w:val="0000FF"/>
        </w:rPr>
        <w:t xml:space="preserve">https://www.app.college.police.uk/app-content/investigations/investigative- interviewing/#top </w:t>
      </w:r>
      <w:r w:rsidRPr="001452A6">
        <w:rPr>
          <w:rFonts w:ascii="Arial" w:hAnsi="Arial" w:cs="Arial"/>
        </w:rPr>
        <w:t>(accessed: 05.04.2023).</w:t>
      </w:r>
    </w:p>
    <w:p w14:paraId="0CF156A3" w14:textId="77777777" w:rsidR="00C255F1" w:rsidRPr="001452A6" w:rsidRDefault="00C255F1" w:rsidP="001452A6">
      <w:pPr>
        <w:pStyle w:val="NormalWeb"/>
        <w:spacing w:line="276" w:lineRule="auto"/>
        <w:jc w:val="both"/>
        <w:rPr>
          <w:rFonts w:ascii="Arial" w:hAnsi="Arial" w:cs="Arial"/>
        </w:rPr>
      </w:pPr>
    </w:p>
    <w:p w14:paraId="4B6F11FF"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lastRenderedPageBreak/>
        <w:t xml:space="preserve">‌College of Policing (2015) ‘Partnership working and multi-agency responses/mechanisms’ College of Policing. Available at: </w:t>
      </w:r>
      <w:hyperlink r:id="rId19" w:history="1">
        <w:r w:rsidRPr="001452A6">
          <w:rPr>
            <w:rStyle w:val="Hyperlink"/>
            <w:rFonts w:ascii="Arial" w:hAnsi="Arial" w:cs="Arial"/>
          </w:rPr>
          <w:t>https://www.college.police.uk/app/major-investigation-and-public-protection/domestic-abuse/partnership-working-and-multi-agency-responsesmechanisms</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20.04.2023).</w:t>
      </w:r>
    </w:p>
    <w:p w14:paraId="0DE8FEEB"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7F123395"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7851D40F"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College of Policing (2016) ‘Competency and Values Framework for Policing’ Available at: </w:t>
      </w:r>
      <w:hyperlink r:id="rId20" w:history="1">
        <w:r w:rsidRPr="001452A6">
          <w:rPr>
            <w:rStyle w:val="Hyperlink"/>
            <w:rFonts w:ascii="Arial" w:hAnsi="Arial" w:cs="Arial"/>
          </w:rPr>
          <w:t>https://assets.college.police.uk/s3fs-public/2020-11/competency-and-values-framework-for-policing_4.11.16.pdf</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12.03.2023).</w:t>
      </w:r>
    </w:p>
    <w:p w14:paraId="09090F0B"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76414A3E"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41CA2409"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College of Policing. (2019) ‘</w:t>
      </w:r>
      <w:r w:rsidRPr="001452A6">
        <w:rPr>
          <w:rFonts w:ascii="Arial" w:hAnsi="Arial" w:cs="Arial"/>
          <w:i/>
          <w:iCs/>
          <w:color w:val="000000"/>
        </w:rPr>
        <w:t>Post-arrest management of suspect and casefile</w:t>
      </w:r>
      <w:r w:rsidRPr="001452A6">
        <w:rPr>
          <w:rFonts w:ascii="Arial" w:hAnsi="Arial" w:cs="Arial"/>
          <w:color w:val="000000"/>
        </w:rPr>
        <w:t xml:space="preserve">’ Available at: </w:t>
      </w:r>
      <w:hyperlink r:id="rId21" w:history="1">
        <w:r w:rsidRPr="001452A6">
          <w:rPr>
            <w:rStyle w:val="Hyperlink"/>
            <w:rFonts w:ascii="Arial" w:hAnsi="Arial" w:cs="Arial"/>
          </w:rPr>
          <w:t>https://www.college.police.uk/app/major-investigation-and-public-protection/domestic-abuse/post-arrest-management-suspect-and-casefile</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18.03.2023).</w:t>
      </w:r>
    </w:p>
    <w:p w14:paraId="02D53C53"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4977E177"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7117D9C"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College of Policing (2021) ‘Introduction to vulnerability-related risk’ College of Policing. Available at: </w:t>
      </w:r>
      <w:hyperlink r:id="rId22" w:anchor=":~:text=We%20have%20adopted%20the%20THRIVE" w:history="1">
        <w:r w:rsidRPr="001452A6">
          <w:rPr>
            <w:rStyle w:val="Hyperlink"/>
            <w:rFonts w:ascii="Arial" w:hAnsi="Arial" w:cs="Arial"/>
          </w:rPr>
          <w:t>https://www.college.police.uk/guidance/vulnerability-related-risks/introduction-vulnerability-related-risk#:~:text=We%20have%20adopted%20the%20THRIVE</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17.03.2023).</w:t>
      </w:r>
    </w:p>
    <w:p w14:paraId="1217802B"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50C78F4"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A88F3B9"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Constabulary, H.M.I. of and Fire (2021) ‘Review of policing domestic abuse during the pandemic – 2021’ HMICFRS. Available at: </w:t>
      </w:r>
      <w:hyperlink r:id="rId23" w:history="1">
        <w:r w:rsidRPr="001452A6">
          <w:rPr>
            <w:rStyle w:val="Hyperlink"/>
            <w:rFonts w:ascii="Arial" w:hAnsi="Arial" w:cs="Arial"/>
          </w:rPr>
          <w:t>https://www.justiceinspectorates.gov.uk/hmicfrs/publication-html/review-of-policing-domestic-abuse-during-pandemic/</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22.03.2023).</w:t>
      </w:r>
    </w:p>
    <w:p w14:paraId="556B2DC8"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2FAB3D6" w14:textId="77777777" w:rsidR="00C255F1" w:rsidRPr="001452A6" w:rsidRDefault="00C255F1" w:rsidP="001452A6">
      <w:pPr>
        <w:spacing w:line="276" w:lineRule="auto"/>
        <w:jc w:val="both"/>
        <w:rPr>
          <w:sz w:val="24"/>
          <w:szCs w:val="24"/>
        </w:rPr>
      </w:pPr>
    </w:p>
    <w:p w14:paraId="36D1D1FD"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Crockett, R., Gilchrist, G., Davies, J., Henshall, A., </w:t>
      </w:r>
      <w:proofErr w:type="spellStart"/>
      <w:r w:rsidRPr="001452A6">
        <w:rPr>
          <w:rFonts w:ascii="Arial" w:hAnsi="Arial" w:cs="Arial"/>
          <w:color w:val="000000"/>
        </w:rPr>
        <w:t>Hoggart</w:t>
      </w:r>
      <w:proofErr w:type="spellEnd"/>
      <w:r w:rsidRPr="001452A6">
        <w:rPr>
          <w:rFonts w:ascii="Arial" w:hAnsi="Arial" w:cs="Arial"/>
          <w:color w:val="000000"/>
        </w:rPr>
        <w:t xml:space="preserve">, L., Chandler, V., Simms, D. and Webb, J. (2016) ‘Assessing the Early Impact of Multi Agency Safeguarding Hubs (MASH) in London. Available at: </w:t>
      </w:r>
      <w:hyperlink r:id="rId24" w:history="1">
        <w:r w:rsidRPr="001452A6">
          <w:rPr>
            <w:rStyle w:val="Hyperlink"/>
            <w:rFonts w:ascii="Arial" w:hAnsi="Arial" w:cs="Arial"/>
          </w:rPr>
          <w:t>http://www.londonscb.gov.uk/wp-content/uploads/2016/04/mash_report_final.pdf</w:t>
        </w:r>
      </w:hyperlink>
      <w:r w:rsidRPr="001452A6">
        <w:rPr>
          <w:rFonts w:ascii="Arial" w:hAnsi="Arial" w:cs="Arial"/>
          <w:color w:val="000000"/>
        </w:rPr>
        <w:t xml:space="preserve"> (accessed: 12.03.2023).</w:t>
      </w:r>
    </w:p>
    <w:p w14:paraId="1919DA3C"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2A71A80F" w14:textId="77777777" w:rsidR="00C255F1" w:rsidRPr="001452A6" w:rsidRDefault="00C255F1" w:rsidP="001452A6">
      <w:pPr>
        <w:spacing w:line="276" w:lineRule="auto"/>
        <w:jc w:val="both"/>
        <w:rPr>
          <w:sz w:val="24"/>
          <w:szCs w:val="24"/>
        </w:rPr>
      </w:pPr>
    </w:p>
    <w:p w14:paraId="6549166C" w14:textId="0FD5E9CB"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 Dash Risk Checklist (2009) ‘Dash Risk Checklist – Saving lives through early risk identification, intervention and prevention’ Dashriskchecklist.co.uk. Available at: </w:t>
      </w:r>
      <w:hyperlink r:id="rId25" w:history="1">
        <w:r w:rsidRPr="001452A6">
          <w:rPr>
            <w:rStyle w:val="Hyperlink"/>
            <w:rFonts w:ascii="Arial" w:hAnsi="Arial" w:cs="Arial"/>
          </w:rPr>
          <w:t>https://www.dashriskchecklist.co.uk</w:t>
        </w:r>
      </w:hyperlink>
      <w:r w:rsidRPr="001452A6">
        <w:rPr>
          <w:rFonts w:ascii="Arial" w:hAnsi="Arial" w:cs="Arial"/>
          <w:color w:val="000000"/>
        </w:rPr>
        <w:t xml:space="preserve"> (accessed: 13.03.2023).</w:t>
      </w:r>
    </w:p>
    <w:p w14:paraId="16B6A953"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3FEE184F" w14:textId="77777777" w:rsidR="00C255F1" w:rsidRPr="001452A6" w:rsidRDefault="00C255F1" w:rsidP="001452A6">
      <w:pPr>
        <w:spacing w:line="276" w:lineRule="auto"/>
        <w:jc w:val="both"/>
        <w:rPr>
          <w:sz w:val="24"/>
          <w:szCs w:val="24"/>
        </w:rPr>
      </w:pPr>
    </w:p>
    <w:p w14:paraId="2C2757D5" w14:textId="77777777" w:rsidR="00C255F1" w:rsidRPr="001452A6" w:rsidRDefault="00C255F1" w:rsidP="001452A6">
      <w:pPr>
        <w:spacing w:line="276" w:lineRule="auto"/>
        <w:jc w:val="both"/>
        <w:rPr>
          <w:sz w:val="24"/>
          <w:szCs w:val="24"/>
        </w:rPr>
      </w:pPr>
      <w:r w:rsidRPr="001452A6">
        <w:rPr>
          <w:color w:val="222222"/>
          <w:sz w:val="24"/>
          <w:szCs w:val="24"/>
          <w:shd w:val="clear" w:color="auto" w:fill="FFFFFF"/>
        </w:rPr>
        <w:t xml:space="preserve">David Weisburd &amp; Malay K </w:t>
      </w:r>
      <w:proofErr w:type="spellStart"/>
      <w:r w:rsidRPr="001452A6">
        <w:rPr>
          <w:color w:val="222222"/>
          <w:sz w:val="24"/>
          <w:szCs w:val="24"/>
          <w:shd w:val="clear" w:color="auto" w:fill="FFFFFF"/>
        </w:rPr>
        <w:t>Majmundar</w:t>
      </w:r>
      <w:proofErr w:type="spellEnd"/>
      <w:r w:rsidRPr="001452A6">
        <w:rPr>
          <w:color w:val="222222"/>
          <w:sz w:val="24"/>
          <w:szCs w:val="24"/>
          <w:shd w:val="clear" w:color="auto" w:fill="FFFFFF"/>
        </w:rPr>
        <w:t>. (2018) ‘</w:t>
      </w:r>
      <w:r w:rsidRPr="001452A6">
        <w:rPr>
          <w:color w:val="222222"/>
          <w:sz w:val="24"/>
          <w:szCs w:val="24"/>
        </w:rPr>
        <w:t xml:space="preserve">Proactive policing: Effects on crime and communities’ </w:t>
      </w:r>
      <w:r w:rsidRPr="001452A6">
        <w:rPr>
          <w:color w:val="222222"/>
          <w:sz w:val="24"/>
          <w:szCs w:val="24"/>
          <w:shd w:val="clear" w:color="auto" w:fill="FFFFFF"/>
        </w:rPr>
        <w:t>National Academies of Sciences, Engineering, and Medicine, pp. 16.</w:t>
      </w:r>
    </w:p>
    <w:p w14:paraId="7C6144A4" w14:textId="77777777" w:rsidR="00C255F1" w:rsidRPr="001452A6" w:rsidRDefault="00C255F1" w:rsidP="001452A6">
      <w:pPr>
        <w:spacing w:line="276" w:lineRule="auto"/>
        <w:jc w:val="both"/>
        <w:rPr>
          <w:sz w:val="24"/>
          <w:szCs w:val="24"/>
        </w:rPr>
      </w:pPr>
    </w:p>
    <w:p w14:paraId="3A93459C"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Ewin, R., Bates, E.A. and Taylor, J.C. (2020) ‘Domestic abuse orders: risk, vulnerability and training’</w:t>
      </w:r>
      <w:r w:rsidRPr="001452A6">
        <w:rPr>
          <w:rStyle w:val="apple-converted-space"/>
          <w:rFonts w:ascii="Arial" w:hAnsi="Arial" w:cs="Arial"/>
          <w:color w:val="000000"/>
        </w:rPr>
        <w:t> </w:t>
      </w:r>
      <w:r w:rsidRPr="001452A6">
        <w:rPr>
          <w:rFonts w:ascii="Arial" w:hAnsi="Arial" w:cs="Arial"/>
          <w:i/>
          <w:iCs/>
          <w:color w:val="000000"/>
        </w:rPr>
        <w:t xml:space="preserve">Journal of Criminological Research, </w:t>
      </w:r>
      <w:proofErr w:type="gramStart"/>
      <w:r w:rsidRPr="001452A6">
        <w:rPr>
          <w:rFonts w:ascii="Arial" w:hAnsi="Arial" w:cs="Arial"/>
          <w:i/>
          <w:iCs/>
          <w:color w:val="000000"/>
        </w:rPr>
        <w:t>Policy</w:t>
      </w:r>
      <w:proofErr w:type="gramEnd"/>
      <w:r w:rsidRPr="001452A6">
        <w:rPr>
          <w:rFonts w:ascii="Arial" w:hAnsi="Arial" w:cs="Arial"/>
          <w:i/>
          <w:iCs/>
          <w:color w:val="000000"/>
        </w:rPr>
        <w:t xml:space="preserve"> and Practice</w:t>
      </w:r>
      <w:r w:rsidRPr="001452A6">
        <w:rPr>
          <w:rFonts w:ascii="Arial" w:hAnsi="Arial" w:cs="Arial"/>
          <w:color w:val="000000"/>
        </w:rPr>
        <w:t xml:space="preserve">, 6(2), pp.151–167. </w:t>
      </w:r>
    </w:p>
    <w:p w14:paraId="3EE2393B" w14:textId="77777777" w:rsidR="00C255F1" w:rsidRPr="001452A6" w:rsidRDefault="00C255F1" w:rsidP="001452A6">
      <w:pPr>
        <w:spacing w:line="276" w:lineRule="auto"/>
        <w:jc w:val="both"/>
        <w:rPr>
          <w:sz w:val="24"/>
          <w:szCs w:val="24"/>
        </w:rPr>
      </w:pPr>
    </w:p>
    <w:p w14:paraId="07BA51D2" w14:textId="77777777" w:rsidR="00C255F1" w:rsidRPr="001452A6" w:rsidRDefault="00C255F1" w:rsidP="001452A6">
      <w:pPr>
        <w:pStyle w:val="NormalWeb"/>
        <w:spacing w:line="276" w:lineRule="auto"/>
        <w:jc w:val="both"/>
        <w:rPr>
          <w:rFonts w:ascii="Arial" w:hAnsi="Arial" w:cs="Arial"/>
        </w:rPr>
      </w:pPr>
      <w:proofErr w:type="spellStart"/>
      <w:r w:rsidRPr="001452A6">
        <w:rPr>
          <w:rFonts w:ascii="Arial" w:hAnsi="Arial" w:cs="Arial"/>
        </w:rPr>
        <w:t>Foran</w:t>
      </w:r>
      <w:proofErr w:type="spellEnd"/>
      <w:r w:rsidRPr="001452A6">
        <w:rPr>
          <w:rFonts w:ascii="Arial" w:hAnsi="Arial" w:cs="Arial"/>
        </w:rPr>
        <w:t>, H.M. and K.D. O'Leary. (2008) ‘Alcohol and intimate partner violence: a meta-analytic review</w:t>
      </w:r>
      <w:r w:rsidRPr="001452A6">
        <w:rPr>
          <w:rFonts w:ascii="Arial" w:hAnsi="Arial" w:cs="Arial"/>
          <w:i/>
          <w:iCs/>
        </w:rPr>
        <w:t>’ Clinical Psychology Review</w:t>
      </w:r>
      <w:r w:rsidRPr="001452A6">
        <w:rPr>
          <w:rFonts w:ascii="Arial" w:hAnsi="Arial" w:cs="Arial"/>
        </w:rPr>
        <w:t xml:space="preserve">, 28(7). pp. 1222-34. </w:t>
      </w:r>
    </w:p>
    <w:p w14:paraId="78CD35F2" w14:textId="77777777" w:rsidR="00C255F1" w:rsidRPr="001452A6" w:rsidRDefault="00C255F1" w:rsidP="001452A6">
      <w:pPr>
        <w:pStyle w:val="NormalWeb"/>
        <w:spacing w:line="276" w:lineRule="auto"/>
        <w:jc w:val="both"/>
        <w:rPr>
          <w:rFonts w:ascii="Arial" w:hAnsi="Arial" w:cs="Arial"/>
        </w:rPr>
      </w:pPr>
    </w:p>
    <w:p w14:paraId="11E1A069" w14:textId="77777777" w:rsidR="00C255F1" w:rsidRPr="001452A6" w:rsidRDefault="00C255F1" w:rsidP="001452A6">
      <w:pPr>
        <w:pStyle w:val="NormalWeb"/>
        <w:spacing w:line="276" w:lineRule="auto"/>
        <w:jc w:val="both"/>
        <w:rPr>
          <w:rFonts w:ascii="Arial" w:hAnsi="Arial" w:cs="Arial"/>
        </w:rPr>
      </w:pPr>
      <w:r w:rsidRPr="001452A6">
        <w:rPr>
          <w:rFonts w:ascii="Arial" w:hAnsi="Arial" w:cs="Arial"/>
        </w:rPr>
        <w:t>Gil-Gonzalez, D., et al. (2006) ‘Alcohol and intimate partner violence: do we have enough information to act?’</w:t>
      </w:r>
      <w:r w:rsidRPr="001452A6">
        <w:rPr>
          <w:rFonts w:ascii="Arial" w:hAnsi="Arial" w:cs="Arial"/>
          <w:i/>
          <w:iCs/>
        </w:rPr>
        <w:t xml:space="preserve">  European Journal of Public Health</w:t>
      </w:r>
      <w:r w:rsidRPr="001452A6">
        <w:rPr>
          <w:rFonts w:ascii="Arial" w:hAnsi="Arial" w:cs="Arial"/>
        </w:rPr>
        <w:t xml:space="preserve">, 16(3), pp. 278-284. </w:t>
      </w:r>
    </w:p>
    <w:p w14:paraId="2FD02756" w14:textId="77777777" w:rsidR="00C255F1" w:rsidRPr="001452A6" w:rsidRDefault="00C255F1" w:rsidP="001452A6">
      <w:pPr>
        <w:pStyle w:val="NormalWeb"/>
        <w:spacing w:line="276" w:lineRule="auto"/>
        <w:jc w:val="both"/>
        <w:rPr>
          <w:rFonts w:ascii="Arial" w:hAnsi="Arial" w:cs="Arial"/>
        </w:rPr>
      </w:pPr>
    </w:p>
    <w:p w14:paraId="17D39BB0" w14:textId="77777777" w:rsidR="00C255F1" w:rsidRPr="001452A6" w:rsidRDefault="00C255F1" w:rsidP="001452A6">
      <w:pPr>
        <w:spacing w:line="276" w:lineRule="auto"/>
        <w:jc w:val="both"/>
        <w:rPr>
          <w:sz w:val="24"/>
          <w:szCs w:val="24"/>
        </w:rPr>
      </w:pPr>
    </w:p>
    <w:p w14:paraId="2C08639D"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Gillette, H. (2021)</w:t>
      </w:r>
      <w:r w:rsidRPr="001452A6">
        <w:rPr>
          <w:rStyle w:val="apple-converted-space"/>
          <w:rFonts w:ascii="Arial" w:hAnsi="Arial" w:cs="Arial"/>
          <w:color w:val="000000"/>
        </w:rPr>
        <w:t> ‘</w:t>
      </w:r>
      <w:r w:rsidRPr="001452A6">
        <w:rPr>
          <w:rFonts w:ascii="Arial" w:hAnsi="Arial" w:cs="Arial"/>
          <w:color w:val="000000"/>
        </w:rPr>
        <w:t>What Causes Domestic Violence?</w:t>
      </w:r>
      <w:r w:rsidRPr="001452A6">
        <w:rPr>
          <w:rStyle w:val="apple-converted-space"/>
          <w:rFonts w:ascii="Arial" w:hAnsi="Arial" w:cs="Arial"/>
          <w:color w:val="000000"/>
        </w:rPr>
        <w:t>’</w:t>
      </w:r>
      <w:r w:rsidRPr="001452A6">
        <w:rPr>
          <w:rFonts w:ascii="Arial" w:hAnsi="Arial" w:cs="Arial"/>
          <w:color w:val="000000"/>
        </w:rPr>
        <w:t xml:space="preserve"> Psych Central. Available at: </w:t>
      </w:r>
      <w:hyperlink r:id="rId26" w:anchor="causes-of-domestic-violence" w:history="1">
        <w:r w:rsidRPr="001452A6">
          <w:rPr>
            <w:rStyle w:val="Hyperlink"/>
            <w:rFonts w:ascii="Arial" w:hAnsi="Arial" w:cs="Arial"/>
          </w:rPr>
          <w:t>https://psychcentral.com/lib/what-causes-domestic-violence#causes-of-domestic-violence</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27.04.2023).</w:t>
      </w:r>
    </w:p>
    <w:p w14:paraId="58E24C1C"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7C8EB259" w14:textId="77777777" w:rsidR="00C255F1" w:rsidRPr="001452A6" w:rsidRDefault="00C255F1" w:rsidP="001452A6">
      <w:pPr>
        <w:pStyle w:val="NormalWeb"/>
        <w:spacing w:line="276" w:lineRule="auto"/>
        <w:jc w:val="both"/>
        <w:rPr>
          <w:rFonts w:ascii="Arial" w:hAnsi="Arial" w:cs="Arial"/>
        </w:rPr>
      </w:pPr>
      <w:proofErr w:type="spellStart"/>
      <w:r w:rsidRPr="001452A6">
        <w:rPr>
          <w:rFonts w:ascii="Arial" w:hAnsi="Arial" w:cs="Arial"/>
        </w:rPr>
        <w:t>Hindin</w:t>
      </w:r>
      <w:proofErr w:type="spellEnd"/>
      <w:r w:rsidRPr="001452A6">
        <w:rPr>
          <w:rFonts w:ascii="Arial" w:hAnsi="Arial" w:cs="Arial"/>
        </w:rPr>
        <w:t xml:space="preserve">, M., S. Kishor, and D. </w:t>
      </w:r>
      <w:proofErr w:type="spellStart"/>
      <w:r w:rsidRPr="001452A6">
        <w:rPr>
          <w:rFonts w:ascii="Arial" w:hAnsi="Arial" w:cs="Arial"/>
        </w:rPr>
        <w:t>Ansara</w:t>
      </w:r>
      <w:proofErr w:type="spellEnd"/>
      <w:r w:rsidRPr="001452A6">
        <w:rPr>
          <w:rFonts w:ascii="Arial" w:hAnsi="Arial" w:cs="Arial"/>
        </w:rPr>
        <w:t>. (2008) ‘Intimate partner violence among couples in 10 DHS countries: Predictors and health outcomes’ DHS Analytical Studies</w:t>
      </w:r>
      <w:r w:rsidRPr="001452A6">
        <w:rPr>
          <w:rFonts w:ascii="Arial" w:hAnsi="Arial" w:cs="Arial"/>
          <w:i/>
          <w:iCs/>
        </w:rPr>
        <w:t xml:space="preserve"> 18</w:t>
      </w:r>
      <w:r w:rsidRPr="001452A6">
        <w:rPr>
          <w:rFonts w:ascii="Arial" w:hAnsi="Arial" w:cs="Arial"/>
        </w:rPr>
        <w:t xml:space="preserve">(1), pp 1-4.  </w:t>
      </w:r>
    </w:p>
    <w:p w14:paraId="095CFAEB" w14:textId="77777777" w:rsidR="00C255F1" w:rsidRPr="001452A6" w:rsidRDefault="00C255F1" w:rsidP="001452A6">
      <w:pPr>
        <w:spacing w:line="276" w:lineRule="auto"/>
        <w:jc w:val="both"/>
        <w:rPr>
          <w:sz w:val="24"/>
          <w:szCs w:val="24"/>
        </w:rPr>
      </w:pPr>
    </w:p>
    <w:p w14:paraId="4F12C324"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Home office (2015).</w:t>
      </w:r>
      <w:r w:rsidRPr="001452A6">
        <w:rPr>
          <w:rStyle w:val="apple-converted-space"/>
          <w:rFonts w:ascii="Arial" w:hAnsi="Arial" w:cs="Arial"/>
          <w:color w:val="000000"/>
        </w:rPr>
        <w:t> ‘</w:t>
      </w:r>
      <w:r w:rsidRPr="001452A6">
        <w:rPr>
          <w:rFonts w:ascii="Arial" w:hAnsi="Arial" w:cs="Arial"/>
          <w:color w:val="000000"/>
        </w:rPr>
        <w:t xml:space="preserve">Supporting vulnerable people who encounter the police: A strategic guide for police forces and their partners The issues’  Available at: </w:t>
      </w:r>
      <w:hyperlink r:id="rId27" w:history="1">
        <w:r w:rsidRPr="001452A6">
          <w:rPr>
            <w:rStyle w:val="Hyperlink"/>
            <w:rFonts w:ascii="Arial" w:hAnsi="Arial" w:cs="Arial"/>
          </w:rPr>
          <w:t>https://assets.publishing.service.gov.uk/government/uploads/system/uploads/attachment_data/file/405397/6.379_Supporting_guidance_web_doc_v3.pdf</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20.04.2023).</w:t>
      </w:r>
    </w:p>
    <w:p w14:paraId="1DD517A5" w14:textId="77777777" w:rsidR="00C255F1" w:rsidRPr="001452A6" w:rsidRDefault="00C255F1" w:rsidP="001452A6">
      <w:pPr>
        <w:spacing w:line="276" w:lineRule="auto"/>
        <w:jc w:val="both"/>
        <w:rPr>
          <w:sz w:val="24"/>
          <w:szCs w:val="24"/>
        </w:rPr>
      </w:pPr>
    </w:p>
    <w:p w14:paraId="12F8C712" w14:textId="77777777" w:rsidR="00C255F1" w:rsidRPr="001452A6" w:rsidRDefault="00C255F1" w:rsidP="001452A6">
      <w:pPr>
        <w:pStyle w:val="NormalWeb"/>
        <w:spacing w:line="276" w:lineRule="auto"/>
        <w:jc w:val="both"/>
        <w:rPr>
          <w:rFonts w:ascii="Arial" w:hAnsi="Arial" w:cs="Arial"/>
        </w:rPr>
      </w:pPr>
      <w:r w:rsidRPr="001452A6">
        <w:rPr>
          <w:rFonts w:ascii="Arial" w:hAnsi="Arial" w:cs="Arial"/>
        </w:rPr>
        <w:t>Home Office (2018) ‘Police and Criminal Evidence Act 1984 (PACE). CODE C. Revised Code of Practice for the detention, treatment and questioning of persons by Police Officers</w:t>
      </w:r>
      <w:r w:rsidRPr="001452A6">
        <w:rPr>
          <w:rFonts w:ascii="Arial" w:hAnsi="Arial" w:cs="Arial"/>
          <w:i/>
          <w:iCs/>
        </w:rPr>
        <w:t xml:space="preserve">’ </w:t>
      </w:r>
      <w:r w:rsidRPr="001452A6">
        <w:rPr>
          <w:rFonts w:ascii="Arial" w:hAnsi="Arial" w:cs="Arial"/>
        </w:rPr>
        <w:t xml:space="preserve">Available at: </w:t>
      </w:r>
      <w:r w:rsidRPr="001452A6">
        <w:rPr>
          <w:rFonts w:ascii="Arial" w:hAnsi="Arial" w:cs="Arial"/>
          <w:color w:val="0000FF"/>
        </w:rPr>
        <w:t xml:space="preserve">https://assets.publishing.service.gov.uk/government/uploads/system/uploads/attach </w:t>
      </w:r>
      <w:proofErr w:type="spellStart"/>
      <w:r w:rsidRPr="001452A6">
        <w:rPr>
          <w:rFonts w:ascii="Arial" w:hAnsi="Arial" w:cs="Arial"/>
          <w:color w:val="0000FF"/>
        </w:rPr>
        <w:t>ment</w:t>
      </w:r>
      <w:proofErr w:type="spellEnd"/>
      <w:r w:rsidRPr="001452A6">
        <w:rPr>
          <w:rFonts w:ascii="Arial" w:hAnsi="Arial" w:cs="Arial"/>
          <w:color w:val="0000FF"/>
        </w:rPr>
        <w:t xml:space="preserve"> data/file/729842/pace-code-c-2018.pdf </w:t>
      </w:r>
      <w:r w:rsidRPr="001452A6">
        <w:rPr>
          <w:rFonts w:ascii="Arial" w:hAnsi="Arial" w:cs="Arial"/>
        </w:rPr>
        <w:t xml:space="preserve">(accessed: 09.04.2023). </w:t>
      </w:r>
    </w:p>
    <w:p w14:paraId="151BC607" w14:textId="77777777" w:rsidR="00C255F1" w:rsidRPr="001452A6" w:rsidRDefault="00C255F1" w:rsidP="001452A6">
      <w:pPr>
        <w:pStyle w:val="NormalWeb"/>
        <w:spacing w:line="276" w:lineRule="auto"/>
        <w:jc w:val="both"/>
        <w:rPr>
          <w:rFonts w:ascii="Arial" w:hAnsi="Arial" w:cs="Arial"/>
        </w:rPr>
      </w:pPr>
    </w:p>
    <w:p w14:paraId="6CF9C4DE" w14:textId="77777777" w:rsidR="00C255F1" w:rsidRPr="001452A6" w:rsidRDefault="00C255F1" w:rsidP="001452A6">
      <w:pPr>
        <w:pStyle w:val="NormalWeb"/>
        <w:spacing w:line="276" w:lineRule="auto"/>
        <w:jc w:val="both"/>
        <w:rPr>
          <w:rFonts w:ascii="Arial" w:hAnsi="Arial" w:cs="Arial"/>
        </w:rPr>
      </w:pPr>
      <w:r w:rsidRPr="001452A6">
        <w:rPr>
          <w:rFonts w:ascii="Arial" w:hAnsi="Arial" w:cs="Arial"/>
        </w:rPr>
        <w:t>Home Office (2019) ‘PACE Code C’</w:t>
      </w:r>
      <w:r w:rsidRPr="001452A6">
        <w:rPr>
          <w:rFonts w:ascii="Arial" w:hAnsi="Arial" w:cs="Arial"/>
          <w:i/>
          <w:iCs/>
        </w:rPr>
        <w:t xml:space="preserve"> </w:t>
      </w:r>
      <w:r w:rsidRPr="001452A6">
        <w:rPr>
          <w:rFonts w:ascii="Arial" w:hAnsi="Arial" w:cs="Arial"/>
        </w:rPr>
        <w:t xml:space="preserve">Available at: </w:t>
      </w:r>
      <w:r w:rsidRPr="001452A6">
        <w:rPr>
          <w:rFonts w:ascii="Arial" w:hAnsi="Arial" w:cs="Arial"/>
          <w:color w:val="0000FF"/>
        </w:rPr>
        <w:t xml:space="preserve">https://www.gov.uk/government/publications/pace-code-c-2019 </w:t>
      </w:r>
      <w:r w:rsidRPr="001452A6">
        <w:rPr>
          <w:rFonts w:ascii="Arial" w:hAnsi="Arial" w:cs="Arial"/>
        </w:rPr>
        <w:t>(accessed: 09.04.2023).</w:t>
      </w:r>
    </w:p>
    <w:p w14:paraId="4AD5E177" w14:textId="77777777" w:rsidR="00C255F1" w:rsidRPr="001452A6" w:rsidRDefault="00C255F1" w:rsidP="001452A6">
      <w:pPr>
        <w:pStyle w:val="NormalWeb"/>
        <w:spacing w:line="276" w:lineRule="auto"/>
        <w:jc w:val="both"/>
        <w:rPr>
          <w:rFonts w:ascii="Arial" w:hAnsi="Arial" w:cs="Arial"/>
        </w:rPr>
      </w:pPr>
    </w:p>
    <w:p w14:paraId="450275DB"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Home Office (2020) ‘</w:t>
      </w:r>
      <w:r w:rsidRPr="001452A6">
        <w:rPr>
          <w:rFonts w:ascii="Arial" w:hAnsi="Arial" w:cs="Arial"/>
          <w:i/>
          <w:iCs/>
          <w:color w:val="000000"/>
        </w:rPr>
        <w:t>Domestic Violence Protection Notices (DVPNs) and Domestic Violence Protection Orders (DVPOs) Guidance</w:t>
      </w:r>
      <w:r w:rsidRPr="001452A6">
        <w:rPr>
          <w:rFonts w:ascii="Arial" w:hAnsi="Arial" w:cs="Arial"/>
          <w:color w:val="000000"/>
        </w:rPr>
        <w:t xml:space="preserve">’ GOV.UK. Available at: </w:t>
      </w:r>
      <w:hyperlink r:id="rId28" w:history="1">
        <w:r w:rsidRPr="001452A6">
          <w:rPr>
            <w:rStyle w:val="Hyperlink"/>
            <w:rFonts w:ascii="Arial" w:hAnsi="Arial" w:cs="Arial"/>
          </w:rPr>
          <w:t>https://www.gov.uk/government/publications/domestic-violence-protection-orders/domestic-violence-protection-notices-dvpns-and-domestic-violence-protection-orders-dvpos-guidance-sections-24-33-crime-and-security-act-2010</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18.04.2023).</w:t>
      </w:r>
    </w:p>
    <w:p w14:paraId="0A701A1E"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0D8FA551"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09A6B649"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Home Office (2020).</w:t>
      </w:r>
      <w:r w:rsidRPr="001452A6">
        <w:rPr>
          <w:rStyle w:val="apple-converted-space"/>
          <w:rFonts w:ascii="Arial" w:hAnsi="Arial" w:cs="Arial"/>
          <w:color w:val="000000"/>
        </w:rPr>
        <w:t> ‘</w:t>
      </w:r>
      <w:r w:rsidRPr="001452A6">
        <w:rPr>
          <w:rFonts w:ascii="Arial" w:hAnsi="Arial" w:cs="Arial"/>
          <w:color w:val="000000"/>
        </w:rPr>
        <w:t xml:space="preserve">Interviewing suspects’ Available at: </w:t>
      </w:r>
      <w:hyperlink r:id="rId29" w:history="1">
        <w:r w:rsidRPr="001452A6">
          <w:rPr>
            <w:rStyle w:val="Hyperlink"/>
            <w:rFonts w:ascii="Arial" w:hAnsi="Arial" w:cs="Arial"/>
          </w:rPr>
          <w:t>https://assets.publishing.service.gov.uk/government/uploads/system/uploads/attachment_data/file/864940/interviewing-suspects-v7.0.pdf</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20.04.2023).</w:t>
      </w:r>
    </w:p>
    <w:p w14:paraId="6E879220"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5BABC9A3" w14:textId="77777777" w:rsidR="00C255F1" w:rsidRPr="001452A6" w:rsidRDefault="00C255F1" w:rsidP="001452A6">
      <w:pPr>
        <w:spacing w:line="276" w:lineRule="auto"/>
        <w:jc w:val="both"/>
        <w:rPr>
          <w:sz w:val="24"/>
          <w:szCs w:val="24"/>
        </w:rPr>
      </w:pPr>
    </w:p>
    <w:p w14:paraId="6863581D"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roofErr w:type="spellStart"/>
      <w:r w:rsidRPr="001452A6">
        <w:rPr>
          <w:rFonts w:ascii="Arial" w:hAnsi="Arial" w:cs="Arial"/>
          <w:color w:val="000000"/>
        </w:rPr>
        <w:t>Keay</w:t>
      </w:r>
      <w:proofErr w:type="spellEnd"/>
      <w:r w:rsidRPr="001452A6">
        <w:rPr>
          <w:rFonts w:ascii="Arial" w:hAnsi="Arial" w:cs="Arial"/>
          <w:color w:val="000000"/>
        </w:rPr>
        <w:t xml:space="preserve">, S. and Kirby, S. (2017) ‘Defining Vulnerability: From the Conceptual to the Operational’ </w:t>
      </w:r>
      <w:r w:rsidRPr="001452A6">
        <w:rPr>
          <w:rFonts w:ascii="Arial" w:hAnsi="Arial" w:cs="Arial"/>
          <w:i/>
          <w:iCs/>
          <w:color w:val="000000"/>
        </w:rPr>
        <w:t>Policing: A Journal of Policy and Practice</w:t>
      </w:r>
      <w:r w:rsidRPr="001452A6">
        <w:rPr>
          <w:rFonts w:ascii="Arial" w:hAnsi="Arial" w:cs="Arial"/>
          <w:color w:val="000000"/>
        </w:rPr>
        <w:t xml:space="preserve">, 12(4), pp.428–438. </w:t>
      </w:r>
    </w:p>
    <w:p w14:paraId="463851F0"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4A9F090" w14:textId="20A1303E" w:rsidR="001452A6" w:rsidRPr="001452A6" w:rsidRDefault="00C255F1" w:rsidP="001452A6">
      <w:pPr>
        <w:pStyle w:val="NormalWeb"/>
        <w:shd w:val="clear" w:color="auto" w:fill="FFFFFF"/>
        <w:spacing w:line="276" w:lineRule="auto"/>
        <w:jc w:val="both"/>
        <w:rPr>
          <w:rFonts w:ascii="Arial" w:hAnsi="Arial" w:cs="Arial"/>
          <w:i/>
          <w:iCs/>
          <w:color w:val="222222"/>
          <w:shd w:val="clear" w:color="auto" w:fill="FFFFFF"/>
        </w:rPr>
      </w:pPr>
      <w:r w:rsidRPr="001452A6">
        <w:rPr>
          <w:rFonts w:ascii="Arial" w:hAnsi="Arial" w:cs="Arial"/>
          <w:color w:val="222222"/>
          <w:shd w:val="clear" w:color="auto" w:fill="FFFFFF"/>
        </w:rPr>
        <w:t xml:space="preserve">Kelly, L., Adler, J.R., Horvath, M.A., Lovett, J., Coulson, M., </w:t>
      </w:r>
      <w:proofErr w:type="spellStart"/>
      <w:r w:rsidRPr="001452A6">
        <w:rPr>
          <w:rFonts w:ascii="Arial" w:hAnsi="Arial" w:cs="Arial"/>
          <w:color w:val="222222"/>
          <w:shd w:val="clear" w:color="auto" w:fill="FFFFFF"/>
        </w:rPr>
        <w:t>Kernohan</w:t>
      </w:r>
      <w:proofErr w:type="spellEnd"/>
      <w:r w:rsidRPr="001452A6">
        <w:rPr>
          <w:rFonts w:ascii="Arial" w:hAnsi="Arial" w:cs="Arial"/>
          <w:color w:val="222222"/>
          <w:shd w:val="clear" w:color="auto" w:fill="FFFFFF"/>
        </w:rPr>
        <w:t xml:space="preserve">, D. and Gray, M. (2013) ‘Evaluation of the pilot of domestic violence protection orders’ </w:t>
      </w:r>
      <w:r w:rsidRPr="001452A6">
        <w:rPr>
          <w:rFonts w:ascii="Arial" w:hAnsi="Arial" w:cs="Arial"/>
          <w:i/>
          <w:iCs/>
          <w:color w:val="222222"/>
          <w:shd w:val="clear" w:color="auto" w:fill="FFFFFF"/>
        </w:rPr>
        <w:t xml:space="preserve">School of Social Sciences and Professions, pp 16 – 23. </w:t>
      </w:r>
    </w:p>
    <w:p w14:paraId="5D2F5AE3" w14:textId="77777777" w:rsidR="001452A6" w:rsidRPr="001452A6" w:rsidRDefault="001452A6" w:rsidP="001452A6">
      <w:pPr>
        <w:pStyle w:val="NormalWeb"/>
        <w:shd w:val="clear" w:color="auto" w:fill="FFFFFF"/>
        <w:spacing w:line="276" w:lineRule="auto"/>
        <w:jc w:val="both"/>
        <w:rPr>
          <w:rFonts w:ascii="Arial" w:hAnsi="Arial" w:cs="Arial"/>
          <w:i/>
          <w:iCs/>
          <w:color w:val="222222"/>
          <w:shd w:val="clear" w:color="auto" w:fill="FFFFFF"/>
        </w:rPr>
      </w:pPr>
    </w:p>
    <w:p w14:paraId="57315939" w14:textId="4B501967" w:rsidR="001452A6" w:rsidRPr="001452A6" w:rsidRDefault="001452A6" w:rsidP="001452A6">
      <w:pPr>
        <w:pStyle w:val="NormalWeb"/>
        <w:shd w:val="clear" w:color="auto" w:fill="FFFFFF"/>
        <w:spacing w:before="0" w:beforeAutospacing="0" w:after="0" w:afterAutospacing="0" w:line="360" w:lineRule="atLeast"/>
        <w:jc w:val="both"/>
        <w:rPr>
          <w:rFonts w:ascii="Arial" w:hAnsi="Arial" w:cs="Arial"/>
          <w:color w:val="000000"/>
        </w:rPr>
      </w:pPr>
      <w:r w:rsidRPr="001452A6">
        <w:rPr>
          <w:rFonts w:ascii="Arial" w:hAnsi="Arial" w:cs="Arial"/>
          <w:color w:val="000000"/>
        </w:rPr>
        <w:t>Limited, H.S.I.C. (n.d.).</w:t>
      </w:r>
      <w:r w:rsidRPr="001452A6">
        <w:rPr>
          <w:rStyle w:val="apple-converted-space"/>
          <w:rFonts w:ascii="Arial" w:hAnsi="Arial" w:cs="Arial"/>
          <w:color w:val="000000"/>
        </w:rPr>
        <w:t> ‘</w:t>
      </w:r>
      <w:r w:rsidRPr="001452A6">
        <w:rPr>
          <w:rFonts w:ascii="Arial" w:hAnsi="Arial" w:cs="Arial"/>
          <w:color w:val="000000"/>
        </w:rPr>
        <w:t xml:space="preserve">Golden Hour Principles in Serious Collision Investigation. [online] Harper Shaw Investigation Consultants Limited’ Available at: </w:t>
      </w:r>
      <w:hyperlink r:id="rId30" w:history="1">
        <w:r w:rsidRPr="001452A6">
          <w:rPr>
            <w:rStyle w:val="Hyperlink"/>
            <w:rFonts w:ascii="Arial" w:hAnsi="Arial" w:cs="Arial"/>
          </w:rPr>
          <w:t>https://harpershaw.co.uk/blog/f/golden-hour-principles-in-serious-collision-investigation</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17.04.2023).</w:t>
      </w:r>
    </w:p>
    <w:p w14:paraId="569360E8" w14:textId="77777777" w:rsidR="001452A6" w:rsidRPr="001452A6" w:rsidRDefault="001452A6" w:rsidP="001452A6">
      <w:pPr>
        <w:pStyle w:val="NormalWeb"/>
        <w:shd w:val="clear" w:color="auto" w:fill="FFFFFF"/>
        <w:spacing w:before="0" w:beforeAutospacing="0" w:after="0" w:afterAutospacing="0" w:line="360" w:lineRule="atLeast"/>
        <w:jc w:val="both"/>
        <w:rPr>
          <w:rFonts w:ascii="Arial" w:hAnsi="Arial" w:cs="Arial"/>
          <w:color w:val="000000"/>
        </w:rPr>
      </w:pPr>
    </w:p>
    <w:p w14:paraId="50E67A9C"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34FA99C6"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Lum, C., Koper, C.S., Wu, X., Johnson, W. and Stoltz, M. (2020) ‘Examining the Empirical Realities of Proactive Policing Through Systematic Observations and Computer-Aided Dispatch Data’</w:t>
      </w:r>
      <w:r w:rsidRPr="001452A6">
        <w:rPr>
          <w:rStyle w:val="apple-converted-space"/>
          <w:rFonts w:ascii="Arial" w:hAnsi="Arial" w:cs="Arial"/>
          <w:color w:val="000000"/>
        </w:rPr>
        <w:t> </w:t>
      </w:r>
      <w:r w:rsidRPr="001452A6">
        <w:rPr>
          <w:rFonts w:ascii="Arial" w:hAnsi="Arial" w:cs="Arial"/>
          <w:i/>
          <w:iCs/>
          <w:color w:val="000000"/>
        </w:rPr>
        <w:t>Police Quarterly</w:t>
      </w:r>
      <w:r w:rsidRPr="001452A6">
        <w:rPr>
          <w:rFonts w:ascii="Arial" w:hAnsi="Arial" w:cs="Arial"/>
          <w:color w:val="000000"/>
        </w:rPr>
        <w:t xml:space="preserve">, 23(3), pp.283–310. </w:t>
      </w:r>
    </w:p>
    <w:p w14:paraId="0CEA1860" w14:textId="77777777" w:rsidR="00C255F1" w:rsidRPr="001452A6" w:rsidRDefault="00C255F1" w:rsidP="001452A6">
      <w:pPr>
        <w:spacing w:line="276" w:lineRule="auto"/>
        <w:jc w:val="both"/>
        <w:rPr>
          <w:sz w:val="24"/>
          <w:szCs w:val="24"/>
        </w:rPr>
      </w:pPr>
    </w:p>
    <w:p w14:paraId="5F5A9648" w14:textId="2D1DF1E6" w:rsidR="00C255F1" w:rsidRPr="001452A6" w:rsidRDefault="00C255F1" w:rsidP="001452A6">
      <w:pPr>
        <w:pStyle w:val="NormalWeb"/>
        <w:shd w:val="clear" w:color="auto" w:fill="FFFFFF"/>
        <w:spacing w:line="276" w:lineRule="auto"/>
        <w:jc w:val="both"/>
        <w:rPr>
          <w:rFonts w:ascii="Arial" w:hAnsi="Arial" w:cs="Arial"/>
        </w:rPr>
      </w:pPr>
      <w:r w:rsidRPr="001452A6">
        <w:rPr>
          <w:rFonts w:ascii="Arial" w:hAnsi="Arial" w:cs="Arial"/>
        </w:rPr>
        <w:t xml:space="preserve">MindTools (2016) ‘Gibbs' Reflective Cycle Helping People Learn </w:t>
      </w:r>
      <w:proofErr w:type="gramStart"/>
      <w:r w:rsidRPr="001452A6">
        <w:rPr>
          <w:rFonts w:ascii="Arial" w:hAnsi="Arial" w:cs="Arial"/>
        </w:rPr>
        <w:t>From</w:t>
      </w:r>
      <w:proofErr w:type="gramEnd"/>
      <w:r w:rsidRPr="001452A6">
        <w:rPr>
          <w:rFonts w:ascii="Arial" w:hAnsi="Arial" w:cs="Arial"/>
        </w:rPr>
        <w:t xml:space="preserve"> Experience’</w:t>
      </w:r>
      <w:r w:rsidRPr="001452A6">
        <w:rPr>
          <w:rFonts w:ascii="Arial" w:hAnsi="Arial" w:cs="Arial"/>
          <w:i/>
          <w:iCs/>
        </w:rPr>
        <w:t xml:space="preserve"> </w:t>
      </w:r>
      <w:r w:rsidRPr="001452A6">
        <w:rPr>
          <w:rFonts w:ascii="Arial" w:hAnsi="Arial" w:cs="Arial"/>
        </w:rPr>
        <w:t xml:space="preserve">Available at: </w:t>
      </w:r>
      <w:r w:rsidRPr="001452A6">
        <w:rPr>
          <w:rFonts w:ascii="Arial" w:hAnsi="Arial" w:cs="Arial"/>
          <w:color w:val="0000FF"/>
        </w:rPr>
        <w:t xml:space="preserve">https://www.mindtools.com/pages/article/reflective-cycle.htm </w:t>
      </w:r>
      <w:r w:rsidRPr="001452A6">
        <w:rPr>
          <w:rFonts w:ascii="Arial" w:hAnsi="Arial" w:cs="Arial"/>
        </w:rPr>
        <w:t>(Accessed: 10.04.2023).</w:t>
      </w:r>
    </w:p>
    <w:p w14:paraId="5894C60C" w14:textId="77777777" w:rsidR="00C255F1" w:rsidRPr="001452A6" w:rsidRDefault="00C255F1" w:rsidP="001452A6">
      <w:pPr>
        <w:spacing w:line="276" w:lineRule="auto"/>
        <w:jc w:val="both"/>
        <w:rPr>
          <w:sz w:val="24"/>
          <w:szCs w:val="24"/>
        </w:rPr>
      </w:pPr>
    </w:p>
    <w:p w14:paraId="5E7EA2F5" w14:textId="77777777" w:rsidR="00C255F1" w:rsidRPr="001452A6" w:rsidRDefault="00C255F1" w:rsidP="001452A6">
      <w:pPr>
        <w:spacing w:line="276" w:lineRule="auto"/>
        <w:jc w:val="both"/>
        <w:rPr>
          <w:sz w:val="24"/>
          <w:szCs w:val="24"/>
        </w:rPr>
      </w:pPr>
      <w:r w:rsidRPr="001452A6">
        <w:rPr>
          <w:sz w:val="24"/>
          <w:szCs w:val="24"/>
        </w:rPr>
        <w:t>Ministry of Justice (2020) ‘</w:t>
      </w:r>
      <w:r w:rsidRPr="001452A6">
        <w:rPr>
          <w:i/>
          <w:iCs/>
          <w:sz w:val="24"/>
          <w:szCs w:val="24"/>
        </w:rPr>
        <w:t xml:space="preserve">Code of Practice for Victims of Crime in England and </w:t>
      </w:r>
      <w:proofErr w:type="spellStart"/>
      <w:r w:rsidRPr="001452A6">
        <w:rPr>
          <w:i/>
          <w:iCs/>
          <w:sz w:val="24"/>
          <w:szCs w:val="24"/>
        </w:rPr>
        <w:t>Wales</w:t>
      </w:r>
      <w:r w:rsidRPr="001452A6">
        <w:rPr>
          <w:sz w:val="24"/>
          <w:szCs w:val="24"/>
        </w:rPr>
        <w:t>’</w:t>
      </w:r>
      <w:proofErr w:type="spellEnd"/>
      <w:r w:rsidRPr="001452A6">
        <w:rPr>
          <w:sz w:val="24"/>
          <w:szCs w:val="24"/>
        </w:rPr>
        <w:t xml:space="preserve"> Available at: </w:t>
      </w:r>
      <w:hyperlink r:id="rId31" w:history="1">
        <w:r w:rsidRPr="001452A6">
          <w:rPr>
            <w:rStyle w:val="Hyperlink"/>
            <w:sz w:val="24"/>
            <w:szCs w:val="24"/>
          </w:rPr>
          <w:t>https://assets.publishing.service.gov.uk/government/uploads/system/uploads/attachment_data/file/974376/victims-code-2020.pdf</w:t>
        </w:r>
      </w:hyperlink>
      <w:r w:rsidRPr="001452A6">
        <w:rPr>
          <w:sz w:val="24"/>
          <w:szCs w:val="24"/>
        </w:rPr>
        <w:t xml:space="preserve"> (accessed: 20.04.2023).</w:t>
      </w:r>
    </w:p>
    <w:p w14:paraId="20D882C8" w14:textId="77777777" w:rsidR="00C255F1" w:rsidRPr="001452A6" w:rsidRDefault="00C255F1" w:rsidP="001452A6">
      <w:pPr>
        <w:spacing w:line="276" w:lineRule="auto"/>
        <w:jc w:val="both"/>
        <w:rPr>
          <w:sz w:val="24"/>
          <w:szCs w:val="24"/>
        </w:rPr>
      </w:pPr>
    </w:p>
    <w:p w14:paraId="3B3E80B9" w14:textId="77777777" w:rsidR="00C255F1" w:rsidRPr="001452A6" w:rsidRDefault="00C255F1" w:rsidP="001452A6">
      <w:pPr>
        <w:spacing w:line="276" w:lineRule="auto"/>
        <w:jc w:val="both"/>
        <w:rPr>
          <w:sz w:val="24"/>
          <w:szCs w:val="24"/>
        </w:rPr>
      </w:pPr>
    </w:p>
    <w:p w14:paraId="67DD0C60" w14:textId="28846E7B"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‌Ministry Of Justice (2020) ‘Criminal Procedure and Investigations Act 1996 (section 23(1)) Code of Practice Revised in accordance with section 25(4) of the Criminal Procedure and Investigations Act 1996’</w:t>
      </w:r>
      <w:r w:rsidRPr="001452A6">
        <w:rPr>
          <w:rFonts w:ascii="Arial" w:hAnsi="Arial" w:cs="Arial"/>
          <w:i/>
          <w:iCs/>
          <w:color w:val="000000"/>
        </w:rPr>
        <w:t xml:space="preserve"> </w:t>
      </w:r>
      <w:r w:rsidRPr="001452A6">
        <w:rPr>
          <w:rFonts w:ascii="Arial" w:hAnsi="Arial" w:cs="Arial"/>
          <w:color w:val="000000"/>
        </w:rPr>
        <w:t xml:space="preserve">Presented to Parliament pursuant to section </w:t>
      </w:r>
      <w:r w:rsidRPr="001452A6">
        <w:rPr>
          <w:rFonts w:ascii="Arial" w:hAnsi="Arial" w:cs="Arial"/>
          <w:color w:val="000000"/>
        </w:rPr>
        <w:lastRenderedPageBreak/>
        <w:t xml:space="preserve">25(2) of the Act. Available at: </w:t>
      </w:r>
      <w:hyperlink r:id="rId32" w:history="1">
        <w:r w:rsidRPr="001452A6">
          <w:rPr>
            <w:rStyle w:val="Hyperlink"/>
            <w:rFonts w:ascii="Arial" w:hAnsi="Arial" w:cs="Arial"/>
          </w:rPr>
          <w:t>https://assets.publishing.service.gov.uk/government/uploads/system/uploads/attachment_data/file/931173/Criminal-procedure-and-investigations-act-1996.pdf</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15.04.2023).</w:t>
      </w:r>
    </w:p>
    <w:p w14:paraId="2630B08B" w14:textId="77777777" w:rsidR="00C255F1" w:rsidRPr="001452A6" w:rsidRDefault="00C255F1" w:rsidP="001452A6">
      <w:pPr>
        <w:spacing w:line="276" w:lineRule="auto"/>
        <w:jc w:val="both"/>
        <w:rPr>
          <w:sz w:val="24"/>
          <w:szCs w:val="24"/>
        </w:rPr>
      </w:pPr>
    </w:p>
    <w:p w14:paraId="53C24867" w14:textId="77777777" w:rsidR="00C255F1" w:rsidRPr="001452A6" w:rsidRDefault="00C255F1" w:rsidP="001452A6">
      <w:pPr>
        <w:spacing w:line="276" w:lineRule="auto"/>
        <w:jc w:val="both"/>
        <w:rPr>
          <w:sz w:val="24"/>
          <w:szCs w:val="24"/>
        </w:rPr>
      </w:pPr>
    </w:p>
    <w:p w14:paraId="34F18D07" w14:textId="77777777" w:rsidR="00C255F1" w:rsidRPr="001452A6" w:rsidRDefault="00C255F1" w:rsidP="001452A6">
      <w:pPr>
        <w:pStyle w:val="NormalWeb"/>
        <w:shd w:val="clear" w:color="auto" w:fill="FFFFFF"/>
        <w:spacing w:line="276" w:lineRule="auto"/>
        <w:jc w:val="both"/>
        <w:rPr>
          <w:rFonts w:ascii="Arial" w:hAnsi="Arial" w:cs="Arial"/>
          <w:color w:val="222222"/>
          <w:shd w:val="clear" w:color="auto" w:fill="FFFFFF"/>
        </w:rPr>
      </w:pPr>
      <w:proofErr w:type="spellStart"/>
      <w:r w:rsidRPr="001452A6">
        <w:rPr>
          <w:rFonts w:ascii="Arial" w:hAnsi="Arial" w:cs="Arial"/>
          <w:color w:val="222222"/>
          <w:shd w:val="clear" w:color="auto" w:fill="FFFFFF"/>
        </w:rPr>
        <w:t>Mistek</w:t>
      </w:r>
      <w:proofErr w:type="spellEnd"/>
      <w:r w:rsidRPr="001452A6">
        <w:rPr>
          <w:rFonts w:ascii="Arial" w:hAnsi="Arial" w:cs="Arial"/>
          <w:color w:val="222222"/>
          <w:shd w:val="clear" w:color="auto" w:fill="FFFFFF"/>
        </w:rPr>
        <w:t xml:space="preserve">, E., </w:t>
      </w:r>
      <w:proofErr w:type="spellStart"/>
      <w:r w:rsidRPr="001452A6">
        <w:rPr>
          <w:rFonts w:ascii="Arial" w:hAnsi="Arial" w:cs="Arial"/>
          <w:color w:val="222222"/>
          <w:shd w:val="clear" w:color="auto" w:fill="FFFFFF"/>
        </w:rPr>
        <w:t>Fikiet</w:t>
      </w:r>
      <w:proofErr w:type="spellEnd"/>
      <w:r w:rsidRPr="001452A6">
        <w:rPr>
          <w:rFonts w:ascii="Arial" w:hAnsi="Arial" w:cs="Arial"/>
          <w:color w:val="222222"/>
          <w:shd w:val="clear" w:color="auto" w:fill="FFFFFF"/>
        </w:rPr>
        <w:t xml:space="preserve">, M.A., </w:t>
      </w:r>
      <w:proofErr w:type="spellStart"/>
      <w:r w:rsidRPr="001452A6">
        <w:rPr>
          <w:rFonts w:ascii="Arial" w:hAnsi="Arial" w:cs="Arial"/>
          <w:color w:val="222222"/>
          <w:shd w:val="clear" w:color="auto" w:fill="FFFFFF"/>
        </w:rPr>
        <w:t>Khandasammy</w:t>
      </w:r>
      <w:proofErr w:type="spellEnd"/>
      <w:r w:rsidRPr="001452A6">
        <w:rPr>
          <w:rFonts w:ascii="Arial" w:hAnsi="Arial" w:cs="Arial"/>
          <w:color w:val="222222"/>
          <w:shd w:val="clear" w:color="auto" w:fill="FFFFFF"/>
        </w:rPr>
        <w:t xml:space="preserve">, S.R. and </w:t>
      </w:r>
      <w:proofErr w:type="spellStart"/>
      <w:r w:rsidRPr="001452A6">
        <w:rPr>
          <w:rFonts w:ascii="Arial" w:hAnsi="Arial" w:cs="Arial"/>
          <w:color w:val="222222"/>
          <w:shd w:val="clear" w:color="auto" w:fill="FFFFFF"/>
        </w:rPr>
        <w:t>Lednev</w:t>
      </w:r>
      <w:proofErr w:type="spellEnd"/>
      <w:r w:rsidRPr="001452A6">
        <w:rPr>
          <w:rFonts w:ascii="Arial" w:hAnsi="Arial" w:cs="Arial"/>
          <w:color w:val="222222"/>
          <w:shd w:val="clear" w:color="auto" w:fill="FFFFFF"/>
        </w:rPr>
        <w:t xml:space="preserve">, I.K. (2018) ‘Toward </w:t>
      </w:r>
      <w:proofErr w:type="spellStart"/>
      <w:r w:rsidRPr="001452A6">
        <w:rPr>
          <w:rFonts w:ascii="Arial" w:hAnsi="Arial" w:cs="Arial"/>
          <w:color w:val="222222"/>
          <w:shd w:val="clear" w:color="auto" w:fill="FFFFFF"/>
        </w:rPr>
        <w:t>Locard’s</w:t>
      </w:r>
      <w:proofErr w:type="spellEnd"/>
      <w:r w:rsidRPr="001452A6">
        <w:rPr>
          <w:rFonts w:ascii="Arial" w:hAnsi="Arial" w:cs="Arial"/>
          <w:color w:val="222222"/>
          <w:shd w:val="clear" w:color="auto" w:fill="FFFFFF"/>
        </w:rPr>
        <w:t xml:space="preserve"> exchange principle: Recent developments in forensic trace evidence analysis’</w:t>
      </w:r>
      <w:r w:rsidRPr="001452A6">
        <w:rPr>
          <w:rStyle w:val="apple-converted-space"/>
          <w:rFonts w:ascii="Arial" w:hAnsi="Arial" w:cs="Arial"/>
          <w:color w:val="222222"/>
          <w:shd w:val="clear" w:color="auto" w:fill="FFFFFF"/>
        </w:rPr>
        <w:t> </w:t>
      </w:r>
      <w:r w:rsidRPr="001452A6">
        <w:rPr>
          <w:rFonts w:ascii="Arial" w:hAnsi="Arial" w:cs="Arial"/>
          <w:i/>
          <w:iCs/>
          <w:color w:val="222222"/>
        </w:rPr>
        <w:t>Analytical chemistry</w:t>
      </w:r>
      <w:r w:rsidRPr="001452A6">
        <w:rPr>
          <w:rFonts w:ascii="Arial" w:hAnsi="Arial" w:cs="Arial"/>
          <w:color w:val="222222"/>
          <w:shd w:val="clear" w:color="auto" w:fill="FFFFFF"/>
        </w:rPr>
        <w:t>,</w:t>
      </w:r>
      <w:r w:rsidRPr="001452A6">
        <w:rPr>
          <w:rStyle w:val="apple-converted-space"/>
          <w:rFonts w:ascii="Arial" w:hAnsi="Arial" w:cs="Arial"/>
          <w:color w:val="222222"/>
          <w:shd w:val="clear" w:color="auto" w:fill="FFFFFF"/>
        </w:rPr>
        <w:t> </w:t>
      </w:r>
      <w:r w:rsidRPr="001452A6">
        <w:rPr>
          <w:rFonts w:ascii="Arial" w:hAnsi="Arial" w:cs="Arial"/>
          <w:i/>
          <w:iCs/>
          <w:color w:val="222222"/>
        </w:rPr>
        <w:t>91</w:t>
      </w:r>
      <w:r w:rsidRPr="001452A6">
        <w:rPr>
          <w:rFonts w:ascii="Arial" w:hAnsi="Arial" w:cs="Arial"/>
          <w:color w:val="222222"/>
          <w:shd w:val="clear" w:color="auto" w:fill="FFFFFF"/>
        </w:rPr>
        <w:t>(1), pp.637-654.</w:t>
      </w:r>
    </w:p>
    <w:p w14:paraId="133EB322" w14:textId="77777777" w:rsidR="00C255F1" w:rsidRPr="001452A6" w:rsidRDefault="00C255F1" w:rsidP="001452A6">
      <w:pPr>
        <w:pStyle w:val="NormalWeb"/>
        <w:shd w:val="clear" w:color="auto" w:fill="FFFFFF"/>
        <w:spacing w:line="276" w:lineRule="auto"/>
        <w:jc w:val="both"/>
        <w:rPr>
          <w:rFonts w:ascii="Arial" w:hAnsi="Arial" w:cs="Arial"/>
          <w:color w:val="222222"/>
          <w:shd w:val="clear" w:color="auto" w:fill="FFFFFF"/>
        </w:rPr>
      </w:pPr>
    </w:p>
    <w:p w14:paraId="31BC18CA"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rPr>
      </w:pPr>
      <w:r w:rsidRPr="001452A6">
        <w:rPr>
          <w:rFonts w:ascii="Arial" w:hAnsi="Arial" w:cs="Arial"/>
        </w:rPr>
        <w:t>Murphy, C.M. and L.A. Ting. (2010) ‘The effects of treatment for substance use problems on intimate partner violence: A review of empirical data</w:t>
      </w:r>
      <w:r w:rsidRPr="001452A6">
        <w:rPr>
          <w:rFonts w:ascii="Arial" w:hAnsi="Arial" w:cs="Arial"/>
          <w:i/>
          <w:iCs/>
        </w:rPr>
        <w:t xml:space="preserve">’ Aggression and Violent </w:t>
      </w:r>
      <w:proofErr w:type="spellStart"/>
      <w:r w:rsidRPr="001452A6">
        <w:rPr>
          <w:rFonts w:ascii="Arial" w:hAnsi="Arial" w:cs="Arial"/>
          <w:i/>
          <w:iCs/>
        </w:rPr>
        <w:t>Behavior</w:t>
      </w:r>
      <w:proofErr w:type="spellEnd"/>
      <w:r w:rsidRPr="001452A6">
        <w:rPr>
          <w:rFonts w:ascii="Arial" w:hAnsi="Arial" w:cs="Arial"/>
        </w:rPr>
        <w:t xml:space="preserve">, 15(3), pp.25- 333. </w:t>
      </w:r>
    </w:p>
    <w:p w14:paraId="79285868"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rPr>
      </w:pPr>
    </w:p>
    <w:p w14:paraId="180FCFA8"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rPr>
      </w:pPr>
    </w:p>
    <w:p w14:paraId="319E2471"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Nath Singh, H. and </w:t>
      </w:r>
      <w:proofErr w:type="spellStart"/>
      <w:r w:rsidRPr="001452A6">
        <w:rPr>
          <w:rFonts w:ascii="Arial" w:hAnsi="Arial" w:cs="Arial"/>
          <w:color w:val="000000"/>
        </w:rPr>
        <w:t>Ranu</w:t>
      </w:r>
      <w:proofErr w:type="spellEnd"/>
      <w:r w:rsidRPr="001452A6">
        <w:rPr>
          <w:rFonts w:ascii="Arial" w:hAnsi="Arial" w:cs="Arial"/>
          <w:color w:val="000000"/>
        </w:rPr>
        <w:t xml:space="preserve"> Paul, R.P. (2022) </w:t>
      </w:r>
      <w:proofErr w:type="gramStart"/>
      <w:r w:rsidRPr="001452A6">
        <w:rPr>
          <w:rFonts w:ascii="Arial" w:hAnsi="Arial" w:cs="Arial"/>
          <w:color w:val="000000"/>
        </w:rPr>
        <w:t>‘ Identification</w:t>
      </w:r>
      <w:proofErr w:type="gramEnd"/>
      <w:r w:rsidRPr="001452A6">
        <w:rPr>
          <w:rFonts w:ascii="Arial" w:hAnsi="Arial" w:cs="Arial"/>
          <w:color w:val="000000"/>
        </w:rPr>
        <w:t xml:space="preserve"> of Human Semen (Spermatozoa) through Different Methods in Forensic Investigation’</w:t>
      </w:r>
      <w:r w:rsidRPr="001452A6">
        <w:rPr>
          <w:rStyle w:val="apple-converted-space"/>
          <w:rFonts w:ascii="Arial" w:hAnsi="Arial" w:cs="Arial"/>
          <w:color w:val="000000"/>
        </w:rPr>
        <w:t> </w:t>
      </w:r>
      <w:r w:rsidRPr="001452A6">
        <w:rPr>
          <w:rFonts w:ascii="Arial" w:hAnsi="Arial" w:cs="Arial"/>
          <w:i/>
          <w:iCs/>
          <w:color w:val="000000"/>
        </w:rPr>
        <w:t>International Journal of Research and Review</w:t>
      </w:r>
      <w:r w:rsidRPr="001452A6">
        <w:rPr>
          <w:rFonts w:ascii="Arial" w:hAnsi="Arial" w:cs="Arial"/>
          <w:color w:val="000000"/>
        </w:rPr>
        <w:t xml:space="preserve">, 9(3), pp.105–112. </w:t>
      </w:r>
    </w:p>
    <w:p w14:paraId="451865B4"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AE8D6AC" w14:textId="77777777" w:rsidR="00C255F1" w:rsidRPr="001452A6" w:rsidRDefault="00C255F1" w:rsidP="001452A6">
      <w:pPr>
        <w:pStyle w:val="NormalWeb"/>
        <w:shd w:val="clear" w:color="auto" w:fill="FFFFFF"/>
        <w:spacing w:line="276" w:lineRule="auto"/>
        <w:jc w:val="both"/>
        <w:rPr>
          <w:rFonts w:ascii="Arial" w:hAnsi="Arial" w:cs="Arial"/>
          <w:color w:val="222222"/>
          <w:shd w:val="clear" w:color="auto" w:fill="FFFFFF"/>
        </w:rPr>
      </w:pPr>
      <w:proofErr w:type="spellStart"/>
      <w:r w:rsidRPr="001452A6">
        <w:rPr>
          <w:rFonts w:ascii="Arial" w:hAnsi="Arial" w:cs="Arial"/>
          <w:color w:val="222222"/>
          <w:shd w:val="clear" w:color="auto" w:fill="FFFFFF"/>
        </w:rPr>
        <w:t>Rassin</w:t>
      </w:r>
      <w:proofErr w:type="spellEnd"/>
      <w:r w:rsidRPr="001452A6">
        <w:rPr>
          <w:rFonts w:ascii="Arial" w:hAnsi="Arial" w:cs="Arial"/>
          <w:color w:val="222222"/>
          <w:shd w:val="clear" w:color="auto" w:fill="FFFFFF"/>
        </w:rPr>
        <w:t xml:space="preserve">, E., </w:t>
      </w:r>
      <w:proofErr w:type="spellStart"/>
      <w:r w:rsidRPr="001452A6">
        <w:rPr>
          <w:rFonts w:ascii="Arial" w:hAnsi="Arial" w:cs="Arial"/>
          <w:color w:val="222222"/>
          <w:shd w:val="clear" w:color="auto" w:fill="FFFFFF"/>
        </w:rPr>
        <w:t>Eerland</w:t>
      </w:r>
      <w:proofErr w:type="spellEnd"/>
      <w:r w:rsidRPr="001452A6">
        <w:rPr>
          <w:rFonts w:ascii="Arial" w:hAnsi="Arial" w:cs="Arial"/>
          <w:color w:val="222222"/>
          <w:shd w:val="clear" w:color="auto" w:fill="FFFFFF"/>
        </w:rPr>
        <w:t xml:space="preserve">, A. and </w:t>
      </w:r>
      <w:proofErr w:type="spellStart"/>
      <w:r w:rsidRPr="001452A6">
        <w:rPr>
          <w:rFonts w:ascii="Arial" w:hAnsi="Arial" w:cs="Arial"/>
          <w:color w:val="222222"/>
          <w:shd w:val="clear" w:color="auto" w:fill="FFFFFF"/>
        </w:rPr>
        <w:t>Kuijpers</w:t>
      </w:r>
      <w:proofErr w:type="spellEnd"/>
      <w:r w:rsidRPr="001452A6">
        <w:rPr>
          <w:rFonts w:ascii="Arial" w:hAnsi="Arial" w:cs="Arial"/>
          <w:color w:val="222222"/>
          <w:shd w:val="clear" w:color="auto" w:fill="FFFFFF"/>
        </w:rPr>
        <w:t>, I. (2010) ‘Let's find the evidence: An analogue study of confirmation bias in criminal investigations’</w:t>
      </w:r>
      <w:r w:rsidRPr="001452A6">
        <w:rPr>
          <w:rStyle w:val="apple-converted-space"/>
          <w:rFonts w:ascii="Arial" w:hAnsi="Arial" w:cs="Arial"/>
          <w:color w:val="222222"/>
          <w:shd w:val="clear" w:color="auto" w:fill="FFFFFF"/>
        </w:rPr>
        <w:t> </w:t>
      </w:r>
      <w:r w:rsidRPr="001452A6">
        <w:rPr>
          <w:rFonts w:ascii="Arial" w:hAnsi="Arial" w:cs="Arial"/>
          <w:i/>
          <w:iCs/>
          <w:color w:val="222222"/>
        </w:rPr>
        <w:t>Journal of Investigative Psychology and Offender Profiling</w:t>
      </w:r>
      <w:r w:rsidRPr="001452A6">
        <w:rPr>
          <w:rFonts w:ascii="Arial" w:hAnsi="Arial" w:cs="Arial"/>
          <w:color w:val="222222"/>
          <w:shd w:val="clear" w:color="auto" w:fill="FFFFFF"/>
        </w:rPr>
        <w:t>,</w:t>
      </w:r>
      <w:r w:rsidRPr="001452A6">
        <w:rPr>
          <w:rStyle w:val="apple-converted-space"/>
          <w:rFonts w:ascii="Arial" w:hAnsi="Arial" w:cs="Arial"/>
          <w:color w:val="222222"/>
          <w:shd w:val="clear" w:color="auto" w:fill="FFFFFF"/>
        </w:rPr>
        <w:t> </w:t>
      </w:r>
      <w:r w:rsidRPr="001452A6">
        <w:rPr>
          <w:rFonts w:ascii="Arial" w:hAnsi="Arial" w:cs="Arial"/>
          <w:i/>
          <w:iCs/>
          <w:color w:val="222222"/>
        </w:rPr>
        <w:t>7</w:t>
      </w:r>
      <w:r w:rsidRPr="001452A6">
        <w:rPr>
          <w:rFonts w:ascii="Arial" w:hAnsi="Arial" w:cs="Arial"/>
          <w:color w:val="222222"/>
          <w:shd w:val="clear" w:color="auto" w:fill="FFFFFF"/>
        </w:rPr>
        <w:t>(3), pp.231-246.</w:t>
      </w:r>
    </w:p>
    <w:p w14:paraId="007AB2E5" w14:textId="77777777" w:rsidR="00C255F1" w:rsidRPr="001452A6" w:rsidRDefault="00C255F1" w:rsidP="001452A6">
      <w:pPr>
        <w:pStyle w:val="NormalWeb"/>
        <w:shd w:val="clear" w:color="auto" w:fill="FFFFFF"/>
        <w:spacing w:line="276" w:lineRule="auto"/>
        <w:jc w:val="both"/>
        <w:rPr>
          <w:rFonts w:ascii="Arial" w:hAnsi="Arial" w:cs="Arial"/>
          <w:color w:val="222222"/>
          <w:shd w:val="clear" w:color="auto" w:fill="FFFFFF"/>
        </w:rPr>
      </w:pPr>
    </w:p>
    <w:p w14:paraId="7180533B"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roofErr w:type="spellStart"/>
      <w:r w:rsidRPr="001452A6">
        <w:rPr>
          <w:rFonts w:ascii="Arial" w:hAnsi="Arial" w:cs="Arial"/>
          <w:color w:val="000000"/>
        </w:rPr>
        <w:t>Rossmo</w:t>
      </w:r>
      <w:proofErr w:type="spellEnd"/>
      <w:r w:rsidRPr="001452A6">
        <w:rPr>
          <w:rFonts w:ascii="Arial" w:hAnsi="Arial" w:cs="Arial"/>
          <w:color w:val="000000"/>
        </w:rPr>
        <w:t xml:space="preserve">, K. and Pollock, J. (2019) ‘Confirmation Bias and Other Systemic Causes of Wrongful Convictions: A Sentinel Events Perspective’ </w:t>
      </w:r>
      <w:r w:rsidRPr="001452A6">
        <w:rPr>
          <w:rFonts w:ascii="Arial" w:hAnsi="Arial" w:cs="Arial"/>
          <w:i/>
          <w:iCs/>
          <w:color w:val="000000"/>
        </w:rPr>
        <w:t>SSRN Electronic Journal</w:t>
      </w:r>
      <w:r w:rsidRPr="001452A6">
        <w:rPr>
          <w:rFonts w:ascii="Arial" w:hAnsi="Arial" w:cs="Arial"/>
          <w:color w:val="000000"/>
        </w:rPr>
        <w:t>, 11(2), pp 2-17.</w:t>
      </w:r>
    </w:p>
    <w:p w14:paraId="36B5A8C6"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6305FAF6" w14:textId="77777777" w:rsidR="00C255F1" w:rsidRPr="001452A6" w:rsidRDefault="00C255F1" w:rsidP="001452A6">
      <w:pPr>
        <w:pStyle w:val="NormalWeb"/>
        <w:shd w:val="clear" w:color="auto" w:fill="FFFFFF"/>
        <w:spacing w:line="276" w:lineRule="auto"/>
        <w:jc w:val="both"/>
        <w:rPr>
          <w:rFonts w:ascii="Arial" w:hAnsi="Arial" w:cs="Arial"/>
          <w:color w:val="222222"/>
          <w:shd w:val="clear" w:color="auto" w:fill="FFFFFF"/>
        </w:rPr>
      </w:pPr>
      <w:r w:rsidRPr="001452A6">
        <w:rPr>
          <w:rFonts w:ascii="Arial" w:hAnsi="Arial" w:cs="Arial"/>
          <w:color w:val="222222"/>
          <w:shd w:val="clear" w:color="auto" w:fill="FFFFFF"/>
        </w:rPr>
        <w:t>Russell, B. (2012) ‘Effectiveness, victim safety, characteristics, and enforcement of protective orders’</w:t>
      </w:r>
      <w:r w:rsidRPr="001452A6">
        <w:rPr>
          <w:rStyle w:val="apple-converted-space"/>
          <w:rFonts w:ascii="Arial" w:hAnsi="Arial" w:cs="Arial"/>
          <w:color w:val="222222"/>
          <w:shd w:val="clear" w:color="auto" w:fill="FFFFFF"/>
        </w:rPr>
        <w:t> </w:t>
      </w:r>
      <w:r w:rsidRPr="001452A6">
        <w:rPr>
          <w:rFonts w:ascii="Arial" w:hAnsi="Arial" w:cs="Arial"/>
          <w:i/>
          <w:iCs/>
          <w:color w:val="222222"/>
        </w:rPr>
        <w:t>Partner abuse</w:t>
      </w:r>
      <w:r w:rsidRPr="001452A6">
        <w:rPr>
          <w:rFonts w:ascii="Arial" w:hAnsi="Arial" w:cs="Arial"/>
          <w:color w:val="222222"/>
          <w:shd w:val="clear" w:color="auto" w:fill="FFFFFF"/>
        </w:rPr>
        <w:t>,</w:t>
      </w:r>
      <w:r w:rsidRPr="001452A6">
        <w:rPr>
          <w:rStyle w:val="apple-converted-space"/>
          <w:rFonts w:ascii="Arial" w:hAnsi="Arial" w:cs="Arial"/>
          <w:color w:val="222222"/>
          <w:shd w:val="clear" w:color="auto" w:fill="FFFFFF"/>
        </w:rPr>
        <w:t> </w:t>
      </w:r>
      <w:r w:rsidRPr="001452A6">
        <w:rPr>
          <w:rFonts w:ascii="Arial" w:hAnsi="Arial" w:cs="Arial"/>
          <w:i/>
          <w:iCs/>
          <w:color w:val="222222"/>
        </w:rPr>
        <w:t>3</w:t>
      </w:r>
      <w:r w:rsidRPr="001452A6">
        <w:rPr>
          <w:rFonts w:ascii="Arial" w:hAnsi="Arial" w:cs="Arial"/>
          <w:color w:val="222222"/>
          <w:shd w:val="clear" w:color="auto" w:fill="FFFFFF"/>
        </w:rPr>
        <w:t>(4), pp.531-552.</w:t>
      </w:r>
    </w:p>
    <w:p w14:paraId="3131E531" w14:textId="77777777" w:rsidR="00C255F1" w:rsidRPr="001452A6" w:rsidRDefault="00C255F1" w:rsidP="001452A6">
      <w:pPr>
        <w:pStyle w:val="NormalWeb"/>
        <w:shd w:val="clear" w:color="auto" w:fill="FFFFFF"/>
        <w:spacing w:line="276" w:lineRule="auto"/>
        <w:jc w:val="both"/>
        <w:rPr>
          <w:rFonts w:ascii="Arial" w:hAnsi="Arial" w:cs="Arial"/>
          <w:color w:val="000000"/>
        </w:rPr>
      </w:pPr>
    </w:p>
    <w:p w14:paraId="7779AB5F" w14:textId="77777777" w:rsidR="00C255F1" w:rsidRPr="001452A6" w:rsidRDefault="00C255F1" w:rsidP="001452A6">
      <w:pPr>
        <w:spacing w:line="276" w:lineRule="auto"/>
        <w:jc w:val="both"/>
        <w:rPr>
          <w:color w:val="222222"/>
          <w:sz w:val="24"/>
          <w:szCs w:val="24"/>
          <w:shd w:val="clear" w:color="auto" w:fill="FFFFFF"/>
        </w:rPr>
      </w:pPr>
      <w:r w:rsidRPr="001452A6">
        <w:rPr>
          <w:color w:val="222222"/>
          <w:sz w:val="24"/>
          <w:szCs w:val="24"/>
          <w:shd w:val="clear" w:color="auto" w:fill="FFFFFF"/>
        </w:rPr>
        <w:t xml:space="preserve">Schmidt, </w:t>
      </w:r>
      <w:proofErr w:type="gramStart"/>
      <w:r w:rsidRPr="001452A6">
        <w:rPr>
          <w:color w:val="222222"/>
          <w:sz w:val="24"/>
          <w:szCs w:val="24"/>
          <w:shd w:val="clear" w:color="auto" w:fill="FFFFFF"/>
        </w:rPr>
        <w:t>J.D.</w:t>
      </w:r>
      <w:proofErr w:type="gramEnd"/>
      <w:r w:rsidRPr="001452A6">
        <w:rPr>
          <w:color w:val="222222"/>
          <w:sz w:val="24"/>
          <w:szCs w:val="24"/>
          <w:shd w:val="clear" w:color="auto" w:fill="FFFFFF"/>
        </w:rPr>
        <w:t xml:space="preserve"> and Sherman, L.W. (1993) ‘Does arrest deter domestic violence’</w:t>
      </w:r>
      <w:r w:rsidRPr="001452A6">
        <w:rPr>
          <w:rStyle w:val="apple-converted-space"/>
          <w:color w:val="222222"/>
          <w:sz w:val="24"/>
          <w:szCs w:val="24"/>
          <w:shd w:val="clear" w:color="auto" w:fill="FFFFFF"/>
        </w:rPr>
        <w:t> </w:t>
      </w:r>
      <w:r w:rsidRPr="001452A6">
        <w:rPr>
          <w:i/>
          <w:iCs/>
          <w:color w:val="222222"/>
          <w:sz w:val="24"/>
          <w:szCs w:val="24"/>
        </w:rPr>
        <w:t xml:space="preserve">American </w:t>
      </w:r>
      <w:proofErr w:type="spellStart"/>
      <w:r w:rsidRPr="001452A6">
        <w:rPr>
          <w:i/>
          <w:iCs/>
          <w:color w:val="222222"/>
          <w:sz w:val="24"/>
          <w:szCs w:val="24"/>
        </w:rPr>
        <w:t>Behavioral</w:t>
      </w:r>
      <w:proofErr w:type="spellEnd"/>
      <w:r w:rsidRPr="001452A6">
        <w:rPr>
          <w:i/>
          <w:iCs/>
          <w:color w:val="222222"/>
          <w:sz w:val="24"/>
          <w:szCs w:val="24"/>
        </w:rPr>
        <w:t xml:space="preserve"> Scientist</w:t>
      </w:r>
      <w:r w:rsidRPr="001452A6">
        <w:rPr>
          <w:color w:val="222222"/>
          <w:sz w:val="24"/>
          <w:szCs w:val="24"/>
          <w:shd w:val="clear" w:color="auto" w:fill="FFFFFF"/>
        </w:rPr>
        <w:t>,</w:t>
      </w:r>
      <w:r w:rsidRPr="001452A6">
        <w:rPr>
          <w:rStyle w:val="apple-converted-space"/>
          <w:color w:val="222222"/>
          <w:sz w:val="24"/>
          <w:szCs w:val="24"/>
          <w:shd w:val="clear" w:color="auto" w:fill="FFFFFF"/>
        </w:rPr>
        <w:t> </w:t>
      </w:r>
      <w:r w:rsidRPr="001452A6">
        <w:rPr>
          <w:i/>
          <w:iCs/>
          <w:color w:val="222222"/>
          <w:sz w:val="24"/>
          <w:szCs w:val="24"/>
        </w:rPr>
        <w:t>36</w:t>
      </w:r>
      <w:r w:rsidRPr="001452A6">
        <w:rPr>
          <w:color w:val="222222"/>
          <w:sz w:val="24"/>
          <w:szCs w:val="24"/>
          <w:shd w:val="clear" w:color="auto" w:fill="FFFFFF"/>
        </w:rPr>
        <w:t>(5), pp.601-609.</w:t>
      </w:r>
    </w:p>
    <w:p w14:paraId="21B4A59B" w14:textId="77777777" w:rsidR="00C255F1" w:rsidRPr="001452A6" w:rsidRDefault="00C255F1" w:rsidP="001452A6">
      <w:pPr>
        <w:spacing w:line="276" w:lineRule="auto"/>
        <w:jc w:val="both"/>
        <w:rPr>
          <w:color w:val="222222"/>
          <w:sz w:val="24"/>
          <w:szCs w:val="24"/>
          <w:shd w:val="clear" w:color="auto" w:fill="FFFFFF"/>
        </w:rPr>
      </w:pPr>
    </w:p>
    <w:p w14:paraId="11B04CF5" w14:textId="77777777" w:rsidR="00C255F1" w:rsidRPr="001452A6" w:rsidRDefault="00C255F1" w:rsidP="001452A6">
      <w:pPr>
        <w:pStyle w:val="NormalWeb"/>
        <w:shd w:val="clear" w:color="auto" w:fill="FFFFFF"/>
        <w:spacing w:line="276" w:lineRule="auto"/>
        <w:jc w:val="both"/>
        <w:rPr>
          <w:rFonts w:ascii="Arial" w:hAnsi="Arial" w:cs="Arial"/>
          <w:color w:val="222222"/>
          <w:shd w:val="clear" w:color="auto" w:fill="FFFFFF"/>
        </w:rPr>
      </w:pPr>
      <w:r w:rsidRPr="001452A6">
        <w:rPr>
          <w:rFonts w:ascii="Arial" w:hAnsi="Arial" w:cs="Arial"/>
          <w:color w:val="222222"/>
          <w:shd w:val="clear" w:color="auto" w:fill="FFFFFF"/>
        </w:rPr>
        <w:t>Sherman, L.W. and Strang, H. (1996)</w:t>
      </w:r>
      <w:r w:rsidRPr="001452A6">
        <w:rPr>
          <w:rStyle w:val="apple-converted-space"/>
          <w:rFonts w:ascii="Arial" w:hAnsi="Arial" w:cs="Arial"/>
          <w:color w:val="222222"/>
          <w:shd w:val="clear" w:color="auto" w:fill="FFFFFF"/>
        </w:rPr>
        <w:t> ‘</w:t>
      </w:r>
      <w:r w:rsidRPr="001452A6">
        <w:rPr>
          <w:rFonts w:ascii="Arial" w:hAnsi="Arial" w:cs="Arial"/>
          <w:color w:val="222222"/>
        </w:rPr>
        <w:t>Policing domestic violence: The problem-solving paradigm</w:t>
      </w:r>
      <w:r w:rsidRPr="001452A6">
        <w:rPr>
          <w:rFonts w:ascii="Arial" w:hAnsi="Arial" w:cs="Arial"/>
          <w:color w:val="222222"/>
          <w:shd w:val="clear" w:color="auto" w:fill="FFFFFF"/>
        </w:rPr>
        <w:t>. The Authors.</w:t>
      </w:r>
    </w:p>
    <w:p w14:paraId="3BD31947" w14:textId="77777777" w:rsidR="00C255F1" w:rsidRPr="001452A6" w:rsidRDefault="00C255F1" w:rsidP="001452A6">
      <w:pPr>
        <w:pStyle w:val="NormalWeb"/>
        <w:shd w:val="clear" w:color="auto" w:fill="FFFFFF"/>
        <w:spacing w:line="276" w:lineRule="auto"/>
        <w:jc w:val="both"/>
        <w:rPr>
          <w:rFonts w:ascii="Arial" w:hAnsi="Arial" w:cs="Arial"/>
          <w:color w:val="000000"/>
        </w:rPr>
      </w:pPr>
    </w:p>
    <w:p w14:paraId="338506C8"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roofErr w:type="spellStart"/>
      <w:r w:rsidRPr="001452A6">
        <w:rPr>
          <w:rFonts w:ascii="Arial" w:hAnsi="Arial" w:cs="Arial"/>
          <w:color w:val="000000"/>
        </w:rPr>
        <w:t>Shorrock</w:t>
      </w:r>
      <w:proofErr w:type="spellEnd"/>
      <w:r w:rsidRPr="001452A6">
        <w:rPr>
          <w:rFonts w:ascii="Arial" w:hAnsi="Arial" w:cs="Arial"/>
          <w:color w:val="000000"/>
        </w:rPr>
        <w:t xml:space="preserve">, S., McManus, M.A. and Kirby, S. (2019) ‘Investigating the Characteristics of Vulnerable Referrals Made to a Multi-Agency Safeguarding Hub’ </w:t>
      </w:r>
      <w:r w:rsidRPr="001452A6">
        <w:rPr>
          <w:rFonts w:ascii="Arial" w:hAnsi="Arial" w:cs="Arial"/>
          <w:i/>
          <w:iCs/>
          <w:color w:val="000000"/>
        </w:rPr>
        <w:t>Policing: A Journal of Policy and Practice</w:t>
      </w:r>
      <w:r w:rsidRPr="001452A6">
        <w:rPr>
          <w:rFonts w:ascii="Arial" w:hAnsi="Arial" w:cs="Arial"/>
          <w:color w:val="000000"/>
        </w:rPr>
        <w:t xml:space="preserve">, 13(2), pp.201–212. </w:t>
      </w:r>
    </w:p>
    <w:p w14:paraId="0192EEDA"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1161EDD7"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74EE1A02"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roofErr w:type="spellStart"/>
      <w:r w:rsidRPr="001452A6">
        <w:rPr>
          <w:rFonts w:ascii="Arial" w:hAnsi="Arial" w:cs="Arial"/>
          <w:color w:val="000000"/>
        </w:rPr>
        <w:t>Shorrock</w:t>
      </w:r>
      <w:proofErr w:type="spellEnd"/>
      <w:r w:rsidRPr="001452A6">
        <w:rPr>
          <w:rFonts w:ascii="Arial" w:hAnsi="Arial" w:cs="Arial"/>
          <w:color w:val="000000"/>
        </w:rPr>
        <w:t xml:space="preserve">, S., McManus, M.A. and Kirby, S. (2020) ‘Profile of repeat victimisation within multi-agency referrals’ </w:t>
      </w:r>
      <w:r w:rsidRPr="001452A6">
        <w:rPr>
          <w:rFonts w:ascii="Arial" w:hAnsi="Arial" w:cs="Arial"/>
          <w:i/>
          <w:iCs/>
          <w:color w:val="000000"/>
        </w:rPr>
        <w:t>International Review of Victimology</w:t>
      </w:r>
      <w:r w:rsidRPr="001452A6">
        <w:rPr>
          <w:rFonts w:ascii="Arial" w:hAnsi="Arial" w:cs="Arial"/>
          <w:color w:val="000000"/>
        </w:rPr>
        <w:t>, 26(3), pp 332 – 343.</w:t>
      </w:r>
    </w:p>
    <w:p w14:paraId="7DFC23EA"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6D68B4D0"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64ED7397" w14:textId="77777777" w:rsidR="00C255F1" w:rsidRPr="001452A6" w:rsidRDefault="00C255F1" w:rsidP="001452A6">
      <w:pPr>
        <w:pStyle w:val="NormalWeb"/>
        <w:shd w:val="clear" w:color="auto" w:fill="FFFFFF"/>
        <w:spacing w:before="0" w:beforeAutospacing="0" w:after="0" w:afterAutospacing="0" w:line="276" w:lineRule="auto"/>
        <w:jc w:val="both"/>
        <w:rPr>
          <w:rStyle w:val="Hyperlink"/>
          <w:rFonts w:ascii="Arial" w:hAnsi="Arial" w:cs="Arial"/>
          <w:color w:val="000000" w:themeColor="text1"/>
        </w:rPr>
      </w:pPr>
      <w:r w:rsidRPr="001452A6">
        <w:rPr>
          <w:rFonts w:ascii="Arial" w:hAnsi="Arial" w:cs="Arial"/>
          <w:color w:val="000000"/>
        </w:rPr>
        <w:t>STRIVE (2012) ‘WHAT WORKS TO PREVENT PARTNER VIOLENCE</w:t>
      </w:r>
      <w:r w:rsidRPr="001452A6">
        <w:rPr>
          <w:rFonts w:ascii="Arial" w:hAnsi="Arial" w:cs="Arial"/>
          <w:i/>
          <w:iCs/>
          <w:color w:val="000000"/>
        </w:rPr>
        <w:t>?’</w:t>
      </w:r>
      <w:r w:rsidRPr="001452A6">
        <w:rPr>
          <w:rStyle w:val="apple-converted-space"/>
          <w:rFonts w:ascii="Arial" w:hAnsi="Arial" w:cs="Arial"/>
          <w:color w:val="000000"/>
        </w:rPr>
        <w:t xml:space="preserve">  An Evidence Overview. </w:t>
      </w:r>
      <w:r w:rsidRPr="001452A6">
        <w:rPr>
          <w:rFonts w:ascii="Arial" w:hAnsi="Arial" w:cs="Arial"/>
          <w:color w:val="000000"/>
        </w:rPr>
        <w:t xml:space="preserve">Available at: </w:t>
      </w:r>
      <w:hyperlink r:id="rId33" w:history="1">
        <w:r w:rsidRPr="001452A6">
          <w:rPr>
            <w:rStyle w:val="Hyperlink"/>
            <w:rFonts w:ascii="Arial" w:hAnsi="Arial" w:cs="Arial"/>
            <w:color w:val="0070C0"/>
          </w:rPr>
          <w:t>https://assets.publishing.service.gov.uk/media/57a08abde5274a31e0000750/60887-PartnerViolenceEvidenceOverview.pdf</w:t>
        </w:r>
      </w:hyperlink>
      <w:r w:rsidRPr="001452A6">
        <w:rPr>
          <w:rStyle w:val="Hyperlink"/>
          <w:rFonts w:ascii="Arial" w:hAnsi="Arial" w:cs="Arial"/>
          <w:color w:val="0070C0"/>
        </w:rPr>
        <w:t xml:space="preserve"> </w:t>
      </w:r>
      <w:r w:rsidRPr="001452A6">
        <w:rPr>
          <w:rStyle w:val="Hyperlink"/>
          <w:rFonts w:ascii="Arial" w:hAnsi="Arial" w:cs="Arial"/>
          <w:color w:val="000000" w:themeColor="text1"/>
          <w:u w:val="none"/>
        </w:rPr>
        <w:t>(Accessed</w:t>
      </w:r>
      <w:r w:rsidRPr="001452A6">
        <w:rPr>
          <w:rStyle w:val="Hyperlink"/>
          <w:rFonts w:ascii="Arial" w:hAnsi="Arial" w:cs="Arial"/>
          <w:color w:val="000000" w:themeColor="text1"/>
        </w:rPr>
        <w:t>:</w:t>
      </w:r>
      <w:r w:rsidRPr="001452A6">
        <w:rPr>
          <w:rStyle w:val="Hyperlink"/>
          <w:rFonts w:ascii="Arial" w:hAnsi="Arial" w:cs="Arial"/>
          <w:color w:val="000000" w:themeColor="text1"/>
          <w:u w:val="none"/>
        </w:rPr>
        <w:t xml:space="preserve"> 11.04.2023)</w:t>
      </w:r>
      <w:r w:rsidRPr="001452A6">
        <w:rPr>
          <w:rStyle w:val="Hyperlink"/>
          <w:rFonts w:ascii="Arial" w:hAnsi="Arial" w:cs="Arial"/>
          <w:color w:val="000000" w:themeColor="text1"/>
        </w:rPr>
        <w:t>.</w:t>
      </w:r>
    </w:p>
    <w:p w14:paraId="4A58A2F4" w14:textId="77777777" w:rsidR="00C255F1" w:rsidRPr="001452A6" w:rsidRDefault="00C255F1" w:rsidP="001452A6">
      <w:pPr>
        <w:pStyle w:val="NormalWeb"/>
        <w:shd w:val="clear" w:color="auto" w:fill="FFFFFF"/>
        <w:spacing w:before="0" w:beforeAutospacing="0" w:after="0" w:afterAutospacing="0" w:line="276" w:lineRule="auto"/>
        <w:jc w:val="both"/>
        <w:rPr>
          <w:rStyle w:val="Hyperlink"/>
          <w:rFonts w:ascii="Arial" w:hAnsi="Arial" w:cs="Arial"/>
          <w:color w:val="0070C0"/>
        </w:rPr>
      </w:pPr>
    </w:p>
    <w:p w14:paraId="04785495" w14:textId="77777777" w:rsidR="00C255F1" w:rsidRPr="001452A6" w:rsidRDefault="00C255F1" w:rsidP="001452A6">
      <w:pPr>
        <w:pStyle w:val="NormalWeb"/>
        <w:shd w:val="clear" w:color="auto" w:fill="FFFFFF"/>
        <w:spacing w:before="0" w:beforeAutospacing="0" w:after="0" w:afterAutospacing="0" w:line="276" w:lineRule="auto"/>
        <w:jc w:val="both"/>
        <w:rPr>
          <w:rStyle w:val="Hyperlink"/>
          <w:rFonts w:ascii="Arial" w:hAnsi="Arial" w:cs="Arial"/>
        </w:rPr>
      </w:pPr>
    </w:p>
    <w:p w14:paraId="17517AC0" w14:textId="77777777" w:rsidR="00C255F1" w:rsidRPr="001452A6" w:rsidRDefault="00C255F1" w:rsidP="001452A6">
      <w:pPr>
        <w:pStyle w:val="NormalWeb"/>
        <w:spacing w:line="276" w:lineRule="auto"/>
        <w:jc w:val="both"/>
        <w:rPr>
          <w:rFonts w:ascii="Arial" w:hAnsi="Arial" w:cs="Arial"/>
        </w:rPr>
      </w:pPr>
      <w:r w:rsidRPr="001452A6">
        <w:rPr>
          <w:rFonts w:ascii="Arial" w:hAnsi="Arial" w:cs="Arial"/>
        </w:rPr>
        <w:t xml:space="preserve">Thompson, M.P. and </w:t>
      </w:r>
      <w:proofErr w:type="spellStart"/>
      <w:r w:rsidRPr="001452A6">
        <w:rPr>
          <w:rFonts w:ascii="Arial" w:hAnsi="Arial" w:cs="Arial"/>
        </w:rPr>
        <w:t>Kingree</w:t>
      </w:r>
      <w:proofErr w:type="spellEnd"/>
      <w:r w:rsidRPr="001452A6">
        <w:rPr>
          <w:rFonts w:ascii="Arial" w:hAnsi="Arial" w:cs="Arial"/>
        </w:rPr>
        <w:t>, J.B. (2006) ‘The roles of victim and perpetrator alcohol use in intimate partner violence outcomes’</w:t>
      </w:r>
      <w:r w:rsidRPr="001452A6">
        <w:rPr>
          <w:rFonts w:ascii="Arial" w:hAnsi="Arial" w:cs="Arial"/>
          <w:i/>
          <w:iCs/>
        </w:rPr>
        <w:t xml:space="preserve"> Journal of Interpersonal Violence</w:t>
      </w:r>
      <w:r w:rsidRPr="001452A6">
        <w:rPr>
          <w:rFonts w:ascii="Arial" w:hAnsi="Arial" w:cs="Arial"/>
        </w:rPr>
        <w:t xml:space="preserve">, 21(1) pp.163-177. </w:t>
      </w:r>
    </w:p>
    <w:p w14:paraId="6AFE70E8" w14:textId="77777777" w:rsidR="00C255F1" w:rsidRPr="001452A6" w:rsidRDefault="00C255F1" w:rsidP="001452A6">
      <w:pPr>
        <w:pStyle w:val="NormalWeb"/>
        <w:spacing w:line="276" w:lineRule="auto"/>
        <w:jc w:val="both"/>
        <w:rPr>
          <w:rFonts w:ascii="Arial" w:hAnsi="Arial" w:cs="Arial"/>
        </w:rPr>
      </w:pPr>
    </w:p>
    <w:p w14:paraId="2BDEC815"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Victim Support (2016) ‘</w:t>
      </w:r>
      <w:r w:rsidRPr="001452A6">
        <w:rPr>
          <w:rFonts w:ascii="Arial" w:hAnsi="Arial" w:cs="Arial"/>
          <w:i/>
          <w:iCs/>
          <w:color w:val="000000"/>
        </w:rPr>
        <w:t>Victim Support</w:t>
      </w:r>
      <w:r w:rsidRPr="001452A6">
        <w:rPr>
          <w:rStyle w:val="apple-converted-space"/>
          <w:rFonts w:ascii="Arial" w:hAnsi="Arial" w:cs="Arial"/>
          <w:i/>
          <w:iCs/>
          <w:color w:val="000000"/>
        </w:rPr>
        <w:t> </w:t>
      </w:r>
      <w:proofErr w:type="gramStart"/>
      <w:r w:rsidRPr="001452A6">
        <w:rPr>
          <w:rFonts w:ascii="Arial" w:hAnsi="Arial" w:cs="Arial"/>
          <w:color w:val="000000"/>
        </w:rPr>
        <w:t>‘ Victimsupport.org.uk</w:t>
      </w:r>
      <w:proofErr w:type="gramEnd"/>
      <w:r w:rsidRPr="001452A6">
        <w:rPr>
          <w:rFonts w:ascii="Arial" w:hAnsi="Arial" w:cs="Arial"/>
          <w:color w:val="000000"/>
        </w:rPr>
        <w:t xml:space="preserve">. Available at: </w:t>
      </w:r>
      <w:hyperlink r:id="rId34" w:history="1">
        <w:r w:rsidRPr="001452A6">
          <w:rPr>
            <w:rStyle w:val="Hyperlink"/>
            <w:rFonts w:ascii="Arial" w:hAnsi="Arial" w:cs="Arial"/>
          </w:rPr>
          <w:t>https://www.victimsupport.org.uk</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10.04.2023).</w:t>
      </w:r>
    </w:p>
    <w:p w14:paraId="1CAE872D"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78618055"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p>
    <w:p w14:paraId="6E849001" w14:textId="77777777" w:rsidR="00C255F1" w:rsidRPr="001452A6" w:rsidRDefault="00C255F1" w:rsidP="001452A6">
      <w:pPr>
        <w:pStyle w:val="NormalWeb"/>
        <w:shd w:val="clear" w:color="auto" w:fill="FFFFFF"/>
        <w:spacing w:before="0" w:beforeAutospacing="0" w:after="0" w:afterAutospacing="0" w:line="276" w:lineRule="auto"/>
        <w:jc w:val="both"/>
        <w:rPr>
          <w:rFonts w:ascii="Arial" w:hAnsi="Arial" w:cs="Arial"/>
          <w:color w:val="000000"/>
        </w:rPr>
      </w:pPr>
      <w:r w:rsidRPr="001452A6">
        <w:rPr>
          <w:rFonts w:ascii="Arial" w:hAnsi="Arial" w:cs="Arial"/>
          <w:color w:val="000000"/>
        </w:rPr>
        <w:t xml:space="preserve">Victim Support (2021) ‘Empowering those affected by crime 2021-22 Annual Report and Accounts’ Victimsupport.org.uk. Available at: </w:t>
      </w:r>
      <w:hyperlink r:id="rId35" w:history="1">
        <w:r w:rsidRPr="001452A6">
          <w:rPr>
            <w:rStyle w:val="Hyperlink"/>
            <w:rFonts w:ascii="Arial" w:hAnsi="Arial" w:cs="Arial"/>
          </w:rPr>
          <w:t>https://www.victimsupport.org.uk/wp-content/uploads/2022/11/Annual_Report_and_Accounts_2021-2022.pdf</w:t>
        </w:r>
      </w:hyperlink>
      <w:r w:rsidRPr="001452A6">
        <w:rPr>
          <w:rFonts w:ascii="Arial" w:hAnsi="Arial" w:cs="Arial"/>
          <w:color w:val="000000"/>
        </w:rPr>
        <w:t>. (</w:t>
      </w:r>
      <w:proofErr w:type="gramStart"/>
      <w:r w:rsidRPr="001452A6">
        <w:rPr>
          <w:rFonts w:ascii="Arial" w:hAnsi="Arial" w:cs="Arial"/>
          <w:color w:val="000000"/>
        </w:rPr>
        <w:t>accessed</w:t>
      </w:r>
      <w:proofErr w:type="gramEnd"/>
      <w:r w:rsidRPr="001452A6">
        <w:rPr>
          <w:rFonts w:ascii="Arial" w:hAnsi="Arial" w:cs="Arial"/>
          <w:color w:val="000000"/>
        </w:rPr>
        <w:t>: 12.04.2023).</w:t>
      </w:r>
    </w:p>
    <w:p w14:paraId="6E955B37" w14:textId="77777777" w:rsidR="00C255F1" w:rsidRPr="001452A6" w:rsidRDefault="00C255F1" w:rsidP="001452A6">
      <w:pPr>
        <w:pStyle w:val="NormalWeb"/>
        <w:shd w:val="clear" w:color="auto" w:fill="FFFFFF"/>
        <w:spacing w:before="0" w:beforeAutospacing="0" w:after="0" w:afterAutospacing="0" w:line="360" w:lineRule="atLeast"/>
        <w:jc w:val="both"/>
        <w:rPr>
          <w:rFonts w:ascii="Arial" w:hAnsi="Arial" w:cs="Arial"/>
          <w:color w:val="000000"/>
        </w:rPr>
      </w:pPr>
    </w:p>
    <w:p w14:paraId="1F9FBFE1" w14:textId="77777777" w:rsidR="001452A6" w:rsidRPr="001452A6" w:rsidRDefault="001452A6" w:rsidP="001452A6">
      <w:pPr>
        <w:pStyle w:val="NormalWeb"/>
        <w:shd w:val="clear" w:color="auto" w:fill="FFFFFF"/>
        <w:spacing w:before="0" w:beforeAutospacing="0" w:after="0" w:afterAutospacing="0" w:line="360" w:lineRule="atLeast"/>
        <w:jc w:val="both"/>
        <w:rPr>
          <w:rFonts w:ascii="Arial" w:hAnsi="Arial" w:cs="Arial"/>
          <w:color w:val="000000"/>
        </w:rPr>
      </w:pPr>
      <w:r w:rsidRPr="001452A6">
        <w:rPr>
          <w:rFonts w:ascii="Arial" w:hAnsi="Arial" w:cs="Arial"/>
          <w:color w:val="000000"/>
        </w:rPr>
        <w:t xml:space="preserve">‌ </w:t>
      </w:r>
      <w:proofErr w:type="spellStart"/>
      <w:r w:rsidRPr="001452A6">
        <w:rPr>
          <w:rFonts w:ascii="Arial" w:hAnsi="Arial" w:cs="Arial"/>
          <w:color w:val="000000"/>
        </w:rPr>
        <w:t>Wüllenweber</w:t>
      </w:r>
      <w:proofErr w:type="spellEnd"/>
      <w:r w:rsidRPr="001452A6">
        <w:rPr>
          <w:rFonts w:ascii="Arial" w:hAnsi="Arial" w:cs="Arial"/>
          <w:color w:val="000000"/>
        </w:rPr>
        <w:t>, S. and Giles, S. (2021) ‘The Effectiveness of Forensic Evidence in the Investigation of Volume Crime Scenes’</w:t>
      </w:r>
      <w:r w:rsidRPr="001452A6">
        <w:rPr>
          <w:rStyle w:val="apple-converted-space"/>
          <w:rFonts w:ascii="Arial" w:hAnsi="Arial" w:cs="Arial"/>
          <w:color w:val="000000"/>
        </w:rPr>
        <w:t> </w:t>
      </w:r>
      <w:r w:rsidRPr="001452A6">
        <w:rPr>
          <w:rFonts w:ascii="Arial" w:hAnsi="Arial" w:cs="Arial"/>
          <w:i/>
          <w:iCs/>
          <w:color w:val="000000"/>
        </w:rPr>
        <w:t>Science &amp; Justice</w:t>
      </w:r>
      <w:r w:rsidRPr="001452A6">
        <w:rPr>
          <w:rFonts w:ascii="Arial" w:hAnsi="Arial" w:cs="Arial"/>
          <w:color w:val="000000"/>
        </w:rPr>
        <w:t>, 61(5), pp. 542-554.</w:t>
      </w:r>
    </w:p>
    <w:p w14:paraId="65A5AB0B" w14:textId="77777777" w:rsidR="001452A6" w:rsidRPr="001452A6" w:rsidRDefault="001452A6" w:rsidP="001452A6">
      <w:pPr>
        <w:pStyle w:val="NormalWeb"/>
        <w:shd w:val="clear" w:color="auto" w:fill="FFFFFF"/>
        <w:spacing w:before="0" w:beforeAutospacing="0" w:after="0" w:afterAutospacing="0" w:line="360" w:lineRule="atLeast"/>
        <w:jc w:val="both"/>
        <w:rPr>
          <w:rFonts w:ascii="Arial" w:hAnsi="Arial" w:cs="Arial"/>
          <w:color w:val="000000"/>
        </w:rPr>
      </w:pPr>
    </w:p>
    <w:p w14:paraId="72D939B3" w14:textId="77777777" w:rsidR="00C255F1" w:rsidRPr="001452A6" w:rsidRDefault="00C255F1" w:rsidP="001452A6">
      <w:pPr>
        <w:pStyle w:val="NormalWeb"/>
        <w:shd w:val="clear" w:color="auto" w:fill="FFFFFF"/>
        <w:jc w:val="both"/>
        <w:rPr>
          <w:rFonts w:ascii="Arial" w:hAnsi="Arial" w:cs="Arial"/>
          <w:color w:val="000000"/>
        </w:rPr>
      </w:pPr>
      <w:r w:rsidRPr="001452A6">
        <w:rPr>
          <w:rFonts w:ascii="Arial" w:hAnsi="Arial" w:cs="Arial"/>
          <w:color w:val="000000"/>
        </w:rPr>
        <w:t>‌</w:t>
      </w:r>
    </w:p>
    <w:p w14:paraId="12877773" w14:textId="77777777" w:rsidR="00C255F1" w:rsidRPr="001452A6" w:rsidRDefault="00C255F1" w:rsidP="001452A6">
      <w:pPr>
        <w:jc w:val="both"/>
        <w:rPr>
          <w:sz w:val="24"/>
          <w:szCs w:val="24"/>
        </w:rPr>
      </w:pPr>
    </w:p>
    <w:p w14:paraId="71FE2E26" w14:textId="77777777" w:rsidR="00C255F1" w:rsidRPr="001452A6" w:rsidRDefault="00C255F1" w:rsidP="001452A6">
      <w:pPr>
        <w:jc w:val="both"/>
        <w:rPr>
          <w:sz w:val="24"/>
          <w:szCs w:val="24"/>
        </w:rPr>
      </w:pPr>
    </w:p>
    <w:p w14:paraId="2B9AD123" w14:textId="77777777" w:rsidR="00C255F1" w:rsidRDefault="00C255F1" w:rsidP="00EA28F1">
      <w:pPr>
        <w:keepNext/>
        <w:spacing w:before="240" w:after="60"/>
        <w:ind w:right="237"/>
        <w:jc w:val="both"/>
      </w:pPr>
    </w:p>
    <w:sectPr w:rsidR="00C255F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5CC41" w14:textId="77777777" w:rsidR="00630D8B" w:rsidRDefault="00630D8B">
      <w:r>
        <w:separator/>
      </w:r>
    </w:p>
  </w:endnote>
  <w:endnote w:type="continuationSeparator" w:id="0">
    <w:p w14:paraId="02E73393" w14:textId="77777777" w:rsidR="00630D8B" w:rsidRDefault="00630D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705E6" w14:textId="77777777" w:rsidR="00630D8B" w:rsidRDefault="00630D8B">
      <w:r>
        <w:separator/>
      </w:r>
    </w:p>
  </w:footnote>
  <w:footnote w:type="continuationSeparator" w:id="0">
    <w:p w14:paraId="5FFBF94C" w14:textId="77777777" w:rsidR="00630D8B" w:rsidRDefault="00630D8B">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114A8506"/>
    <w:lvl w:ilvl="0" w:tplc="DB341128">
      <w:start w:val="1"/>
      <w:numFmt w:val="decimal"/>
      <w:lvlText w:val="%1."/>
      <w:lvlJc w:val="left"/>
      <w:pPr>
        <w:ind w:left="720" w:hanging="360"/>
      </w:pPr>
    </w:lvl>
    <w:lvl w:ilvl="1" w:tplc="846478F8">
      <w:start w:val="1"/>
      <w:numFmt w:val="lowerLetter"/>
      <w:lvlText w:val="%2."/>
      <w:lvlJc w:val="left"/>
      <w:pPr>
        <w:ind w:left="1440" w:hanging="360"/>
      </w:pPr>
    </w:lvl>
    <w:lvl w:ilvl="2" w:tplc="35CAF314">
      <w:start w:val="1"/>
      <w:numFmt w:val="lowerRoman"/>
      <w:lvlText w:val="%3."/>
      <w:lvlJc w:val="right"/>
      <w:pPr>
        <w:ind w:left="2160" w:hanging="180"/>
      </w:pPr>
    </w:lvl>
    <w:lvl w:ilvl="3" w:tplc="E6D0564E">
      <w:start w:val="1"/>
      <w:numFmt w:val="decimal"/>
      <w:lvlText w:val="%4."/>
      <w:lvlJc w:val="left"/>
      <w:pPr>
        <w:ind w:left="2880" w:hanging="360"/>
      </w:pPr>
    </w:lvl>
    <w:lvl w:ilvl="4" w:tplc="7A347DBE">
      <w:start w:val="1"/>
      <w:numFmt w:val="lowerLetter"/>
      <w:lvlText w:val="%5."/>
      <w:lvlJc w:val="left"/>
      <w:pPr>
        <w:ind w:left="3600" w:hanging="360"/>
      </w:pPr>
    </w:lvl>
    <w:lvl w:ilvl="5" w:tplc="723AA2D6">
      <w:start w:val="1"/>
      <w:numFmt w:val="lowerRoman"/>
      <w:lvlText w:val="%6."/>
      <w:lvlJc w:val="right"/>
      <w:pPr>
        <w:ind w:left="4320" w:hanging="180"/>
      </w:pPr>
    </w:lvl>
    <w:lvl w:ilvl="6" w:tplc="77E6201E">
      <w:start w:val="1"/>
      <w:numFmt w:val="decimal"/>
      <w:lvlText w:val="%7."/>
      <w:lvlJc w:val="left"/>
      <w:pPr>
        <w:ind w:left="5040" w:hanging="360"/>
      </w:pPr>
    </w:lvl>
    <w:lvl w:ilvl="7" w:tplc="7D68A70A">
      <w:start w:val="1"/>
      <w:numFmt w:val="lowerLetter"/>
      <w:lvlText w:val="%8."/>
      <w:lvlJc w:val="left"/>
      <w:pPr>
        <w:ind w:left="5760" w:hanging="360"/>
      </w:pPr>
    </w:lvl>
    <w:lvl w:ilvl="8" w:tplc="A9629FD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7326D2E"/>
    <w:multiLevelType w:val="hybridMultilevel"/>
    <w:tmpl w:val="B7E6A02E"/>
    <w:lvl w:ilvl="0" w:tplc="711E180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3BE4E468"/>
    <w:lvl w:ilvl="0" w:tplc="FFECB302">
      <w:start w:val="1"/>
      <w:numFmt w:val="decimal"/>
      <w:lvlText w:val="%1."/>
      <w:lvlJc w:val="left"/>
      <w:pPr>
        <w:ind w:left="720" w:hanging="360"/>
      </w:pPr>
    </w:lvl>
    <w:lvl w:ilvl="1" w:tplc="C60646D8">
      <w:start w:val="1"/>
      <w:numFmt w:val="decimal"/>
      <w:lvlText w:val="%2."/>
      <w:lvlJc w:val="left"/>
      <w:pPr>
        <w:ind w:left="1440" w:hanging="360"/>
      </w:pPr>
    </w:lvl>
    <w:lvl w:ilvl="2" w:tplc="2598974E">
      <w:start w:val="1"/>
      <w:numFmt w:val="lowerRoman"/>
      <w:lvlText w:val="%3."/>
      <w:lvlJc w:val="right"/>
      <w:pPr>
        <w:ind w:left="2160" w:hanging="180"/>
      </w:pPr>
    </w:lvl>
    <w:lvl w:ilvl="3" w:tplc="FF1A0D82">
      <w:start w:val="1"/>
      <w:numFmt w:val="decimal"/>
      <w:lvlText w:val="%4."/>
      <w:lvlJc w:val="left"/>
      <w:pPr>
        <w:ind w:left="2880" w:hanging="360"/>
      </w:pPr>
    </w:lvl>
    <w:lvl w:ilvl="4" w:tplc="6E96F3EA">
      <w:start w:val="1"/>
      <w:numFmt w:val="lowerLetter"/>
      <w:lvlText w:val="%5."/>
      <w:lvlJc w:val="left"/>
      <w:pPr>
        <w:ind w:left="3600" w:hanging="360"/>
      </w:pPr>
    </w:lvl>
    <w:lvl w:ilvl="5" w:tplc="EAA07D7A">
      <w:start w:val="1"/>
      <w:numFmt w:val="lowerRoman"/>
      <w:lvlText w:val="%6."/>
      <w:lvlJc w:val="right"/>
      <w:pPr>
        <w:ind w:left="4320" w:hanging="180"/>
      </w:pPr>
    </w:lvl>
    <w:lvl w:ilvl="6" w:tplc="556A27C8">
      <w:start w:val="1"/>
      <w:numFmt w:val="decimal"/>
      <w:lvlText w:val="%7."/>
      <w:lvlJc w:val="left"/>
      <w:pPr>
        <w:ind w:left="5040" w:hanging="360"/>
      </w:pPr>
    </w:lvl>
    <w:lvl w:ilvl="7" w:tplc="A93C1128">
      <w:start w:val="1"/>
      <w:numFmt w:val="lowerLetter"/>
      <w:lvlText w:val="%8."/>
      <w:lvlJc w:val="left"/>
      <w:pPr>
        <w:ind w:left="5760" w:hanging="360"/>
      </w:pPr>
    </w:lvl>
    <w:lvl w:ilvl="8" w:tplc="A364B71C">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0546512">
    <w:abstractNumId w:val="48"/>
  </w:num>
  <w:num w:numId="2" w16cid:durableId="961957712">
    <w:abstractNumId w:val="10"/>
  </w:num>
  <w:num w:numId="3" w16cid:durableId="789013157">
    <w:abstractNumId w:val="1"/>
    <w:lvlOverride w:ilvl="0">
      <w:lvl w:ilvl="0">
        <w:start w:val="1"/>
        <w:numFmt w:val="bullet"/>
        <w:lvlText w:val=""/>
        <w:lvlJc w:val="left"/>
        <w:pPr>
          <w:ind w:left="720" w:hanging="360"/>
        </w:pPr>
        <w:rPr>
          <w:rFonts w:ascii="Symbol" w:hAnsi="Symbol" w:hint="default"/>
        </w:rPr>
      </w:lvl>
    </w:lvlOverride>
  </w:num>
  <w:num w:numId="4" w16cid:durableId="50085678">
    <w:abstractNumId w:val="22"/>
  </w:num>
  <w:num w:numId="5" w16cid:durableId="1262686804">
    <w:abstractNumId w:val="45"/>
  </w:num>
  <w:num w:numId="6" w16cid:durableId="1638992106">
    <w:abstractNumId w:val="47"/>
  </w:num>
  <w:num w:numId="7" w16cid:durableId="1483160356">
    <w:abstractNumId w:val="35"/>
  </w:num>
  <w:num w:numId="8" w16cid:durableId="129442510">
    <w:abstractNumId w:val="32"/>
  </w:num>
  <w:num w:numId="9" w16cid:durableId="573127737">
    <w:abstractNumId w:val="29"/>
  </w:num>
  <w:num w:numId="10" w16cid:durableId="1107583363">
    <w:abstractNumId w:val="30"/>
  </w:num>
  <w:num w:numId="11" w16cid:durableId="245581147">
    <w:abstractNumId w:val="9"/>
  </w:num>
  <w:num w:numId="12" w16cid:durableId="97482163">
    <w:abstractNumId w:val="33"/>
  </w:num>
  <w:num w:numId="13" w16cid:durableId="1898278067">
    <w:abstractNumId w:val="17"/>
  </w:num>
  <w:num w:numId="14" w16cid:durableId="1686057975">
    <w:abstractNumId w:val="16"/>
  </w:num>
  <w:num w:numId="15" w16cid:durableId="635338083">
    <w:abstractNumId w:val="26"/>
  </w:num>
  <w:num w:numId="16" w16cid:durableId="1057163546">
    <w:abstractNumId w:val="7"/>
  </w:num>
  <w:num w:numId="17" w16cid:durableId="303319613">
    <w:abstractNumId w:val="25"/>
  </w:num>
  <w:num w:numId="18" w16cid:durableId="12147941">
    <w:abstractNumId w:val="15"/>
  </w:num>
  <w:num w:numId="19" w16cid:durableId="1858423588">
    <w:abstractNumId w:val="13"/>
  </w:num>
  <w:num w:numId="20" w16cid:durableId="139377596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05759648">
    <w:abstractNumId w:val="23"/>
  </w:num>
  <w:num w:numId="22" w16cid:durableId="1320229767">
    <w:abstractNumId w:val="18"/>
  </w:num>
  <w:num w:numId="23" w16cid:durableId="1009717423">
    <w:abstractNumId w:val="14"/>
  </w:num>
  <w:num w:numId="24" w16cid:durableId="1040085828">
    <w:abstractNumId w:val="11"/>
  </w:num>
  <w:num w:numId="25" w16cid:durableId="1032388823">
    <w:abstractNumId w:val="27"/>
  </w:num>
  <w:num w:numId="26" w16cid:durableId="951324778">
    <w:abstractNumId w:val="19"/>
  </w:num>
  <w:num w:numId="27" w16cid:durableId="1192259457">
    <w:abstractNumId w:val="41"/>
  </w:num>
  <w:num w:numId="28" w16cid:durableId="1074670499">
    <w:abstractNumId w:val="36"/>
  </w:num>
  <w:num w:numId="29" w16cid:durableId="1843929324">
    <w:abstractNumId w:val="40"/>
  </w:num>
  <w:num w:numId="30" w16cid:durableId="1169294246">
    <w:abstractNumId w:val="20"/>
  </w:num>
  <w:num w:numId="31" w16cid:durableId="1123227802">
    <w:abstractNumId w:val="43"/>
  </w:num>
  <w:num w:numId="32" w16cid:durableId="728113056">
    <w:abstractNumId w:val="31"/>
  </w:num>
  <w:num w:numId="33" w16cid:durableId="867181333">
    <w:abstractNumId w:val="12"/>
  </w:num>
  <w:num w:numId="34" w16cid:durableId="726880300">
    <w:abstractNumId w:val="44"/>
  </w:num>
  <w:num w:numId="35" w16cid:durableId="1010987264">
    <w:abstractNumId w:val="39"/>
  </w:num>
  <w:num w:numId="36" w16cid:durableId="900167435">
    <w:abstractNumId w:val="4"/>
  </w:num>
  <w:num w:numId="37" w16cid:durableId="421993488">
    <w:abstractNumId w:val="46"/>
  </w:num>
  <w:num w:numId="38" w16cid:durableId="799762932">
    <w:abstractNumId w:val="42"/>
  </w:num>
  <w:num w:numId="39" w16cid:durableId="564413224">
    <w:abstractNumId w:val="37"/>
  </w:num>
  <w:num w:numId="40" w16cid:durableId="1606616916">
    <w:abstractNumId w:val="38"/>
  </w:num>
  <w:num w:numId="41" w16cid:durableId="718169596">
    <w:abstractNumId w:val="3"/>
  </w:num>
  <w:num w:numId="42" w16cid:durableId="763257881">
    <w:abstractNumId w:val="5"/>
  </w:num>
  <w:num w:numId="43" w16cid:durableId="1830057200">
    <w:abstractNumId w:val="24"/>
  </w:num>
  <w:num w:numId="44" w16cid:durableId="561520763">
    <w:abstractNumId w:val="6"/>
  </w:num>
  <w:num w:numId="45" w16cid:durableId="974994047">
    <w:abstractNumId w:val="2"/>
  </w:num>
  <w:num w:numId="46" w16cid:durableId="1711538514">
    <w:abstractNumId w:val="0"/>
  </w:num>
  <w:num w:numId="47" w16cid:durableId="220019920">
    <w:abstractNumId w:val="21"/>
  </w:num>
  <w:num w:numId="48" w16cid:durableId="1188519197">
    <w:abstractNumId w:val="28"/>
  </w:num>
  <w:num w:numId="49" w16cid:durableId="1263605425">
    <w:abstractNumId w:val="49"/>
  </w:num>
  <w:num w:numId="50" w16cid:durableId="453594019">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175D"/>
    <w:rsid w:val="00112391"/>
    <w:rsid w:val="00114F52"/>
    <w:rsid w:val="0012135C"/>
    <w:rsid w:val="00130E83"/>
    <w:rsid w:val="001347F8"/>
    <w:rsid w:val="00137BB5"/>
    <w:rsid w:val="00137E05"/>
    <w:rsid w:val="001447F6"/>
    <w:rsid w:val="001452A6"/>
    <w:rsid w:val="00147DE3"/>
    <w:rsid w:val="00150794"/>
    <w:rsid w:val="001608C4"/>
    <w:rsid w:val="00171418"/>
    <w:rsid w:val="00190913"/>
    <w:rsid w:val="001961CF"/>
    <w:rsid w:val="001A59BB"/>
    <w:rsid w:val="001A6A51"/>
    <w:rsid w:val="001A79C4"/>
    <w:rsid w:val="001B331A"/>
    <w:rsid w:val="001C0E74"/>
    <w:rsid w:val="001C2067"/>
    <w:rsid w:val="001C6CEC"/>
    <w:rsid w:val="001D229F"/>
    <w:rsid w:val="001D6162"/>
    <w:rsid w:val="001E6FAD"/>
    <w:rsid w:val="001E7592"/>
    <w:rsid w:val="001F0D88"/>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4A16"/>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6ED7"/>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3B91"/>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4C0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483"/>
    <w:rsid w:val="0056684C"/>
    <w:rsid w:val="00574A0C"/>
    <w:rsid w:val="00576E4C"/>
    <w:rsid w:val="0057780F"/>
    <w:rsid w:val="00581E0A"/>
    <w:rsid w:val="00582870"/>
    <w:rsid w:val="00586D89"/>
    <w:rsid w:val="005916B8"/>
    <w:rsid w:val="00593D00"/>
    <w:rsid w:val="005A1B4C"/>
    <w:rsid w:val="005A1BA3"/>
    <w:rsid w:val="005A545C"/>
    <w:rsid w:val="005C1567"/>
    <w:rsid w:val="005C43F1"/>
    <w:rsid w:val="005C6CE5"/>
    <w:rsid w:val="005C76DE"/>
    <w:rsid w:val="005D3F07"/>
    <w:rsid w:val="005D583E"/>
    <w:rsid w:val="005E13EA"/>
    <w:rsid w:val="005E53BD"/>
    <w:rsid w:val="00606E27"/>
    <w:rsid w:val="006108C9"/>
    <w:rsid w:val="00615C7E"/>
    <w:rsid w:val="0062158D"/>
    <w:rsid w:val="00630D8B"/>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25A7"/>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9FB"/>
    <w:rsid w:val="008859E8"/>
    <w:rsid w:val="0088737B"/>
    <w:rsid w:val="00892716"/>
    <w:rsid w:val="00893067"/>
    <w:rsid w:val="008933DE"/>
    <w:rsid w:val="00895FCE"/>
    <w:rsid w:val="00897F3E"/>
    <w:rsid w:val="008A1BA8"/>
    <w:rsid w:val="008A21B4"/>
    <w:rsid w:val="008A4576"/>
    <w:rsid w:val="008B07DE"/>
    <w:rsid w:val="008B28E7"/>
    <w:rsid w:val="008C03A6"/>
    <w:rsid w:val="008C14C7"/>
    <w:rsid w:val="008C2FFB"/>
    <w:rsid w:val="008C4116"/>
    <w:rsid w:val="008C6EEA"/>
    <w:rsid w:val="008D14C9"/>
    <w:rsid w:val="008D5813"/>
    <w:rsid w:val="008D634E"/>
    <w:rsid w:val="008D778A"/>
    <w:rsid w:val="008F22BD"/>
    <w:rsid w:val="009079BD"/>
    <w:rsid w:val="00912BD9"/>
    <w:rsid w:val="00916CFB"/>
    <w:rsid w:val="00920E5B"/>
    <w:rsid w:val="009249B3"/>
    <w:rsid w:val="009249F8"/>
    <w:rsid w:val="00926436"/>
    <w:rsid w:val="0093018C"/>
    <w:rsid w:val="00932CCA"/>
    <w:rsid w:val="00950EB9"/>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5C73"/>
    <w:rsid w:val="00C11F61"/>
    <w:rsid w:val="00C161FD"/>
    <w:rsid w:val="00C23F17"/>
    <w:rsid w:val="00C255F1"/>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79D"/>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20FB"/>
    <w:rsid w:val="00E17160"/>
    <w:rsid w:val="00E30790"/>
    <w:rsid w:val="00E35BEC"/>
    <w:rsid w:val="00E379B4"/>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5976"/>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33AA"/>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1FBB"/>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2A4A1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2A4A16"/>
  </w:style>
  <w:style w:type="character" w:styleId="FollowedHyperlink">
    <w:name w:val="FollowedHyperlink"/>
    <w:basedOn w:val="DefaultParagraphFont"/>
    <w:uiPriority w:val="99"/>
    <w:semiHidden/>
    <w:unhideWhenUsed/>
    <w:rsid w:val="008C4116"/>
    <w:rPr>
      <w:color w:val="954F72" w:themeColor="followedHyperlink"/>
      <w:u w:val="single"/>
    </w:rPr>
  </w:style>
  <w:style w:type="character" w:customStyle="1" w:styleId="author">
    <w:name w:val="author"/>
    <w:basedOn w:val="DefaultParagraphFont"/>
    <w:rsid w:val="00C5679D"/>
  </w:style>
  <w:style w:type="character" w:customStyle="1" w:styleId="pubyear">
    <w:name w:val="pubyear"/>
    <w:basedOn w:val="DefaultParagraphFont"/>
    <w:rsid w:val="00C5679D"/>
  </w:style>
  <w:style w:type="character" w:styleId="UnresolvedMention">
    <w:name w:val="Unresolved Mention"/>
    <w:basedOn w:val="DefaultParagraphFont"/>
    <w:uiPriority w:val="99"/>
    <w:semiHidden/>
    <w:unhideWhenUsed/>
    <w:rsid w:val="00145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ublishing.service.gov.uk/government/uploads/system/uploads/attachment_data/file/495716/52344_00_Pace_Code_E_Accessible_v0.3.pdf" TargetMode="External"/><Relationship Id="rId26" Type="http://schemas.openxmlformats.org/officeDocument/2006/relationships/hyperlink" Target="https://psychcentral.com/lib/what-causes-domestic-violence" TargetMode="External"/><Relationship Id="rId21" Type="http://schemas.openxmlformats.org/officeDocument/2006/relationships/hyperlink" Target="https://www.college.police.uk/app/major-investigation-and-public-protection/domestic-abuse/post-arrest-management-suspect-and-casefile" TargetMode="External"/><Relationship Id="rId34" Type="http://schemas.openxmlformats.org/officeDocument/2006/relationships/hyperlink" Target="https://www.victimsupport.org.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keele.ac.uk/media/k-microsites/k-ilas/pgconference2021/posters2021/Laura%20Briody.pdf" TargetMode="External"/><Relationship Id="rId25" Type="http://schemas.openxmlformats.org/officeDocument/2006/relationships/hyperlink" Target="https://www.dashriskchecklist.co.uk" TargetMode="External"/><Relationship Id="rId33" Type="http://schemas.openxmlformats.org/officeDocument/2006/relationships/hyperlink" Target="https://assets.publishing.service.gov.uk/media/57a08abde5274a31e0000750/60887-PartnerViolenceEvidenceOverview.pdf"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ardiff.ac.uk/social-sciences/research/impact/improving-the-police-response-to-domestic-violence-and-abuse-in-the-uk-and-eu" TargetMode="External"/><Relationship Id="rId20" Type="http://schemas.openxmlformats.org/officeDocument/2006/relationships/hyperlink" Target="https://assets.college.police.uk/s3fs-public/2020-11/competency-and-values-framework-for-policing_4.11.16.pdf" TargetMode="External"/><Relationship Id="rId29" Type="http://schemas.openxmlformats.org/officeDocument/2006/relationships/hyperlink" Target="https://assets.publishing.service.gov.uk/government/uploads/system/uploads/attachment_data/file/864940/interviewing-suspects-v7.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londonscb.gov.uk/wp-content/uploads/2016/04/mash_report_final.pdf" TargetMode="External"/><Relationship Id="rId32" Type="http://schemas.openxmlformats.org/officeDocument/2006/relationships/hyperlink" Target="https://assets.publishing.service.gov.uk/government/uploads/system/uploads/attachment_data/file/931173/Criminal-procedure-and-investigations-act-1996.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justiceinspectorates.gov.uk/hmicfrs/publication-html/review-of-policing-domestic-abuse-during-pandemic/" TargetMode="External"/><Relationship Id="rId28"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partnership-working-and-multi-agency-responsesmechanisms" TargetMode="External"/><Relationship Id="rId31" Type="http://schemas.openxmlformats.org/officeDocument/2006/relationships/hyperlink" Target="https://assets.publishing.service.gov.uk/government/uploads/system/uploads/attachment_data/file/974376/victims-code-202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guidance/vulnerability-related-risks/introduction-vulnerability-related-risk" TargetMode="External"/><Relationship Id="rId27" Type="http://schemas.openxmlformats.org/officeDocument/2006/relationships/hyperlink" Target="https://assets.publishing.service.gov.uk/government/uploads/system/uploads/attachment_data/file/405397/6.379_Supporting_guidance_web_doc_v3.pdf" TargetMode="External"/><Relationship Id="rId30" Type="http://schemas.openxmlformats.org/officeDocument/2006/relationships/hyperlink" Target="https://harpershaw.co.uk/blog/f/golden-hour-principles-in-serious-collision-investigation" TargetMode="External"/><Relationship Id="rId35" Type="http://schemas.openxmlformats.org/officeDocument/2006/relationships/hyperlink" Target="https://www.victimsupport.org.uk/wp-content/uploads/2022/11/Annual_Report_and_Accounts_2021-2022.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23</Pages>
  <Words>7732</Words>
  <Characters>44075</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Williams</cp:lastModifiedBy>
  <cp:revision>15</cp:revision>
  <cp:lastPrinted>2014-08-26T08:55:00Z</cp:lastPrinted>
  <dcterms:created xsi:type="dcterms:W3CDTF">2023-04-17T14:53:00Z</dcterms:created>
  <dcterms:modified xsi:type="dcterms:W3CDTF">2023-05-07T18:56:00Z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