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D082A3" w14:textId="7F309D26" w:rsidR="00B11B64" w:rsidRDefault="00B11B64" w:rsidP="00741C2D">
      <w:pPr>
        <w:jc w:val="both"/>
        <w:rPr>
          <w:b/>
          <w:bCs/>
          <w:u w:val="single"/>
        </w:rPr>
      </w:pPr>
      <w:r w:rsidRPr="00B11B64">
        <w:rPr>
          <w:b/>
          <w:bCs/>
          <w:u w:val="single"/>
        </w:rPr>
        <w:t xml:space="preserve">Conclusion- </w:t>
      </w:r>
    </w:p>
    <w:p w14:paraId="1AC853F1" w14:textId="30F6931B" w:rsidR="00B11B64" w:rsidRPr="00B11B64" w:rsidRDefault="00B11B64" w:rsidP="00741C2D">
      <w:pPr>
        <w:jc w:val="both"/>
      </w:pPr>
      <w:r>
        <w:t>In order to address the question of whether traumatic experiences serve as a catalyst for criminal behaviour, chapter 5 summarises the key research findings.</w:t>
      </w:r>
    </w:p>
    <w:p w14:paraId="18E7A204" w14:textId="4B581BBE" w:rsidR="00B11B64" w:rsidRDefault="00B11B64" w:rsidP="00741C2D">
      <w:pPr>
        <w:tabs>
          <w:tab w:val="left" w:pos="2208"/>
        </w:tabs>
        <w:jc w:val="both"/>
        <w:rPr>
          <w:b/>
          <w:bCs/>
          <w:u w:val="single"/>
        </w:rPr>
      </w:pPr>
      <w:r w:rsidRPr="00B11B64">
        <w:rPr>
          <w:b/>
          <w:bCs/>
          <w:u w:val="single"/>
        </w:rPr>
        <w:t xml:space="preserve">Main Findings – </w:t>
      </w:r>
    </w:p>
    <w:p w14:paraId="0E9F4213" w14:textId="73DFAFF3" w:rsidR="00C85181" w:rsidRDefault="00C85181" w:rsidP="00741C2D">
      <w:pPr>
        <w:tabs>
          <w:tab w:val="left" w:pos="2208"/>
        </w:tabs>
        <w:jc w:val="both"/>
      </w:pPr>
      <w:r>
        <w:t xml:space="preserve">In 2014 after much ambiguity, the term Adverse Childhood Experiences finally had clarification of what it was. </w:t>
      </w:r>
      <w:r w:rsidR="000E4B1A" w:rsidRPr="000E4B1A">
        <w:rPr>
          <w:noProof/>
        </w:rPr>
        <w:t xml:space="preserve">Kalmakis &amp; Chandler, </w:t>
      </w:r>
      <w:r w:rsidR="000E4B1A">
        <w:rPr>
          <w:noProof/>
        </w:rPr>
        <w:t>(</w:t>
      </w:r>
      <w:r w:rsidR="000E4B1A" w:rsidRPr="000E4B1A">
        <w:rPr>
          <w:noProof/>
        </w:rPr>
        <w:t>2014, p. 1495)</w:t>
      </w:r>
      <w:r w:rsidR="000E4B1A">
        <w:t xml:space="preserve"> </w:t>
      </w:r>
      <w:r>
        <w:t xml:space="preserve">defined them as “Childhood events, varying in severity and often chronic, occurring within a child’s family or social environment”. This allowed for more information to be found out about what causes violent and juvenile offenders to offend and if there was an effective way of stopping young people from committing these crimes. </w:t>
      </w:r>
      <w:r w:rsidR="00741C2D">
        <w:t>Due to this clarification, a study carried out by the Office of Juvenile Justice and Delinquency Prevention of the U.S Department of Justice found that compared to the less severe and non-offending population, juveniles that committed serious and violent crimes experienced some form of trauma, abuse, neglect, or maltreatment at some level in their childhood</w:t>
      </w:r>
      <w:sdt>
        <w:sdtPr>
          <w:id w:val="-1483766233"/>
          <w:citation/>
        </w:sdtPr>
        <w:sdtContent>
          <w:r w:rsidR="000E4B1A">
            <w:fldChar w:fldCharType="begin"/>
          </w:r>
          <w:r w:rsidR="000E4B1A">
            <w:instrText xml:space="preserve"> CITATION Loe001 \l 2057 </w:instrText>
          </w:r>
          <w:r w:rsidR="000E4B1A">
            <w:fldChar w:fldCharType="separate"/>
          </w:r>
          <w:r w:rsidR="000E4B1A">
            <w:rPr>
              <w:noProof/>
            </w:rPr>
            <w:t xml:space="preserve"> </w:t>
          </w:r>
          <w:r w:rsidR="000E4B1A" w:rsidRPr="000E4B1A">
            <w:rPr>
              <w:noProof/>
            </w:rPr>
            <w:t>(Loeber &amp; Farrington, 2000)</w:t>
          </w:r>
          <w:r w:rsidR="000E4B1A">
            <w:fldChar w:fldCharType="end"/>
          </w:r>
        </w:sdtContent>
      </w:sdt>
      <w:r w:rsidR="00741C2D">
        <w:t xml:space="preserve">. </w:t>
      </w:r>
      <w:r>
        <w:t xml:space="preserve">A study carried out by Jennings and Piquero (2014) found that up to 30% of American youth involved in the justice system fit the criteria of experiencing </w:t>
      </w:r>
      <w:r w:rsidR="00741C2D">
        <w:t>post-traumatic</w:t>
      </w:r>
      <w:r>
        <w:t xml:space="preserve"> stress disor</w:t>
      </w:r>
      <w:r w:rsidR="00741C2D">
        <w:t xml:space="preserve">der, as well as 90% of juvenile offenders experiencing some kind of traumatic event or experience within their childhood. </w:t>
      </w:r>
    </w:p>
    <w:p w14:paraId="5E344985" w14:textId="664766D7" w:rsidR="00741C2D" w:rsidRDefault="00741C2D" w:rsidP="00741C2D">
      <w:pPr>
        <w:tabs>
          <w:tab w:val="left" w:pos="2208"/>
        </w:tabs>
        <w:jc w:val="both"/>
      </w:pPr>
      <w:r>
        <w:t xml:space="preserve">This overlaps with the research found from the second objective of whether there is a link between ACEs and young offending, as from a study starting in 1997, 17,337 participants who sought out health services participated which gathered information on the association between ACEs and adult health outcomes </w:t>
      </w:r>
      <w:sdt>
        <w:sdtPr>
          <w:id w:val="-2071724652"/>
          <w:citation/>
        </w:sdtPr>
        <w:sdtContent>
          <w:r w:rsidR="000E4B1A">
            <w:fldChar w:fldCharType="begin"/>
          </w:r>
          <w:r w:rsidR="000E4B1A">
            <w:instrText xml:space="preserve"> CITATION Fel981 \l 2057 </w:instrText>
          </w:r>
          <w:r w:rsidR="000E4B1A">
            <w:fldChar w:fldCharType="separate"/>
          </w:r>
          <w:r w:rsidR="000E4B1A" w:rsidRPr="000E4B1A">
            <w:rPr>
              <w:noProof/>
            </w:rPr>
            <w:t>(Felitti, et al., 1998)</w:t>
          </w:r>
          <w:r w:rsidR="000E4B1A">
            <w:fldChar w:fldCharType="end"/>
          </w:r>
        </w:sdtContent>
      </w:sdt>
      <w:r w:rsidR="000E4B1A">
        <w:t xml:space="preserve">. </w:t>
      </w:r>
      <w:r>
        <w:t xml:space="preserve">The results showed that 28% of participants said they had experienced physical abuse, 11% experienced emotional abuse and 21% experienced sexual abuse. This shows that detrimental </w:t>
      </w:r>
      <w:r w:rsidR="00755B42">
        <w:t xml:space="preserve">effects of early childhood trauma have repeatedly been shown by ACEs research </w:t>
      </w:r>
      <w:sdt>
        <w:sdtPr>
          <w:id w:val="-1440442755"/>
          <w:citation/>
        </w:sdtPr>
        <w:sdtContent>
          <w:r w:rsidR="00C03182">
            <w:fldChar w:fldCharType="begin"/>
          </w:r>
          <w:r w:rsidR="00C03182">
            <w:instrText xml:space="preserve"> CITATION And101 \l 2057 </w:instrText>
          </w:r>
          <w:r w:rsidR="00C03182">
            <w:fldChar w:fldCharType="separate"/>
          </w:r>
          <w:r w:rsidR="00C03182" w:rsidRPr="00C03182">
            <w:rPr>
              <w:noProof/>
            </w:rPr>
            <w:t>(Anda, et al., 2010)</w:t>
          </w:r>
          <w:r w:rsidR="00C03182">
            <w:fldChar w:fldCharType="end"/>
          </w:r>
        </w:sdtContent>
      </w:sdt>
      <w:r w:rsidR="00C03182">
        <w:t xml:space="preserve">. </w:t>
      </w:r>
      <w:r w:rsidR="00755B42">
        <w:t>This can also be reflected in primary research collection from the question ‘</w:t>
      </w:r>
      <w:r w:rsidR="001918D1">
        <w:t>Do</w:t>
      </w:r>
      <w:r w:rsidR="00755B42">
        <w:t xml:space="preserve"> you think there is a link between childhood trauma and criminality’? this shows </w:t>
      </w:r>
      <w:r w:rsidR="001918D1">
        <w:t xml:space="preserve">that </w:t>
      </w:r>
      <w:r w:rsidR="00755B42">
        <w:t xml:space="preserve">81% of the participants </w:t>
      </w:r>
      <w:r w:rsidR="001918D1">
        <w:t>said</w:t>
      </w:r>
      <w:r w:rsidR="00755B42">
        <w:t xml:space="preserve"> yes to this statement, and all described it as happening when children are brought up in a violent or abusive environment. </w:t>
      </w:r>
    </w:p>
    <w:p w14:paraId="5175DB98" w14:textId="1B3637DB" w:rsidR="000E4B1A" w:rsidRDefault="001918D1" w:rsidP="00741C2D">
      <w:pPr>
        <w:tabs>
          <w:tab w:val="left" w:pos="2208"/>
        </w:tabs>
        <w:jc w:val="both"/>
      </w:pPr>
      <w:r>
        <w:t xml:space="preserve">The main findings from the third objective show that there has been extensive work carried out with young offenders which helped the creation of the youth justice board, which oversees the strategies of local youth offending teams to ensure they are helping youth offenders in an inter-disciplinary way </w:t>
      </w:r>
      <w:sdt>
        <w:sdtPr>
          <w:id w:val="-328826273"/>
          <w:citation/>
        </w:sdtPr>
        <w:sdtContent>
          <w:r w:rsidR="00C03182">
            <w:fldChar w:fldCharType="begin"/>
          </w:r>
          <w:r w:rsidR="00C03182">
            <w:instrText xml:space="preserve"> CITATION Hal141 \l 2057 </w:instrText>
          </w:r>
          <w:r w:rsidR="00C03182">
            <w:fldChar w:fldCharType="separate"/>
          </w:r>
          <w:r w:rsidR="00C03182" w:rsidRPr="00C03182">
            <w:rPr>
              <w:noProof/>
            </w:rPr>
            <w:t>(Hall &amp; Canton, 2014)</w:t>
          </w:r>
          <w:r w:rsidR="00C03182">
            <w:fldChar w:fldCharType="end"/>
          </w:r>
        </w:sdtContent>
      </w:sdt>
      <w:r>
        <w:t xml:space="preserve">. </w:t>
      </w:r>
      <w:r w:rsidR="002B5949">
        <w:t xml:space="preserve">Having created these youth offending teams and programmes it has seen a 65% reduction in arrest rates which is promising in the way that young offenders are gaining the support that they need </w:t>
      </w:r>
      <w:sdt>
        <w:sdtPr>
          <w:id w:val="-609823267"/>
          <w:citation/>
        </w:sdtPr>
        <w:sdtContent>
          <w:r w:rsidR="00C03182">
            <w:fldChar w:fldCharType="begin"/>
          </w:r>
          <w:r w:rsidR="00C03182">
            <w:instrText xml:space="preserve"> CITATION Bur031 \l 2057 </w:instrText>
          </w:r>
          <w:r w:rsidR="00C03182">
            <w:fldChar w:fldCharType="separate"/>
          </w:r>
          <w:r w:rsidR="00C03182" w:rsidRPr="00C03182">
            <w:rPr>
              <w:noProof/>
            </w:rPr>
            <w:t>(Burrows, 2003)</w:t>
          </w:r>
          <w:r w:rsidR="00C03182">
            <w:fldChar w:fldCharType="end"/>
          </w:r>
        </w:sdtContent>
      </w:sdt>
      <w:r w:rsidR="00C03182">
        <w:t xml:space="preserve">. </w:t>
      </w:r>
      <w:r w:rsidR="002B5949">
        <w:t xml:space="preserve">There was also the creation of the CAPRICORN framework which saw a cooperative strategy come into play where it helps risk to be identified as well as </w:t>
      </w:r>
      <w:r w:rsidR="002B5949">
        <w:lastRenderedPageBreak/>
        <w:t xml:space="preserve">improving and having trauma-informed services available, as well as encouraging peer-mentoring and family-based interventions </w:t>
      </w:r>
      <w:sdt>
        <w:sdtPr>
          <w:id w:val="1911196447"/>
          <w:citation/>
        </w:sdtPr>
        <w:sdtContent>
          <w:r w:rsidR="00C03182">
            <w:fldChar w:fldCharType="begin"/>
          </w:r>
          <w:r w:rsidR="00C03182">
            <w:instrText xml:space="preserve"> CITATION Moo211 \l 2057 </w:instrText>
          </w:r>
          <w:r w:rsidR="00C03182">
            <w:fldChar w:fldCharType="separate"/>
          </w:r>
          <w:r w:rsidR="00C03182" w:rsidRPr="00C03182">
            <w:rPr>
              <w:noProof/>
            </w:rPr>
            <w:t>(Moore &amp; Ball, 2021)</w:t>
          </w:r>
          <w:r w:rsidR="00C03182">
            <w:fldChar w:fldCharType="end"/>
          </w:r>
        </w:sdtContent>
      </w:sdt>
      <w:r w:rsidR="00C03182">
        <w:t xml:space="preserve">. </w:t>
      </w:r>
      <w:r w:rsidR="002B5949">
        <w:t xml:space="preserve">However, also found was a 2002 report released a conclusion that the Justice system in England and Wales has been found to be inadequate in addressing youth offending </w:t>
      </w:r>
      <w:sdt>
        <w:sdtPr>
          <w:id w:val="-205413516"/>
          <w:citation/>
        </w:sdtPr>
        <w:sdtContent>
          <w:r w:rsidR="00C03182">
            <w:fldChar w:fldCharType="begin"/>
          </w:r>
          <w:r w:rsidR="00C03182">
            <w:instrText xml:space="preserve"> CITATION Spa021 \l 2057 </w:instrText>
          </w:r>
          <w:r w:rsidR="00C03182">
            <w:fldChar w:fldCharType="separate"/>
          </w:r>
          <w:r w:rsidR="00C03182" w:rsidRPr="00C03182">
            <w:rPr>
              <w:noProof/>
            </w:rPr>
            <w:t>(Sparks &amp; Spencer, 2002)</w:t>
          </w:r>
          <w:r w:rsidR="00C03182">
            <w:fldChar w:fldCharType="end"/>
          </w:r>
        </w:sdtContent>
      </w:sdt>
      <w:r w:rsidR="00C03182">
        <w:t xml:space="preserve"> </w:t>
      </w:r>
      <w:r w:rsidR="00981122">
        <w:t xml:space="preserve">and it makes the recommendation that governments should be obligated to provide the necessary services in response to referrals that come in from the police, schools and parents </w:t>
      </w:r>
      <w:sdt>
        <w:sdtPr>
          <w:id w:val="-452723552"/>
          <w:citation/>
        </w:sdtPr>
        <w:sdtContent>
          <w:r w:rsidR="00C03182">
            <w:fldChar w:fldCharType="begin"/>
          </w:r>
          <w:r w:rsidR="00C03182">
            <w:instrText xml:space="preserve"> CITATION Ria031 \l 2057 </w:instrText>
          </w:r>
          <w:r w:rsidR="00C03182">
            <w:fldChar w:fldCharType="separate"/>
          </w:r>
          <w:r w:rsidR="00C03182" w:rsidRPr="00C03182">
            <w:rPr>
              <w:noProof/>
            </w:rPr>
            <w:t>(Nahalba, 2003)</w:t>
          </w:r>
          <w:r w:rsidR="00C03182">
            <w:fldChar w:fldCharType="end"/>
          </w:r>
        </w:sdtContent>
      </w:sdt>
      <w:r w:rsidR="00C03182">
        <w:t xml:space="preserve">. </w:t>
      </w:r>
      <w:r w:rsidR="00981122">
        <w:t>A</w:t>
      </w:r>
      <w:r w:rsidR="002B5949">
        <w:t xml:space="preserve">greeing with this </w:t>
      </w:r>
      <w:r w:rsidR="00981122">
        <w:t xml:space="preserve">70% of participants from primary research when asked if there were effective prevention measures for young offending all said that there was not due to funding issues and lack of research around the subject area. </w:t>
      </w:r>
    </w:p>
    <w:p w14:paraId="020333C1" w14:textId="325B449A" w:rsidR="0039552D" w:rsidRDefault="0039552D" w:rsidP="00741C2D">
      <w:pPr>
        <w:jc w:val="both"/>
        <w:rPr>
          <w:b/>
          <w:bCs/>
          <w:u w:val="single"/>
        </w:rPr>
      </w:pPr>
      <w:r>
        <w:rPr>
          <w:b/>
          <w:bCs/>
          <w:u w:val="single"/>
        </w:rPr>
        <w:t xml:space="preserve">Recommendations </w:t>
      </w:r>
    </w:p>
    <w:p w14:paraId="0305D313" w14:textId="5A6A2E4D" w:rsidR="0088646F" w:rsidRPr="006A1894" w:rsidRDefault="0088646F" w:rsidP="00741C2D">
      <w:pPr>
        <w:jc w:val="both"/>
      </w:pPr>
      <w:r>
        <w:t xml:space="preserve">One recommendation that could be made after completion of the research chapters is that effective preventative strategies need to be in place for youth offenders and there also needs to be a wider range of support offered for those who have experienced ACEs or are currently experiencing them, as well as support for those already involved in the criminal justice system to help avoid re-offending. </w:t>
      </w:r>
    </w:p>
    <w:p w14:paraId="65C332B9" w14:textId="743DFEAE" w:rsidR="0039552D" w:rsidRDefault="0039552D" w:rsidP="00741C2D">
      <w:pPr>
        <w:jc w:val="both"/>
        <w:rPr>
          <w:b/>
          <w:bCs/>
          <w:u w:val="single"/>
        </w:rPr>
      </w:pPr>
      <w:r>
        <w:rPr>
          <w:b/>
          <w:bCs/>
          <w:u w:val="single"/>
        </w:rPr>
        <w:t xml:space="preserve">Limitations </w:t>
      </w:r>
    </w:p>
    <w:p w14:paraId="2AF18B2C" w14:textId="4FE9D634" w:rsidR="00D95ECA" w:rsidRPr="00E66E81" w:rsidRDefault="00E66E81" w:rsidP="00741C2D">
      <w:pPr>
        <w:jc w:val="both"/>
      </w:pPr>
      <w:r>
        <w:t xml:space="preserve">In-person interviews with law enforcement agencies and mental health professionals who closely assist individuals who have experienced ACEs may have provided a more thorough and expert understanding of what ACEs are and how they support those who have experienced or are experiencing them. </w:t>
      </w:r>
    </w:p>
    <w:p w14:paraId="4D2E2D77" w14:textId="3B7BFBEC" w:rsidR="0039552D" w:rsidRDefault="0039552D" w:rsidP="00741C2D">
      <w:pPr>
        <w:jc w:val="both"/>
        <w:rPr>
          <w:b/>
          <w:bCs/>
          <w:u w:val="single"/>
        </w:rPr>
      </w:pPr>
      <w:r>
        <w:rPr>
          <w:b/>
          <w:bCs/>
          <w:u w:val="single"/>
        </w:rPr>
        <w:t xml:space="preserve">Completed Aims and Objectives </w:t>
      </w:r>
    </w:p>
    <w:p w14:paraId="7077CA17" w14:textId="059ED1C7" w:rsidR="0039552D" w:rsidRDefault="00D95ECA" w:rsidP="00741C2D">
      <w:pPr>
        <w:jc w:val="both"/>
      </w:pPr>
      <w:r>
        <w:t xml:space="preserve">The purpose of this study was to respond to the following question: Do traumatic experiences trigger criminal activity? </w:t>
      </w:r>
    </w:p>
    <w:p w14:paraId="615723DF" w14:textId="7CEF543B" w:rsidR="00D95ECA" w:rsidRDefault="00D95ECA" w:rsidP="00741C2D">
      <w:pPr>
        <w:jc w:val="both"/>
      </w:pPr>
      <w:r>
        <w:t>The chapters’ various sections have all mirrored this.</w:t>
      </w:r>
    </w:p>
    <w:p w14:paraId="4A5380A4" w14:textId="7B67A6CA" w:rsidR="00D95ECA" w:rsidRDefault="00D95ECA" w:rsidP="00741C2D">
      <w:pPr>
        <w:jc w:val="both"/>
      </w:pPr>
      <w:r>
        <w:t xml:space="preserve">The following were the three main objectives. </w:t>
      </w:r>
    </w:p>
    <w:p w14:paraId="7238F704" w14:textId="79143618" w:rsidR="00D95ECA" w:rsidRDefault="00D95ECA" w:rsidP="00741C2D">
      <w:pPr>
        <w:pStyle w:val="ListParagraph"/>
        <w:numPr>
          <w:ilvl w:val="0"/>
          <w:numId w:val="1"/>
        </w:numPr>
        <w:jc w:val="both"/>
      </w:pPr>
      <w:r>
        <w:t xml:space="preserve">Explore the concept the Adverse childhood experiences. </w:t>
      </w:r>
    </w:p>
    <w:p w14:paraId="1BCD6941" w14:textId="58095524" w:rsidR="00D95ECA" w:rsidRDefault="00D95ECA" w:rsidP="00741C2D">
      <w:pPr>
        <w:pStyle w:val="ListParagraph"/>
        <w:numPr>
          <w:ilvl w:val="0"/>
          <w:numId w:val="1"/>
        </w:numPr>
        <w:jc w:val="both"/>
      </w:pPr>
      <w:r>
        <w:t xml:space="preserve">Explore the relationship between Adverse childhood experiences and young offending. </w:t>
      </w:r>
    </w:p>
    <w:p w14:paraId="3ED4BF31" w14:textId="47A1C823" w:rsidR="00D95ECA" w:rsidRDefault="00D95ECA" w:rsidP="00741C2D">
      <w:pPr>
        <w:pStyle w:val="ListParagraph"/>
        <w:numPr>
          <w:ilvl w:val="0"/>
          <w:numId w:val="1"/>
        </w:numPr>
        <w:jc w:val="both"/>
      </w:pPr>
      <w:r>
        <w:t xml:space="preserve">Preventative measures in England and Wales </w:t>
      </w:r>
    </w:p>
    <w:p w14:paraId="32BA6B8A" w14:textId="1BD030FB" w:rsidR="00D95ECA" w:rsidRPr="00D95ECA" w:rsidRDefault="00D95ECA" w:rsidP="00741C2D">
      <w:pPr>
        <w:jc w:val="both"/>
      </w:pPr>
      <w:proofErr w:type="gramStart"/>
      <w:r>
        <w:t>All of</w:t>
      </w:r>
      <w:proofErr w:type="gramEnd"/>
      <w:r>
        <w:t xml:space="preserve"> the chapters have been completed with consideration for these objectives in mind. </w:t>
      </w:r>
    </w:p>
    <w:p w14:paraId="0B821A25" w14:textId="5F8AFDE8" w:rsidR="0039552D" w:rsidRDefault="0039552D" w:rsidP="00741C2D">
      <w:pPr>
        <w:jc w:val="both"/>
        <w:rPr>
          <w:b/>
          <w:bCs/>
          <w:u w:val="single"/>
        </w:rPr>
      </w:pPr>
      <w:r>
        <w:rPr>
          <w:b/>
          <w:bCs/>
          <w:u w:val="single"/>
        </w:rPr>
        <w:t xml:space="preserve">Conclusion </w:t>
      </w:r>
    </w:p>
    <w:p w14:paraId="1EF002DB" w14:textId="6A2BACA3" w:rsidR="00B11B64" w:rsidRDefault="0039552D" w:rsidP="00741C2D">
      <w:pPr>
        <w:jc w:val="both"/>
      </w:pPr>
      <w:r>
        <w:t xml:space="preserve">The overall project’s goals and objectives have been achieved by this study. It has recognised the shortcomings that have emerged, additionally, this chapter has assessed the available data on the topic and offered recommendations. </w:t>
      </w:r>
    </w:p>
    <w:p w14:paraId="5E04673C" w14:textId="77777777" w:rsidR="00B11B64" w:rsidRDefault="00B11B64"/>
    <w:sdt>
      <w:sdtPr>
        <w:id w:val="848063819"/>
        <w:docPartObj>
          <w:docPartGallery w:val="Bibliographies"/>
          <w:docPartUnique/>
        </w:docPartObj>
      </w:sdtPr>
      <w:sdtEndPr>
        <w:rPr>
          <w:rFonts w:asciiTheme="minorHAnsi" w:eastAsiaTheme="minorHAnsi" w:hAnsiTheme="minorHAnsi" w:cstheme="minorBidi"/>
          <w:color w:val="auto"/>
          <w:sz w:val="24"/>
          <w:szCs w:val="24"/>
        </w:rPr>
      </w:sdtEndPr>
      <w:sdtContent>
        <w:p w14:paraId="7E487349" w14:textId="60A79D31" w:rsidR="00C03182" w:rsidRDefault="00C03182">
          <w:pPr>
            <w:pStyle w:val="Heading1"/>
          </w:pPr>
          <w:r>
            <w:t>References</w:t>
          </w:r>
        </w:p>
        <w:sdt>
          <w:sdtPr>
            <w:id w:val="-573587230"/>
            <w:bibliography/>
          </w:sdtPr>
          <w:sdtContent>
            <w:p w14:paraId="3481FDF7" w14:textId="77777777" w:rsidR="00C03182" w:rsidRDefault="00C03182" w:rsidP="00C03182">
              <w:pPr>
                <w:pStyle w:val="Bibliography"/>
                <w:rPr>
                  <w:noProof/>
                  <w:kern w:val="0"/>
                  <w14:ligatures w14:val="none"/>
                </w:rPr>
              </w:pPr>
              <w:r>
                <w:fldChar w:fldCharType="begin"/>
              </w:r>
              <w:r>
                <w:instrText xml:space="preserve"> BIBLIOGRAPHY </w:instrText>
              </w:r>
              <w:r>
                <w:fldChar w:fldCharType="separate"/>
              </w:r>
              <w:r>
                <w:rPr>
                  <w:noProof/>
                </w:rPr>
                <w:t xml:space="preserve">Anda, R., Felitti, V., Butchart, A. &amp; Brown, D., 2010. Building a framework for global survelliance of public health implications of adverse childhood experiences. </w:t>
              </w:r>
              <w:r>
                <w:rPr>
                  <w:i/>
                  <w:iCs/>
                  <w:noProof/>
                </w:rPr>
                <w:t xml:space="preserve">Sage, </w:t>
              </w:r>
              <w:r>
                <w:rPr>
                  <w:noProof/>
                </w:rPr>
                <w:t>Volume 39, pp. 93-98.</w:t>
              </w:r>
            </w:p>
            <w:p w14:paraId="79F8A9F2" w14:textId="77777777" w:rsidR="00C03182" w:rsidRDefault="00C03182" w:rsidP="00C03182">
              <w:pPr>
                <w:pStyle w:val="Bibliography"/>
                <w:rPr>
                  <w:noProof/>
                </w:rPr>
              </w:pPr>
              <w:r>
                <w:rPr>
                  <w:noProof/>
                </w:rPr>
                <w:t xml:space="preserve">Burrows, M., 2003. </w:t>
              </w:r>
              <w:r>
                <w:rPr>
                  <w:i/>
                  <w:iCs/>
                  <w:noProof/>
                </w:rPr>
                <w:t xml:space="preserve">Evaulation of the youth Justice Inclusion Programme, </w:t>
              </w:r>
              <w:r>
                <w:rPr>
                  <w:noProof/>
                </w:rPr>
                <w:t>London: Youth Justice.</w:t>
              </w:r>
            </w:p>
            <w:p w14:paraId="539C921D" w14:textId="77777777" w:rsidR="00C03182" w:rsidRDefault="00C03182" w:rsidP="00C03182">
              <w:pPr>
                <w:pStyle w:val="Bibliography"/>
                <w:rPr>
                  <w:noProof/>
                </w:rPr>
              </w:pPr>
              <w:r>
                <w:rPr>
                  <w:noProof/>
                </w:rPr>
                <w:t xml:space="preserve">Felitti, V., Anda, R., Spitz, A. &amp; Edwards, V., 1998. Relationship of childhood abuse and household dysfunction to many of the leading causes of death in adults. </w:t>
              </w:r>
              <w:r>
                <w:rPr>
                  <w:i/>
                  <w:iCs/>
                  <w:noProof/>
                </w:rPr>
                <w:t xml:space="preserve">sage, </w:t>
              </w:r>
              <w:r>
                <w:rPr>
                  <w:noProof/>
                </w:rPr>
                <w:t>Volume 14, pp. 245-258.</w:t>
              </w:r>
            </w:p>
            <w:p w14:paraId="389E3D46" w14:textId="77777777" w:rsidR="00C03182" w:rsidRDefault="00C03182" w:rsidP="00C03182">
              <w:pPr>
                <w:pStyle w:val="Bibliography"/>
                <w:rPr>
                  <w:noProof/>
                </w:rPr>
              </w:pPr>
              <w:r>
                <w:rPr>
                  <w:noProof/>
                </w:rPr>
                <w:t xml:space="preserve">Hall, S. &amp; Canton, R., 2014. </w:t>
              </w:r>
              <w:r>
                <w:rPr>
                  <w:i/>
                  <w:iCs/>
                  <w:noProof/>
                </w:rPr>
                <w:t xml:space="preserve">Probation in Europe, </w:t>
              </w:r>
              <w:r>
                <w:rPr>
                  <w:noProof/>
                </w:rPr>
                <w:t>London: The European organisation for probation.</w:t>
              </w:r>
            </w:p>
            <w:p w14:paraId="29A17EFF" w14:textId="77777777" w:rsidR="00C03182" w:rsidRDefault="00C03182" w:rsidP="00C03182">
              <w:pPr>
                <w:pStyle w:val="Bibliography"/>
                <w:rPr>
                  <w:noProof/>
                </w:rPr>
              </w:pPr>
              <w:r>
                <w:rPr>
                  <w:noProof/>
                </w:rPr>
                <w:t xml:space="preserve">Jennings, W. &amp; Piquero, A., 2014. </w:t>
              </w:r>
              <w:r>
                <w:rPr>
                  <w:i/>
                  <w:iCs/>
                  <w:noProof/>
                </w:rPr>
                <w:t xml:space="preserve">Serious, chronic, and violent offenders. </w:t>
              </w:r>
              <w:r>
                <w:rPr>
                  <w:noProof/>
                </w:rPr>
                <w:t>1 ed. New York: Oxford University Press.</w:t>
              </w:r>
            </w:p>
            <w:p w14:paraId="3391CAF0" w14:textId="77777777" w:rsidR="00C03182" w:rsidRDefault="00C03182" w:rsidP="00C03182">
              <w:pPr>
                <w:pStyle w:val="Bibliography"/>
                <w:rPr>
                  <w:noProof/>
                </w:rPr>
              </w:pPr>
              <w:r>
                <w:rPr>
                  <w:noProof/>
                </w:rPr>
                <w:t xml:space="preserve">Kalmakis, K. &amp; Chandler, G., 2014. Adverse childhood expereinces. </w:t>
              </w:r>
              <w:r>
                <w:rPr>
                  <w:i/>
                  <w:iCs/>
                  <w:noProof/>
                </w:rPr>
                <w:t xml:space="preserve">Towards a coneptual meaning, </w:t>
              </w:r>
              <w:r>
                <w:rPr>
                  <w:noProof/>
                </w:rPr>
                <w:t>70(7), p. 1495.</w:t>
              </w:r>
            </w:p>
            <w:p w14:paraId="7B232BE8" w14:textId="77777777" w:rsidR="00C03182" w:rsidRDefault="00C03182" w:rsidP="00C03182">
              <w:pPr>
                <w:pStyle w:val="Bibliography"/>
                <w:rPr>
                  <w:noProof/>
                </w:rPr>
              </w:pPr>
              <w:r>
                <w:rPr>
                  <w:noProof/>
                </w:rPr>
                <w:t xml:space="preserve">Loeber, R. &amp; Farrington, D., 2000. Young Children who commit crime. </w:t>
              </w:r>
              <w:r>
                <w:rPr>
                  <w:i/>
                  <w:iCs/>
                  <w:noProof/>
                </w:rPr>
                <w:t xml:space="preserve">Epidemiology, developmental origins, risk factors, early interventions and policy implications , </w:t>
              </w:r>
              <w:r>
                <w:rPr>
                  <w:noProof/>
                </w:rPr>
                <w:t>Volume 12, pp. 737-762.</w:t>
              </w:r>
            </w:p>
            <w:p w14:paraId="0F585181" w14:textId="77777777" w:rsidR="00C03182" w:rsidRDefault="00C03182" w:rsidP="00C03182">
              <w:pPr>
                <w:pStyle w:val="Bibliography"/>
                <w:rPr>
                  <w:noProof/>
                </w:rPr>
              </w:pPr>
              <w:r>
                <w:rPr>
                  <w:noProof/>
                </w:rPr>
                <w:t xml:space="preserve">Moore, D. R. &amp; Ball, K., 2021. </w:t>
              </w:r>
              <w:r>
                <w:rPr>
                  <w:i/>
                  <w:iCs/>
                  <w:noProof/>
                </w:rPr>
                <w:t xml:space="preserve">Multi agency work in youth offending services , </w:t>
              </w:r>
              <w:r>
                <w:rPr>
                  <w:noProof/>
                </w:rPr>
                <w:t>London: Her Majesty's inspectorate of probation .</w:t>
              </w:r>
            </w:p>
            <w:p w14:paraId="4A3B7CD5" w14:textId="77777777" w:rsidR="00C03182" w:rsidRDefault="00C03182" w:rsidP="00C03182">
              <w:pPr>
                <w:pStyle w:val="Bibliography"/>
                <w:rPr>
                  <w:noProof/>
                </w:rPr>
              </w:pPr>
              <w:r>
                <w:rPr>
                  <w:noProof/>
                </w:rPr>
                <w:t xml:space="preserve">Nahalba, R., 2003. </w:t>
              </w:r>
              <w:r>
                <w:rPr>
                  <w:i/>
                  <w:iCs/>
                  <w:noProof/>
                </w:rPr>
                <w:t xml:space="preserve">The Kilbrandon report, </w:t>
              </w:r>
              <w:r>
                <w:rPr>
                  <w:noProof/>
                </w:rPr>
                <w:t>Edinburgh: Scottish Government .</w:t>
              </w:r>
            </w:p>
            <w:p w14:paraId="6730CF58" w14:textId="77777777" w:rsidR="00C03182" w:rsidRDefault="00C03182" w:rsidP="00C03182">
              <w:pPr>
                <w:pStyle w:val="Bibliography"/>
                <w:rPr>
                  <w:noProof/>
                </w:rPr>
              </w:pPr>
              <w:r>
                <w:rPr>
                  <w:noProof/>
                </w:rPr>
                <w:t xml:space="preserve">Sparks, C. &amp; Spencer, S., 2002. </w:t>
              </w:r>
              <w:r>
                <w:rPr>
                  <w:i/>
                  <w:iCs/>
                  <w:noProof/>
                </w:rPr>
                <w:t xml:space="preserve">Them and Us? The public, offenders and the criminal justice system , </w:t>
              </w:r>
              <w:r>
                <w:rPr>
                  <w:noProof/>
                </w:rPr>
                <w:t>London: Institute of public and policy research.</w:t>
              </w:r>
            </w:p>
            <w:p w14:paraId="3C7BB7CC" w14:textId="3C493CA0" w:rsidR="00C03182" w:rsidRDefault="00C03182" w:rsidP="00C03182">
              <w:r>
                <w:rPr>
                  <w:b/>
                  <w:bCs/>
                  <w:noProof/>
                </w:rPr>
                <w:fldChar w:fldCharType="end"/>
              </w:r>
            </w:p>
          </w:sdtContent>
        </w:sdt>
      </w:sdtContent>
    </w:sdt>
    <w:p w14:paraId="2C2DCC2A" w14:textId="77777777" w:rsidR="00C03182" w:rsidRDefault="00C03182"/>
    <w:sectPr w:rsidR="00C03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A00152"/>
    <w:multiLevelType w:val="hybridMultilevel"/>
    <w:tmpl w:val="BA04DB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4480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B64"/>
    <w:rsid w:val="000E4B1A"/>
    <w:rsid w:val="001918D1"/>
    <w:rsid w:val="002B5949"/>
    <w:rsid w:val="0039552D"/>
    <w:rsid w:val="006A1894"/>
    <w:rsid w:val="00741C2D"/>
    <w:rsid w:val="00755B42"/>
    <w:rsid w:val="0088646F"/>
    <w:rsid w:val="00981122"/>
    <w:rsid w:val="00B11B64"/>
    <w:rsid w:val="00C03182"/>
    <w:rsid w:val="00C85181"/>
    <w:rsid w:val="00D95ECA"/>
    <w:rsid w:val="00E66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04E832"/>
  <w15:chartTrackingRefBased/>
  <w15:docId w15:val="{7ADE4ABF-D2B6-44BD-B62A-20BF266ED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B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B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B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B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B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B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B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B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B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B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B64"/>
    <w:rPr>
      <w:rFonts w:eastAsiaTheme="majorEastAsia" w:cstheme="majorBidi"/>
      <w:color w:val="272727" w:themeColor="text1" w:themeTint="D8"/>
    </w:rPr>
  </w:style>
  <w:style w:type="paragraph" w:styleId="Title">
    <w:name w:val="Title"/>
    <w:basedOn w:val="Normal"/>
    <w:next w:val="Normal"/>
    <w:link w:val="TitleChar"/>
    <w:uiPriority w:val="10"/>
    <w:qFormat/>
    <w:rsid w:val="00B11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B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B64"/>
    <w:pPr>
      <w:spacing w:before="160"/>
      <w:jc w:val="center"/>
    </w:pPr>
    <w:rPr>
      <w:i/>
      <w:iCs/>
      <w:color w:val="404040" w:themeColor="text1" w:themeTint="BF"/>
    </w:rPr>
  </w:style>
  <w:style w:type="character" w:customStyle="1" w:styleId="QuoteChar">
    <w:name w:val="Quote Char"/>
    <w:basedOn w:val="DefaultParagraphFont"/>
    <w:link w:val="Quote"/>
    <w:uiPriority w:val="29"/>
    <w:rsid w:val="00B11B64"/>
    <w:rPr>
      <w:i/>
      <w:iCs/>
      <w:color w:val="404040" w:themeColor="text1" w:themeTint="BF"/>
    </w:rPr>
  </w:style>
  <w:style w:type="paragraph" w:styleId="ListParagraph">
    <w:name w:val="List Paragraph"/>
    <w:basedOn w:val="Normal"/>
    <w:uiPriority w:val="34"/>
    <w:qFormat/>
    <w:rsid w:val="00B11B64"/>
    <w:pPr>
      <w:ind w:left="720"/>
      <w:contextualSpacing/>
    </w:pPr>
  </w:style>
  <w:style w:type="character" w:styleId="IntenseEmphasis">
    <w:name w:val="Intense Emphasis"/>
    <w:basedOn w:val="DefaultParagraphFont"/>
    <w:uiPriority w:val="21"/>
    <w:qFormat/>
    <w:rsid w:val="00B11B64"/>
    <w:rPr>
      <w:i/>
      <w:iCs/>
      <w:color w:val="0F4761" w:themeColor="accent1" w:themeShade="BF"/>
    </w:rPr>
  </w:style>
  <w:style w:type="paragraph" w:styleId="IntenseQuote">
    <w:name w:val="Intense Quote"/>
    <w:basedOn w:val="Normal"/>
    <w:next w:val="Normal"/>
    <w:link w:val="IntenseQuoteChar"/>
    <w:uiPriority w:val="30"/>
    <w:qFormat/>
    <w:rsid w:val="00B11B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B64"/>
    <w:rPr>
      <w:i/>
      <w:iCs/>
      <w:color w:val="0F4761" w:themeColor="accent1" w:themeShade="BF"/>
    </w:rPr>
  </w:style>
  <w:style w:type="character" w:styleId="IntenseReference">
    <w:name w:val="Intense Reference"/>
    <w:basedOn w:val="DefaultParagraphFont"/>
    <w:uiPriority w:val="32"/>
    <w:qFormat/>
    <w:rsid w:val="00B11B64"/>
    <w:rPr>
      <w:b/>
      <w:bCs/>
      <w:smallCaps/>
      <w:color w:val="0F4761" w:themeColor="accent1" w:themeShade="BF"/>
      <w:spacing w:val="5"/>
    </w:rPr>
  </w:style>
  <w:style w:type="paragraph" w:styleId="Bibliography">
    <w:name w:val="Bibliography"/>
    <w:basedOn w:val="Normal"/>
    <w:next w:val="Normal"/>
    <w:uiPriority w:val="37"/>
    <w:unhideWhenUsed/>
    <w:rsid w:val="00C031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320427">
      <w:bodyDiv w:val="1"/>
      <w:marLeft w:val="0"/>
      <w:marRight w:val="0"/>
      <w:marTop w:val="0"/>
      <w:marBottom w:val="0"/>
      <w:divBdr>
        <w:top w:val="none" w:sz="0" w:space="0" w:color="auto"/>
        <w:left w:val="none" w:sz="0" w:space="0" w:color="auto"/>
        <w:bottom w:val="none" w:sz="0" w:space="0" w:color="auto"/>
        <w:right w:val="none" w:sz="0" w:space="0" w:color="auto"/>
      </w:divBdr>
    </w:div>
    <w:div w:id="427583854">
      <w:bodyDiv w:val="1"/>
      <w:marLeft w:val="0"/>
      <w:marRight w:val="0"/>
      <w:marTop w:val="0"/>
      <w:marBottom w:val="0"/>
      <w:divBdr>
        <w:top w:val="none" w:sz="0" w:space="0" w:color="auto"/>
        <w:left w:val="none" w:sz="0" w:space="0" w:color="auto"/>
        <w:bottom w:val="none" w:sz="0" w:space="0" w:color="auto"/>
        <w:right w:val="none" w:sz="0" w:space="0" w:color="auto"/>
      </w:divBdr>
    </w:div>
    <w:div w:id="1045251560">
      <w:bodyDiv w:val="1"/>
      <w:marLeft w:val="0"/>
      <w:marRight w:val="0"/>
      <w:marTop w:val="0"/>
      <w:marBottom w:val="0"/>
      <w:divBdr>
        <w:top w:val="none" w:sz="0" w:space="0" w:color="auto"/>
        <w:left w:val="none" w:sz="0" w:space="0" w:color="auto"/>
        <w:bottom w:val="none" w:sz="0" w:space="0" w:color="auto"/>
        <w:right w:val="none" w:sz="0" w:space="0" w:color="auto"/>
      </w:divBdr>
    </w:div>
    <w:div w:id="1223129735">
      <w:bodyDiv w:val="1"/>
      <w:marLeft w:val="0"/>
      <w:marRight w:val="0"/>
      <w:marTop w:val="0"/>
      <w:marBottom w:val="0"/>
      <w:divBdr>
        <w:top w:val="none" w:sz="0" w:space="0" w:color="auto"/>
        <w:left w:val="none" w:sz="0" w:space="0" w:color="auto"/>
        <w:bottom w:val="none" w:sz="0" w:space="0" w:color="auto"/>
        <w:right w:val="none" w:sz="0" w:space="0" w:color="auto"/>
      </w:divBdr>
    </w:div>
    <w:div w:id="1245649670">
      <w:bodyDiv w:val="1"/>
      <w:marLeft w:val="0"/>
      <w:marRight w:val="0"/>
      <w:marTop w:val="0"/>
      <w:marBottom w:val="0"/>
      <w:divBdr>
        <w:top w:val="none" w:sz="0" w:space="0" w:color="auto"/>
        <w:left w:val="none" w:sz="0" w:space="0" w:color="auto"/>
        <w:bottom w:val="none" w:sz="0" w:space="0" w:color="auto"/>
        <w:right w:val="none" w:sz="0" w:space="0" w:color="auto"/>
      </w:divBdr>
    </w:div>
    <w:div w:id="1308438715">
      <w:bodyDiv w:val="1"/>
      <w:marLeft w:val="0"/>
      <w:marRight w:val="0"/>
      <w:marTop w:val="0"/>
      <w:marBottom w:val="0"/>
      <w:divBdr>
        <w:top w:val="none" w:sz="0" w:space="0" w:color="auto"/>
        <w:left w:val="none" w:sz="0" w:space="0" w:color="auto"/>
        <w:bottom w:val="none" w:sz="0" w:space="0" w:color="auto"/>
        <w:right w:val="none" w:sz="0" w:space="0" w:color="auto"/>
      </w:divBdr>
    </w:div>
    <w:div w:id="1523208445">
      <w:bodyDiv w:val="1"/>
      <w:marLeft w:val="0"/>
      <w:marRight w:val="0"/>
      <w:marTop w:val="0"/>
      <w:marBottom w:val="0"/>
      <w:divBdr>
        <w:top w:val="none" w:sz="0" w:space="0" w:color="auto"/>
        <w:left w:val="none" w:sz="0" w:space="0" w:color="auto"/>
        <w:bottom w:val="none" w:sz="0" w:space="0" w:color="auto"/>
        <w:right w:val="none" w:sz="0" w:space="0" w:color="auto"/>
      </w:divBdr>
    </w:div>
    <w:div w:id="1534921484">
      <w:bodyDiv w:val="1"/>
      <w:marLeft w:val="0"/>
      <w:marRight w:val="0"/>
      <w:marTop w:val="0"/>
      <w:marBottom w:val="0"/>
      <w:divBdr>
        <w:top w:val="none" w:sz="0" w:space="0" w:color="auto"/>
        <w:left w:val="none" w:sz="0" w:space="0" w:color="auto"/>
        <w:bottom w:val="none" w:sz="0" w:space="0" w:color="auto"/>
        <w:right w:val="none" w:sz="0" w:space="0" w:color="auto"/>
      </w:divBdr>
    </w:div>
    <w:div w:id="1599674413">
      <w:bodyDiv w:val="1"/>
      <w:marLeft w:val="0"/>
      <w:marRight w:val="0"/>
      <w:marTop w:val="0"/>
      <w:marBottom w:val="0"/>
      <w:divBdr>
        <w:top w:val="none" w:sz="0" w:space="0" w:color="auto"/>
        <w:left w:val="none" w:sz="0" w:space="0" w:color="auto"/>
        <w:bottom w:val="none" w:sz="0" w:space="0" w:color="auto"/>
        <w:right w:val="none" w:sz="0" w:space="0" w:color="auto"/>
      </w:divBdr>
    </w:div>
    <w:div w:id="1779565698">
      <w:bodyDiv w:val="1"/>
      <w:marLeft w:val="0"/>
      <w:marRight w:val="0"/>
      <w:marTop w:val="0"/>
      <w:marBottom w:val="0"/>
      <w:divBdr>
        <w:top w:val="none" w:sz="0" w:space="0" w:color="auto"/>
        <w:left w:val="none" w:sz="0" w:space="0" w:color="auto"/>
        <w:bottom w:val="none" w:sz="0" w:space="0" w:color="auto"/>
        <w:right w:val="none" w:sz="0" w:space="0" w:color="auto"/>
      </w:divBdr>
    </w:div>
    <w:div w:id="200285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Kal141</b:Tag>
    <b:SourceType>JournalArticle</b:SourceType>
    <b:Guid>{DB6FBAF5-A684-4D6E-8519-12B9CE0C1377}</b:Guid>
    <b:Title>Adverse childhood expereinces </b:Title>
    <b:JournalName>Towards a coneptual meaning</b:JournalName>
    <b:Year>2014</b:Year>
    <b:Pages>1495</b:Pages>
    <b:Volume>70</b:Volume>
    <b:Issue>7</b:Issue>
    <b:Author>
      <b:Author>
        <b:NameList>
          <b:Person>
            <b:Last>Kalmakis</b:Last>
            <b:First>Karen </b:First>
          </b:Person>
          <b:Person>
            <b:Last>Chandler</b:Last>
            <b:First>Genevieve </b:First>
          </b:Person>
        </b:NameList>
      </b:Author>
    </b:Author>
    <b:RefOrder>9</b:RefOrder>
  </b:Source>
  <b:Source>
    <b:Tag>Loe001</b:Tag>
    <b:SourceType>JournalArticle</b:SourceType>
    <b:Guid>{3ED66C58-79BD-45D7-A4C2-D83955FD8CD5}</b:Guid>
    <b:Title>Young Children who commit crime </b:Title>
    <b:JournalName>Epidemiology, developmental origins, risk factors, early interventions and policy implications </b:JournalName>
    <b:Year>2000</b:Year>
    <b:Pages>737-762</b:Pages>
    <b:Volume>12</b:Volume>
    <b:Author>
      <b:Author>
        <b:NameList>
          <b:Person>
            <b:Last>Loeber</b:Last>
            <b:First>Rolf </b:First>
          </b:Person>
          <b:Person>
            <b:Last>Farrington</b:Last>
            <b:First>David </b:First>
          </b:Person>
        </b:NameList>
      </b:Author>
    </b:Author>
    <b:RefOrder>1</b:RefOrder>
  </b:Source>
  <b:Source>
    <b:Tag>Jen141</b:Tag>
    <b:SourceType>Book</b:SourceType>
    <b:Guid>{0A3DE7E4-A692-4110-8BA5-3BBC67A78732}</b:Guid>
    <b:Title>Serious, chronic, and violent offenders</b:Title>
    <b:Year>2014</b:Year>
    <b:Author>
      <b:Author>
        <b:NameList>
          <b:Person>
            <b:Last>Jennings</b:Last>
            <b:First>Wesley </b:First>
          </b:Person>
          <b:Person>
            <b:Last>Piquero</b:Last>
            <b:First>Alex</b:First>
          </b:Person>
        </b:NameList>
      </b:Author>
    </b:Author>
    <b:City>New York</b:City>
    <b:Publisher>Oxford University Press</b:Publisher>
    <b:Edition>1</b:Edition>
    <b:RefOrder>10</b:RefOrder>
  </b:Source>
  <b:Source>
    <b:Tag>Fel981</b:Tag>
    <b:SourceType>JournalArticle</b:SourceType>
    <b:Guid>{BD3C05C7-4FD4-4E0D-9568-6C69681FD2BE}</b:Guid>
    <b:Title>Relationship of childhood abuse and household dysfunction to many of the leading causes of death in adults</b:Title>
    <b:Year>1998</b:Year>
    <b:JournalName>sage</b:JournalName>
    <b:Pages>245-258</b:Pages>
    <b:Volume>14</b:Volume>
    <b:Author>
      <b:Author>
        <b:NameList>
          <b:Person>
            <b:Last>Felitti</b:Last>
            <b:First>Vicent </b:First>
          </b:Person>
          <b:Person>
            <b:Last>Anda</b:Last>
            <b:First>Robert</b:First>
          </b:Person>
          <b:Person>
            <b:Last>Spitz</b:Last>
            <b:First>Alison</b:First>
          </b:Person>
          <b:Person>
            <b:Last>Edwards</b:Last>
            <b:First>Valerie </b:First>
          </b:Person>
        </b:NameList>
      </b:Author>
    </b:Author>
    <b:RefOrder>2</b:RefOrder>
  </b:Source>
  <b:Source>
    <b:Tag>And101</b:Tag>
    <b:SourceType>JournalArticle</b:SourceType>
    <b:Guid>{F4F75693-C78D-40BF-9239-BA1462314DAC}</b:Guid>
    <b:Title>Building a framework for global survelliance of public health implications of adverse childhood experiences </b:Title>
    <b:JournalName>Sage</b:JournalName>
    <b:Year>2010</b:Year>
    <b:Pages>93-98</b:Pages>
    <b:Volume>39</b:Volume>
    <b:Author>
      <b:Author>
        <b:NameList>
          <b:Person>
            <b:Last>Anda</b:Last>
            <b:First>Robert</b:First>
          </b:Person>
          <b:Person>
            <b:Last>Felitti</b:Last>
            <b:First>Vincent </b:First>
          </b:Person>
          <b:Person>
            <b:Last>Butchart</b:Last>
            <b:First>Alexander</b:First>
          </b:Person>
          <b:Person>
            <b:Last>Brown</b:Last>
            <b:First>David </b:First>
          </b:Person>
        </b:NameList>
      </b:Author>
    </b:Author>
    <b:RefOrder>3</b:RefOrder>
  </b:Source>
  <b:Source>
    <b:Tag>Hal141</b:Tag>
    <b:SourceType>Report</b:SourceType>
    <b:Guid>{5F834016-8A92-48CD-8F46-D372CB1ECB67}</b:Guid>
    <b:Title>Probation in Europe</b:Title>
    <b:Year>2014</b:Year>
    <b:Author>
      <b:Author>
        <b:NameList>
          <b:Person>
            <b:Last>Hall</b:Last>
            <b:First>Sue </b:First>
          </b:Person>
          <b:Person>
            <b:Last>Canton</b:Last>
            <b:First>Robert</b:First>
          </b:Person>
        </b:NameList>
      </b:Author>
    </b:Author>
    <b:City>London</b:City>
    <b:Publisher>The European organisation for probation</b:Publisher>
    <b:RefOrder>4</b:RefOrder>
  </b:Source>
  <b:Source>
    <b:Tag>Bur031</b:Tag>
    <b:SourceType>Report</b:SourceType>
    <b:Guid>{2E138D0F-F31B-497D-BCA0-A0D7FC41A63B}</b:Guid>
    <b:Author>
      <b:Author>
        <b:NameList>
          <b:Person>
            <b:Last>Burrows</b:Last>
            <b:First>Morgan</b:First>
          </b:Person>
        </b:NameList>
      </b:Author>
    </b:Author>
    <b:Title>Evaulation of the youth Justice Inclusion Programme</b:Title>
    <b:Year>2003</b:Year>
    <b:Publisher>Youth Justice</b:Publisher>
    <b:City>London</b:City>
    <b:RefOrder>5</b:RefOrder>
  </b:Source>
  <b:Source>
    <b:Tag>Moo211</b:Tag>
    <b:SourceType>Report</b:SourceType>
    <b:Guid>{89359ADE-CFD1-4FD5-A861-33062F9DA401}</b:Guid>
    <b:Title>Multi agency work in youth offending services </b:Title>
    <b:Year>2021</b:Year>
    <b:Publisher>Her Majesty's inspectorate of probation </b:Publisher>
    <b:City>London</b:City>
    <b:Author>
      <b:Author>
        <b:NameList>
          <b:Person>
            <b:Last>Moore</b:Last>
            <b:First>Dr Robin </b:First>
          </b:Person>
          <b:Person>
            <b:Last>Ball</b:Last>
            <b:First>Kevin</b:First>
          </b:Person>
        </b:NameList>
      </b:Author>
    </b:Author>
    <b:RefOrder>6</b:RefOrder>
  </b:Source>
  <b:Source>
    <b:Tag>Spa021</b:Tag>
    <b:SourceType>Report</b:SourceType>
    <b:Guid>{10C8CD68-2B48-4406-A679-523608CC166C}</b:Guid>
    <b:Title>Them and Us? The public, offenders and the criminal justice system </b:Title>
    <b:Year>2002</b:Year>
    <b:Publisher>Institute of public and policy research</b:Publisher>
    <b:City>London</b:City>
    <b:Author>
      <b:Author>
        <b:NameList>
          <b:Person>
            <b:Last>Sparks</b:Last>
            <b:First>Clare </b:First>
          </b:Person>
          <b:Person>
            <b:Last>Spencer</b:Last>
            <b:First>Sarah</b:First>
          </b:Person>
        </b:NameList>
      </b:Author>
    </b:Author>
    <b:RefOrder>7</b:RefOrder>
  </b:Source>
  <b:Source>
    <b:Tag>Ria031</b:Tag>
    <b:SourceType>Report</b:SourceType>
    <b:Guid>{5FAC0BEE-630F-40B4-B812-E98AF3C2F228}</b:Guid>
    <b:Author>
      <b:Author>
        <b:NameList>
          <b:Person>
            <b:Last>Nahalba</b:Last>
            <b:First>Riaghaltas</b:First>
          </b:Person>
        </b:NameList>
      </b:Author>
    </b:Author>
    <b:Title>The Kilbrandon report</b:Title>
    <b:Year>2003</b:Year>
    <b:Publisher>Scottish Government </b:Publisher>
    <b:City>Edinburgh</b:City>
    <b:RefOrder>8</b:RefOrder>
  </b:Source>
</b:Sources>
</file>

<file path=customXml/itemProps1.xml><?xml version="1.0" encoding="utf-8"?>
<ds:datastoreItem xmlns:ds="http://schemas.openxmlformats.org/officeDocument/2006/customXml" ds:itemID="{D4E4274D-FE76-4D6E-BD9A-07A164B6C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Pages>
  <Words>1060</Words>
  <Characters>5802</Characters>
  <Application>Microsoft Office Word</Application>
  <DocSecurity>0</DocSecurity>
  <Lines>101</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Hurlow (2103531)</dc:creator>
  <cp:keywords/>
  <dc:description/>
  <cp:lastModifiedBy>Olivia Hurlow (2103531)</cp:lastModifiedBy>
  <cp:revision>3</cp:revision>
  <dcterms:created xsi:type="dcterms:W3CDTF">2024-04-23T12:09:00Z</dcterms:created>
  <dcterms:modified xsi:type="dcterms:W3CDTF">2024-04-28T20:28:00Z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68b6ab33-cc91-4d70-a2e5-ac76fb40961c</vt:lpwstr>
  </property>
</Properties>
</file>