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886C28" w:rsidRPr="00CD33A8" w:rsidRDefault="00074402" w:rsidP="00FD668D">
      <w:pPr>
        <w:spacing w:after="0" w:line="360" w:lineRule="auto"/>
        <w:jc w:val="both"/>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FD668D">
      <w:pPr>
        <w:spacing w:after="0" w:line="360" w:lineRule="auto"/>
        <w:jc w:val="both"/>
        <w:rPr>
          <w:rFonts w:asciiTheme="minorBidi" w:hAnsiTheme="minorBidi"/>
          <w:sz w:val="22"/>
        </w:rPr>
      </w:pPr>
    </w:p>
    <w:p w14:paraId="4E267F2C" w14:textId="35E99859" w:rsidR="00074402" w:rsidRPr="00CD33A8" w:rsidRDefault="00074402" w:rsidP="00FD668D">
      <w:pPr>
        <w:spacing w:after="0" w:line="360" w:lineRule="auto"/>
        <w:jc w:val="both"/>
        <w:rPr>
          <w:rFonts w:asciiTheme="minorBidi" w:hAnsiTheme="minorBidi"/>
          <w:sz w:val="22"/>
        </w:rPr>
      </w:pPr>
    </w:p>
    <w:p w14:paraId="5D864E3F" w14:textId="04749E68" w:rsidR="00074402" w:rsidRPr="00CD33A8" w:rsidRDefault="00074402" w:rsidP="00FD668D">
      <w:pPr>
        <w:spacing w:after="0" w:line="360" w:lineRule="auto"/>
        <w:jc w:val="both"/>
        <w:rPr>
          <w:rFonts w:asciiTheme="minorBidi" w:hAnsiTheme="minorBidi"/>
          <w:sz w:val="22"/>
        </w:rPr>
      </w:pPr>
    </w:p>
    <w:p w14:paraId="22F2817A" w14:textId="77777777" w:rsidR="00074402" w:rsidRPr="00CD33A8" w:rsidRDefault="00074402" w:rsidP="00FD668D">
      <w:pPr>
        <w:tabs>
          <w:tab w:val="left" w:pos="6540"/>
        </w:tabs>
        <w:spacing w:after="0" w:line="360" w:lineRule="auto"/>
        <w:jc w:val="both"/>
        <w:rPr>
          <w:rFonts w:asciiTheme="minorBidi" w:hAnsiTheme="minorBidi"/>
          <w:sz w:val="22"/>
        </w:rPr>
      </w:pPr>
    </w:p>
    <w:p w14:paraId="7D557BA5" w14:textId="77777777" w:rsidR="00CD33A8" w:rsidRPr="00CD33A8" w:rsidRDefault="00CD33A8" w:rsidP="00FD668D">
      <w:pPr>
        <w:tabs>
          <w:tab w:val="left" w:pos="6540"/>
        </w:tabs>
        <w:spacing w:after="0" w:line="360" w:lineRule="auto"/>
        <w:jc w:val="both"/>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
    <w:p w14:paraId="537571AF" w14:textId="77777777" w:rsidR="00CD33A8" w:rsidRPr="00CD33A8" w:rsidRDefault="00CD33A8" w:rsidP="00FD668D">
      <w:pPr>
        <w:tabs>
          <w:tab w:val="left" w:pos="6540"/>
        </w:tabs>
        <w:spacing w:after="0" w:line="360" w:lineRule="auto"/>
        <w:jc w:val="both"/>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p>
    <w:p w14:paraId="529D7354" w14:textId="77777777" w:rsidR="00CD33A8" w:rsidRPr="00CD33A8" w:rsidRDefault="00CD33A8" w:rsidP="00FD668D">
      <w:pPr>
        <w:tabs>
          <w:tab w:val="left" w:pos="6540"/>
        </w:tabs>
        <w:spacing w:after="0" w:line="360" w:lineRule="auto"/>
        <w:jc w:val="both"/>
        <w:rPr>
          <w:rFonts w:ascii="Arial" w:hAnsi="Arial" w:cs="Arial"/>
          <w:b/>
          <w:bCs/>
          <w:sz w:val="28"/>
          <w:szCs w:val="28"/>
          <w:lang w:val="nl-NL"/>
        </w:rPr>
      </w:pPr>
    </w:p>
    <w:p w14:paraId="0A48766D" w14:textId="5B973372" w:rsidR="00074402" w:rsidRPr="00CD33A8" w:rsidRDefault="00074402" w:rsidP="00FD668D">
      <w:pPr>
        <w:tabs>
          <w:tab w:val="left" w:pos="6540"/>
        </w:tabs>
        <w:spacing w:after="0" w:line="360" w:lineRule="auto"/>
        <w:jc w:val="both"/>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p>
    <w:p w14:paraId="39AA4413" w14:textId="0F9EE9F4" w:rsidR="00074402" w:rsidRPr="00CD33A8" w:rsidRDefault="00074402" w:rsidP="00FD668D">
      <w:pPr>
        <w:tabs>
          <w:tab w:val="left" w:pos="6540"/>
        </w:tabs>
        <w:spacing w:after="0" w:line="360" w:lineRule="auto"/>
        <w:jc w:val="both"/>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p>
    <w:p w14:paraId="5E81F6AD" w14:textId="77777777" w:rsidR="00074402" w:rsidRPr="00CD33A8" w:rsidRDefault="00074402" w:rsidP="00FD668D">
      <w:pPr>
        <w:tabs>
          <w:tab w:val="left" w:pos="6540"/>
        </w:tabs>
        <w:spacing w:after="0" w:line="360" w:lineRule="auto"/>
        <w:jc w:val="both"/>
        <w:rPr>
          <w:rFonts w:ascii="Arial" w:hAnsi="Arial" w:cs="Arial"/>
          <w:sz w:val="28"/>
          <w:szCs w:val="28"/>
          <w:lang w:val="nl-NL"/>
        </w:rPr>
      </w:pPr>
    </w:p>
    <w:p w14:paraId="1A0B2D2B" w14:textId="2AB49D50" w:rsidR="00074402" w:rsidRPr="00CD33A8" w:rsidRDefault="008E3943" w:rsidP="00FD668D">
      <w:pPr>
        <w:tabs>
          <w:tab w:val="left" w:pos="6540"/>
        </w:tabs>
        <w:spacing w:after="0" w:line="360" w:lineRule="auto"/>
        <w:jc w:val="both"/>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p>
    <w:p w14:paraId="39D08584" w14:textId="77777777" w:rsidR="00074402" w:rsidRPr="00CD33A8" w:rsidRDefault="00074402" w:rsidP="00FD668D">
      <w:pPr>
        <w:tabs>
          <w:tab w:val="left" w:pos="6540"/>
        </w:tabs>
        <w:spacing w:after="0" w:line="360" w:lineRule="auto"/>
        <w:jc w:val="both"/>
        <w:rPr>
          <w:rFonts w:asciiTheme="minorBidi" w:hAnsiTheme="minorBidi"/>
          <w:sz w:val="22"/>
        </w:rPr>
      </w:pPr>
    </w:p>
    <w:p w14:paraId="5B66D125" w14:textId="77777777" w:rsidR="00074402" w:rsidRPr="00CD33A8" w:rsidRDefault="00074402" w:rsidP="00FD668D">
      <w:pPr>
        <w:tabs>
          <w:tab w:val="left" w:pos="6540"/>
        </w:tabs>
        <w:spacing w:after="0" w:line="360" w:lineRule="auto"/>
        <w:jc w:val="both"/>
        <w:rPr>
          <w:rFonts w:asciiTheme="minorBidi" w:hAnsiTheme="minorBidi"/>
          <w:sz w:val="22"/>
        </w:rPr>
      </w:pPr>
    </w:p>
    <w:p w14:paraId="291524A2" w14:textId="2CBFF360" w:rsidR="00074402" w:rsidRPr="00CD33A8" w:rsidRDefault="00074402" w:rsidP="00FD668D">
      <w:pPr>
        <w:tabs>
          <w:tab w:val="left" w:pos="6540"/>
        </w:tabs>
        <w:spacing w:after="0" w:line="360" w:lineRule="auto"/>
        <w:jc w:val="both"/>
        <w:rPr>
          <w:rFonts w:asciiTheme="minorBidi" w:hAnsiTheme="minorBidi"/>
          <w:sz w:val="22"/>
        </w:rPr>
      </w:pPr>
    </w:p>
    <w:p w14:paraId="5AE88297" w14:textId="24E6B718" w:rsidR="00B87E75" w:rsidRPr="00CD33A8" w:rsidRDefault="00B87E75" w:rsidP="00FD668D">
      <w:pPr>
        <w:tabs>
          <w:tab w:val="left" w:pos="6540"/>
        </w:tabs>
        <w:spacing w:after="0" w:line="360" w:lineRule="auto"/>
        <w:jc w:val="both"/>
        <w:rPr>
          <w:rFonts w:asciiTheme="minorBidi" w:hAnsiTheme="minorBidi"/>
          <w:sz w:val="22"/>
        </w:rPr>
      </w:pPr>
    </w:p>
    <w:p w14:paraId="420ADE33" w14:textId="35FB1322" w:rsidR="00B87E75" w:rsidRPr="00CD33A8" w:rsidRDefault="00B87E75" w:rsidP="00FD668D">
      <w:pPr>
        <w:spacing w:after="0" w:line="360" w:lineRule="auto"/>
        <w:jc w:val="both"/>
        <w:rPr>
          <w:rFonts w:asciiTheme="minorBidi" w:hAnsiTheme="minorBidi"/>
          <w:sz w:val="22"/>
        </w:rPr>
      </w:pPr>
      <w:r w:rsidRPr="00CD33A8">
        <w:rPr>
          <w:rFonts w:asciiTheme="minorBidi" w:hAnsiTheme="minorBidi"/>
          <w:sz w:val="22"/>
        </w:rPr>
        <w:br w:type="page"/>
      </w:r>
    </w:p>
    <w:sdt>
      <w:sdtPr>
        <w:rPr>
          <w:rFonts w:ascii="Times New Roman" w:eastAsiaTheme="minorHAnsi" w:hAnsi="Times New Roman" w:cstheme="minorBidi"/>
          <w:color w:val="auto"/>
          <w:sz w:val="24"/>
          <w:szCs w:val="22"/>
          <w:lang w:val="en-GB"/>
        </w:rPr>
        <w:id w:val="-381490946"/>
        <w:docPartObj>
          <w:docPartGallery w:val="Table of Contents"/>
          <w:docPartUnique/>
        </w:docPartObj>
      </w:sdtPr>
      <w:sdtEndPr>
        <w:rPr>
          <w:b/>
          <w:bCs/>
          <w:noProof/>
        </w:rPr>
      </w:sdtEndPr>
      <w:sdtContent>
        <w:p w14:paraId="22442E22" w14:textId="50CD722A" w:rsidR="006456D9" w:rsidRPr="003220D9" w:rsidRDefault="006456D9" w:rsidP="00FD668D">
          <w:pPr>
            <w:pStyle w:val="TOCHeading"/>
            <w:spacing w:before="0" w:line="360" w:lineRule="auto"/>
            <w:jc w:val="center"/>
            <w:rPr>
              <w:rFonts w:ascii="Arial" w:hAnsi="Arial" w:cs="Arial"/>
              <w:b/>
              <w:bCs/>
              <w:color w:val="auto"/>
            </w:rPr>
          </w:pPr>
          <w:r w:rsidRPr="003220D9">
            <w:rPr>
              <w:rFonts w:ascii="Arial" w:hAnsi="Arial" w:cs="Arial"/>
              <w:b/>
              <w:bCs/>
              <w:color w:val="auto"/>
            </w:rPr>
            <w:t>Table of Contents</w:t>
          </w:r>
        </w:p>
        <w:p w14:paraId="10163D33" w14:textId="1A292159" w:rsidR="0092498D" w:rsidRPr="003220D9" w:rsidRDefault="006456D9" w:rsidP="00FD668D">
          <w:pPr>
            <w:pStyle w:val="TOC1"/>
            <w:tabs>
              <w:tab w:val="right" w:leader="dot" w:pos="9016"/>
            </w:tabs>
            <w:spacing w:after="0" w:line="360" w:lineRule="auto"/>
            <w:rPr>
              <w:rFonts w:ascii="Arial" w:eastAsiaTheme="minorEastAsia" w:hAnsi="Arial" w:cs="Arial"/>
              <w:noProof/>
              <w:kern w:val="2"/>
              <w:szCs w:val="24"/>
              <w:lang w:eastAsia="en-GB"/>
              <w14:ligatures w14:val="standardContextual"/>
            </w:rPr>
          </w:pPr>
          <w:r w:rsidRPr="003220D9">
            <w:rPr>
              <w:rFonts w:ascii="Arial" w:hAnsi="Arial" w:cs="Arial"/>
            </w:rPr>
            <w:fldChar w:fldCharType="begin"/>
          </w:r>
          <w:r w:rsidRPr="003220D9">
            <w:rPr>
              <w:rFonts w:ascii="Arial" w:hAnsi="Arial" w:cs="Arial"/>
            </w:rPr>
            <w:instrText xml:space="preserve"> TOC \o "1-3" \h \z \u </w:instrText>
          </w:r>
          <w:r w:rsidRPr="003220D9">
            <w:rPr>
              <w:rFonts w:ascii="Arial" w:hAnsi="Arial" w:cs="Arial"/>
            </w:rPr>
            <w:fldChar w:fldCharType="separate"/>
          </w:r>
          <w:hyperlink w:anchor="_Toc235793703" w:history="1">
            <w:r w:rsidR="0092498D" w:rsidRPr="003220D9">
              <w:rPr>
                <w:rStyle w:val="Hyperlink"/>
                <w:rFonts w:ascii="Arial" w:hAnsi="Arial" w:cs="Arial"/>
                <w:noProof/>
              </w:rPr>
              <w:t>1. Introduction</w:t>
            </w:r>
            <w:r w:rsidR="0092498D" w:rsidRPr="003220D9">
              <w:rPr>
                <w:rFonts w:ascii="Arial" w:hAnsi="Arial" w:cs="Arial"/>
                <w:noProof/>
                <w:webHidden/>
              </w:rPr>
              <w:tab/>
            </w:r>
            <w:r w:rsidR="0092498D" w:rsidRPr="003220D9">
              <w:rPr>
                <w:rFonts w:ascii="Arial" w:hAnsi="Arial" w:cs="Arial"/>
                <w:noProof/>
                <w:webHidden/>
              </w:rPr>
              <w:fldChar w:fldCharType="begin"/>
            </w:r>
            <w:r w:rsidR="0092498D" w:rsidRPr="003220D9">
              <w:rPr>
                <w:rFonts w:ascii="Arial" w:hAnsi="Arial" w:cs="Arial"/>
                <w:noProof/>
                <w:webHidden/>
              </w:rPr>
              <w:instrText xml:space="preserve"> PAGEREF _Toc235793703 \h </w:instrText>
            </w:r>
            <w:r w:rsidR="0092498D" w:rsidRPr="003220D9">
              <w:rPr>
                <w:rFonts w:ascii="Arial" w:hAnsi="Arial" w:cs="Arial"/>
                <w:noProof/>
                <w:webHidden/>
              </w:rPr>
            </w:r>
            <w:r w:rsidR="0092498D" w:rsidRPr="003220D9">
              <w:rPr>
                <w:rFonts w:ascii="Arial" w:hAnsi="Arial" w:cs="Arial"/>
                <w:noProof/>
                <w:webHidden/>
              </w:rPr>
              <w:fldChar w:fldCharType="separate"/>
            </w:r>
            <w:r w:rsidR="0092498D" w:rsidRPr="003220D9">
              <w:rPr>
                <w:rFonts w:ascii="Arial" w:hAnsi="Arial" w:cs="Arial"/>
                <w:noProof/>
                <w:webHidden/>
              </w:rPr>
              <w:t>3</w:t>
            </w:r>
            <w:r w:rsidR="0092498D" w:rsidRPr="003220D9">
              <w:rPr>
                <w:rFonts w:ascii="Arial" w:hAnsi="Arial" w:cs="Arial"/>
                <w:noProof/>
                <w:webHidden/>
              </w:rPr>
              <w:fldChar w:fldCharType="end"/>
            </w:r>
          </w:hyperlink>
        </w:p>
        <w:p w14:paraId="40367444" w14:textId="586DFB8F" w:rsidR="0092498D" w:rsidRPr="003220D9" w:rsidRDefault="0092498D" w:rsidP="00FD668D">
          <w:pPr>
            <w:pStyle w:val="TOC1"/>
            <w:tabs>
              <w:tab w:val="right" w:leader="dot" w:pos="9016"/>
            </w:tabs>
            <w:spacing w:after="0" w:line="360" w:lineRule="auto"/>
            <w:rPr>
              <w:rFonts w:ascii="Arial" w:eastAsiaTheme="minorEastAsia" w:hAnsi="Arial" w:cs="Arial"/>
              <w:noProof/>
              <w:kern w:val="2"/>
              <w:szCs w:val="24"/>
              <w:lang w:eastAsia="en-GB"/>
              <w14:ligatures w14:val="standardContextual"/>
            </w:rPr>
          </w:pPr>
          <w:hyperlink w:anchor="_Toc235793704" w:history="1">
            <w:r w:rsidRPr="003220D9">
              <w:rPr>
                <w:rStyle w:val="Hyperlink"/>
                <w:rFonts w:ascii="Arial" w:hAnsi="Arial" w:cs="Arial"/>
                <w:noProof/>
              </w:rPr>
              <w:t>2. Importance of effective communication</w:t>
            </w:r>
            <w:r w:rsidRPr="003220D9">
              <w:rPr>
                <w:rFonts w:ascii="Arial" w:hAnsi="Arial" w:cs="Arial"/>
                <w:noProof/>
                <w:webHidden/>
              </w:rPr>
              <w:tab/>
            </w:r>
            <w:r w:rsidRPr="003220D9">
              <w:rPr>
                <w:rFonts w:ascii="Arial" w:hAnsi="Arial" w:cs="Arial"/>
                <w:noProof/>
                <w:webHidden/>
              </w:rPr>
              <w:fldChar w:fldCharType="begin"/>
            </w:r>
            <w:r w:rsidRPr="003220D9">
              <w:rPr>
                <w:rFonts w:ascii="Arial" w:hAnsi="Arial" w:cs="Arial"/>
                <w:noProof/>
                <w:webHidden/>
              </w:rPr>
              <w:instrText xml:space="preserve"> PAGEREF _Toc235793704 \h </w:instrText>
            </w:r>
            <w:r w:rsidRPr="003220D9">
              <w:rPr>
                <w:rFonts w:ascii="Arial" w:hAnsi="Arial" w:cs="Arial"/>
                <w:noProof/>
                <w:webHidden/>
              </w:rPr>
            </w:r>
            <w:r w:rsidRPr="003220D9">
              <w:rPr>
                <w:rFonts w:ascii="Arial" w:hAnsi="Arial" w:cs="Arial"/>
                <w:noProof/>
                <w:webHidden/>
              </w:rPr>
              <w:fldChar w:fldCharType="separate"/>
            </w:r>
            <w:r w:rsidRPr="003220D9">
              <w:rPr>
                <w:rFonts w:ascii="Arial" w:hAnsi="Arial" w:cs="Arial"/>
                <w:noProof/>
                <w:webHidden/>
              </w:rPr>
              <w:t>3</w:t>
            </w:r>
            <w:r w:rsidRPr="003220D9">
              <w:rPr>
                <w:rFonts w:ascii="Arial" w:hAnsi="Arial" w:cs="Arial"/>
                <w:noProof/>
                <w:webHidden/>
              </w:rPr>
              <w:fldChar w:fldCharType="end"/>
            </w:r>
          </w:hyperlink>
        </w:p>
        <w:p w14:paraId="04172B06" w14:textId="7447A43D" w:rsidR="0092498D" w:rsidRPr="003220D9" w:rsidRDefault="0092498D" w:rsidP="00FD668D">
          <w:pPr>
            <w:pStyle w:val="TOC2"/>
            <w:tabs>
              <w:tab w:val="right" w:leader="dot" w:pos="9016"/>
            </w:tabs>
            <w:spacing w:after="0" w:line="360" w:lineRule="auto"/>
            <w:rPr>
              <w:rFonts w:ascii="Arial" w:eastAsiaTheme="minorEastAsia" w:hAnsi="Arial" w:cs="Arial"/>
              <w:noProof/>
              <w:kern w:val="2"/>
              <w:szCs w:val="24"/>
              <w:lang w:eastAsia="en-GB"/>
              <w14:ligatures w14:val="standardContextual"/>
            </w:rPr>
          </w:pPr>
          <w:hyperlink w:anchor="_Toc235793705" w:history="1">
            <w:r w:rsidRPr="003220D9">
              <w:rPr>
                <w:rStyle w:val="Hyperlink"/>
                <w:rFonts w:ascii="Arial" w:hAnsi="Arial" w:cs="Arial"/>
                <w:noProof/>
              </w:rPr>
              <w:t>Application of the model in Mrs Thompson's case</w:t>
            </w:r>
            <w:r w:rsidRPr="003220D9">
              <w:rPr>
                <w:rFonts w:ascii="Arial" w:hAnsi="Arial" w:cs="Arial"/>
                <w:noProof/>
                <w:webHidden/>
              </w:rPr>
              <w:tab/>
            </w:r>
            <w:r w:rsidRPr="003220D9">
              <w:rPr>
                <w:rFonts w:ascii="Arial" w:hAnsi="Arial" w:cs="Arial"/>
                <w:noProof/>
                <w:webHidden/>
              </w:rPr>
              <w:fldChar w:fldCharType="begin"/>
            </w:r>
            <w:r w:rsidRPr="003220D9">
              <w:rPr>
                <w:rFonts w:ascii="Arial" w:hAnsi="Arial" w:cs="Arial"/>
                <w:noProof/>
                <w:webHidden/>
              </w:rPr>
              <w:instrText xml:space="preserve"> PAGEREF _Toc235793705 \h </w:instrText>
            </w:r>
            <w:r w:rsidRPr="003220D9">
              <w:rPr>
                <w:rFonts w:ascii="Arial" w:hAnsi="Arial" w:cs="Arial"/>
                <w:noProof/>
                <w:webHidden/>
              </w:rPr>
            </w:r>
            <w:r w:rsidRPr="003220D9">
              <w:rPr>
                <w:rFonts w:ascii="Arial" w:hAnsi="Arial" w:cs="Arial"/>
                <w:noProof/>
                <w:webHidden/>
              </w:rPr>
              <w:fldChar w:fldCharType="separate"/>
            </w:r>
            <w:r w:rsidRPr="003220D9">
              <w:rPr>
                <w:rFonts w:ascii="Arial" w:hAnsi="Arial" w:cs="Arial"/>
                <w:noProof/>
                <w:webHidden/>
              </w:rPr>
              <w:t>4</w:t>
            </w:r>
            <w:r w:rsidRPr="003220D9">
              <w:rPr>
                <w:rFonts w:ascii="Arial" w:hAnsi="Arial" w:cs="Arial"/>
                <w:noProof/>
                <w:webHidden/>
              </w:rPr>
              <w:fldChar w:fldCharType="end"/>
            </w:r>
          </w:hyperlink>
        </w:p>
        <w:p w14:paraId="07DA4240" w14:textId="47F417FB" w:rsidR="0092498D" w:rsidRPr="003220D9" w:rsidRDefault="0092498D" w:rsidP="00FD668D">
          <w:pPr>
            <w:pStyle w:val="TOC1"/>
            <w:tabs>
              <w:tab w:val="right" w:leader="dot" w:pos="9016"/>
            </w:tabs>
            <w:spacing w:after="0" w:line="360" w:lineRule="auto"/>
            <w:rPr>
              <w:rFonts w:ascii="Arial" w:eastAsiaTheme="minorEastAsia" w:hAnsi="Arial" w:cs="Arial"/>
              <w:noProof/>
              <w:kern w:val="2"/>
              <w:szCs w:val="24"/>
              <w:lang w:eastAsia="en-GB"/>
              <w14:ligatures w14:val="standardContextual"/>
            </w:rPr>
          </w:pPr>
          <w:hyperlink w:anchor="_Toc235793706" w:history="1">
            <w:r w:rsidRPr="003220D9">
              <w:rPr>
                <w:rStyle w:val="Hyperlink"/>
                <w:rFonts w:ascii="Arial" w:hAnsi="Arial" w:cs="Arial"/>
                <w:noProof/>
              </w:rPr>
              <w:t>3. Importance of good administrative skills</w:t>
            </w:r>
            <w:r w:rsidRPr="003220D9">
              <w:rPr>
                <w:rFonts w:ascii="Arial" w:hAnsi="Arial" w:cs="Arial"/>
                <w:noProof/>
                <w:webHidden/>
              </w:rPr>
              <w:tab/>
            </w:r>
            <w:r w:rsidRPr="003220D9">
              <w:rPr>
                <w:rFonts w:ascii="Arial" w:hAnsi="Arial" w:cs="Arial"/>
                <w:noProof/>
                <w:webHidden/>
              </w:rPr>
              <w:fldChar w:fldCharType="begin"/>
            </w:r>
            <w:r w:rsidRPr="003220D9">
              <w:rPr>
                <w:rFonts w:ascii="Arial" w:hAnsi="Arial" w:cs="Arial"/>
                <w:noProof/>
                <w:webHidden/>
              </w:rPr>
              <w:instrText xml:space="preserve"> PAGEREF _Toc235793706 \h </w:instrText>
            </w:r>
            <w:r w:rsidRPr="003220D9">
              <w:rPr>
                <w:rFonts w:ascii="Arial" w:hAnsi="Arial" w:cs="Arial"/>
                <w:noProof/>
                <w:webHidden/>
              </w:rPr>
            </w:r>
            <w:r w:rsidRPr="003220D9">
              <w:rPr>
                <w:rFonts w:ascii="Arial" w:hAnsi="Arial" w:cs="Arial"/>
                <w:noProof/>
                <w:webHidden/>
              </w:rPr>
              <w:fldChar w:fldCharType="separate"/>
            </w:r>
            <w:r w:rsidRPr="003220D9">
              <w:rPr>
                <w:rFonts w:ascii="Arial" w:hAnsi="Arial" w:cs="Arial"/>
                <w:noProof/>
                <w:webHidden/>
              </w:rPr>
              <w:t>5</w:t>
            </w:r>
            <w:r w:rsidRPr="003220D9">
              <w:rPr>
                <w:rFonts w:ascii="Arial" w:hAnsi="Arial" w:cs="Arial"/>
                <w:noProof/>
                <w:webHidden/>
              </w:rPr>
              <w:fldChar w:fldCharType="end"/>
            </w:r>
          </w:hyperlink>
        </w:p>
        <w:p w14:paraId="5B2C4626" w14:textId="5601899C" w:rsidR="0092498D" w:rsidRPr="003220D9" w:rsidRDefault="0092498D" w:rsidP="00FD668D">
          <w:pPr>
            <w:pStyle w:val="TOC2"/>
            <w:tabs>
              <w:tab w:val="right" w:leader="dot" w:pos="9016"/>
            </w:tabs>
            <w:spacing w:after="0" w:line="360" w:lineRule="auto"/>
            <w:rPr>
              <w:rFonts w:ascii="Arial" w:eastAsiaTheme="minorEastAsia" w:hAnsi="Arial" w:cs="Arial"/>
              <w:noProof/>
              <w:kern w:val="2"/>
              <w:szCs w:val="24"/>
              <w:lang w:eastAsia="en-GB"/>
              <w14:ligatures w14:val="standardContextual"/>
            </w:rPr>
          </w:pPr>
          <w:hyperlink w:anchor="_Toc235793707" w:history="1">
            <w:r w:rsidRPr="003220D9">
              <w:rPr>
                <w:rStyle w:val="Hyperlink"/>
                <w:rFonts w:ascii="Arial" w:hAnsi="Arial" w:cs="Arial"/>
                <w:noProof/>
              </w:rPr>
              <w:t>Record-Keeping and Principles of the Data Protection Act 2018</w:t>
            </w:r>
            <w:r w:rsidRPr="003220D9">
              <w:rPr>
                <w:rFonts w:ascii="Arial" w:hAnsi="Arial" w:cs="Arial"/>
                <w:noProof/>
                <w:webHidden/>
              </w:rPr>
              <w:tab/>
            </w:r>
            <w:r w:rsidRPr="003220D9">
              <w:rPr>
                <w:rFonts w:ascii="Arial" w:hAnsi="Arial" w:cs="Arial"/>
                <w:noProof/>
                <w:webHidden/>
              </w:rPr>
              <w:fldChar w:fldCharType="begin"/>
            </w:r>
            <w:r w:rsidRPr="003220D9">
              <w:rPr>
                <w:rFonts w:ascii="Arial" w:hAnsi="Arial" w:cs="Arial"/>
                <w:noProof/>
                <w:webHidden/>
              </w:rPr>
              <w:instrText xml:space="preserve"> PAGEREF _Toc235793707 \h </w:instrText>
            </w:r>
            <w:r w:rsidRPr="003220D9">
              <w:rPr>
                <w:rFonts w:ascii="Arial" w:hAnsi="Arial" w:cs="Arial"/>
                <w:noProof/>
                <w:webHidden/>
              </w:rPr>
            </w:r>
            <w:r w:rsidRPr="003220D9">
              <w:rPr>
                <w:rFonts w:ascii="Arial" w:hAnsi="Arial" w:cs="Arial"/>
                <w:noProof/>
                <w:webHidden/>
              </w:rPr>
              <w:fldChar w:fldCharType="separate"/>
            </w:r>
            <w:r w:rsidRPr="003220D9">
              <w:rPr>
                <w:rFonts w:ascii="Arial" w:hAnsi="Arial" w:cs="Arial"/>
                <w:noProof/>
                <w:webHidden/>
              </w:rPr>
              <w:t>5</w:t>
            </w:r>
            <w:r w:rsidRPr="003220D9">
              <w:rPr>
                <w:rFonts w:ascii="Arial" w:hAnsi="Arial" w:cs="Arial"/>
                <w:noProof/>
                <w:webHidden/>
              </w:rPr>
              <w:fldChar w:fldCharType="end"/>
            </w:r>
          </w:hyperlink>
        </w:p>
        <w:p w14:paraId="4C8C02C9" w14:textId="3AC2F94B" w:rsidR="0092498D" w:rsidRPr="003220D9" w:rsidRDefault="0092498D" w:rsidP="00FD668D">
          <w:pPr>
            <w:pStyle w:val="TOC1"/>
            <w:tabs>
              <w:tab w:val="right" w:leader="dot" w:pos="9016"/>
            </w:tabs>
            <w:spacing w:after="0" w:line="360" w:lineRule="auto"/>
            <w:rPr>
              <w:rFonts w:ascii="Arial" w:eastAsiaTheme="minorEastAsia" w:hAnsi="Arial" w:cs="Arial"/>
              <w:noProof/>
              <w:kern w:val="2"/>
              <w:szCs w:val="24"/>
              <w:lang w:eastAsia="en-GB"/>
              <w14:ligatures w14:val="standardContextual"/>
            </w:rPr>
          </w:pPr>
          <w:hyperlink w:anchor="_Toc235793708" w:history="1">
            <w:r w:rsidRPr="003220D9">
              <w:rPr>
                <w:rStyle w:val="Hyperlink"/>
                <w:rFonts w:ascii="Arial" w:hAnsi="Arial" w:cs="Arial"/>
                <w:noProof/>
              </w:rPr>
              <w:t>4. Importance of working collaboratively</w:t>
            </w:r>
            <w:r w:rsidRPr="003220D9">
              <w:rPr>
                <w:rFonts w:ascii="Arial" w:hAnsi="Arial" w:cs="Arial"/>
                <w:noProof/>
                <w:webHidden/>
              </w:rPr>
              <w:tab/>
            </w:r>
            <w:r w:rsidRPr="003220D9">
              <w:rPr>
                <w:rFonts w:ascii="Arial" w:hAnsi="Arial" w:cs="Arial"/>
                <w:noProof/>
                <w:webHidden/>
              </w:rPr>
              <w:fldChar w:fldCharType="begin"/>
            </w:r>
            <w:r w:rsidRPr="003220D9">
              <w:rPr>
                <w:rFonts w:ascii="Arial" w:hAnsi="Arial" w:cs="Arial"/>
                <w:noProof/>
                <w:webHidden/>
              </w:rPr>
              <w:instrText xml:space="preserve"> PAGEREF _Toc235793708 \h </w:instrText>
            </w:r>
            <w:r w:rsidRPr="003220D9">
              <w:rPr>
                <w:rFonts w:ascii="Arial" w:hAnsi="Arial" w:cs="Arial"/>
                <w:noProof/>
                <w:webHidden/>
              </w:rPr>
            </w:r>
            <w:r w:rsidRPr="003220D9">
              <w:rPr>
                <w:rFonts w:ascii="Arial" w:hAnsi="Arial" w:cs="Arial"/>
                <w:noProof/>
                <w:webHidden/>
              </w:rPr>
              <w:fldChar w:fldCharType="separate"/>
            </w:r>
            <w:r w:rsidRPr="003220D9">
              <w:rPr>
                <w:rFonts w:ascii="Arial" w:hAnsi="Arial" w:cs="Arial"/>
                <w:noProof/>
                <w:webHidden/>
              </w:rPr>
              <w:t>6</w:t>
            </w:r>
            <w:r w:rsidRPr="003220D9">
              <w:rPr>
                <w:rFonts w:ascii="Arial" w:hAnsi="Arial" w:cs="Arial"/>
                <w:noProof/>
                <w:webHidden/>
              </w:rPr>
              <w:fldChar w:fldCharType="end"/>
            </w:r>
          </w:hyperlink>
        </w:p>
        <w:p w14:paraId="3253B0D6" w14:textId="61B7BE94" w:rsidR="0092498D" w:rsidRPr="003220D9" w:rsidRDefault="0092498D" w:rsidP="00FD668D">
          <w:pPr>
            <w:pStyle w:val="TOC1"/>
            <w:tabs>
              <w:tab w:val="right" w:leader="dot" w:pos="9016"/>
            </w:tabs>
            <w:spacing w:after="0" w:line="360" w:lineRule="auto"/>
            <w:rPr>
              <w:rFonts w:ascii="Arial" w:eastAsiaTheme="minorEastAsia" w:hAnsi="Arial" w:cs="Arial"/>
              <w:noProof/>
              <w:kern w:val="2"/>
              <w:szCs w:val="24"/>
              <w:lang w:eastAsia="en-GB"/>
              <w14:ligatures w14:val="standardContextual"/>
            </w:rPr>
          </w:pPr>
          <w:hyperlink w:anchor="_Toc235793709" w:history="1">
            <w:r w:rsidRPr="003220D9">
              <w:rPr>
                <w:rStyle w:val="Hyperlink"/>
                <w:rFonts w:ascii="Arial" w:hAnsi="Arial" w:cs="Arial"/>
                <w:noProof/>
              </w:rPr>
              <w:t>5. Conclusion</w:t>
            </w:r>
            <w:r w:rsidRPr="003220D9">
              <w:rPr>
                <w:rFonts w:ascii="Arial" w:hAnsi="Arial" w:cs="Arial"/>
                <w:noProof/>
                <w:webHidden/>
              </w:rPr>
              <w:tab/>
            </w:r>
            <w:r w:rsidRPr="003220D9">
              <w:rPr>
                <w:rFonts w:ascii="Arial" w:hAnsi="Arial" w:cs="Arial"/>
                <w:noProof/>
                <w:webHidden/>
              </w:rPr>
              <w:fldChar w:fldCharType="begin"/>
            </w:r>
            <w:r w:rsidRPr="003220D9">
              <w:rPr>
                <w:rFonts w:ascii="Arial" w:hAnsi="Arial" w:cs="Arial"/>
                <w:noProof/>
                <w:webHidden/>
              </w:rPr>
              <w:instrText xml:space="preserve"> PAGEREF _Toc235793709 \h </w:instrText>
            </w:r>
            <w:r w:rsidRPr="003220D9">
              <w:rPr>
                <w:rFonts w:ascii="Arial" w:hAnsi="Arial" w:cs="Arial"/>
                <w:noProof/>
                <w:webHidden/>
              </w:rPr>
            </w:r>
            <w:r w:rsidRPr="003220D9">
              <w:rPr>
                <w:rFonts w:ascii="Arial" w:hAnsi="Arial" w:cs="Arial"/>
                <w:noProof/>
                <w:webHidden/>
              </w:rPr>
              <w:fldChar w:fldCharType="separate"/>
            </w:r>
            <w:r w:rsidRPr="003220D9">
              <w:rPr>
                <w:rFonts w:ascii="Arial" w:hAnsi="Arial" w:cs="Arial"/>
                <w:noProof/>
                <w:webHidden/>
              </w:rPr>
              <w:t>7</w:t>
            </w:r>
            <w:r w:rsidRPr="003220D9">
              <w:rPr>
                <w:rFonts w:ascii="Arial" w:hAnsi="Arial" w:cs="Arial"/>
                <w:noProof/>
                <w:webHidden/>
              </w:rPr>
              <w:fldChar w:fldCharType="end"/>
            </w:r>
          </w:hyperlink>
        </w:p>
        <w:p w14:paraId="4FB3D716" w14:textId="4CD94053" w:rsidR="0092498D" w:rsidRPr="003220D9" w:rsidRDefault="0092498D" w:rsidP="00FD668D">
          <w:pPr>
            <w:pStyle w:val="TOC1"/>
            <w:tabs>
              <w:tab w:val="right" w:leader="dot" w:pos="9016"/>
            </w:tabs>
            <w:spacing w:after="0" w:line="360" w:lineRule="auto"/>
            <w:rPr>
              <w:rFonts w:ascii="Arial" w:eastAsiaTheme="minorEastAsia" w:hAnsi="Arial" w:cs="Arial"/>
              <w:noProof/>
              <w:kern w:val="2"/>
              <w:szCs w:val="24"/>
              <w:lang w:eastAsia="en-GB"/>
              <w14:ligatures w14:val="standardContextual"/>
            </w:rPr>
          </w:pPr>
          <w:hyperlink w:anchor="_Toc235793710" w:history="1">
            <w:r w:rsidRPr="003220D9">
              <w:rPr>
                <w:rStyle w:val="Hyperlink"/>
                <w:rFonts w:ascii="Arial" w:hAnsi="Arial" w:cs="Arial"/>
                <w:noProof/>
              </w:rPr>
              <w:t>References</w:t>
            </w:r>
            <w:r w:rsidRPr="003220D9">
              <w:rPr>
                <w:rFonts w:ascii="Arial" w:hAnsi="Arial" w:cs="Arial"/>
                <w:noProof/>
                <w:webHidden/>
              </w:rPr>
              <w:tab/>
            </w:r>
            <w:r w:rsidRPr="003220D9">
              <w:rPr>
                <w:rFonts w:ascii="Arial" w:hAnsi="Arial" w:cs="Arial"/>
                <w:noProof/>
                <w:webHidden/>
              </w:rPr>
              <w:fldChar w:fldCharType="begin"/>
            </w:r>
            <w:r w:rsidRPr="003220D9">
              <w:rPr>
                <w:rFonts w:ascii="Arial" w:hAnsi="Arial" w:cs="Arial"/>
                <w:noProof/>
                <w:webHidden/>
              </w:rPr>
              <w:instrText xml:space="preserve"> PAGEREF _Toc235793710 \h </w:instrText>
            </w:r>
            <w:r w:rsidRPr="003220D9">
              <w:rPr>
                <w:rFonts w:ascii="Arial" w:hAnsi="Arial" w:cs="Arial"/>
                <w:noProof/>
                <w:webHidden/>
              </w:rPr>
            </w:r>
            <w:r w:rsidRPr="003220D9">
              <w:rPr>
                <w:rFonts w:ascii="Arial" w:hAnsi="Arial" w:cs="Arial"/>
                <w:noProof/>
                <w:webHidden/>
              </w:rPr>
              <w:fldChar w:fldCharType="separate"/>
            </w:r>
            <w:r w:rsidRPr="003220D9">
              <w:rPr>
                <w:rFonts w:ascii="Arial" w:hAnsi="Arial" w:cs="Arial"/>
                <w:noProof/>
                <w:webHidden/>
              </w:rPr>
              <w:t>8</w:t>
            </w:r>
            <w:r w:rsidRPr="003220D9">
              <w:rPr>
                <w:rFonts w:ascii="Arial" w:hAnsi="Arial" w:cs="Arial"/>
                <w:noProof/>
                <w:webHidden/>
              </w:rPr>
              <w:fldChar w:fldCharType="end"/>
            </w:r>
          </w:hyperlink>
        </w:p>
        <w:p w14:paraId="2CAAA1AC" w14:textId="414F3C8F" w:rsidR="006456D9" w:rsidRDefault="006456D9" w:rsidP="00FD668D">
          <w:pPr>
            <w:spacing w:after="0" w:line="360" w:lineRule="auto"/>
          </w:pPr>
          <w:r w:rsidRPr="003220D9">
            <w:rPr>
              <w:rFonts w:ascii="Arial" w:hAnsi="Arial" w:cs="Arial"/>
              <w:b/>
              <w:bCs/>
              <w:noProof/>
            </w:rPr>
            <w:fldChar w:fldCharType="end"/>
          </w:r>
        </w:p>
      </w:sdtContent>
    </w:sdt>
    <w:p w14:paraId="13E00080" w14:textId="137FF22A" w:rsidR="00B87E75" w:rsidRPr="00C06257" w:rsidRDefault="00B87E75" w:rsidP="00FD668D">
      <w:pPr>
        <w:spacing w:after="0" w:line="360" w:lineRule="auto"/>
        <w:jc w:val="both"/>
        <w:rPr>
          <w:rFonts w:ascii="Arial" w:hAnsi="Arial" w:cs="Arial"/>
          <w:sz w:val="22"/>
        </w:rPr>
      </w:pPr>
    </w:p>
    <w:p w14:paraId="2E79F7ED" w14:textId="182913C0" w:rsidR="00B87E75" w:rsidRPr="00C06257" w:rsidRDefault="00B87E75" w:rsidP="00FD668D">
      <w:pPr>
        <w:spacing w:after="0" w:line="360" w:lineRule="auto"/>
        <w:jc w:val="both"/>
        <w:rPr>
          <w:rFonts w:ascii="Arial" w:hAnsi="Arial" w:cs="Arial"/>
          <w:sz w:val="22"/>
        </w:rPr>
      </w:pPr>
    </w:p>
    <w:p w14:paraId="7AE771D5" w14:textId="1C06E45A" w:rsidR="00B87E75" w:rsidRPr="00C06257" w:rsidRDefault="00B87E75" w:rsidP="00FD668D">
      <w:pPr>
        <w:spacing w:after="0" w:line="360" w:lineRule="auto"/>
        <w:jc w:val="both"/>
        <w:rPr>
          <w:rFonts w:ascii="Arial" w:hAnsi="Arial" w:cs="Arial"/>
          <w:sz w:val="22"/>
        </w:rPr>
      </w:pPr>
    </w:p>
    <w:p w14:paraId="4F7320CB" w14:textId="000D21B8" w:rsidR="00B87E75" w:rsidRPr="00C06257" w:rsidRDefault="00B87E75" w:rsidP="00FD668D">
      <w:pPr>
        <w:spacing w:after="0" w:line="360" w:lineRule="auto"/>
        <w:jc w:val="both"/>
        <w:rPr>
          <w:rFonts w:ascii="Arial" w:hAnsi="Arial" w:cs="Arial"/>
          <w:sz w:val="22"/>
        </w:rPr>
      </w:pPr>
      <w:r w:rsidRPr="00C06257">
        <w:rPr>
          <w:rFonts w:ascii="Arial" w:hAnsi="Arial" w:cs="Arial"/>
          <w:sz w:val="22"/>
        </w:rPr>
        <w:br w:type="page"/>
      </w:r>
    </w:p>
    <w:p w14:paraId="12D76753" w14:textId="393172FB" w:rsidR="00B87E75" w:rsidRDefault="00B87E75" w:rsidP="00FD668D">
      <w:pPr>
        <w:pStyle w:val="Heading1"/>
        <w:spacing w:before="0"/>
      </w:pPr>
      <w:bookmarkStart w:id="0" w:name="_Toc235793703"/>
      <w:r w:rsidRPr="00C06257">
        <w:lastRenderedPageBreak/>
        <w:t>1. Introduction</w:t>
      </w:r>
      <w:bookmarkEnd w:id="0"/>
    </w:p>
    <w:p w14:paraId="68C53673" w14:textId="37DA9F9F" w:rsidR="008E3943" w:rsidRPr="00C06257" w:rsidRDefault="007C221A" w:rsidP="00FD668D">
      <w:pPr>
        <w:spacing w:after="0" w:line="360" w:lineRule="auto"/>
        <w:jc w:val="both"/>
        <w:rPr>
          <w:rFonts w:ascii="Arial" w:hAnsi="Arial" w:cs="Arial"/>
          <w:sz w:val="22"/>
        </w:rPr>
      </w:pPr>
      <w:r w:rsidRPr="007C221A">
        <w:rPr>
          <w:rFonts w:ascii="Arial" w:hAnsi="Arial" w:cs="Arial"/>
          <w:sz w:val="22"/>
        </w:rPr>
        <w:t>Mrs Thompson, aged 84, who was living independently in sheltered housing, was recently released from hospital after a bout of pneumonia. She has mild dementia</w:t>
      </w:r>
      <w:r>
        <w:rPr>
          <w:rFonts w:ascii="Arial" w:hAnsi="Arial" w:cs="Arial"/>
          <w:sz w:val="22"/>
        </w:rPr>
        <w:t xml:space="preserve"> and receives twice-daily</w:t>
      </w:r>
      <w:r w:rsidRPr="007C221A">
        <w:rPr>
          <w:rFonts w:ascii="Arial" w:hAnsi="Arial" w:cs="Arial"/>
          <w:sz w:val="22"/>
        </w:rPr>
        <w:t xml:space="preserve"> domiciliary care, leading to sometimes non-adherence to her medication and being found outdoors in the cold dressed as if for warm weather. These events will highlight issues relating to care, which will be reviewed by the local council, and there will be a medication review (Department of Health and Social Care, 2024). This report looks at three areas of her care that were effective: effective communication, good administrative skills (record-keeping), and working well with other agencies. It reflects UK health and social care principles, legislation (Equality Act 2010, the Data Protection Act 2018) and models, in relation to supporting person-centred care. The analysis can be directly connected to Mrs Thompson's case to demonstrate its application. Health and social care practitioners’ function in a complex system of services that include hospital and primary or community-based services, and need to work with service users and their families from a variety of disciplines (Glasby, 2017). </w:t>
      </w:r>
    </w:p>
    <w:p w14:paraId="52010A5E" w14:textId="77777777" w:rsidR="0026393A" w:rsidRPr="00C06257" w:rsidRDefault="0026393A" w:rsidP="00FD668D">
      <w:pPr>
        <w:spacing w:after="0" w:line="360" w:lineRule="auto"/>
        <w:jc w:val="both"/>
        <w:rPr>
          <w:rFonts w:ascii="Arial" w:hAnsi="Arial" w:cs="Arial"/>
          <w:sz w:val="22"/>
        </w:rPr>
      </w:pPr>
    </w:p>
    <w:p w14:paraId="73B07562" w14:textId="0E99FAFE" w:rsidR="008E3943" w:rsidRPr="00C06257" w:rsidRDefault="0026393A" w:rsidP="00FD668D">
      <w:pPr>
        <w:pStyle w:val="Heading1"/>
        <w:spacing w:before="0"/>
      </w:pPr>
      <w:bookmarkStart w:id="1" w:name="_Toc235793704"/>
      <w:r w:rsidRPr="00C06257">
        <w:t xml:space="preserve">2. </w:t>
      </w:r>
      <w:r w:rsidR="008E3943" w:rsidRPr="00C06257">
        <w:t>Importance of effective communication</w:t>
      </w:r>
      <w:bookmarkEnd w:id="1"/>
    </w:p>
    <w:p w14:paraId="39F185FE" w14:textId="77777777" w:rsidR="007C221A" w:rsidRPr="007C221A" w:rsidRDefault="007C221A" w:rsidP="00FD668D">
      <w:pPr>
        <w:spacing w:after="0" w:line="360" w:lineRule="auto"/>
        <w:jc w:val="both"/>
        <w:rPr>
          <w:rFonts w:ascii="Arial" w:eastAsia="Calibri" w:hAnsi="Arial" w:cs="Arial"/>
          <w:sz w:val="22"/>
        </w:rPr>
      </w:pPr>
      <w:r w:rsidRPr="007C221A">
        <w:rPr>
          <w:rFonts w:ascii="Arial" w:eastAsia="Calibri" w:hAnsi="Arial" w:cs="Arial"/>
          <w:sz w:val="22"/>
        </w:rPr>
        <w:t>Health and social care can be very important in communication, especially those in vulnerable circumstances such as Mrs Thompson. It helps to understand and cater for the needs, minimise risks (such as medication administration errors) and foster trust. There were a number of missed medications due to poor communication, and there was evidence of failures in observation and response, such as inadequate exposure of the skin, as in the case of her missing out on her medications (Behrendt et al., 2023).  The Equality Act 2010 and a communication model will be used as the basis for communicating with Service Users and Family Members.</w:t>
      </w:r>
    </w:p>
    <w:p w14:paraId="01AE3F50" w14:textId="336903ED" w:rsidR="007C221A" w:rsidRPr="007C221A" w:rsidRDefault="007C221A" w:rsidP="00FD668D">
      <w:pPr>
        <w:spacing w:after="0" w:line="360" w:lineRule="auto"/>
        <w:jc w:val="both"/>
        <w:rPr>
          <w:rFonts w:ascii="Arial" w:eastAsia="Calibri" w:hAnsi="Arial" w:cs="Arial"/>
          <w:sz w:val="22"/>
        </w:rPr>
      </w:pPr>
      <w:r w:rsidRPr="007C221A">
        <w:rPr>
          <w:rFonts w:ascii="Arial" w:eastAsia="Calibri" w:hAnsi="Arial" w:cs="Arial"/>
          <w:sz w:val="22"/>
        </w:rPr>
        <w:t xml:space="preserve">The Equality Act 2010 </w:t>
      </w:r>
      <w:r w:rsidR="0022568D">
        <w:rPr>
          <w:rFonts w:ascii="Arial" w:eastAsia="Calibri" w:hAnsi="Arial" w:cs="Arial"/>
          <w:sz w:val="22"/>
        </w:rPr>
        <w:t>imposes a duty on public bodies and service providers to eliminate discrimination, advance equality,</w:t>
      </w:r>
      <w:r w:rsidRPr="007C221A">
        <w:rPr>
          <w:rFonts w:ascii="Arial" w:eastAsia="Calibri" w:hAnsi="Arial" w:cs="Arial"/>
          <w:sz w:val="22"/>
        </w:rPr>
        <w:t xml:space="preserve"> and foster good relations (Equality and Human Rights Commission, 2023). The Sender-Message-Channel-Receiver (SMCR) model of Berlo (1960) is one of the most influential theories to explain this practice from Shannon and Weaver's model of communication.  For Mrs Thompson, this could be communication that is appropriately adjusted to her mild dementia, </w:t>
      </w:r>
      <w:r w:rsidR="0022568D">
        <w:rPr>
          <w:rFonts w:ascii="Arial" w:eastAsia="Calibri" w:hAnsi="Arial" w:cs="Arial"/>
          <w:sz w:val="22"/>
        </w:rPr>
        <w:t>using simple language,</w:t>
      </w:r>
      <w:r w:rsidRPr="007C221A">
        <w:rPr>
          <w:rFonts w:ascii="Arial" w:eastAsia="Calibri" w:hAnsi="Arial" w:cs="Arial"/>
          <w:sz w:val="22"/>
        </w:rPr>
        <w:t xml:space="preserve"> providing visual communication, or giving more time. Family involvement should be respectful and involve the family (NHS England, 2025).</w:t>
      </w:r>
    </w:p>
    <w:p w14:paraId="3A1CD156" w14:textId="77777777" w:rsidR="007C221A" w:rsidRPr="007C221A" w:rsidRDefault="007C221A" w:rsidP="00FD668D">
      <w:pPr>
        <w:keepNext/>
        <w:spacing w:after="0" w:line="360" w:lineRule="auto"/>
        <w:jc w:val="center"/>
        <w:rPr>
          <w:rFonts w:eastAsia="Calibri" w:cs="Arial"/>
        </w:rPr>
      </w:pPr>
      <w:r w:rsidRPr="007C221A">
        <w:rPr>
          <w:rFonts w:ascii="Arial" w:eastAsia="Calibri" w:hAnsi="Arial" w:cs="Arial"/>
          <w:noProof/>
          <w:sz w:val="22"/>
        </w:rPr>
        <w:lastRenderedPageBreak/>
        <w:drawing>
          <wp:inline distT="0" distB="0" distL="0" distR="0" wp14:anchorId="3587EA9F" wp14:editId="3A4093E1">
            <wp:extent cx="5305425" cy="2976214"/>
            <wp:effectExtent l="0" t="0" r="0" b="0"/>
            <wp:docPr id="1370286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11999" cy="2979902"/>
                    </a:xfrm>
                    <a:prstGeom prst="rect">
                      <a:avLst/>
                    </a:prstGeom>
                    <a:noFill/>
                  </pic:spPr>
                </pic:pic>
              </a:graphicData>
            </a:graphic>
          </wp:inline>
        </w:drawing>
      </w:r>
    </w:p>
    <w:p w14:paraId="7E979A0B" w14:textId="67F1A65E" w:rsidR="007C221A" w:rsidRPr="007C221A" w:rsidRDefault="007C221A" w:rsidP="00FD668D">
      <w:pPr>
        <w:spacing w:after="0" w:line="360" w:lineRule="auto"/>
        <w:jc w:val="center"/>
        <w:rPr>
          <w:rFonts w:eastAsia="Calibri" w:cs="Arial"/>
          <w:i/>
          <w:iCs/>
          <w:color w:val="44546A"/>
          <w:sz w:val="18"/>
          <w:szCs w:val="18"/>
        </w:rPr>
      </w:pPr>
      <w:r w:rsidRPr="007C221A">
        <w:rPr>
          <w:rFonts w:eastAsia="Calibri" w:cs="Arial"/>
          <w:i/>
          <w:iCs/>
          <w:color w:val="44546A"/>
          <w:sz w:val="18"/>
          <w:szCs w:val="18"/>
        </w:rPr>
        <w:t xml:space="preserve">Figure </w:t>
      </w:r>
      <w:r w:rsidRPr="007C221A">
        <w:rPr>
          <w:rFonts w:eastAsia="Calibri" w:cs="Arial"/>
          <w:i/>
          <w:iCs/>
          <w:color w:val="44546A"/>
          <w:sz w:val="18"/>
          <w:szCs w:val="18"/>
        </w:rPr>
        <w:fldChar w:fldCharType="begin"/>
      </w:r>
      <w:r w:rsidRPr="007C221A">
        <w:rPr>
          <w:rFonts w:eastAsia="Calibri" w:cs="Arial"/>
          <w:i/>
          <w:iCs/>
          <w:color w:val="44546A"/>
          <w:sz w:val="18"/>
          <w:szCs w:val="18"/>
        </w:rPr>
        <w:instrText xml:space="preserve"> SEQ Figure \* ARABIC </w:instrText>
      </w:r>
      <w:r w:rsidRPr="007C221A">
        <w:rPr>
          <w:rFonts w:eastAsia="Calibri" w:cs="Arial"/>
          <w:i/>
          <w:iCs/>
          <w:color w:val="44546A"/>
          <w:sz w:val="18"/>
          <w:szCs w:val="18"/>
        </w:rPr>
        <w:fldChar w:fldCharType="separate"/>
      </w:r>
      <w:r w:rsidR="0022568D">
        <w:rPr>
          <w:rFonts w:eastAsia="Calibri" w:cs="Arial"/>
          <w:i/>
          <w:iCs/>
          <w:noProof/>
          <w:color w:val="44546A"/>
          <w:sz w:val="18"/>
          <w:szCs w:val="18"/>
        </w:rPr>
        <w:t>1</w:t>
      </w:r>
      <w:r w:rsidRPr="007C221A">
        <w:rPr>
          <w:rFonts w:eastAsia="Calibri" w:cs="Arial"/>
          <w:i/>
          <w:iCs/>
          <w:color w:val="44546A"/>
          <w:sz w:val="18"/>
          <w:szCs w:val="18"/>
        </w:rPr>
        <w:fldChar w:fldCharType="end"/>
      </w:r>
      <w:r w:rsidRPr="007C221A">
        <w:rPr>
          <w:rFonts w:eastAsia="Calibri" w:cs="Arial"/>
          <w:i/>
          <w:iCs/>
          <w:color w:val="44546A"/>
          <w:sz w:val="18"/>
          <w:szCs w:val="18"/>
        </w:rPr>
        <w:t xml:space="preserve"> Shannon-Weaver Model</w:t>
      </w:r>
    </w:p>
    <w:p w14:paraId="18FD94FB" w14:textId="51958144" w:rsidR="007C221A" w:rsidRPr="007C221A" w:rsidRDefault="00FD668D" w:rsidP="00FD668D">
      <w:pPr>
        <w:pStyle w:val="Heading2"/>
        <w:spacing w:before="0" w:line="360" w:lineRule="auto"/>
      </w:pPr>
      <w:bookmarkStart w:id="2" w:name="_Toc235614994"/>
      <w:bookmarkStart w:id="3" w:name="_Toc235793705"/>
      <w:r>
        <w:t xml:space="preserve">2.1 </w:t>
      </w:r>
      <w:r w:rsidR="007C221A" w:rsidRPr="007C221A">
        <w:t>Application of the model in Mrs Thompson's case</w:t>
      </w:r>
      <w:bookmarkEnd w:id="2"/>
      <w:bookmarkEnd w:id="3"/>
      <w:r w:rsidR="007C221A" w:rsidRPr="007C221A">
        <w:t xml:space="preserve"> </w:t>
      </w:r>
    </w:p>
    <w:p w14:paraId="00E71BCE" w14:textId="4D8783E5" w:rsidR="0022568D" w:rsidRDefault="007C221A" w:rsidP="00FD668D">
      <w:pPr>
        <w:spacing w:after="0" w:line="360" w:lineRule="auto"/>
        <w:jc w:val="both"/>
        <w:rPr>
          <w:rFonts w:ascii="Arial" w:eastAsia="Calibri" w:hAnsi="Arial" w:cs="Arial"/>
          <w:sz w:val="22"/>
        </w:rPr>
      </w:pPr>
      <w:r w:rsidRPr="007C221A">
        <w:rPr>
          <w:rFonts w:ascii="Arial" w:eastAsia="Calibri" w:hAnsi="Arial" w:cs="Arial"/>
          <w:sz w:val="22"/>
        </w:rPr>
        <w:t xml:space="preserve">When using this communication model in Mrs Thompson's situation, it is essential to have a person-centred approach that considers her personal needs, preferences and cognitive abilities related to dementia. Staff should communicate calmly with words that are simple and clear, make good eye contact, and use paraphrasing as a way to check for understanding and to eliminate confusion. Family members need to be kept informed by regular updates and involved in care planning to ensure continuity of care and trust. </w:t>
      </w:r>
      <w:r w:rsidR="0022568D" w:rsidRPr="007C221A">
        <w:rPr>
          <w:rFonts w:ascii="Arial" w:eastAsia="Calibri" w:hAnsi="Arial" w:cs="Arial"/>
          <w:sz w:val="22"/>
        </w:rPr>
        <w:t>Confirmation is essential and also has to do with feedback loops. In practice, a medication reminder is a simple message, "Take your blue pill now", put into a clear verbal + written note (channel), and asked to be given feedback, "Did you understand?". Repetition or family alerts (Oh and Weaver, 2023) help to reduce noise (dementia forgetfulness).</w:t>
      </w:r>
    </w:p>
    <w:p w14:paraId="336F5447" w14:textId="0A7329A0" w:rsidR="008E3943" w:rsidRDefault="007C221A" w:rsidP="00FD668D">
      <w:pPr>
        <w:spacing w:after="0" w:line="360" w:lineRule="auto"/>
        <w:jc w:val="both"/>
        <w:rPr>
          <w:rFonts w:ascii="Arial" w:eastAsia="Calibri" w:hAnsi="Arial" w:cs="Arial"/>
          <w:sz w:val="22"/>
        </w:rPr>
      </w:pPr>
      <w:r w:rsidRPr="007C221A">
        <w:rPr>
          <w:rFonts w:ascii="Arial" w:eastAsia="Calibri" w:hAnsi="Arial" w:cs="Arial"/>
          <w:sz w:val="22"/>
        </w:rPr>
        <w:t>These practices reflect and promote equality in terms of the Equality Act 2010, in terms of promoting equitable communication, minimising risk of isolation and minimising errors of care. Plus, listening to Mrs Thompson and her family with empathy enhances relationships and safety. It has been found that person centred communication helps improve adherence to care and has a protective effect for people with dementia against incidents (Oh and Weaver, 2023).</w:t>
      </w:r>
      <w:r w:rsidR="004076B4">
        <w:rPr>
          <w:rFonts w:ascii="Arial" w:eastAsia="Calibri" w:hAnsi="Arial" w:cs="Arial"/>
          <w:sz w:val="22"/>
        </w:rPr>
        <w:t xml:space="preserve"> </w:t>
      </w:r>
      <w:r w:rsidR="004076B4" w:rsidRPr="004076B4">
        <w:rPr>
          <w:rFonts w:ascii="Arial" w:eastAsia="Calibri" w:hAnsi="Arial" w:cs="Arial"/>
          <w:sz w:val="22"/>
        </w:rPr>
        <w:t>Berlo (1960) identified four elements to communication: Sender, Message,</w:t>
      </w:r>
      <w:r w:rsidR="004076B4">
        <w:rPr>
          <w:rFonts w:ascii="Arial" w:eastAsia="Calibri" w:hAnsi="Arial" w:cs="Arial"/>
          <w:sz w:val="22"/>
        </w:rPr>
        <w:t xml:space="preserve"> </w:t>
      </w:r>
      <w:r w:rsidR="004076B4" w:rsidRPr="004076B4">
        <w:rPr>
          <w:rFonts w:ascii="Arial" w:eastAsia="Calibri" w:hAnsi="Arial" w:cs="Arial"/>
          <w:sz w:val="22"/>
        </w:rPr>
        <w:t>Channel and Receiver and claimed that all of these elements are influenced by</w:t>
      </w:r>
      <w:r w:rsidR="004076B4">
        <w:rPr>
          <w:rFonts w:ascii="Arial" w:eastAsia="Calibri" w:hAnsi="Arial" w:cs="Arial"/>
          <w:sz w:val="22"/>
        </w:rPr>
        <w:t xml:space="preserve"> </w:t>
      </w:r>
      <w:r w:rsidR="004076B4" w:rsidRPr="004076B4">
        <w:rPr>
          <w:rFonts w:ascii="Arial" w:eastAsia="Calibri" w:hAnsi="Arial" w:cs="Arial"/>
          <w:sz w:val="22"/>
        </w:rPr>
        <w:t>communication skills, attitudes, knowledge, social systems and culture. This model can be</w:t>
      </w:r>
      <w:r w:rsidR="004076B4">
        <w:rPr>
          <w:rFonts w:ascii="Arial" w:eastAsia="Calibri" w:hAnsi="Arial" w:cs="Arial"/>
          <w:sz w:val="22"/>
        </w:rPr>
        <w:t xml:space="preserve"> </w:t>
      </w:r>
      <w:r w:rsidR="004076B4" w:rsidRPr="004076B4">
        <w:rPr>
          <w:rFonts w:ascii="Arial" w:eastAsia="Calibri" w:hAnsi="Arial" w:cs="Arial"/>
          <w:sz w:val="22"/>
        </w:rPr>
        <w:t>used to understand how communication can easily go wrong when working in health and</w:t>
      </w:r>
      <w:r w:rsidR="004076B4">
        <w:rPr>
          <w:rFonts w:ascii="Arial" w:eastAsia="Calibri" w:hAnsi="Arial" w:cs="Arial"/>
          <w:sz w:val="22"/>
        </w:rPr>
        <w:t xml:space="preserve"> </w:t>
      </w:r>
      <w:r w:rsidR="004076B4" w:rsidRPr="004076B4">
        <w:rPr>
          <w:rFonts w:ascii="Arial" w:eastAsia="Calibri" w:hAnsi="Arial" w:cs="Arial"/>
          <w:sz w:val="22"/>
        </w:rPr>
        <w:t>social care</w:t>
      </w:r>
      <w:r w:rsidR="004076B4">
        <w:rPr>
          <w:rFonts w:ascii="Arial" w:eastAsia="Calibri" w:hAnsi="Arial" w:cs="Arial"/>
          <w:sz w:val="22"/>
        </w:rPr>
        <w:t>.</w:t>
      </w:r>
    </w:p>
    <w:p w14:paraId="2680FE1F" w14:textId="77777777" w:rsidR="0022568D" w:rsidRPr="007C221A" w:rsidRDefault="0022568D" w:rsidP="00FD668D">
      <w:pPr>
        <w:spacing w:after="0" w:line="360" w:lineRule="auto"/>
        <w:jc w:val="both"/>
        <w:rPr>
          <w:rFonts w:ascii="Arial" w:eastAsia="Calibri" w:hAnsi="Arial" w:cs="Arial"/>
          <w:sz w:val="22"/>
        </w:rPr>
      </w:pPr>
    </w:p>
    <w:p w14:paraId="657DED7D" w14:textId="77777777" w:rsidR="0022568D" w:rsidRDefault="0022568D" w:rsidP="00FD668D">
      <w:pPr>
        <w:keepNext/>
        <w:spacing w:after="0" w:line="360" w:lineRule="auto"/>
        <w:jc w:val="center"/>
      </w:pPr>
      <w:r>
        <w:rPr>
          <w:rFonts w:ascii="Arial" w:hAnsi="Arial" w:cs="Arial"/>
          <w:noProof/>
          <w:sz w:val="22"/>
        </w:rPr>
        <w:lastRenderedPageBreak/>
        <w:drawing>
          <wp:inline distT="0" distB="0" distL="0" distR="0" wp14:anchorId="1CD0BDEA" wp14:editId="2253325C">
            <wp:extent cx="5178700" cy="2905125"/>
            <wp:effectExtent l="76200" t="76200" r="136525" b="123825"/>
            <wp:docPr id="15783973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3829" cy="29192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98AF2B" w14:textId="77DF3B01" w:rsidR="008E3943" w:rsidRPr="00C06257" w:rsidRDefault="0022568D" w:rsidP="00FD668D">
      <w:pPr>
        <w:pStyle w:val="Caption"/>
        <w:spacing w:after="0" w:line="360" w:lineRule="auto"/>
        <w:jc w:val="center"/>
        <w:rPr>
          <w:rFonts w:ascii="Arial" w:hAnsi="Arial" w:cs="Arial"/>
          <w:sz w:val="22"/>
          <w:szCs w:val="22"/>
        </w:rPr>
      </w:pPr>
      <w:r>
        <w:t>Figure</w:t>
      </w:r>
      <w:r>
        <w:fldChar w:fldCharType="begin"/>
      </w:r>
      <w:r>
        <w:instrText xml:space="preserve"> SEQ Figure \* ARABIC </w:instrText>
      </w:r>
      <w:r>
        <w:fldChar w:fldCharType="separate"/>
      </w:r>
      <w:r>
        <w:rPr>
          <w:noProof/>
        </w:rPr>
        <w:t>2</w:t>
      </w:r>
      <w:r>
        <w:rPr>
          <w:noProof/>
        </w:rPr>
        <w:fldChar w:fldCharType="end"/>
      </w:r>
      <w:r w:rsidR="00F66A2F">
        <w:rPr>
          <w:noProof/>
        </w:rPr>
        <w:t xml:space="preserve">: </w:t>
      </w:r>
      <w:r>
        <w:t>Berlo's Model</w:t>
      </w:r>
    </w:p>
    <w:p w14:paraId="60B2CDC3" w14:textId="12EE5464" w:rsidR="00B87E75" w:rsidRDefault="0026393A" w:rsidP="00FD668D">
      <w:pPr>
        <w:pStyle w:val="Heading1"/>
        <w:spacing w:before="0"/>
      </w:pPr>
      <w:bookmarkStart w:id="4" w:name="_Toc235793706"/>
      <w:r w:rsidRPr="00C06257">
        <w:t>3</w:t>
      </w:r>
      <w:r w:rsidR="00B87E75" w:rsidRPr="00C06257">
        <w:t>.</w:t>
      </w:r>
      <w:r w:rsidR="008E3943" w:rsidRPr="00C06257">
        <w:t xml:space="preserve"> Importance of good administrative skills</w:t>
      </w:r>
      <w:bookmarkEnd w:id="4"/>
      <w:r w:rsidR="008E3943" w:rsidRPr="00C06257">
        <w:t xml:space="preserve"> </w:t>
      </w:r>
    </w:p>
    <w:p w14:paraId="3EDBADAD" w14:textId="7465EF96" w:rsidR="007C221A" w:rsidRDefault="007C221A" w:rsidP="00FD668D">
      <w:pPr>
        <w:spacing w:after="0" w:line="360" w:lineRule="auto"/>
        <w:jc w:val="both"/>
        <w:rPr>
          <w:rFonts w:ascii="Arial" w:eastAsia="Calibri" w:hAnsi="Arial" w:cs="Arial"/>
          <w:sz w:val="22"/>
        </w:rPr>
      </w:pPr>
      <w:r w:rsidRPr="007C221A">
        <w:rPr>
          <w:rFonts w:ascii="Arial" w:eastAsia="Calibri" w:hAnsi="Arial" w:cs="Arial"/>
          <w:sz w:val="22"/>
        </w:rPr>
        <w:t>Health and social care workers must keep accurate records as it helps to ensure continuity of care, accountability, patient safety and legal compliance. In Mrs Thompson's instance, the medication incident was reported correctly via the service's incident reporting system and investigated, which is considered good professional practice. Incomplete, inaccurate and delayed documentation may, however, lead to misunderstandings between professionals, compromise safeguarding procedures and enhance the risk of further medication errors. Care records are detailed and allow professionals to be informed and make decisions based on accurate information.</w:t>
      </w:r>
    </w:p>
    <w:p w14:paraId="05A55378" w14:textId="77777777" w:rsidR="00FD668D" w:rsidRPr="007C221A" w:rsidRDefault="00FD668D" w:rsidP="00FD668D">
      <w:pPr>
        <w:spacing w:after="0" w:line="360" w:lineRule="auto"/>
        <w:jc w:val="both"/>
        <w:rPr>
          <w:rFonts w:ascii="Arial" w:eastAsia="Calibri" w:hAnsi="Arial" w:cs="Arial"/>
          <w:sz w:val="22"/>
        </w:rPr>
      </w:pPr>
    </w:p>
    <w:p w14:paraId="0CA2925A" w14:textId="7C2C2281" w:rsidR="007C221A" w:rsidRPr="007C221A" w:rsidRDefault="00FD668D" w:rsidP="00FD668D">
      <w:pPr>
        <w:pStyle w:val="Heading2"/>
        <w:spacing w:before="0" w:line="360" w:lineRule="auto"/>
      </w:pPr>
      <w:bookmarkStart w:id="5" w:name="_Toc235614996"/>
      <w:bookmarkStart w:id="6" w:name="_Toc235793707"/>
      <w:r>
        <w:t xml:space="preserve">3.1 </w:t>
      </w:r>
      <w:r w:rsidR="007C221A" w:rsidRPr="007C221A">
        <w:t>Record-Keeping and Principles of the Data Protection Act 2018</w:t>
      </w:r>
      <w:bookmarkEnd w:id="5"/>
      <w:bookmarkEnd w:id="6"/>
    </w:p>
    <w:p w14:paraId="53D54BA1" w14:textId="77777777" w:rsidR="007C221A" w:rsidRPr="007C221A" w:rsidRDefault="007C221A" w:rsidP="00FD668D">
      <w:pPr>
        <w:spacing w:after="0" w:line="360" w:lineRule="auto"/>
        <w:jc w:val="both"/>
        <w:rPr>
          <w:rFonts w:ascii="Arial" w:eastAsia="Calibri" w:hAnsi="Arial" w:cs="Arial"/>
          <w:sz w:val="22"/>
        </w:rPr>
      </w:pPr>
      <w:r w:rsidRPr="007C221A">
        <w:rPr>
          <w:rFonts w:ascii="Arial" w:eastAsia="Calibri" w:hAnsi="Arial" w:cs="Arial"/>
          <w:sz w:val="22"/>
        </w:rPr>
        <w:t>The personal information processing framework is provided by the Data Protection Act 2018 (DPA 2018), which is based on the UK General Data Protection Regulation (UK GDPR). The legislation is based on key principles, including lawfulness, fairness, transparency, purpose limitation, data minimisation, accuracy, storage limitation, integrity and confidentiality, and accountability (Labadie et al., 2023). The principles mean that health and social care organisations must make sure that personal information is gathered only for valid reasons, is kept accurate and up to date, is kept securely and can only be accessed by authorised people. The principles ensure compliance of vulnerable adults' rights, dignity and confidentiality and enhance public confidence in health and social care services.</w:t>
      </w:r>
    </w:p>
    <w:p w14:paraId="6A1FD945" w14:textId="60375D9F" w:rsidR="006159D4" w:rsidRPr="006159D4" w:rsidRDefault="007C221A" w:rsidP="006159D4">
      <w:pPr>
        <w:spacing w:after="0" w:line="360" w:lineRule="auto"/>
        <w:jc w:val="both"/>
        <w:rPr>
          <w:rFonts w:ascii="Arial" w:eastAsia="Calibri" w:hAnsi="Arial" w:cs="Arial"/>
          <w:sz w:val="22"/>
        </w:rPr>
      </w:pPr>
      <w:r w:rsidRPr="007C221A">
        <w:rPr>
          <w:rFonts w:ascii="Arial" w:eastAsia="Calibri" w:hAnsi="Arial" w:cs="Arial"/>
          <w:sz w:val="22"/>
        </w:rPr>
        <w:t xml:space="preserve">All documentation of care, such as medication administration records, care plans, risk assessment, incident reports, etc., should be factual, objective and up to date for Mrs </w:t>
      </w:r>
      <w:r w:rsidRPr="007C221A">
        <w:rPr>
          <w:rFonts w:ascii="Arial" w:eastAsia="Calibri" w:hAnsi="Arial" w:cs="Arial"/>
          <w:sz w:val="22"/>
        </w:rPr>
        <w:lastRenderedPageBreak/>
        <w:t>Thompson. For instance, the following could be recorded: At 14:00, Mrs Thompson was observed without her coat and was supported back inside safely and evaluated for any signs of cold exposure. These entries include neither personal opinions nor a description of what has transpired but do contain evidence for future care decisions. These records should be restricted to those authorised to deal with Mrs Thompson's care. Securing electronic systems, restricting password access, and maintaining audit trails help ensure confidentiality and minimise the risk of unauthorised disclosure or breaches. The law also gives the service user the right to access his or her personal data, and mandates that organisations evaluate risks associated with the processing of sensitive data. There are other laws that facilitate good recordkeeping. The Care Act 2014 places greater emphasis on maintaining accurate records for safeguarding purposes, and the Mental Capacity Act 2005 stipulates that records are kept for assessments of capacity and best-</w:t>
      </w:r>
      <w:r w:rsidR="005376D9" w:rsidRPr="007C221A">
        <w:rPr>
          <w:rFonts w:ascii="Arial" w:eastAsia="Calibri" w:hAnsi="Arial" w:cs="Arial"/>
          <w:sz w:val="22"/>
        </w:rPr>
        <w:t>interests’</w:t>
      </w:r>
      <w:r w:rsidRPr="007C221A">
        <w:rPr>
          <w:rFonts w:ascii="Arial" w:eastAsia="Calibri" w:hAnsi="Arial" w:cs="Arial"/>
          <w:sz w:val="22"/>
        </w:rPr>
        <w:t xml:space="preserve"> decisions for people with dementia. Local safeguarding policies and NHS information governance guidance also reinforce the need to ensure that good audit trails are in place to facilitate MD work and accountability</w:t>
      </w:r>
      <w:r w:rsidR="006159D4">
        <w:rPr>
          <w:rFonts w:ascii="Arial" w:eastAsia="Calibri" w:hAnsi="Arial" w:cs="Arial"/>
          <w:sz w:val="22"/>
        </w:rPr>
        <w:t xml:space="preserve"> </w:t>
      </w:r>
      <w:r w:rsidR="006159D4" w:rsidRPr="006159D4">
        <w:rPr>
          <w:rFonts w:ascii="Arial" w:eastAsia="Calibri" w:hAnsi="Arial" w:cs="Arial"/>
          <w:sz w:val="22"/>
        </w:rPr>
        <w:t>(</w:t>
      </w:r>
      <w:proofErr w:type="spellStart"/>
      <w:r w:rsidR="006159D4" w:rsidRPr="006159D4">
        <w:rPr>
          <w:rFonts w:ascii="Arial" w:eastAsia="Calibri" w:hAnsi="Arial" w:cs="Arial"/>
          <w:sz w:val="22"/>
        </w:rPr>
        <w:t>Sunjaya</w:t>
      </w:r>
      <w:proofErr w:type="spellEnd"/>
      <w:r w:rsidR="006159D4" w:rsidRPr="006159D4">
        <w:rPr>
          <w:rFonts w:ascii="Arial" w:eastAsia="Calibri" w:hAnsi="Arial" w:cs="Arial"/>
          <w:sz w:val="22"/>
        </w:rPr>
        <w:t xml:space="preserve"> et al., 2025)</w:t>
      </w:r>
      <w:r w:rsidR="006159D4">
        <w:rPr>
          <w:rFonts w:ascii="Arial" w:eastAsia="Calibri" w:hAnsi="Arial" w:cs="Arial"/>
          <w:sz w:val="22"/>
        </w:rPr>
        <w:t>.</w:t>
      </w:r>
    </w:p>
    <w:p w14:paraId="68988964" w14:textId="62DF0A79" w:rsidR="007C221A" w:rsidRPr="007C221A" w:rsidRDefault="007C221A" w:rsidP="00FD668D">
      <w:pPr>
        <w:spacing w:after="0" w:line="360" w:lineRule="auto"/>
        <w:jc w:val="both"/>
        <w:rPr>
          <w:rFonts w:ascii="Arial" w:eastAsia="Calibri" w:hAnsi="Arial" w:cs="Arial"/>
          <w:sz w:val="22"/>
        </w:rPr>
      </w:pPr>
    </w:p>
    <w:p w14:paraId="4FC14C6B" w14:textId="77777777" w:rsidR="00B87E75" w:rsidRPr="00C06257" w:rsidRDefault="00B87E75" w:rsidP="00FD668D">
      <w:pPr>
        <w:spacing w:after="0" w:line="360" w:lineRule="auto"/>
        <w:jc w:val="both"/>
        <w:rPr>
          <w:rFonts w:ascii="Arial" w:hAnsi="Arial" w:cs="Arial"/>
          <w:sz w:val="22"/>
        </w:rPr>
      </w:pPr>
    </w:p>
    <w:p w14:paraId="581C99BF" w14:textId="264B49DF" w:rsidR="00B87E75" w:rsidRDefault="004A736E" w:rsidP="00FD668D">
      <w:pPr>
        <w:pStyle w:val="Heading1"/>
        <w:spacing w:before="0"/>
      </w:pPr>
      <w:bookmarkStart w:id="7" w:name="_Toc235793708"/>
      <w:r w:rsidRPr="00C06257">
        <w:t>4</w:t>
      </w:r>
      <w:r w:rsidR="00B87E75" w:rsidRPr="00C06257">
        <w:t xml:space="preserve">. </w:t>
      </w:r>
      <w:r w:rsidR="008E3943" w:rsidRPr="00C06257">
        <w:t>Importance of working collaboratively</w:t>
      </w:r>
      <w:bookmarkEnd w:id="7"/>
    </w:p>
    <w:p w14:paraId="3AA64F66" w14:textId="77777777" w:rsidR="007C221A" w:rsidRPr="007C221A" w:rsidRDefault="007C221A" w:rsidP="00FD668D">
      <w:pPr>
        <w:spacing w:after="0" w:line="360" w:lineRule="auto"/>
        <w:jc w:val="both"/>
        <w:rPr>
          <w:rFonts w:ascii="Arial" w:eastAsia="Calibri" w:hAnsi="Arial" w:cs="Arial"/>
          <w:sz w:val="22"/>
        </w:rPr>
      </w:pPr>
      <w:r w:rsidRPr="007C221A">
        <w:rPr>
          <w:rFonts w:ascii="Arial" w:eastAsia="Calibri" w:hAnsi="Arial" w:cs="Arial"/>
          <w:sz w:val="22"/>
        </w:rPr>
        <w:t>Mrs Thompson needs safe, effective and person-centred care and this can only be achieved through collaborative working. She has received input from her GP, community nurses, domiciliary care workers, pharmacists, council review officers and social workers and dementia specialists, where appropriate, into her care. The professionals share specialist knowledge that helps Mrs Thompson manage her physical health, medicines, safeguarding, and wellbeing. Collaborative working also helps to ensure that care is coordinated and meets her changing needs.</w:t>
      </w:r>
    </w:p>
    <w:p w14:paraId="1940C0FE" w14:textId="06343837" w:rsidR="007C221A" w:rsidRPr="007C221A" w:rsidRDefault="007C221A" w:rsidP="006159D4">
      <w:pPr>
        <w:spacing w:after="0" w:line="360" w:lineRule="auto"/>
        <w:jc w:val="both"/>
        <w:rPr>
          <w:rFonts w:ascii="Arial" w:eastAsia="Calibri" w:hAnsi="Arial" w:cs="Arial"/>
          <w:sz w:val="22"/>
        </w:rPr>
      </w:pPr>
      <w:r w:rsidRPr="007C221A">
        <w:rPr>
          <w:rFonts w:ascii="Arial" w:eastAsia="Calibri" w:hAnsi="Arial" w:cs="Arial"/>
          <w:sz w:val="22"/>
        </w:rPr>
        <w:t xml:space="preserve">Regular multidisciplinary meetings, shared care plans, shared digital communication systems, well-defined professional roles and responsibilities and common training can be used to promote effective collaboration </w:t>
      </w:r>
      <w:r w:rsidRPr="007C221A">
        <w:rPr>
          <w:rFonts w:ascii="Arial" w:eastAsia="Arial" w:hAnsi="Arial" w:cs="Arial"/>
          <w:sz w:val="22"/>
        </w:rPr>
        <w:t>(Glasby and Dickinson, 2014)</w:t>
      </w:r>
      <w:r w:rsidRPr="007C221A">
        <w:rPr>
          <w:rFonts w:ascii="Arial" w:eastAsia="Calibri" w:hAnsi="Arial" w:cs="Arial"/>
          <w:sz w:val="22"/>
        </w:rPr>
        <w:t>. Shared ownership of relevant information is promoted in integrated care models that are being developed as a partnership between the NHS and local authorities, and will need to adhere to the Data Protection Act 2018 and UK GDPR (</w:t>
      </w:r>
      <w:r w:rsidRPr="007C221A">
        <w:rPr>
          <w:rFonts w:ascii="Arial" w:eastAsia="Arial" w:hAnsi="Arial" w:cs="Arial"/>
          <w:sz w:val="22"/>
        </w:rPr>
        <w:t>Data Protection Act, 2018)</w:t>
      </w:r>
      <w:r w:rsidRPr="007C221A">
        <w:rPr>
          <w:rFonts w:ascii="Arial" w:eastAsia="Calibri" w:hAnsi="Arial" w:cs="Arial"/>
          <w:sz w:val="22"/>
        </w:rPr>
        <w:t xml:space="preserve">.  However, there are a number of barriers to collaborative working. There may be fragmented care or delays in decision-making due to communication difficulties, a lack of resources, differing professional priorities, and a lack of information sharing. Clear information sharing agreements, having a lead professional (e.g. community nurse/care coordinator), frequent supervision and the use of integrated electronic care records that can give the professionals involved timely updates on the child's situation </w:t>
      </w:r>
      <w:r w:rsidRPr="007C221A">
        <w:rPr>
          <w:rFonts w:ascii="Arial" w:eastAsia="Calibri" w:hAnsi="Arial" w:cs="Arial"/>
          <w:sz w:val="22"/>
        </w:rPr>
        <w:lastRenderedPageBreak/>
        <w:t>can help address these challenges. There are also regular audits and feedback meetings, which facilitate problem identification and collaboration among the teams</w:t>
      </w:r>
      <w:r w:rsidR="00F91445">
        <w:rPr>
          <w:rFonts w:ascii="Arial" w:eastAsia="Calibri" w:hAnsi="Arial" w:cs="Arial"/>
          <w:sz w:val="22"/>
        </w:rPr>
        <w:t xml:space="preserve"> </w:t>
      </w:r>
      <w:r w:rsidR="00F91445" w:rsidRPr="00F91445">
        <w:rPr>
          <w:rFonts w:ascii="Arial" w:eastAsia="Calibri" w:hAnsi="Arial" w:cs="Arial"/>
          <w:sz w:val="22"/>
        </w:rPr>
        <w:t>(</w:t>
      </w:r>
      <w:proofErr w:type="spellStart"/>
      <w:r w:rsidR="00F91445" w:rsidRPr="00F91445">
        <w:rPr>
          <w:rFonts w:ascii="Arial" w:eastAsia="Calibri" w:hAnsi="Arial" w:cs="Arial"/>
          <w:sz w:val="22"/>
        </w:rPr>
        <w:t>Alderwick</w:t>
      </w:r>
      <w:proofErr w:type="spellEnd"/>
      <w:r w:rsidR="00F91445">
        <w:rPr>
          <w:rFonts w:ascii="Arial" w:eastAsia="Calibri" w:hAnsi="Arial" w:cs="Arial"/>
          <w:sz w:val="22"/>
        </w:rPr>
        <w:t xml:space="preserve"> et al., </w:t>
      </w:r>
      <w:r w:rsidR="00F91445" w:rsidRPr="00F91445">
        <w:rPr>
          <w:rFonts w:ascii="Arial" w:eastAsia="Calibri" w:hAnsi="Arial" w:cs="Arial"/>
          <w:sz w:val="22"/>
        </w:rPr>
        <w:t>2024)</w:t>
      </w:r>
    </w:p>
    <w:p w14:paraId="643887F1" w14:textId="77777777" w:rsidR="007C221A" w:rsidRPr="007C221A" w:rsidRDefault="007C221A" w:rsidP="00FD668D">
      <w:pPr>
        <w:spacing w:after="0" w:line="360" w:lineRule="auto"/>
        <w:jc w:val="both"/>
        <w:rPr>
          <w:rFonts w:ascii="Arial" w:eastAsia="Calibri" w:hAnsi="Arial" w:cs="Arial"/>
          <w:sz w:val="22"/>
        </w:rPr>
      </w:pPr>
      <w:r w:rsidRPr="007C221A">
        <w:rPr>
          <w:rFonts w:ascii="Arial" w:eastAsia="Calibri" w:hAnsi="Arial" w:cs="Arial"/>
          <w:sz w:val="22"/>
        </w:rPr>
        <w:t>For Mrs Thompson, good teamwork means that her GP reviews her medication, the local authority conducts safeguarding assessments, and the domiciliary care team members are working together. Such an integrated approach will minimise the risk of medication errors, avoid re-hospitalisation due to unnecessary care, enhance communication between services, and ensure safer, higher-quality care for Mrs Thompson.</w:t>
      </w:r>
    </w:p>
    <w:p w14:paraId="3A742EE2" w14:textId="77777777" w:rsidR="008E3943" w:rsidRPr="00C06257" w:rsidRDefault="008E3943" w:rsidP="00FD668D">
      <w:pPr>
        <w:spacing w:after="0" w:line="360" w:lineRule="auto"/>
        <w:jc w:val="both"/>
        <w:rPr>
          <w:rFonts w:ascii="Arial" w:hAnsi="Arial" w:cs="Arial"/>
          <w:sz w:val="22"/>
        </w:rPr>
      </w:pPr>
    </w:p>
    <w:p w14:paraId="16FAF0EA" w14:textId="2F93A55A" w:rsidR="00B87E75" w:rsidRPr="00C06257" w:rsidRDefault="008E3943" w:rsidP="00FD668D">
      <w:pPr>
        <w:pStyle w:val="Heading1"/>
        <w:spacing w:before="0"/>
      </w:pPr>
      <w:bookmarkStart w:id="8" w:name="_Toc235793709"/>
      <w:r w:rsidRPr="00C06257">
        <w:t>5</w:t>
      </w:r>
      <w:r w:rsidR="00B87E75" w:rsidRPr="00C06257">
        <w:t>. Conclusion</w:t>
      </w:r>
      <w:bookmarkEnd w:id="8"/>
      <w:r w:rsidR="00CD33A8" w:rsidRPr="00C06257">
        <w:t xml:space="preserve"> </w:t>
      </w:r>
    </w:p>
    <w:p w14:paraId="444BAD02" w14:textId="5B85127C" w:rsidR="00814A9E" w:rsidRPr="00C06257" w:rsidRDefault="007C221A" w:rsidP="00FD668D">
      <w:pPr>
        <w:spacing w:after="0" w:line="360" w:lineRule="auto"/>
        <w:jc w:val="both"/>
        <w:rPr>
          <w:rFonts w:ascii="Arial" w:hAnsi="Arial" w:cs="Arial"/>
          <w:sz w:val="22"/>
        </w:rPr>
      </w:pPr>
      <w:r>
        <w:rPr>
          <w:rFonts w:ascii="Arial" w:hAnsi="Arial" w:cs="Arial"/>
          <w:sz w:val="22"/>
        </w:rPr>
        <w:t>Key</w:t>
      </w:r>
      <w:r w:rsidRPr="007C221A">
        <w:rPr>
          <w:rFonts w:ascii="Arial" w:hAnsi="Arial" w:cs="Arial"/>
          <w:sz w:val="22"/>
        </w:rPr>
        <w:t xml:space="preserve"> areas of communication, administration and multi-agency working are interconnected aspects of Mrs Thompson's wellbeing. Principles and models of the Equality Act, such as Shannon's Model of Communication, are used to ensure respectful, barrier-free interactions. Collaborative practices will help meet her needs as a whole person and compliant records will support accountability. To prevent deterioration, keep older adults with complex needs safe and uphold dignity, effective systems are essential.  They reduce the risk of dementia and isolation and are in line with the UK health and social care vision for 'person-centred' and 'rooted in integration. The principles ensure compliance of vulnerable adults' rights, dignity and confidentiality and enhance public confidence in health and social care services. Challenges still exist, but there are evidence-based ways to address them to improve outcomes. </w:t>
      </w:r>
    </w:p>
    <w:p w14:paraId="71022E41" w14:textId="77777777" w:rsidR="00814A9E" w:rsidRPr="00C06257" w:rsidRDefault="00814A9E" w:rsidP="00FD668D">
      <w:pPr>
        <w:spacing w:after="0" w:line="360" w:lineRule="auto"/>
        <w:jc w:val="both"/>
        <w:rPr>
          <w:rFonts w:ascii="Arial" w:hAnsi="Arial" w:cs="Arial"/>
          <w:sz w:val="22"/>
        </w:rPr>
      </w:pPr>
    </w:p>
    <w:p w14:paraId="3EA3C7DD" w14:textId="2C373198" w:rsidR="00F66E1B" w:rsidRPr="00C06257" w:rsidRDefault="00F66E1B" w:rsidP="00FD668D">
      <w:pPr>
        <w:spacing w:after="0" w:line="360" w:lineRule="auto"/>
        <w:jc w:val="both"/>
        <w:rPr>
          <w:rFonts w:ascii="Arial" w:hAnsi="Arial" w:cs="Arial"/>
          <w:sz w:val="22"/>
        </w:rPr>
      </w:pPr>
    </w:p>
    <w:p w14:paraId="5C76528F" w14:textId="77777777" w:rsidR="00F66E1B" w:rsidRPr="00C06257" w:rsidRDefault="00F66E1B" w:rsidP="00FD668D">
      <w:pPr>
        <w:spacing w:after="0" w:line="360" w:lineRule="auto"/>
        <w:jc w:val="both"/>
        <w:rPr>
          <w:rFonts w:ascii="Arial" w:hAnsi="Arial" w:cs="Arial"/>
          <w:sz w:val="22"/>
        </w:rPr>
      </w:pPr>
    </w:p>
    <w:p w14:paraId="18999130" w14:textId="77777777" w:rsidR="00CD33A8" w:rsidRPr="00C06257" w:rsidRDefault="00CD33A8" w:rsidP="00FD668D">
      <w:pPr>
        <w:spacing w:after="0" w:line="360" w:lineRule="auto"/>
        <w:jc w:val="both"/>
        <w:rPr>
          <w:rFonts w:ascii="Arial" w:eastAsiaTheme="majorEastAsia" w:hAnsi="Arial" w:cs="Arial"/>
          <w:b/>
          <w:sz w:val="22"/>
        </w:rPr>
      </w:pPr>
      <w:r w:rsidRPr="00C06257">
        <w:rPr>
          <w:rFonts w:ascii="Arial" w:hAnsi="Arial" w:cs="Arial"/>
          <w:sz w:val="22"/>
        </w:rPr>
        <w:br w:type="page"/>
      </w:r>
    </w:p>
    <w:p w14:paraId="67579CD2" w14:textId="5FD07066" w:rsidR="007C221A" w:rsidRPr="007C221A" w:rsidRDefault="00B87E75" w:rsidP="00FD668D">
      <w:pPr>
        <w:pStyle w:val="Heading1"/>
        <w:spacing w:before="0"/>
        <w:jc w:val="both"/>
      </w:pPr>
      <w:bookmarkStart w:id="9" w:name="_Toc235793710"/>
      <w:r w:rsidRPr="007C221A">
        <w:lastRenderedPageBreak/>
        <w:t>References</w:t>
      </w:r>
      <w:bookmarkEnd w:id="9"/>
    </w:p>
    <w:p w14:paraId="79A26910" w14:textId="77777777" w:rsidR="00F91445" w:rsidRDefault="00F91445" w:rsidP="00FD668D">
      <w:pPr>
        <w:spacing w:after="0" w:line="360" w:lineRule="auto"/>
        <w:ind w:left="720" w:hanging="720"/>
        <w:jc w:val="both"/>
        <w:rPr>
          <w:rFonts w:ascii="Arial" w:eastAsia="Times New Roman" w:hAnsi="Arial" w:cs="Arial"/>
          <w:szCs w:val="24"/>
          <w:lang w:eastAsia="en-GB"/>
        </w:rPr>
      </w:pPr>
    </w:p>
    <w:p w14:paraId="7401962B" w14:textId="65CB4A32" w:rsidR="00F91445" w:rsidRDefault="00F91445" w:rsidP="00F91445">
      <w:pPr>
        <w:spacing w:after="0" w:line="360" w:lineRule="auto"/>
        <w:ind w:left="720" w:hanging="720"/>
        <w:jc w:val="both"/>
        <w:rPr>
          <w:rFonts w:ascii="Arial" w:eastAsia="Times New Roman" w:hAnsi="Arial" w:cs="Arial"/>
          <w:szCs w:val="24"/>
          <w:lang w:eastAsia="en-GB"/>
        </w:rPr>
      </w:pPr>
      <w:proofErr w:type="spellStart"/>
      <w:r w:rsidRPr="00F91445">
        <w:rPr>
          <w:rFonts w:ascii="Arial" w:eastAsia="Times New Roman" w:hAnsi="Arial" w:cs="Arial"/>
          <w:szCs w:val="24"/>
          <w:lang w:eastAsia="en-GB"/>
        </w:rPr>
        <w:t>Alderwick</w:t>
      </w:r>
      <w:proofErr w:type="spellEnd"/>
      <w:r w:rsidRPr="00F91445">
        <w:rPr>
          <w:rFonts w:ascii="Arial" w:eastAsia="Times New Roman" w:hAnsi="Arial" w:cs="Arial"/>
          <w:szCs w:val="24"/>
          <w:lang w:eastAsia="en-GB"/>
        </w:rPr>
        <w:t>, H., Hutchings, A. and Mays, N., 2024. Cross-sector collaboration to reduce health inequalities: a qualitative study of local collaboration between health care, social services, and other sectors under health system reforms in England. BMC Public Health, 24(1), p.2613.</w:t>
      </w:r>
      <w:r>
        <w:rPr>
          <w:rFonts w:ascii="Arial" w:eastAsia="Times New Roman" w:hAnsi="Arial" w:cs="Arial"/>
          <w:szCs w:val="24"/>
          <w:lang w:eastAsia="en-GB"/>
        </w:rPr>
        <w:t xml:space="preserve"> </w:t>
      </w:r>
      <w:hyperlink r:id="rId11" w:history="1">
        <w:r w:rsidRPr="00987615">
          <w:rPr>
            <w:rStyle w:val="Hyperlink"/>
            <w:rFonts w:ascii="Arial" w:eastAsia="Times New Roman" w:hAnsi="Arial" w:cs="Arial"/>
            <w:szCs w:val="24"/>
            <w:lang w:eastAsia="en-GB"/>
          </w:rPr>
          <w:t>https://doi.org/10.1186/s12889-024-20089-5</w:t>
        </w:r>
      </w:hyperlink>
      <w:r>
        <w:rPr>
          <w:rFonts w:ascii="Arial" w:eastAsia="Times New Roman" w:hAnsi="Arial" w:cs="Arial"/>
          <w:szCs w:val="24"/>
          <w:lang w:eastAsia="en-GB"/>
        </w:rPr>
        <w:t xml:space="preserve"> </w:t>
      </w:r>
    </w:p>
    <w:p w14:paraId="1170E211" w14:textId="66A5718A" w:rsidR="007C221A" w:rsidRPr="009C355B" w:rsidRDefault="007C221A" w:rsidP="00FD668D">
      <w:pPr>
        <w:spacing w:after="0" w:line="360" w:lineRule="auto"/>
        <w:ind w:left="720" w:hanging="720"/>
        <w:jc w:val="both"/>
        <w:rPr>
          <w:rFonts w:ascii="Arial" w:eastAsia="Times New Roman" w:hAnsi="Arial" w:cs="Arial"/>
          <w:szCs w:val="24"/>
          <w:lang w:eastAsia="en-GB"/>
        </w:rPr>
      </w:pPr>
      <w:r w:rsidRPr="009C355B">
        <w:rPr>
          <w:rFonts w:ascii="Arial" w:eastAsia="Times New Roman" w:hAnsi="Arial" w:cs="Arial"/>
          <w:szCs w:val="24"/>
          <w:lang w:eastAsia="en-GB"/>
        </w:rPr>
        <w:t xml:space="preserve">Behrendt, D., Sunder, M., Scharf, J. and Lutz, M. (2023) ‘Integrating social support into interventions among the elderly: A scoping review’, Healthcare, 11(8), p. 1145. Available at: https://pmc.ncbi.nlm.nih.gov/articles/PMC10124279/ DOI: </w:t>
      </w:r>
      <w:hyperlink r:id="rId12" w:history="1">
        <w:r w:rsidRPr="009C355B">
          <w:rPr>
            <w:rFonts w:ascii="Arial" w:eastAsia="Times New Roman" w:hAnsi="Arial" w:cs="Arial"/>
            <w:color w:val="0563C1"/>
            <w:szCs w:val="24"/>
            <w:u w:val="single"/>
            <w:lang w:eastAsia="en-GB"/>
          </w:rPr>
          <w:t>https://doi.org/10.3390/healthcare11081145</w:t>
        </w:r>
      </w:hyperlink>
      <w:r w:rsidRPr="009C355B">
        <w:rPr>
          <w:rFonts w:ascii="Arial" w:eastAsia="Times New Roman" w:hAnsi="Arial" w:cs="Arial"/>
          <w:szCs w:val="24"/>
          <w:lang w:eastAsia="en-GB"/>
        </w:rPr>
        <w:t xml:space="preserve"> </w:t>
      </w:r>
    </w:p>
    <w:p w14:paraId="329D5A2D" w14:textId="77777777" w:rsidR="007C221A" w:rsidRPr="009C355B" w:rsidRDefault="007C221A" w:rsidP="00FD668D">
      <w:pPr>
        <w:spacing w:after="0" w:line="360" w:lineRule="auto"/>
        <w:ind w:left="720" w:hanging="720"/>
        <w:jc w:val="both"/>
        <w:rPr>
          <w:rFonts w:ascii="Arial" w:eastAsia="Calibri" w:hAnsi="Arial" w:cs="Arial"/>
          <w:sz w:val="22"/>
        </w:rPr>
      </w:pPr>
      <w:r w:rsidRPr="009C355B">
        <w:rPr>
          <w:rFonts w:ascii="Arial" w:eastAsia="Arial" w:hAnsi="Arial" w:cs="Arial"/>
          <w:sz w:val="22"/>
        </w:rPr>
        <w:t>Berlo, D. (1960) The Process of Communication: An Introduction to Theory and Practice. New York: Holt, Rinehart &amp; Winston.</w:t>
      </w:r>
    </w:p>
    <w:p w14:paraId="59994C6F" w14:textId="77777777" w:rsidR="007C221A" w:rsidRPr="009C355B" w:rsidRDefault="007C221A" w:rsidP="00FD668D">
      <w:pPr>
        <w:spacing w:after="0" w:line="360" w:lineRule="auto"/>
        <w:ind w:left="720" w:hanging="720"/>
        <w:jc w:val="both"/>
        <w:rPr>
          <w:rFonts w:ascii="Arial" w:eastAsia="Times New Roman" w:hAnsi="Arial" w:cs="Arial"/>
          <w:szCs w:val="24"/>
          <w:lang w:eastAsia="en-GB"/>
        </w:rPr>
      </w:pPr>
      <w:r w:rsidRPr="009C355B">
        <w:rPr>
          <w:rFonts w:ascii="Arial" w:eastAsia="Times New Roman" w:hAnsi="Arial" w:cs="Arial"/>
          <w:szCs w:val="24"/>
          <w:lang w:eastAsia="en-GB"/>
        </w:rPr>
        <w:t xml:space="preserve">Department of Health and Social Care (2024) Care and Support Statutory Guidance: Issued under the Care Act 2014. London: Department of Health and Social Care. Available at: </w:t>
      </w:r>
      <w:hyperlink r:id="rId13" w:history="1">
        <w:r w:rsidRPr="009C355B">
          <w:rPr>
            <w:rFonts w:ascii="Arial" w:eastAsia="Times New Roman" w:hAnsi="Arial" w:cs="Arial"/>
            <w:color w:val="0563C1"/>
            <w:szCs w:val="24"/>
            <w:u w:val="single"/>
            <w:lang w:eastAsia="en-GB"/>
          </w:rPr>
          <w:t>https://www.gov.uk/government/publications/care-act-statutory-guidance/care-and-support-statutory-guidance</w:t>
        </w:r>
      </w:hyperlink>
      <w:r w:rsidRPr="009C355B">
        <w:rPr>
          <w:rFonts w:ascii="Arial" w:eastAsia="Times New Roman" w:hAnsi="Arial" w:cs="Arial"/>
          <w:szCs w:val="24"/>
          <w:lang w:eastAsia="en-GB"/>
        </w:rPr>
        <w:t xml:space="preserve"> </w:t>
      </w:r>
    </w:p>
    <w:p w14:paraId="6916213A" w14:textId="77777777" w:rsidR="007C221A" w:rsidRPr="009C355B" w:rsidRDefault="007C221A" w:rsidP="00FD668D">
      <w:pPr>
        <w:spacing w:after="0" w:line="360" w:lineRule="auto"/>
        <w:ind w:left="720" w:hanging="720"/>
        <w:jc w:val="both"/>
        <w:rPr>
          <w:rFonts w:ascii="Arial" w:eastAsia="Calibri" w:hAnsi="Arial" w:cs="Arial"/>
          <w:sz w:val="22"/>
        </w:rPr>
      </w:pPr>
      <w:r w:rsidRPr="009C355B">
        <w:rPr>
          <w:rFonts w:ascii="Arial" w:eastAsia="Arial" w:hAnsi="Arial" w:cs="Arial"/>
          <w:sz w:val="22"/>
        </w:rPr>
        <w:t xml:space="preserve">Data Protection Act 2018. London: The Stationery Office. </w:t>
      </w:r>
    </w:p>
    <w:p w14:paraId="1105A549" w14:textId="77777777" w:rsidR="007C221A" w:rsidRPr="009C355B" w:rsidRDefault="007C221A" w:rsidP="00FD668D">
      <w:pPr>
        <w:spacing w:after="0" w:line="360" w:lineRule="auto"/>
        <w:ind w:left="720" w:hanging="720"/>
        <w:jc w:val="both"/>
        <w:rPr>
          <w:rFonts w:ascii="Arial" w:eastAsia="Times New Roman" w:hAnsi="Arial" w:cs="Arial"/>
          <w:szCs w:val="24"/>
          <w:lang w:eastAsia="en-GB"/>
        </w:rPr>
      </w:pPr>
      <w:r w:rsidRPr="009C355B">
        <w:rPr>
          <w:rFonts w:ascii="Arial" w:eastAsia="Times New Roman" w:hAnsi="Arial" w:cs="Arial"/>
          <w:szCs w:val="24"/>
          <w:lang w:eastAsia="en-GB"/>
        </w:rPr>
        <w:t xml:space="preserve">Equality and Human Rights Commission (2023) Equality Act 2010: Guidance for Service Providers. Manchester: Equality and Human Rights Commission. Available at: </w:t>
      </w:r>
      <w:hyperlink r:id="rId14" w:history="1">
        <w:r w:rsidRPr="009C355B">
          <w:rPr>
            <w:rFonts w:ascii="Arial" w:eastAsia="Times New Roman" w:hAnsi="Arial" w:cs="Arial"/>
            <w:color w:val="0563C1"/>
            <w:szCs w:val="24"/>
            <w:u w:val="single"/>
            <w:lang w:eastAsia="en-GB"/>
          </w:rPr>
          <w:t>https://www.equalityhumanrights.com/guidance</w:t>
        </w:r>
      </w:hyperlink>
      <w:r w:rsidRPr="009C355B">
        <w:rPr>
          <w:rFonts w:ascii="Arial" w:eastAsia="Times New Roman" w:hAnsi="Arial" w:cs="Arial"/>
          <w:szCs w:val="24"/>
          <w:lang w:eastAsia="en-GB"/>
        </w:rPr>
        <w:t xml:space="preserve"> </w:t>
      </w:r>
    </w:p>
    <w:p w14:paraId="20A2949F" w14:textId="77777777" w:rsidR="007C221A" w:rsidRPr="009C355B" w:rsidRDefault="007C221A" w:rsidP="00FD668D">
      <w:pPr>
        <w:spacing w:after="0" w:line="360" w:lineRule="auto"/>
        <w:ind w:left="720" w:hanging="720"/>
        <w:jc w:val="both"/>
        <w:rPr>
          <w:rFonts w:ascii="Arial" w:eastAsia="Arial" w:hAnsi="Arial" w:cs="Arial"/>
          <w:sz w:val="22"/>
        </w:rPr>
      </w:pPr>
      <w:r w:rsidRPr="009C355B">
        <w:rPr>
          <w:rFonts w:ascii="Arial" w:eastAsia="Arial" w:hAnsi="Arial" w:cs="Arial"/>
          <w:sz w:val="22"/>
        </w:rPr>
        <w:t xml:space="preserve">Glasby, J. (2017) Understanding Health and Social Care. 3rd </w:t>
      </w:r>
      <w:proofErr w:type="spellStart"/>
      <w:r w:rsidRPr="009C355B">
        <w:rPr>
          <w:rFonts w:ascii="Arial" w:eastAsia="Arial" w:hAnsi="Arial" w:cs="Arial"/>
          <w:sz w:val="22"/>
        </w:rPr>
        <w:t>edn</w:t>
      </w:r>
      <w:proofErr w:type="spellEnd"/>
      <w:r w:rsidRPr="009C355B">
        <w:rPr>
          <w:rFonts w:ascii="Arial" w:eastAsia="Arial" w:hAnsi="Arial" w:cs="Arial"/>
          <w:sz w:val="22"/>
        </w:rPr>
        <w:t>. Bristol: Policy Press.</w:t>
      </w:r>
    </w:p>
    <w:p w14:paraId="182C6CF5" w14:textId="77777777" w:rsidR="007C221A" w:rsidRPr="009C355B" w:rsidRDefault="007C221A" w:rsidP="00FD668D">
      <w:pPr>
        <w:spacing w:after="0" w:line="360" w:lineRule="auto"/>
        <w:ind w:left="720" w:hanging="720"/>
        <w:jc w:val="both"/>
        <w:rPr>
          <w:rFonts w:ascii="Arial" w:eastAsia="Calibri" w:hAnsi="Arial" w:cs="Arial"/>
          <w:sz w:val="22"/>
        </w:rPr>
      </w:pPr>
      <w:r w:rsidRPr="009C355B">
        <w:rPr>
          <w:rFonts w:ascii="Arial" w:eastAsia="Arial" w:hAnsi="Arial" w:cs="Arial"/>
          <w:sz w:val="22"/>
        </w:rPr>
        <w:t>Glasby, J. and Dickinson, H. (2014) Partnership Working in Health and Social Care: What is Integrated Care and How Can We Deliver It? Bristol: Policy Press.</w:t>
      </w:r>
    </w:p>
    <w:p w14:paraId="7B5CBAA2" w14:textId="77777777" w:rsidR="007C221A" w:rsidRPr="009C355B" w:rsidRDefault="007C221A" w:rsidP="00FD668D">
      <w:pPr>
        <w:spacing w:after="0" w:line="360" w:lineRule="auto"/>
        <w:ind w:left="720" w:hanging="720"/>
        <w:jc w:val="both"/>
        <w:rPr>
          <w:rFonts w:ascii="Arial" w:eastAsia="Times New Roman" w:hAnsi="Arial" w:cs="Arial"/>
          <w:szCs w:val="24"/>
          <w:lang w:eastAsia="en-GB"/>
        </w:rPr>
      </w:pPr>
      <w:r w:rsidRPr="009C355B">
        <w:rPr>
          <w:rFonts w:ascii="Arial" w:eastAsia="Times New Roman" w:hAnsi="Arial" w:cs="Arial"/>
          <w:szCs w:val="24"/>
          <w:lang w:eastAsia="en-GB"/>
        </w:rPr>
        <w:t xml:space="preserve">Labadie, C., Legner, C. and Powell, P. (2023) ‘Building data management capabilities: A dynamic capabilities perspective’, Journal of Information Technology, 38(2), pp. 170–188. DOI: </w:t>
      </w:r>
      <w:hyperlink r:id="rId15" w:history="1">
        <w:r w:rsidRPr="009C355B">
          <w:rPr>
            <w:rFonts w:ascii="Arial" w:eastAsia="Times New Roman" w:hAnsi="Arial" w:cs="Arial"/>
            <w:color w:val="0563C1"/>
            <w:szCs w:val="24"/>
            <w:u w:val="single"/>
            <w:lang w:eastAsia="en-GB"/>
          </w:rPr>
          <w:t>https://doi.org/10.1177/02683962221146373</w:t>
        </w:r>
      </w:hyperlink>
      <w:r w:rsidRPr="009C355B">
        <w:rPr>
          <w:rFonts w:ascii="Arial" w:eastAsia="Times New Roman" w:hAnsi="Arial" w:cs="Arial"/>
          <w:szCs w:val="24"/>
          <w:lang w:eastAsia="en-GB"/>
        </w:rPr>
        <w:t xml:space="preserve">  </w:t>
      </w:r>
    </w:p>
    <w:p w14:paraId="2F70CB91" w14:textId="77777777" w:rsidR="007C221A" w:rsidRPr="009C355B" w:rsidRDefault="007C221A" w:rsidP="00FD668D">
      <w:pPr>
        <w:spacing w:after="0" w:line="360" w:lineRule="auto"/>
        <w:ind w:left="720" w:hanging="720"/>
        <w:jc w:val="both"/>
        <w:rPr>
          <w:rFonts w:ascii="Arial" w:eastAsia="Times New Roman" w:hAnsi="Arial" w:cs="Arial"/>
          <w:szCs w:val="24"/>
          <w:lang w:eastAsia="en-GB"/>
        </w:rPr>
      </w:pPr>
      <w:r w:rsidRPr="009C355B">
        <w:rPr>
          <w:rFonts w:ascii="Arial" w:eastAsia="Times New Roman" w:hAnsi="Arial" w:cs="Arial"/>
          <w:szCs w:val="24"/>
          <w:lang w:eastAsia="en-GB"/>
        </w:rPr>
        <w:t xml:space="preserve">NHS England (2025) Communication in Dementia Care: Best Practice Guide. Available at: </w:t>
      </w:r>
      <w:hyperlink r:id="rId16" w:history="1">
        <w:r w:rsidRPr="009C355B">
          <w:rPr>
            <w:rFonts w:ascii="Arial" w:eastAsia="Times New Roman" w:hAnsi="Arial" w:cs="Arial"/>
            <w:color w:val="0563C1"/>
            <w:szCs w:val="24"/>
            <w:u w:val="single"/>
            <w:lang w:eastAsia="en-GB"/>
          </w:rPr>
          <w:t>https://www.england.nhs.uk/</w:t>
        </w:r>
      </w:hyperlink>
      <w:r w:rsidRPr="009C355B">
        <w:rPr>
          <w:rFonts w:ascii="Arial" w:eastAsia="Times New Roman" w:hAnsi="Arial" w:cs="Arial"/>
          <w:szCs w:val="24"/>
          <w:lang w:eastAsia="en-GB"/>
        </w:rPr>
        <w:t xml:space="preserve"> </w:t>
      </w:r>
    </w:p>
    <w:p w14:paraId="153E571D" w14:textId="77777777" w:rsidR="007C221A" w:rsidRPr="009C355B" w:rsidRDefault="007C221A" w:rsidP="00FD668D">
      <w:pPr>
        <w:spacing w:after="0" w:line="360" w:lineRule="auto"/>
        <w:ind w:left="720" w:hanging="720"/>
        <w:jc w:val="both"/>
        <w:rPr>
          <w:rFonts w:ascii="Arial" w:eastAsia="Times New Roman" w:hAnsi="Arial" w:cs="Arial"/>
          <w:szCs w:val="24"/>
          <w:lang w:eastAsia="en-GB"/>
        </w:rPr>
      </w:pPr>
      <w:r w:rsidRPr="009C355B">
        <w:rPr>
          <w:rFonts w:ascii="Arial" w:eastAsia="Times New Roman" w:hAnsi="Arial" w:cs="Arial"/>
          <w:szCs w:val="24"/>
          <w:lang w:eastAsia="en-GB"/>
        </w:rPr>
        <w:t>Oh, M. and Weaver, D.F., 2023. Alzheimer’s disease as a fundamental disease of information processing systems: An information theory perspective. </w:t>
      </w:r>
      <w:r w:rsidRPr="009C355B">
        <w:rPr>
          <w:rFonts w:ascii="Arial" w:eastAsia="Times New Roman" w:hAnsi="Arial" w:cs="Arial"/>
          <w:i/>
          <w:iCs/>
          <w:szCs w:val="24"/>
          <w:lang w:eastAsia="en-GB"/>
        </w:rPr>
        <w:t>Frontiers in Neuroscience</w:t>
      </w:r>
      <w:r w:rsidRPr="009C355B">
        <w:rPr>
          <w:rFonts w:ascii="Arial" w:eastAsia="Times New Roman" w:hAnsi="Arial" w:cs="Arial"/>
          <w:szCs w:val="24"/>
          <w:lang w:eastAsia="en-GB"/>
        </w:rPr>
        <w:t>, </w:t>
      </w:r>
      <w:r w:rsidRPr="009C355B">
        <w:rPr>
          <w:rFonts w:ascii="Arial" w:eastAsia="Times New Roman" w:hAnsi="Arial" w:cs="Arial"/>
          <w:i/>
          <w:iCs/>
          <w:szCs w:val="24"/>
          <w:lang w:eastAsia="en-GB"/>
        </w:rPr>
        <w:t>17</w:t>
      </w:r>
      <w:r w:rsidRPr="009C355B">
        <w:rPr>
          <w:rFonts w:ascii="Arial" w:eastAsia="Times New Roman" w:hAnsi="Arial" w:cs="Arial"/>
          <w:szCs w:val="24"/>
          <w:lang w:eastAsia="en-GB"/>
        </w:rPr>
        <w:t xml:space="preserve">, p.1106623. </w:t>
      </w:r>
      <w:hyperlink r:id="rId17" w:history="1">
        <w:r w:rsidRPr="009C355B">
          <w:rPr>
            <w:rFonts w:ascii="Arial" w:eastAsia="Times New Roman" w:hAnsi="Arial" w:cs="Arial"/>
            <w:color w:val="0563C1"/>
            <w:szCs w:val="24"/>
            <w:u w:val="single"/>
            <w:lang w:eastAsia="en-GB"/>
          </w:rPr>
          <w:t>https://doi.org/10.3389/fnins.2023.1106623</w:t>
        </w:r>
      </w:hyperlink>
      <w:r w:rsidRPr="009C355B">
        <w:rPr>
          <w:rFonts w:ascii="Arial" w:eastAsia="Times New Roman" w:hAnsi="Arial" w:cs="Arial"/>
          <w:szCs w:val="24"/>
          <w:lang w:eastAsia="en-GB"/>
        </w:rPr>
        <w:t xml:space="preserve"> </w:t>
      </w:r>
    </w:p>
    <w:p w14:paraId="13A0BA6C" w14:textId="77777777" w:rsidR="007C221A" w:rsidRPr="009C355B" w:rsidRDefault="007C221A" w:rsidP="00FD668D">
      <w:pPr>
        <w:spacing w:after="0" w:line="360" w:lineRule="auto"/>
        <w:ind w:left="720" w:hanging="720"/>
        <w:jc w:val="both"/>
        <w:rPr>
          <w:rFonts w:ascii="Arial" w:eastAsia="Times New Roman" w:hAnsi="Arial" w:cs="Arial"/>
          <w:szCs w:val="24"/>
          <w:lang w:eastAsia="en-GB"/>
        </w:rPr>
      </w:pPr>
      <w:r w:rsidRPr="009C355B">
        <w:rPr>
          <w:rFonts w:ascii="Arial" w:eastAsia="Times New Roman" w:hAnsi="Arial" w:cs="Arial"/>
          <w:szCs w:val="24"/>
          <w:lang w:eastAsia="en-GB"/>
        </w:rPr>
        <w:t xml:space="preserve">Read, S., Verity, F., Llewellyn, M., Tetlow, S. and Richards, J., 2023. Problematising ‘fused principles’ in discourses of preventative social care: Interpreting the </w:t>
      </w:r>
      <w:r w:rsidRPr="009C355B">
        <w:rPr>
          <w:rFonts w:ascii="Arial" w:eastAsia="Times New Roman" w:hAnsi="Arial" w:cs="Arial"/>
          <w:szCs w:val="24"/>
          <w:lang w:eastAsia="en-GB"/>
        </w:rPr>
        <w:lastRenderedPageBreak/>
        <w:t>implementation of national social services legislation in Wales, UK. </w:t>
      </w:r>
      <w:r w:rsidRPr="009C355B">
        <w:rPr>
          <w:rFonts w:ascii="Arial" w:eastAsia="Times New Roman" w:hAnsi="Arial" w:cs="Arial"/>
          <w:i/>
          <w:iCs/>
          <w:szCs w:val="24"/>
          <w:lang w:eastAsia="en-GB"/>
        </w:rPr>
        <w:t>The British Journal of Social Work</w:t>
      </w:r>
      <w:r w:rsidRPr="009C355B">
        <w:rPr>
          <w:rFonts w:ascii="Arial" w:eastAsia="Times New Roman" w:hAnsi="Arial" w:cs="Arial"/>
          <w:szCs w:val="24"/>
          <w:lang w:eastAsia="en-GB"/>
        </w:rPr>
        <w:t>, </w:t>
      </w:r>
      <w:r w:rsidRPr="009C355B">
        <w:rPr>
          <w:rFonts w:ascii="Arial" w:eastAsia="Times New Roman" w:hAnsi="Arial" w:cs="Arial"/>
          <w:i/>
          <w:iCs/>
          <w:szCs w:val="24"/>
          <w:lang w:eastAsia="en-GB"/>
        </w:rPr>
        <w:t>53</w:t>
      </w:r>
      <w:r w:rsidRPr="009C355B">
        <w:rPr>
          <w:rFonts w:ascii="Arial" w:eastAsia="Times New Roman" w:hAnsi="Arial" w:cs="Arial"/>
          <w:szCs w:val="24"/>
          <w:lang w:eastAsia="en-GB"/>
        </w:rPr>
        <w:t xml:space="preserve">(4), pp.2331-2351. </w:t>
      </w:r>
      <w:hyperlink r:id="rId18" w:history="1">
        <w:r w:rsidRPr="009C355B">
          <w:rPr>
            <w:rFonts w:ascii="Arial" w:eastAsia="Times New Roman" w:hAnsi="Arial" w:cs="Arial"/>
            <w:color w:val="0563C1"/>
            <w:szCs w:val="24"/>
            <w:u w:val="single"/>
            <w:lang w:eastAsia="en-GB"/>
          </w:rPr>
          <w:t>https://doi.org/10.1093/bjsw/bcad125</w:t>
        </w:r>
      </w:hyperlink>
      <w:r w:rsidRPr="009C355B">
        <w:rPr>
          <w:rFonts w:ascii="Arial" w:eastAsia="Times New Roman" w:hAnsi="Arial" w:cs="Arial"/>
          <w:szCs w:val="24"/>
          <w:lang w:eastAsia="en-GB"/>
        </w:rPr>
        <w:t xml:space="preserve"> </w:t>
      </w:r>
    </w:p>
    <w:p w14:paraId="5EAFA022" w14:textId="4335E8E4" w:rsidR="006159D4" w:rsidRDefault="007C221A" w:rsidP="006159D4">
      <w:pPr>
        <w:spacing w:after="0" w:line="360" w:lineRule="auto"/>
        <w:ind w:left="720" w:hanging="720"/>
        <w:jc w:val="both"/>
        <w:rPr>
          <w:rFonts w:ascii="Arial" w:eastAsia="Times New Roman" w:hAnsi="Arial" w:cs="Arial"/>
          <w:szCs w:val="24"/>
          <w:lang w:eastAsia="en-GB"/>
        </w:rPr>
      </w:pPr>
      <w:r w:rsidRPr="009C355B">
        <w:rPr>
          <w:rFonts w:ascii="Arial" w:eastAsia="Times New Roman" w:hAnsi="Arial" w:cs="Arial"/>
          <w:szCs w:val="24"/>
          <w:lang w:eastAsia="en-GB"/>
        </w:rPr>
        <w:t xml:space="preserve">Shannon, C.E. and Weaver, W. (1949) The Mathematical Theory of Communication. Urbana: University of Illinois Press. DOI: </w:t>
      </w:r>
      <w:hyperlink r:id="rId19" w:history="1">
        <w:r w:rsidRPr="009C355B">
          <w:rPr>
            <w:rFonts w:ascii="Arial" w:eastAsia="Times New Roman" w:hAnsi="Arial" w:cs="Arial"/>
            <w:color w:val="0563C1"/>
            <w:szCs w:val="24"/>
            <w:u w:val="single"/>
            <w:lang w:eastAsia="en-GB"/>
          </w:rPr>
          <w:t>https://doi.org/10.5406/j.ctvjk2v2r</w:t>
        </w:r>
      </w:hyperlink>
      <w:r w:rsidRPr="009C355B">
        <w:rPr>
          <w:rFonts w:ascii="Arial" w:eastAsia="Times New Roman" w:hAnsi="Arial" w:cs="Arial"/>
          <w:szCs w:val="24"/>
          <w:lang w:eastAsia="en-GB"/>
        </w:rPr>
        <w:t xml:space="preserve"> </w:t>
      </w:r>
    </w:p>
    <w:p w14:paraId="7FA00465" w14:textId="19327CB4" w:rsidR="006159D4" w:rsidRPr="009C355B" w:rsidRDefault="006159D4" w:rsidP="00FD668D">
      <w:pPr>
        <w:spacing w:after="0" w:line="360" w:lineRule="auto"/>
        <w:ind w:left="720" w:hanging="720"/>
        <w:jc w:val="both"/>
        <w:rPr>
          <w:rFonts w:ascii="Arial" w:eastAsia="Times New Roman" w:hAnsi="Arial" w:cs="Arial"/>
          <w:szCs w:val="24"/>
          <w:lang w:eastAsia="en-GB"/>
        </w:rPr>
      </w:pPr>
      <w:proofErr w:type="spellStart"/>
      <w:r w:rsidRPr="006159D4">
        <w:rPr>
          <w:rFonts w:ascii="Arial" w:eastAsia="Times New Roman" w:hAnsi="Arial" w:cs="Arial"/>
          <w:szCs w:val="24"/>
          <w:lang w:eastAsia="en-GB"/>
        </w:rPr>
        <w:t>Sunjaya</w:t>
      </w:r>
      <w:proofErr w:type="spellEnd"/>
      <w:r w:rsidRPr="006159D4">
        <w:rPr>
          <w:rFonts w:ascii="Arial" w:eastAsia="Times New Roman" w:hAnsi="Arial" w:cs="Arial"/>
          <w:szCs w:val="24"/>
          <w:lang w:eastAsia="en-GB"/>
        </w:rPr>
        <w:t xml:space="preserve">, A.M., Schreiber, T., Kantilal, K., Davies, N. and Griffiths, S., 2025. Communication strategies for delivering personalised dementia care and support: a mixed-methods systematic review and narrative synthesis. Age and Ageing, 54(5), </w:t>
      </w:r>
      <w:proofErr w:type="gramStart"/>
      <w:r w:rsidRPr="006159D4">
        <w:rPr>
          <w:rFonts w:ascii="Arial" w:eastAsia="Times New Roman" w:hAnsi="Arial" w:cs="Arial"/>
          <w:szCs w:val="24"/>
          <w:lang w:eastAsia="en-GB"/>
        </w:rPr>
        <w:t>p.afaf</w:t>
      </w:r>
      <w:proofErr w:type="gramEnd"/>
      <w:r w:rsidRPr="006159D4">
        <w:rPr>
          <w:rFonts w:ascii="Arial" w:eastAsia="Times New Roman" w:hAnsi="Arial" w:cs="Arial"/>
          <w:szCs w:val="24"/>
          <w:lang w:eastAsia="en-GB"/>
        </w:rPr>
        <w:t>120.</w:t>
      </w:r>
      <w:r>
        <w:rPr>
          <w:rFonts w:ascii="Arial" w:eastAsia="Times New Roman" w:hAnsi="Arial" w:cs="Arial"/>
          <w:szCs w:val="24"/>
          <w:lang w:eastAsia="en-GB"/>
        </w:rPr>
        <w:t xml:space="preserve"> </w:t>
      </w:r>
      <w:hyperlink r:id="rId20" w:history="1">
        <w:r w:rsidRPr="00987615">
          <w:rPr>
            <w:rStyle w:val="Hyperlink"/>
            <w:rFonts w:ascii="Arial" w:eastAsia="Times New Roman" w:hAnsi="Arial" w:cs="Arial"/>
            <w:szCs w:val="24"/>
            <w:lang w:eastAsia="en-GB"/>
          </w:rPr>
          <w:t>https://doi.org/10.1093/ageing/afaf120</w:t>
        </w:r>
      </w:hyperlink>
      <w:r>
        <w:rPr>
          <w:rFonts w:ascii="Arial" w:eastAsia="Times New Roman" w:hAnsi="Arial" w:cs="Arial"/>
          <w:szCs w:val="24"/>
          <w:lang w:eastAsia="en-GB"/>
        </w:rPr>
        <w:t xml:space="preserve"> </w:t>
      </w:r>
    </w:p>
    <w:p w14:paraId="15BF06EA" w14:textId="77777777" w:rsidR="007C221A" w:rsidRPr="009C355B" w:rsidRDefault="007C221A" w:rsidP="00FD668D">
      <w:pPr>
        <w:spacing w:after="0" w:line="360" w:lineRule="auto"/>
        <w:ind w:left="720" w:hanging="720"/>
        <w:jc w:val="both"/>
        <w:rPr>
          <w:rFonts w:ascii="Arial" w:eastAsia="Times New Roman" w:hAnsi="Arial" w:cs="Arial"/>
          <w:szCs w:val="24"/>
          <w:lang w:eastAsia="en-GB"/>
        </w:rPr>
      </w:pPr>
      <w:r w:rsidRPr="009C355B">
        <w:rPr>
          <w:rFonts w:ascii="Arial" w:eastAsia="Times New Roman" w:hAnsi="Arial" w:cs="Arial"/>
          <w:szCs w:val="24"/>
          <w:lang w:eastAsia="en-GB"/>
        </w:rPr>
        <w:t xml:space="preserve">UK Government (2022) Data Protection Act 2018. London: The National Archives. Available at: </w:t>
      </w:r>
      <w:hyperlink r:id="rId21" w:history="1">
        <w:r w:rsidRPr="009C355B">
          <w:rPr>
            <w:rFonts w:ascii="Arial" w:eastAsia="Times New Roman" w:hAnsi="Arial" w:cs="Arial"/>
            <w:color w:val="0563C1"/>
            <w:szCs w:val="24"/>
            <w:u w:val="single"/>
            <w:lang w:eastAsia="en-GB"/>
          </w:rPr>
          <w:t>https://www.legislation.gov.uk/ukpga/2018/12/contents</w:t>
        </w:r>
      </w:hyperlink>
      <w:r w:rsidRPr="009C355B">
        <w:rPr>
          <w:rFonts w:ascii="Arial" w:eastAsia="Times New Roman" w:hAnsi="Arial" w:cs="Arial"/>
          <w:szCs w:val="24"/>
          <w:lang w:eastAsia="en-GB"/>
        </w:rPr>
        <w:t xml:space="preserve"> </w:t>
      </w:r>
    </w:p>
    <w:p w14:paraId="5C78FB2C" w14:textId="77777777" w:rsidR="007C221A" w:rsidRPr="009C355B" w:rsidRDefault="007C221A" w:rsidP="00FD668D">
      <w:pPr>
        <w:spacing w:after="0" w:line="360" w:lineRule="auto"/>
        <w:jc w:val="both"/>
        <w:rPr>
          <w:rFonts w:ascii="Arial" w:eastAsia="Times New Roman" w:hAnsi="Arial" w:cs="Arial"/>
          <w:sz w:val="20"/>
          <w:szCs w:val="20"/>
          <w:lang w:eastAsia="en-GB"/>
        </w:rPr>
      </w:pPr>
    </w:p>
    <w:p w14:paraId="1425F4AC" w14:textId="6695D929" w:rsidR="001D7C03" w:rsidRPr="00CD33A8" w:rsidRDefault="001D7C03" w:rsidP="00FD668D">
      <w:pPr>
        <w:spacing w:after="0" w:line="360" w:lineRule="auto"/>
        <w:jc w:val="both"/>
        <w:rPr>
          <w:rFonts w:asciiTheme="minorBidi" w:hAnsiTheme="minorBidi"/>
          <w:sz w:val="22"/>
        </w:rPr>
      </w:pPr>
    </w:p>
    <w:sectPr w:rsidR="001D7C03" w:rsidRPr="00CD33A8" w:rsidSect="00E620E7">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96DD79" w14:textId="77777777" w:rsidR="00AE5BD7" w:rsidRDefault="00AE5BD7" w:rsidP="003E4ECF">
      <w:pPr>
        <w:spacing w:after="0" w:line="240" w:lineRule="auto"/>
      </w:pPr>
      <w:r>
        <w:separator/>
      </w:r>
    </w:p>
  </w:endnote>
  <w:endnote w:type="continuationSeparator" w:id="0">
    <w:p w14:paraId="0631BB7B" w14:textId="77777777" w:rsidR="00AE5BD7" w:rsidRDefault="00AE5BD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DE2F8" w14:textId="77777777" w:rsidR="00AE5BD7" w:rsidRDefault="00AE5BD7" w:rsidP="003E4ECF">
      <w:pPr>
        <w:spacing w:after="0" w:line="240" w:lineRule="auto"/>
      </w:pPr>
      <w:r>
        <w:separator/>
      </w:r>
    </w:p>
  </w:footnote>
  <w:footnote w:type="continuationSeparator" w:id="0">
    <w:p w14:paraId="2FA1476F" w14:textId="77777777" w:rsidR="00AE5BD7" w:rsidRDefault="00AE5BD7"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22FA4"/>
    <w:rsid w:val="0022568D"/>
    <w:rsid w:val="0026393A"/>
    <w:rsid w:val="00273EDD"/>
    <w:rsid w:val="002C3965"/>
    <w:rsid w:val="00321C4C"/>
    <w:rsid w:val="003220D9"/>
    <w:rsid w:val="00392BBC"/>
    <w:rsid w:val="003E4ECF"/>
    <w:rsid w:val="004076B4"/>
    <w:rsid w:val="004A736E"/>
    <w:rsid w:val="004E6BC9"/>
    <w:rsid w:val="005376D9"/>
    <w:rsid w:val="006159D4"/>
    <w:rsid w:val="006456D9"/>
    <w:rsid w:val="006925AA"/>
    <w:rsid w:val="00725177"/>
    <w:rsid w:val="007A1B8D"/>
    <w:rsid w:val="007C221A"/>
    <w:rsid w:val="00814A9E"/>
    <w:rsid w:val="00886C28"/>
    <w:rsid w:val="008B0A77"/>
    <w:rsid w:val="008E3943"/>
    <w:rsid w:val="008F3A45"/>
    <w:rsid w:val="0090040D"/>
    <w:rsid w:val="0092498D"/>
    <w:rsid w:val="00960473"/>
    <w:rsid w:val="009C355B"/>
    <w:rsid w:val="009D052C"/>
    <w:rsid w:val="009D1D1E"/>
    <w:rsid w:val="00A035FD"/>
    <w:rsid w:val="00A31666"/>
    <w:rsid w:val="00AD23A0"/>
    <w:rsid w:val="00AE5BD7"/>
    <w:rsid w:val="00B87E75"/>
    <w:rsid w:val="00C06257"/>
    <w:rsid w:val="00CD33A8"/>
    <w:rsid w:val="00E051CA"/>
    <w:rsid w:val="00E5163F"/>
    <w:rsid w:val="00E569FD"/>
    <w:rsid w:val="00E620E7"/>
    <w:rsid w:val="00EB15CA"/>
    <w:rsid w:val="00F66A2F"/>
    <w:rsid w:val="00F66E1B"/>
    <w:rsid w:val="00F91445"/>
    <w:rsid w:val="00FD668D"/>
    <w:rsid w:val="00FD7C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C221A"/>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7C221A"/>
    <w:pPr>
      <w:keepNext/>
      <w:keepLines/>
      <w:spacing w:before="40" w:after="0"/>
      <w:outlineLvl w:val="1"/>
    </w:pPr>
    <w:rPr>
      <w:rFonts w:ascii="Arial" w:eastAsiaTheme="majorEastAsia" w:hAnsi="Arial" w:cstheme="majorBidi"/>
      <w:b/>
      <w:i/>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21A"/>
    <w:rPr>
      <w:rFonts w:ascii="Arial" w:eastAsiaTheme="majorEastAsia" w:hAnsi="Arial"/>
      <w:b/>
      <w:sz w:val="32"/>
    </w:rPr>
  </w:style>
  <w:style w:type="character" w:customStyle="1" w:styleId="Heading2Char">
    <w:name w:val="Heading 2 Char"/>
    <w:basedOn w:val="DefaultParagraphFont"/>
    <w:link w:val="Heading2"/>
    <w:uiPriority w:val="9"/>
    <w:rsid w:val="007C221A"/>
    <w:rPr>
      <w:rFonts w:ascii="Arial" w:eastAsiaTheme="majorEastAsia" w:hAnsi="Arial" w:cstheme="majorBidi"/>
      <w:b/>
      <w:i/>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6456D9"/>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6456D9"/>
    <w:pPr>
      <w:spacing w:after="100"/>
    </w:pPr>
  </w:style>
  <w:style w:type="paragraph" w:styleId="TOC2">
    <w:name w:val="toc 2"/>
    <w:basedOn w:val="Normal"/>
    <w:next w:val="Normal"/>
    <w:autoRedefine/>
    <w:uiPriority w:val="39"/>
    <w:unhideWhenUsed/>
    <w:rsid w:val="006456D9"/>
    <w:pPr>
      <w:spacing w:after="100"/>
      <w:ind w:left="240"/>
    </w:pPr>
  </w:style>
  <w:style w:type="character" w:styleId="Hyperlink">
    <w:name w:val="Hyperlink"/>
    <w:basedOn w:val="DefaultParagraphFont"/>
    <w:uiPriority w:val="99"/>
    <w:unhideWhenUsed/>
    <w:rsid w:val="006456D9"/>
    <w:rPr>
      <w:color w:val="0563C1" w:themeColor="hyperlink"/>
      <w:u w:val="single"/>
    </w:rPr>
  </w:style>
  <w:style w:type="paragraph" w:styleId="Caption">
    <w:name w:val="caption"/>
    <w:basedOn w:val="Normal"/>
    <w:next w:val="Normal"/>
    <w:uiPriority w:val="35"/>
    <w:unhideWhenUsed/>
    <w:qFormat/>
    <w:rsid w:val="0022568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91445"/>
    <w:rPr>
      <w:color w:val="605E5C"/>
      <w:shd w:val="clear" w:color="auto" w:fill="E1DFDD"/>
    </w:rPr>
  </w:style>
  <w:style w:type="paragraph" w:styleId="NormalWeb">
    <w:name w:val="Normal (Web)"/>
    <w:basedOn w:val="Normal"/>
    <w:uiPriority w:val="99"/>
    <w:semiHidden/>
    <w:unhideWhenUsed/>
    <w:rsid w:val="00F91445"/>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government/publications/care-act-statutory-guidance/care-and-support-statutory-guidance" TargetMode="External"/><Relationship Id="rId18" Type="http://schemas.openxmlformats.org/officeDocument/2006/relationships/hyperlink" Target="https://doi.org/10.1093/bjsw/bcad125" TargetMode="External"/><Relationship Id="rId3" Type="http://schemas.openxmlformats.org/officeDocument/2006/relationships/settings" Target="settings.xml"/><Relationship Id="rId21" Type="http://schemas.openxmlformats.org/officeDocument/2006/relationships/hyperlink" Target="https://www.legislation.gov.uk/ukpga/2018/12/contents" TargetMode="External"/><Relationship Id="rId7" Type="http://schemas.openxmlformats.org/officeDocument/2006/relationships/image" Target="media/image1.png"/><Relationship Id="rId12" Type="http://schemas.openxmlformats.org/officeDocument/2006/relationships/hyperlink" Target="https://doi.org/10.3390/healthcare11081145" TargetMode="External"/><Relationship Id="rId17" Type="http://schemas.openxmlformats.org/officeDocument/2006/relationships/hyperlink" Target="https://doi.org/10.3389/fnins.2023.1106623" TargetMode="External"/><Relationship Id="rId2" Type="http://schemas.openxmlformats.org/officeDocument/2006/relationships/styles" Target="styles.xml"/><Relationship Id="rId16" Type="http://schemas.openxmlformats.org/officeDocument/2006/relationships/hyperlink" Target="https://www.england.nhs.uk/" TargetMode="External"/><Relationship Id="rId20" Type="http://schemas.openxmlformats.org/officeDocument/2006/relationships/hyperlink" Target="https://doi.org/10.1093/ageing/afaf12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12889-024-20089-5"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77/02683962221146373"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5406/j.ctvjk2v2r"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qualityhumanrights.com/guidanc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19B1EF-643F-4262-A6BC-A2816F403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9</Pages>
  <Words>2260</Words>
  <Characters>12884</Characters>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2021-10-31T12:16:00Z</dcterms:created>
  <dcterms:modified xsi:type="dcterms:W3CDTF">2026-07-29T04:58:00Z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36cc3eb0-c5bb-40fb-a271-440772913abb</vt:lpwstr>
  </property>
</Properties>
</file>