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BD527" w14:textId="320E0EE6" w:rsidR="00895559" w:rsidRDefault="00895559">
      <w:pPr>
        <w:rPr>
          <w:sz w:val="24"/>
          <w:szCs w:val="24"/>
        </w:rPr>
      </w:pPr>
    </w:p>
    <w:p w14:paraId="605E5423" w14:textId="1DCEA09A" w:rsidR="00A56253" w:rsidRPr="00A56253" w:rsidRDefault="00A56253" w:rsidP="00A56253">
      <w:pPr>
        <w:rPr>
          <w:sz w:val="24"/>
          <w:szCs w:val="24"/>
        </w:rPr>
      </w:pPr>
    </w:p>
    <w:p w14:paraId="1AF3FE47" w14:textId="1D6EA477" w:rsidR="00A56253" w:rsidRPr="00A56253" w:rsidRDefault="00A56253" w:rsidP="00A56253">
      <w:pPr>
        <w:rPr>
          <w:sz w:val="24"/>
          <w:szCs w:val="24"/>
        </w:rPr>
      </w:pPr>
    </w:p>
    <w:p w14:paraId="38A82553" w14:textId="25ACAE8E" w:rsidR="00A56253" w:rsidRPr="00A56253" w:rsidRDefault="00A56253" w:rsidP="00A56253">
      <w:pPr>
        <w:rPr>
          <w:sz w:val="24"/>
          <w:szCs w:val="24"/>
        </w:rPr>
      </w:pPr>
    </w:p>
    <w:p w14:paraId="6CB14969" w14:textId="685A3A74" w:rsidR="00A56253" w:rsidRPr="00A56253" w:rsidRDefault="00A56253" w:rsidP="00A56253">
      <w:pPr>
        <w:rPr>
          <w:sz w:val="24"/>
          <w:szCs w:val="24"/>
        </w:rPr>
      </w:pPr>
    </w:p>
    <w:p w14:paraId="688150FA" w14:textId="440C62AF" w:rsidR="00A56253" w:rsidRPr="00A56253" w:rsidRDefault="00A56253" w:rsidP="00A56253">
      <w:pPr>
        <w:rPr>
          <w:sz w:val="24"/>
          <w:szCs w:val="24"/>
        </w:rPr>
      </w:pPr>
    </w:p>
    <w:p w14:paraId="2A32A194" w14:textId="736D619C" w:rsidR="00A56253" w:rsidRDefault="00A56253" w:rsidP="00A56253">
      <w:pPr>
        <w:rPr>
          <w:sz w:val="24"/>
          <w:szCs w:val="24"/>
        </w:rPr>
      </w:pPr>
    </w:p>
    <w:p w14:paraId="46469C60" w14:textId="79E039CC" w:rsidR="00A56253" w:rsidRDefault="00A56253" w:rsidP="00553C50">
      <w:pPr>
        <w:tabs>
          <w:tab w:val="left" w:pos="3684"/>
        </w:tabs>
        <w:spacing w:line="276" w:lineRule="auto"/>
        <w:jc w:val="center"/>
        <w:rPr>
          <w:sz w:val="24"/>
          <w:szCs w:val="24"/>
        </w:rPr>
      </w:pPr>
      <w:r>
        <w:rPr>
          <w:sz w:val="24"/>
          <w:szCs w:val="24"/>
        </w:rPr>
        <w:t>Reform of Homicide</w:t>
      </w:r>
    </w:p>
    <w:p w14:paraId="2A165301" w14:textId="128544C8" w:rsidR="00A56253" w:rsidRDefault="00A56253" w:rsidP="00553C50">
      <w:pPr>
        <w:tabs>
          <w:tab w:val="left" w:pos="3684"/>
        </w:tabs>
        <w:spacing w:line="276" w:lineRule="auto"/>
        <w:jc w:val="center"/>
        <w:rPr>
          <w:sz w:val="24"/>
          <w:szCs w:val="24"/>
        </w:rPr>
      </w:pPr>
      <w:r>
        <w:rPr>
          <w:sz w:val="24"/>
          <w:szCs w:val="24"/>
        </w:rPr>
        <w:t xml:space="preserve">By </w:t>
      </w:r>
    </w:p>
    <w:p w14:paraId="1DAC56D8" w14:textId="11BF3E43" w:rsidR="00A56253" w:rsidRDefault="00A56253" w:rsidP="00553C50">
      <w:pPr>
        <w:tabs>
          <w:tab w:val="left" w:pos="3684"/>
        </w:tabs>
        <w:spacing w:line="276" w:lineRule="auto"/>
        <w:jc w:val="center"/>
        <w:rPr>
          <w:sz w:val="24"/>
          <w:szCs w:val="24"/>
        </w:rPr>
      </w:pPr>
      <w:r>
        <w:rPr>
          <w:sz w:val="24"/>
          <w:szCs w:val="24"/>
        </w:rPr>
        <w:t>Ella Jade Smith</w:t>
      </w:r>
    </w:p>
    <w:p w14:paraId="70C43F2B" w14:textId="33B84E1E" w:rsidR="00A56253" w:rsidRDefault="00A56253" w:rsidP="00553C50">
      <w:pPr>
        <w:tabs>
          <w:tab w:val="left" w:pos="3684"/>
        </w:tabs>
        <w:spacing w:line="276" w:lineRule="auto"/>
        <w:jc w:val="center"/>
        <w:rPr>
          <w:sz w:val="24"/>
          <w:szCs w:val="24"/>
        </w:rPr>
      </w:pPr>
    </w:p>
    <w:p w14:paraId="4099AFF0" w14:textId="62FF5843" w:rsidR="00A56253" w:rsidRDefault="00A56253" w:rsidP="00553C50">
      <w:pPr>
        <w:tabs>
          <w:tab w:val="left" w:pos="3684"/>
        </w:tabs>
        <w:spacing w:line="276" w:lineRule="auto"/>
        <w:jc w:val="center"/>
        <w:rPr>
          <w:sz w:val="24"/>
          <w:szCs w:val="24"/>
        </w:rPr>
      </w:pPr>
    </w:p>
    <w:p w14:paraId="78E9E684" w14:textId="71BE8422" w:rsidR="00A56253" w:rsidRDefault="00A56253" w:rsidP="00553C50">
      <w:pPr>
        <w:tabs>
          <w:tab w:val="left" w:pos="3684"/>
        </w:tabs>
        <w:spacing w:line="276" w:lineRule="auto"/>
        <w:jc w:val="center"/>
        <w:rPr>
          <w:sz w:val="24"/>
          <w:szCs w:val="24"/>
        </w:rPr>
      </w:pPr>
      <w:r>
        <w:rPr>
          <w:sz w:val="24"/>
          <w:szCs w:val="24"/>
        </w:rPr>
        <w:t>Laura Knight</w:t>
      </w:r>
    </w:p>
    <w:p w14:paraId="34E01390" w14:textId="6E5B4BEA" w:rsidR="00A56253" w:rsidRDefault="00A56253" w:rsidP="00553C50">
      <w:pPr>
        <w:tabs>
          <w:tab w:val="left" w:pos="3684"/>
        </w:tabs>
        <w:spacing w:line="276" w:lineRule="auto"/>
        <w:jc w:val="center"/>
        <w:rPr>
          <w:sz w:val="24"/>
          <w:szCs w:val="24"/>
        </w:rPr>
      </w:pPr>
      <w:r>
        <w:rPr>
          <w:sz w:val="24"/>
          <w:szCs w:val="24"/>
        </w:rPr>
        <w:t>UWTSD</w:t>
      </w:r>
    </w:p>
    <w:p w14:paraId="55074A79" w14:textId="13C0D688" w:rsidR="00A56253" w:rsidRDefault="00A56253" w:rsidP="00553C50">
      <w:pPr>
        <w:tabs>
          <w:tab w:val="left" w:pos="3684"/>
        </w:tabs>
        <w:spacing w:line="276" w:lineRule="auto"/>
        <w:jc w:val="center"/>
        <w:rPr>
          <w:sz w:val="24"/>
          <w:szCs w:val="24"/>
        </w:rPr>
      </w:pPr>
    </w:p>
    <w:p w14:paraId="67F2D953" w14:textId="25FB62A4" w:rsidR="00A56253" w:rsidRDefault="00A56253" w:rsidP="00553C50">
      <w:pPr>
        <w:tabs>
          <w:tab w:val="left" w:pos="3684"/>
        </w:tabs>
        <w:spacing w:line="276" w:lineRule="auto"/>
        <w:jc w:val="center"/>
        <w:rPr>
          <w:sz w:val="24"/>
          <w:szCs w:val="24"/>
        </w:rPr>
      </w:pPr>
      <w:r>
        <w:rPr>
          <w:sz w:val="24"/>
          <w:szCs w:val="24"/>
        </w:rPr>
        <w:t>Criminal Law</w:t>
      </w:r>
    </w:p>
    <w:p w14:paraId="380406AB" w14:textId="05DB6CAA" w:rsidR="00521669" w:rsidRDefault="00521669" w:rsidP="00553C50">
      <w:pPr>
        <w:tabs>
          <w:tab w:val="left" w:pos="3684"/>
        </w:tabs>
        <w:spacing w:line="276" w:lineRule="auto"/>
        <w:jc w:val="center"/>
        <w:rPr>
          <w:sz w:val="24"/>
          <w:szCs w:val="24"/>
        </w:rPr>
      </w:pPr>
      <w:r>
        <w:rPr>
          <w:sz w:val="24"/>
          <w:szCs w:val="24"/>
        </w:rPr>
        <w:t>05/11/2021</w:t>
      </w:r>
    </w:p>
    <w:p w14:paraId="358B4CC7" w14:textId="3C0D401D" w:rsidR="00A56253" w:rsidRDefault="00A56253" w:rsidP="00A56253">
      <w:pPr>
        <w:tabs>
          <w:tab w:val="left" w:pos="3684"/>
        </w:tabs>
        <w:jc w:val="center"/>
        <w:rPr>
          <w:sz w:val="24"/>
          <w:szCs w:val="24"/>
        </w:rPr>
      </w:pPr>
    </w:p>
    <w:p w14:paraId="63617FDC" w14:textId="2E730745" w:rsidR="00A56253" w:rsidRDefault="00A56253" w:rsidP="00A56253">
      <w:pPr>
        <w:tabs>
          <w:tab w:val="left" w:pos="3684"/>
        </w:tabs>
        <w:jc w:val="center"/>
        <w:rPr>
          <w:sz w:val="24"/>
          <w:szCs w:val="24"/>
        </w:rPr>
      </w:pPr>
    </w:p>
    <w:p w14:paraId="0DEAAE92" w14:textId="7F37DBF8" w:rsidR="00A56253" w:rsidRDefault="00A56253" w:rsidP="00A56253">
      <w:pPr>
        <w:tabs>
          <w:tab w:val="left" w:pos="3684"/>
        </w:tabs>
        <w:jc w:val="center"/>
        <w:rPr>
          <w:sz w:val="24"/>
          <w:szCs w:val="24"/>
        </w:rPr>
      </w:pPr>
    </w:p>
    <w:p w14:paraId="1CFEBD7F" w14:textId="73B8631C" w:rsidR="00A56253" w:rsidRDefault="00A56253" w:rsidP="00A56253">
      <w:pPr>
        <w:tabs>
          <w:tab w:val="left" w:pos="3684"/>
        </w:tabs>
        <w:jc w:val="center"/>
        <w:rPr>
          <w:sz w:val="24"/>
          <w:szCs w:val="24"/>
        </w:rPr>
      </w:pPr>
    </w:p>
    <w:p w14:paraId="03BF2F4C" w14:textId="58862F7B" w:rsidR="00A56253" w:rsidRDefault="00A56253" w:rsidP="00A56253">
      <w:pPr>
        <w:tabs>
          <w:tab w:val="left" w:pos="3684"/>
        </w:tabs>
        <w:jc w:val="center"/>
        <w:rPr>
          <w:sz w:val="24"/>
          <w:szCs w:val="24"/>
        </w:rPr>
      </w:pPr>
    </w:p>
    <w:p w14:paraId="2ED8565B" w14:textId="3C759E47" w:rsidR="00A56253" w:rsidRDefault="00A56253" w:rsidP="00A56253">
      <w:pPr>
        <w:tabs>
          <w:tab w:val="left" w:pos="3684"/>
        </w:tabs>
        <w:jc w:val="center"/>
        <w:rPr>
          <w:sz w:val="24"/>
          <w:szCs w:val="24"/>
        </w:rPr>
      </w:pPr>
    </w:p>
    <w:p w14:paraId="0745CCA2" w14:textId="1BC8173B" w:rsidR="00A56253" w:rsidRDefault="00A56253" w:rsidP="00A56253">
      <w:pPr>
        <w:tabs>
          <w:tab w:val="left" w:pos="3684"/>
        </w:tabs>
        <w:jc w:val="center"/>
        <w:rPr>
          <w:sz w:val="24"/>
          <w:szCs w:val="24"/>
        </w:rPr>
      </w:pPr>
    </w:p>
    <w:p w14:paraId="662FE4A2" w14:textId="56630F84" w:rsidR="00A56253" w:rsidRDefault="00A56253" w:rsidP="00A56253">
      <w:pPr>
        <w:tabs>
          <w:tab w:val="left" w:pos="3684"/>
        </w:tabs>
        <w:jc w:val="center"/>
        <w:rPr>
          <w:sz w:val="24"/>
          <w:szCs w:val="24"/>
        </w:rPr>
      </w:pPr>
    </w:p>
    <w:p w14:paraId="31570DAD" w14:textId="73B46DB3" w:rsidR="00A56253" w:rsidRDefault="00A56253" w:rsidP="00A56253">
      <w:pPr>
        <w:tabs>
          <w:tab w:val="left" w:pos="3684"/>
        </w:tabs>
        <w:jc w:val="center"/>
        <w:rPr>
          <w:sz w:val="24"/>
          <w:szCs w:val="24"/>
        </w:rPr>
      </w:pPr>
    </w:p>
    <w:p w14:paraId="6BE173A5" w14:textId="431E7874" w:rsidR="00A56253" w:rsidRDefault="00A56253" w:rsidP="00A56253">
      <w:pPr>
        <w:tabs>
          <w:tab w:val="left" w:pos="3684"/>
        </w:tabs>
        <w:jc w:val="center"/>
        <w:rPr>
          <w:sz w:val="24"/>
          <w:szCs w:val="24"/>
        </w:rPr>
      </w:pPr>
    </w:p>
    <w:p w14:paraId="02FFC932" w14:textId="29D6287B" w:rsidR="00A56253" w:rsidRDefault="00A56253" w:rsidP="00A56253">
      <w:pPr>
        <w:tabs>
          <w:tab w:val="left" w:pos="3684"/>
        </w:tabs>
        <w:jc w:val="center"/>
        <w:rPr>
          <w:sz w:val="24"/>
          <w:szCs w:val="24"/>
        </w:rPr>
      </w:pPr>
    </w:p>
    <w:p w14:paraId="17DBBBB3" w14:textId="63BC714E" w:rsidR="00A56253" w:rsidRDefault="00A56253" w:rsidP="00A56253">
      <w:pPr>
        <w:tabs>
          <w:tab w:val="left" w:pos="3684"/>
        </w:tabs>
        <w:jc w:val="center"/>
        <w:rPr>
          <w:sz w:val="24"/>
          <w:szCs w:val="24"/>
        </w:rPr>
      </w:pPr>
    </w:p>
    <w:p w14:paraId="4F53AEC7" w14:textId="5864E248" w:rsidR="00A56253" w:rsidRDefault="00A56253" w:rsidP="00FE3A0F">
      <w:pPr>
        <w:tabs>
          <w:tab w:val="left" w:pos="3684"/>
        </w:tabs>
        <w:spacing w:line="360" w:lineRule="auto"/>
        <w:jc w:val="center"/>
        <w:rPr>
          <w:sz w:val="24"/>
          <w:szCs w:val="24"/>
        </w:rPr>
      </w:pPr>
    </w:p>
    <w:p w14:paraId="3149C3C4" w14:textId="404B8268" w:rsidR="00A56253" w:rsidRPr="007429EA" w:rsidRDefault="001B5572" w:rsidP="00FE3A0F">
      <w:pPr>
        <w:tabs>
          <w:tab w:val="left" w:pos="3684"/>
        </w:tabs>
        <w:spacing w:line="360" w:lineRule="auto"/>
        <w:jc w:val="center"/>
        <w:rPr>
          <w:sz w:val="24"/>
          <w:szCs w:val="24"/>
        </w:rPr>
      </w:pPr>
      <w:r w:rsidRPr="007429EA">
        <w:rPr>
          <w:sz w:val="24"/>
          <w:szCs w:val="24"/>
        </w:rPr>
        <w:t>Homicide</w:t>
      </w:r>
    </w:p>
    <w:p w14:paraId="14B7C7B3" w14:textId="33216B12" w:rsidR="001B5572" w:rsidRPr="007429EA" w:rsidRDefault="00CB1570" w:rsidP="00FE3A0F">
      <w:pPr>
        <w:tabs>
          <w:tab w:val="left" w:pos="218"/>
          <w:tab w:val="left" w:pos="3684"/>
        </w:tabs>
        <w:spacing w:line="360" w:lineRule="auto"/>
        <w:rPr>
          <w:sz w:val="24"/>
          <w:szCs w:val="24"/>
        </w:rPr>
      </w:pPr>
      <w:r w:rsidRPr="007429EA">
        <w:rPr>
          <w:sz w:val="24"/>
          <w:szCs w:val="24"/>
        </w:rPr>
        <w:t>A major homicide statute in England and Wales is the Homicide Act 1957. The Act was a result of the need to amend common law on murder to address the concept of constructive malice.</w:t>
      </w:r>
      <w:r w:rsidRPr="007429EA">
        <w:rPr>
          <w:sz w:val="24"/>
          <w:szCs w:val="24"/>
        </w:rPr>
        <w:t xml:space="preserve"> </w:t>
      </w:r>
      <w:r w:rsidR="001B5572" w:rsidRPr="007429EA">
        <w:rPr>
          <w:sz w:val="24"/>
          <w:szCs w:val="24"/>
        </w:rPr>
        <w:t>The Act was passed in the aftermath of the Royal Commission on Capital Punishment, which satisfied some of its proposals but contradicted the primary proposal, which communicated that it is unfeasible to devise a suitable manner of restricting the scope of capital punishment by separating murder into degrees (Horder and Fitz- Gibbon, 2015).</w:t>
      </w:r>
    </w:p>
    <w:p w14:paraId="4D256691" w14:textId="7841FFEE" w:rsidR="003968CC" w:rsidRPr="007429EA" w:rsidRDefault="003968CC" w:rsidP="00FE3A0F">
      <w:pPr>
        <w:tabs>
          <w:tab w:val="left" w:pos="218"/>
          <w:tab w:val="left" w:pos="3684"/>
        </w:tabs>
        <w:spacing w:line="360" w:lineRule="auto"/>
        <w:rPr>
          <w:sz w:val="24"/>
          <w:szCs w:val="24"/>
        </w:rPr>
      </w:pPr>
      <w:r w:rsidRPr="007429EA">
        <w:rPr>
          <w:sz w:val="24"/>
          <w:szCs w:val="24"/>
        </w:rPr>
        <w:t>While defining homicide is straightforward – one person killing another- there are significant contestations in settling on what constitutes manslaughter and murder. According to Sir Ed</w:t>
      </w:r>
      <w:r w:rsidR="00114CCE" w:rsidRPr="007429EA">
        <w:rPr>
          <w:sz w:val="24"/>
          <w:szCs w:val="24"/>
        </w:rPr>
        <w:t>ward</w:t>
      </w:r>
      <w:r w:rsidRPr="007429EA">
        <w:rPr>
          <w:sz w:val="24"/>
          <w:szCs w:val="24"/>
        </w:rPr>
        <w:t xml:space="preserve"> Coke’s definition, homicide incorporates unlawful killing of another person under the Queen’s peace and is punishable under the common law. </w:t>
      </w:r>
      <w:r w:rsidR="00E07DDD" w:rsidRPr="007429EA">
        <w:rPr>
          <w:sz w:val="24"/>
          <w:szCs w:val="24"/>
        </w:rPr>
        <w:t>Hossain and Rahi (2018) also argue that intent is a crucial element of homicide. Consequently, one should use a broad approach when constructing evidence of intention to commit homicide</w:t>
      </w:r>
      <w:r w:rsidR="00E07DDD" w:rsidRPr="007429EA">
        <w:rPr>
          <w:sz w:val="24"/>
          <w:szCs w:val="24"/>
        </w:rPr>
        <w:t xml:space="preserve"> </w:t>
      </w:r>
      <w:r w:rsidRPr="007429EA">
        <w:rPr>
          <w:sz w:val="24"/>
          <w:szCs w:val="24"/>
        </w:rPr>
        <w:t xml:space="preserve">(Simester, 2021). Interpreting homicide as murder or manslaughter poses yet another challenge calling for </w:t>
      </w:r>
      <w:r w:rsidR="008658FB" w:rsidRPr="007429EA">
        <w:rPr>
          <w:sz w:val="24"/>
          <w:szCs w:val="24"/>
        </w:rPr>
        <w:t xml:space="preserve">a </w:t>
      </w:r>
      <w:r w:rsidRPr="007429EA">
        <w:rPr>
          <w:sz w:val="24"/>
          <w:szCs w:val="24"/>
        </w:rPr>
        <w:t>detailed legal definition in different contexts. To this effect, Mitchell (1986)</w:t>
      </w:r>
      <w:r w:rsidR="008658FB" w:rsidRPr="007429EA">
        <w:rPr>
          <w:sz w:val="24"/>
          <w:szCs w:val="24"/>
        </w:rPr>
        <w:t>,</w:t>
      </w:r>
      <w:r w:rsidRPr="007429EA">
        <w:rPr>
          <w:sz w:val="24"/>
          <w:szCs w:val="24"/>
        </w:rPr>
        <w:t xml:space="preserve"> defined murder as a criminal offence in which the defendant kills while in a culpable state of mind. </w:t>
      </w:r>
      <w:r w:rsidR="00114CCE" w:rsidRPr="007429EA">
        <w:rPr>
          <w:sz w:val="24"/>
          <w:szCs w:val="24"/>
        </w:rPr>
        <w:t xml:space="preserve">The definition also incorporates a lack of extenuating circumstances leading to the killing. This definition concurs with Sir Edward Coke’s that also considers the age and intentions of the perpetrator. </w:t>
      </w:r>
    </w:p>
    <w:p w14:paraId="3ED09F2C" w14:textId="7B4547C6" w:rsidR="00EA6216" w:rsidRPr="007429EA" w:rsidRDefault="00EA6216" w:rsidP="00FE3A0F">
      <w:pPr>
        <w:spacing w:line="360" w:lineRule="auto"/>
        <w:rPr>
          <w:sz w:val="24"/>
          <w:szCs w:val="24"/>
        </w:rPr>
      </w:pPr>
      <w:r w:rsidRPr="007429EA">
        <w:rPr>
          <w:sz w:val="24"/>
          <w:szCs w:val="24"/>
        </w:rPr>
        <w:t xml:space="preserve">Alex Chalk is among the proponents of reforms to homicide law in England and Wales based on the need for such reforms to provide further clarity on murder and intention. </w:t>
      </w:r>
      <w:r w:rsidR="00D84B7D" w:rsidRPr="007429EA">
        <w:rPr>
          <w:sz w:val="24"/>
          <w:szCs w:val="24"/>
        </w:rPr>
        <w:t xml:space="preserve">The existing statute has been criticised for being biased and corrupting the sentencing procedure for murder by incorporating an intent to commit serious bodily injury within the range of murder (Clough and Fitz-Gibbon, 2021). </w:t>
      </w:r>
      <w:r w:rsidRPr="007429EA">
        <w:rPr>
          <w:sz w:val="24"/>
          <w:szCs w:val="24"/>
        </w:rPr>
        <w:t xml:space="preserve">According to Alex Chalk, the old defences in defining homicide are limited to murder and homicide, failing to include infanticide as a homicide offence. </w:t>
      </w:r>
    </w:p>
    <w:p w14:paraId="2BDF665A" w14:textId="34664211" w:rsidR="004B44E8" w:rsidRPr="007429EA" w:rsidRDefault="004B44E8" w:rsidP="00FE3A0F">
      <w:pPr>
        <w:spacing w:line="360" w:lineRule="auto"/>
        <w:rPr>
          <w:sz w:val="24"/>
          <w:szCs w:val="24"/>
        </w:rPr>
      </w:pPr>
    </w:p>
    <w:p w14:paraId="65804AA0" w14:textId="2EFDDA50" w:rsidR="00A05FFB" w:rsidRPr="007429EA" w:rsidRDefault="004B44E8" w:rsidP="00FE3A0F">
      <w:pPr>
        <w:tabs>
          <w:tab w:val="left" w:pos="218"/>
          <w:tab w:val="left" w:pos="3684"/>
        </w:tabs>
        <w:spacing w:line="360" w:lineRule="auto"/>
        <w:rPr>
          <w:sz w:val="24"/>
          <w:szCs w:val="24"/>
        </w:rPr>
      </w:pPr>
      <w:r w:rsidRPr="007429EA">
        <w:rPr>
          <w:sz w:val="24"/>
          <w:szCs w:val="24"/>
        </w:rPr>
        <w:lastRenderedPageBreak/>
        <w:t xml:space="preserve">The Commission proposed a three-tier framework to replace the current two-tier system. The recommendation of the three-tier system would </w:t>
      </w:r>
      <w:r w:rsidR="00E039E4" w:rsidRPr="007429EA">
        <w:rPr>
          <w:sz w:val="24"/>
          <w:szCs w:val="24"/>
        </w:rPr>
        <w:t xml:space="preserve">have the same layout in this report as the previous, however the boundary between first- and second- degree murder was modified. The Commission found that the first degree of murder was excessively restrictive and that it should be expanded to encompass causing death if the individual had the purpose of causing substantial injury and was aware of the potential of causing death (Raj, 2015). </w:t>
      </w:r>
      <w:r w:rsidR="00A05FFB" w:rsidRPr="007429EA">
        <w:rPr>
          <w:sz w:val="24"/>
          <w:szCs w:val="24"/>
        </w:rPr>
        <w:t xml:space="preserve">Second- degree murder would include murdering with the aim to inflict significant harm, or when the criminal aimed to impose some injury, fear of injury, or a risk of injury with the knowledge that the behaviour posed </w:t>
      </w:r>
      <w:proofErr w:type="gramStart"/>
      <w:r w:rsidR="00A05FFB" w:rsidRPr="007429EA">
        <w:rPr>
          <w:sz w:val="24"/>
          <w:szCs w:val="24"/>
        </w:rPr>
        <w:t>a serious danger</w:t>
      </w:r>
      <w:proofErr w:type="gramEnd"/>
      <w:r w:rsidR="00A05FFB" w:rsidRPr="007429EA">
        <w:rPr>
          <w:sz w:val="24"/>
          <w:szCs w:val="24"/>
        </w:rPr>
        <w:t xml:space="preserve"> of causing death. The last type of second- degree murder is when an individual would have been charged with first-degree murder but had a partial defence available (Naylor and Tyson, 2017). </w:t>
      </w:r>
      <w:r w:rsidR="007429EA" w:rsidRPr="007429EA">
        <w:rPr>
          <w:rFonts w:ascii="Calibri" w:hAnsi="Calibri" w:cs="Calibri"/>
          <w:color w:val="000000"/>
          <w:sz w:val="24"/>
          <w:szCs w:val="24"/>
          <w:shd w:val="clear" w:color="auto" w:fill="FFFFFF"/>
        </w:rPr>
        <w:t>Nevertheless, manslaughter is defined as an unintended death caused by unlawful acts committed by another person. The Law Commission identified fair labelling as one of the concepts that drove the construction of the three-tier framework of homicide offences (Lloyd Jones, 2015). The concept, nevertheless, was not regarded as the primary reason for the English Law Commission’s proposal. </w:t>
      </w:r>
    </w:p>
    <w:p w14:paraId="4D2D7915" w14:textId="5E8C6251" w:rsidR="00D32170" w:rsidRDefault="007F04FF" w:rsidP="00FE3A0F">
      <w:pPr>
        <w:tabs>
          <w:tab w:val="left" w:pos="218"/>
          <w:tab w:val="left" w:pos="3684"/>
        </w:tabs>
        <w:spacing w:line="360" w:lineRule="auto"/>
        <w:rPr>
          <w:sz w:val="24"/>
          <w:szCs w:val="24"/>
        </w:rPr>
      </w:pPr>
      <w:r>
        <w:rPr>
          <w:sz w:val="24"/>
          <w:szCs w:val="24"/>
        </w:rPr>
        <w:t xml:space="preserve">The amended diminished responsibility plea </w:t>
      </w:r>
      <w:r w:rsidR="009E6B9B">
        <w:rPr>
          <w:sz w:val="24"/>
          <w:szCs w:val="24"/>
        </w:rPr>
        <w:t xml:space="preserve">in </w:t>
      </w:r>
      <w:r>
        <w:rPr>
          <w:sz w:val="24"/>
          <w:szCs w:val="24"/>
        </w:rPr>
        <w:t>2010</w:t>
      </w:r>
      <w:r w:rsidR="009E6B9B">
        <w:rPr>
          <w:sz w:val="24"/>
          <w:szCs w:val="24"/>
        </w:rPr>
        <w:t>,</w:t>
      </w:r>
      <w:r>
        <w:rPr>
          <w:sz w:val="24"/>
          <w:szCs w:val="24"/>
        </w:rPr>
        <w:t xml:space="preserve"> demonstrated in the Coroners and Justice Act 2009 provides a rewording of the old defence. The new defence</w:t>
      </w:r>
      <w:r w:rsidR="005528CC">
        <w:rPr>
          <w:sz w:val="24"/>
          <w:szCs w:val="24"/>
        </w:rPr>
        <w:t xml:space="preserve"> goes beyond the abnormality of the mind as the underlying cause of homicide and incorporates </w:t>
      </w:r>
      <w:r w:rsidR="003B6E54">
        <w:rPr>
          <w:sz w:val="24"/>
          <w:szCs w:val="24"/>
        </w:rPr>
        <w:t>psychiatric concepts</w:t>
      </w:r>
      <w:r w:rsidR="005528CC">
        <w:rPr>
          <w:sz w:val="24"/>
          <w:szCs w:val="24"/>
        </w:rPr>
        <w:t xml:space="preserve"> and the role of an expert jury in establishing the offence. </w:t>
      </w:r>
      <w:r w:rsidR="00D32170">
        <w:rPr>
          <w:sz w:val="24"/>
          <w:szCs w:val="24"/>
        </w:rPr>
        <w:t>The result is that successful pleading of insanity may be much easier than in the old defence.</w:t>
      </w:r>
      <w:r w:rsidR="00D32170" w:rsidRPr="00D32170">
        <w:rPr>
          <w:sz w:val="24"/>
          <w:szCs w:val="24"/>
        </w:rPr>
        <w:t xml:space="preserve"> </w:t>
      </w:r>
      <w:r w:rsidR="00D32170">
        <w:rPr>
          <w:sz w:val="24"/>
          <w:szCs w:val="24"/>
        </w:rPr>
        <w:t xml:space="preserve">Introducing the concept of a recognised medical condition minimises possible ambiguities in the new defence, unlike the old defence that based abnormality of the mind on factors such as “any” inherent causes (Loughnan, 2012). </w:t>
      </w:r>
      <w:r w:rsidR="00BB25F8">
        <w:rPr>
          <w:sz w:val="24"/>
          <w:szCs w:val="24"/>
        </w:rPr>
        <w:t>A</w:t>
      </w:r>
      <w:r w:rsidR="00541874">
        <w:rPr>
          <w:sz w:val="24"/>
          <w:szCs w:val="24"/>
        </w:rPr>
        <w:t>cademics</w:t>
      </w:r>
      <w:r w:rsidR="00BB25F8">
        <w:rPr>
          <w:sz w:val="24"/>
          <w:szCs w:val="24"/>
        </w:rPr>
        <w:t>, however,</w:t>
      </w:r>
      <w:r w:rsidR="00541874">
        <w:rPr>
          <w:sz w:val="24"/>
          <w:szCs w:val="24"/>
        </w:rPr>
        <w:t xml:space="preserve"> argue that the new plea introduces complexities in explanations and causation requirements. </w:t>
      </w:r>
    </w:p>
    <w:p w14:paraId="326730C5" w14:textId="31BEF15A" w:rsidR="00AE7727" w:rsidRDefault="00694EDE" w:rsidP="00FE3A0F">
      <w:pPr>
        <w:tabs>
          <w:tab w:val="left" w:pos="218"/>
          <w:tab w:val="left" w:pos="3684"/>
        </w:tabs>
        <w:spacing w:line="360" w:lineRule="auto"/>
        <w:rPr>
          <w:sz w:val="24"/>
          <w:szCs w:val="24"/>
        </w:rPr>
      </w:pPr>
      <w:r>
        <w:rPr>
          <w:sz w:val="24"/>
          <w:szCs w:val="24"/>
        </w:rPr>
        <w:t>Additionally</w:t>
      </w:r>
      <w:r w:rsidR="00AE7727">
        <w:rPr>
          <w:sz w:val="24"/>
          <w:szCs w:val="24"/>
        </w:rPr>
        <w:t>, the new defence fails to fully address the ambiguity in the word “responsibility”, subjecting it to conceptual loopholes in responding appropriately to homicide offences. A similar ambiguity existed in the old defence of diminished responsibility, as seen in the case of R v Cheshire [</w:t>
      </w:r>
      <w:r w:rsidR="00AE7727" w:rsidRPr="007429EA">
        <w:rPr>
          <w:sz w:val="24"/>
          <w:szCs w:val="24"/>
        </w:rPr>
        <w:t xml:space="preserve">1991], demonstrating </w:t>
      </w:r>
      <w:r w:rsidR="00443CCB" w:rsidRPr="007429EA">
        <w:rPr>
          <w:sz w:val="24"/>
          <w:szCs w:val="24"/>
        </w:rPr>
        <w:t>the shift of responsibility from the defendant to medical negligence.</w:t>
      </w:r>
      <w:r w:rsidR="000D142D" w:rsidRPr="007429EA">
        <w:rPr>
          <w:sz w:val="24"/>
          <w:szCs w:val="24"/>
        </w:rPr>
        <w:t xml:space="preserve"> </w:t>
      </w:r>
      <w:r w:rsidR="007429EA" w:rsidRPr="007429EA">
        <w:rPr>
          <w:rFonts w:ascii="Calibri" w:hAnsi="Calibri" w:cs="Calibri"/>
          <w:color w:val="000000"/>
          <w:sz w:val="24"/>
          <w:szCs w:val="24"/>
          <w:shd w:val="clear" w:color="auto" w:fill="FFFFFF"/>
        </w:rPr>
        <w:t xml:space="preserve">The reforms by the Law Commission sought to establish common ground between liability and capacity in homicide </w:t>
      </w:r>
      <w:r w:rsidR="007429EA" w:rsidRPr="007429EA">
        <w:rPr>
          <w:rFonts w:ascii="Calibri" w:hAnsi="Calibri" w:cs="Calibri"/>
          <w:color w:val="000000"/>
          <w:sz w:val="24"/>
          <w:szCs w:val="24"/>
          <w:shd w:val="clear" w:color="auto" w:fill="FFFFFF"/>
        </w:rPr>
        <w:lastRenderedPageBreak/>
        <w:t>offences as a means of sealing the ambiguity arising from the word “responsibility”. Aspects of capacity, such as age and mental well-being, require further clarification in the new reforms.</w:t>
      </w:r>
      <w:r w:rsidR="007429EA">
        <w:rPr>
          <w:rFonts w:ascii="Calibri" w:hAnsi="Calibri" w:cs="Calibri"/>
          <w:color w:val="000000"/>
          <w:shd w:val="clear" w:color="auto" w:fill="FFFFFF"/>
        </w:rPr>
        <w:t> </w:t>
      </w:r>
    </w:p>
    <w:p w14:paraId="5764A69E" w14:textId="66EF0966" w:rsidR="00E36193" w:rsidRDefault="00EF6CCE" w:rsidP="00FE3A0F">
      <w:pPr>
        <w:tabs>
          <w:tab w:val="left" w:pos="218"/>
          <w:tab w:val="left" w:pos="3684"/>
        </w:tabs>
        <w:spacing w:line="360" w:lineRule="auto"/>
        <w:rPr>
          <w:sz w:val="24"/>
          <w:szCs w:val="24"/>
        </w:rPr>
      </w:pPr>
      <w:r>
        <w:rPr>
          <w:sz w:val="24"/>
          <w:szCs w:val="24"/>
        </w:rPr>
        <w:t>Similarly,</w:t>
      </w:r>
      <w:r w:rsidR="00E36193">
        <w:rPr>
          <w:sz w:val="24"/>
          <w:szCs w:val="24"/>
        </w:rPr>
        <w:t xml:space="preserve"> Kennefick (1988)</w:t>
      </w:r>
      <w:r w:rsidR="008D408C">
        <w:rPr>
          <w:sz w:val="24"/>
          <w:szCs w:val="24"/>
        </w:rPr>
        <w:t>,</w:t>
      </w:r>
      <w:r w:rsidR="00E36193">
        <w:rPr>
          <w:sz w:val="24"/>
          <w:szCs w:val="24"/>
        </w:rPr>
        <w:t xml:space="preserve"> asserts that the old legislative definition of diminished responsibility exposes it to criticism. The Butler Committee is among the first criticisms of the old defence of diminished responsibility, seeking legal reforms to include a verdict rendering a defendant not guilty as determined by evidence of a mental disorder. However, adopting the proposals of the Butler Committee would</w:t>
      </w:r>
      <w:r w:rsidR="00D51431">
        <w:rPr>
          <w:sz w:val="24"/>
          <w:szCs w:val="24"/>
        </w:rPr>
        <w:t xml:space="preserve"> render the old defence</w:t>
      </w:r>
      <w:r w:rsidR="000D142D">
        <w:rPr>
          <w:sz w:val="24"/>
          <w:szCs w:val="24"/>
        </w:rPr>
        <w:t xml:space="preserve"> </w:t>
      </w:r>
      <w:r w:rsidR="00D51431">
        <w:rPr>
          <w:sz w:val="24"/>
          <w:szCs w:val="24"/>
        </w:rPr>
        <w:t xml:space="preserve">void. </w:t>
      </w:r>
      <w:r w:rsidR="000D142D">
        <w:rPr>
          <w:sz w:val="24"/>
          <w:szCs w:val="24"/>
        </w:rPr>
        <w:t>The Butler Report</w:t>
      </w:r>
      <w:r w:rsidR="00D51431">
        <w:rPr>
          <w:sz w:val="24"/>
          <w:szCs w:val="24"/>
        </w:rPr>
        <w:t xml:space="preserve"> forms the basis for reforming the homicide law and establishing areas for improvement to make the new diminished responsibility defence fit for law. </w:t>
      </w:r>
      <w:r w:rsidR="00C0719A">
        <w:rPr>
          <w:sz w:val="24"/>
          <w:szCs w:val="24"/>
        </w:rPr>
        <w:t xml:space="preserve">Therefore, the government adopted the new defence to seek a special verdict – not guilty by reason of insanity- while considering the doctrine of mental incapacity in homicide offences. Moreover, there is further reforms needed to the new defence of diminished responsibility as to make it wide enough to capture broad and changing dimensions on homicide offences, while also being precise to avoid ambiguities. Achieving such levels of precisions will involve establishing critical evaluation of proposed reforms by different stakeholders and considering vital aspects. </w:t>
      </w:r>
    </w:p>
    <w:p w14:paraId="7FB008DB" w14:textId="77777777" w:rsidR="001A78C4" w:rsidRDefault="006D26F9" w:rsidP="00FE3A0F">
      <w:pPr>
        <w:tabs>
          <w:tab w:val="left" w:pos="188"/>
          <w:tab w:val="left" w:pos="3684"/>
        </w:tabs>
        <w:spacing w:line="360" w:lineRule="auto"/>
        <w:rPr>
          <w:sz w:val="24"/>
          <w:szCs w:val="24"/>
        </w:rPr>
      </w:pPr>
      <w:r>
        <w:rPr>
          <w:sz w:val="24"/>
          <w:szCs w:val="24"/>
        </w:rPr>
        <w:t>Furthermore</w:t>
      </w:r>
      <w:r w:rsidR="001806D0">
        <w:rPr>
          <w:sz w:val="24"/>
          <w:szCs w:val="24"/>
        </w:rPr>
        <w:t xml:space="preserve">, the defence of provocation is an old defence applicable in England and Wales in cases of homicide prior to 2009. </w:t>
      </w:r>
      <w:r w:rsidR="00D23E0C">
        <w:rPr>
          <w:sz w:val="24"/>
          <w:szCs w:val="24"/>
        </w:rPr>
        <w:t xml:space="preserve">According to the Law Commission, the old defence is not a construct of legislative processes involving detailed consultation and research. </w:t>
      </w:r>
      <w:proofErr w:type="gramStart"/>
      <w:r w:rsidR="00D23E0C">
        <w:rPr>
          <w:sz w:val="24"/>
          <w:szCs w:val="24"/>
        </w:rPr>
        <w:t>Fitz-Gibbon</w:t>
      </w:r>
      <w:proofErr w:type="gramEnd"/>
      <w:r w:rsidR="00D23E0C">
        <w:rPr>
          <w:sz w:val="24"/>
          <w:szCs w:val="24"/>
        </w:rPr>
        <w:t xml:space="preserve"> (2013) affirms that replacing the old provocation defence with a new defence of loss of control is integral in allowing the law of homicide to have provisions for unique circumstances associated with a person killing another party. Notably, the government implemented the new partial defence of loss of control contrary to the recommendations of the Law Commission based on the best intentions. </w:t>
      </w:r>
      <w:r w:rsidR="001806D0">
        <w:rPr>
          <w:sz w:val="24"/>
          <w:szCs w:val="24"/>
        </w:rPr>
        <w:tab/>
      </w:r>
    </w:p>
    <w:p w14:paraId="37F951E4" w14:textId="3A93C0F3" w:rsidR="000D142D" w:rsidRPr="001A78C4" w:rsidRDefault="001A78C4" w:rsidP="00FE3A0F">
      <w:pPr>
        <w:tabs>
          <w:tab w:val="left" w:pos="188"/>
          <w:tab w:val="left" w:pos="3684"/>
        </w:tabs>
        <w:spacing w:line="360" w:lineRule="auto"/>
        <w:rPr>
          <w:sz w:val="24"/>
          <w:szCs w:val="24"/>
        </w:rPr>
      </w:pPr>
      <w:r w:rsidRPr="001A78C4">
        <w:rPr>
          <w:rFonts w:ascii="Calibri" w:hAnsi="Calibri" w:cs="Calibri"/>
          <w:color w:val="000000"/>
          <w:sz w:val="24"/>
          <w:szCs w:val="24"/>
          <w:shd w:val="clear" w:color="auto" w:fill="FFFFFF"/>
        </w:rPr>
        <w:t>Critics point out that the new loss of control defence does not provide a detailed definition of what constitutes being "seriously wronged" sufficient to justify a loss of control that would result in homicide</w:t>
      </w:r>
      <w:r w:rsidR="00FE3A0F" w:rsidRPr="001A78C4">
        <w:rPr>
          <w:rFonts w:ascii="Calibri" w:hAnsi="Calibri" w:cs="Calibri"/>
          <w:color w:val="000000"/>
          <w:sz w:val="24"/>
          <w:szCs w:val="24"/>
          <w:shd w:val="clear" w:color="auto" w:fill="FFFFFF"/>
        </w:rPr>
        <w:t>.</w:t>
      </w:r>
      <w:r w:rsidR="00FE3A0F" w:rsidRPr="001A78C4">
        <w:rPr>
          <w:rFonts w:ascii="Arial" w:hAnsi="Arial" w:cs="Arial"/>
          <w:color w:val="000000"/>
          <w:sz w:val="24"/>
          <w:szCs w:val="24"/>
          <w:shd w:val="clear" w:color="auto" w:fill="FFFFFF"/>
        </w:rPr>
        <w:t xml:space="preserve"> </w:t>
      </w:r>
      <w:r w:rsidR="00C35AB5" w:rsidRPr="001A78C4">
        <w:rPr>
          <w:sz w:val="24"/>
          <w:szCs w:val="24"/>
        </w:rPr>
        <w:t>T</w:t>
      </w:r>
      <w:r w:rsidR="000D142D" w:rsidRPr="001A78C4">
        <w:rPr>
          <w:sz w:val="24"/>
          <w:szCs w:val="24"/>
        </w:rPr>
        <w:t xml:space="preserve">he new definition of the defence remains ominous because morally justifiable acts such as assisted suicide should be considered and issues related to victim blaming are still relevant, highlighted in the case </w:t>
      </w:r>
      <w:r w:rsidR="000D142D" w:rsidRPr="00A8363B">
        <w:rPr>
          <w:sz w:val="24"/>
          <w:szCs w:val="24"/>
        </w:rPr>
        <w:t>of Madeline Humes.</w:t>
      </w:r>
    </w:p>
    <w:p w14:paraId="6569A0EF" w14:textId="77777777" w:rsidR="000D142D" w:rsidRDefault="000D142D" w:rsidP="00FE3A0F">
      <w:pPr>
        <w:tabs>
          <w:tab w:val="left" w:pos="188"/>
          <w:tab w:val="left" w:pos="3684"/>
        </w:tabs>
        <w:spacing w:line="360" w:lineRule="auto"/>
        <w:rPr>
          <w:sz w:val="24"/>
          <w:szCs w:val="24"/>
        </w:rPr>
      </w:pPr>
    </w:p>
    <w:p w14:paraId="49559B43" w14:textId="2CA90CBC" w:rsidR="00D23E0C" w:rsidRDefault="00694EDE" w:rsidP="00FE3A0F">
      <w:pPr>
        <w:tabs>
          <w:tab w:val="left" w:pos="188"/>
          <w:tab w:val="left" w:pos="3684"/>
        </w:tabs>
        <w:spacing w:line="360" w:lineRule="auto"/>
        <w:rPr>
          <w:sz w:val="24"/>
          <w:szCs w:val="24"/>
        </w:rPr>
      </w:pPr>
      <w:r>
        <w:rPr>
          <w:sz w:val="24"/>
          <w:szCs w:val="24"/>
        </w:rPr>
        <w:t>Conversely</w:t>
      </w:r>
      <w:r w:rsidR="00BD185C">
        <w:rPr>
          <w:sz w:val="24"/>
          <w:szCs w:val="24"/>
        </w:rPr>
        <w:t xml:space="preserve">, the new loss of control defence strives to minimise gender biases in the legal system to promote the delivery of justice. Although, </w:t>
      </w:r>
      <w:r w:rsidR="00E6035B">
        <w:rPr>
          <w:sz w:val="24"/>
          <w:szCs w:val="24"/>
        </w:rPr>
        <w:t xml:space="preserve">Horder (2011) communicates that there are faults with the new loss of control defence, arguing that it typically reflects male reactions to provocations as seen in the case of </w:t>
      </w:r>
      <w:r w:rsidR="00E6035B" w:rsidRPr="006A6498">
        <w:rPr>
          <w:sz w:val="24"/>
          <w:szCs w:val="24"/>
        </w:rPr>
        <w:t>R v Thornton (199</w:t>
      </w:r>
      <w:r w:rsidR="006C5603" w:rsidRPr="006A6498">
        <w:rPr>
          <w:sz w:val="24"/>
          <w:szCs w:val="24"/>
        </w:rPr>
        <w:t>6</w:t>
      </w:r>
      <w:r w:rsidR="00E6035B" w:rsidRPr="006A6498">
        <w:rPr>
          <w:sz w:val="24"/>
          <w:szCs w:val="24"/>
        </w:rPr>
        <w:t>),</w:t>
      </w:r>
      <w:r w:rsidR="00E6035B">
        <w:rPr>
          <w:sz w:val="24"/>
          <w:szCs w:val="24"/>
        </w:rPr>
        <w:t xml:space="preserve"> a factor that the reform sought address. </w:t>
      </w:r>
      <w:r w:rsidR="00AF6290">
        <w:rPr>
          <w:sz w:val="24"/>
          <w:szCs w:val="24"/>
        </w:rPr>
        <w:t xml:space="preserve">The </w:t>
      </w:r>
      <w:r w:rsidR="00E27371">
        <w:rPr>
          <w:sz w:val="24"/>
          <w:szCs w:val="24"/>
        </w:rPr>
        <w:t>criticisms</w:t>
      </w:r>
      <w:r w:rsidR="00AF6290">
        <w:rPr>
          <w:sz w:val="24"/>
          <w:szCs w:val="24"/>
        </w:rPr>
        <w:t xml:space="preserve"> do not negate the legal fitness of the new loss of control defence</w:t>
      </w:r>
      <w:r w:rsidR="00E27371">
        <w:rPr>
          <w:sz w:val="24"/>
          <w:szCs w:val="24"/>
        </w:rPr>
        <w:t>.</w:t>
      </w:r>
    </w:p>
    <w:p w14:paraId="445E0875" w14:textId="1EA500DE" w:rsidR="00A14650" w:rsidRDefault="00086B2D" w:rsidP="00FE3A0F">
      <w:pPr>
        <w:tabs>
          <w:tab w:val="left" w:pos="188"/>
          <w:tab w:val="left" w:pos="3684"/>
        </w:tabs>
        <w:spacing w:line="360" w:lineRule="auto"/>
        <w:rPr>
          <w:sz w:val="24"/>
          <w:szCs w:val="24"/>
        </w:rPr>
      </w:pPr>
      <w:r>
        <w:rPr>
          <w:sz w:val="24"/>
          <w:szCs w:val="24"/>
        </w:rPr>
        <w:t xml:space="preserve">The defence of suicide pact in homicide law in England and Wales responds to the question of whether a person who encourages another person’s suicide is liable for crime under homicide law. The old defence of suicide pacts intertwines it with the defence of diminished responsibility in </w:t>
      </w:r>
      <w:r w:rsidR="007A6C96">
        <w:rPr>
          <w:sz w:val="24"/>
          <w:szCs w:val="24"/>
        </w:rPr>
        <w:t>instances</w:t>
      </w:r>
      <w:r>
        <w:rPr>
          <w:sz w:val="24"/>
          <w:szCs w:val="24"/>
        </w:rPr>
        <w:t xml:space="preserve"> where there are no such pacts (Keating, 2015). </w:t>
      </w:r>
      <w:r w:rsidR="007A6C96">
        <w:rPr>
          <w:sz w:val="24"/>
          <w:szCs w:val="24"/>
        </w:rPr>
        <w:t xml:space="preserve">This has been the subject of criticism for the old defence as it introduces challenges in establishing the reactive depression as the basis for the homicide offence (Law Commission). Therefore, the new defence of consensual </w:t>
      </w:r>
      <w:r w:rsidR="00760738">
        <w:rPr>
          <w:sz w:val="24"/>
          <w:szCs w:val="24"/>
        </w:rPr>
        <w:t xml:space="preserve">killing introduces the concept of consent by the victim. The Law Commission reiterates that homicide remains a serious offence punishable under the applicable law even under the new defence of consensual killing. Additionally, the person who kills the other is exposed to mental health issues such as severe depression following their action. To this effect, the new consensual killing defence is not different from the old defence of suicide pacts. </w:t>
      </w:r>
      <w:r w:rsidR="00085F4D">
        <w:rPr>
          <w:sz w:val="24"/>
          <w:szCs w:val="24"/>
        </w:rPr>
        <w:t>T</w:t>
      </w:r>
      <w:r w:rsidR="00760738">
        <w:rPr>
          <w:sz w:val="24"/>
          <w:szCs w:val="24"/>
        </w:rPr>
        <w:t xml:space="preserve">he proposed reforms by the Law Commission sought to emphasise the mental wellbeing of the defendant after the killing and not the consent. Further reforms to the new defence of suicide pacts are necessary to compel the defendant to prove that underlying conditions in pleading diminished responsibility drove their action. </w:t>
      </w:r>
    </w:p>
    <w:p w14:paraId="6C6101D0" w14:textId="2F96065C" w:rsidR="008B5741" w:rsidRPr="00FE3A0F" w:rsidRDefault="00FE3A0F" w:rsidP="00FE3A0F">
      <w:pPr>
        <w:tabs>
          <w:tab w:val="left" w:pos="188"/>
          <w:tab w:val="left" w:pos="3684"/>
        </w:tabs>
        <w:spacing w:line="360" w:lineRule="auto"/>
        <w:rPr>
          <w:rFonts w:cstheme="minorHAnsi"/>
          <w:sz w:val="24"/>
          <w:szCs w:val="24"/>
        </w:rPr>
      </w:pPr>
      <w:r w:rsidRPr="00FE3A0F">
        <w:rPr>
          <w:rFonts w:cstheme="minorHAnsi"/>
          <w:color w:val="000000"/>
          <w:sz w:val="24"/>
          <w:szCs w:val="24"/>
          <w:shd w:val="clear" w:color="auto" w:fill="FFFFFF"/>
        </w:rPr>
        <w:t>Gibson and Reed (2018), note that some of the proposals made by the Law Commission and other relevant bodies are too capital intensive to implement. Implementation of these reforms might require a referendum. Some of the proposed reforms have also been challenged in the court of law leading to the issuing of injunctions that stop the government from implementing the policies (Horton, 2019).</w:t>
      </w:r>
    </w:p>
    <w:p w14:paraId="618C8EB7" w14:textId="77777777" w:rsidR="00FE3A0F" w:rsidRDefault="00FE3A0F" w:rsidP="00FE3A0F">
      <w:pPr>
        <w:spacing w:line="360" w:lineRule="auto"/>
        <w:rPr>
          <w:sz w:val="24"/>
          <w:szCs w:val="24"/>
        </w:rPr>
      </w:pPr>
    </w:p>
    <w:p w14:paraId="45271B3B" w14:textId="77777777" w:rsidR="00FE3A0F" w:rsidRDefault="00FE3A0F" w:rsidP="00FE3A0F">
      <w:pPr>
        <w:spacing w:line="360" w:lineRule="auto"/>
        <w:rPr>
          <w:sz w:val="24"/>
          <w:szCs w:val="24"/>
        </w:rPr>
      </w:pPr>
    </w:p>
    <w:p w14:paraId="7B51BE8B" w14:textId="77777777" w:rsidR="00FE3A0F" w:rsidRDefault="00FE3A0F" w:rsidP="00FE3A0F">
      <w:pPr>
        <w:spacing w:line="360" w:lineRule="auto"/>
        <w:rPr>
          <w:sz w:val="24"/>
          <w:szCs w:val="24"/>
        </w:rPr>
      </w:pPr>
    </w:p>
    <w:p w14:paraId="469EE0C1" w14:textId="77777777" w:rsidR="00FE3A0F" w:rsidRPr="00FE3A0F" w:rsidRDefault="00720167" w:rsidP="00FE3A0F">
      <w:pPr>
        <w:shd w:val="clear" w:color="auto" w:fill="FFFFFF"/>
        <w:spacing w:line="360" w:lineRule="auto"/>
        <w:rPr>
          <w:rFonts w:ascii="Arial" w:eastAsia="Times New Roman" w:hAnsi="Arial" w:cs="Arial"/>
          <w:color w:val="000000"/>
          <w:sz w:val="24"/>
          <w:szCs w:val="24"/>
          <w:lang w:eastAsia="en-GB"/>
        </w:rPr>
      </w:pPr>
      <w:r>
        <w:rPr>
          <w:sz w:val="24"/>
          <w:szCs w:val="24"/>
        </w:rPr>
        <w:t>Conclusively, despite the courts largely relying on Sir Edward Coke’s definition in homicide cases</w:t>
      </w:r>
      <w:r w:rsidR="00B17728">
        <w:rPr>
          <w:sz w:val="24"/>
          <w:szCs w:val="24"/>
        </w:rPr>
        <w:t xml:space="preserve">, the definition is subjected to variations in interpretations. Such variations allow for consideration of different defences by the defendant in seeking justice. Regardless, Sir Edward Coke’s definition forms the generic meaning of homicide. Therefore, it is necessary to explore the subject to establish the reforms for and against new defences and their association with the old defences. The three applicable defences in homicide offences are diminished responsibility and partial defence of provocation and killing pursuant to suicide pacts. </w:t>
      </w:r>
      <w:r w:rsidR="00FE3A0F" w:rsidRPr="00FE3A0F">
        <w:rPr>
          <w:rFonts w:ascii="Calibri" w:eastAsia="Times New Roman" w:hAnsi="Calibri" w:cs="Calibri"/>
          <w:color w:val="000000"/>
          <w:sz w:val="24"/>
          <w:szCs w:val="24"/>
          <w:lang w:eastAsia="en-GB"/>
        </w:rPr>
        <w:t>Notably, the Law Commission has remained central in promoting reforms to law in England and Wales, including influencing homicide law. The proposed reforms have been met with some challenges leading to the partial adoption of the reforms. There is also a faction that is against the reforms with the argument that they would allow homicide laws to become more relaxed, thereby increasing the risk of homicides. </w:t>
      </w:r>
    </w:p>
    <w:p w14:paraId="58211AB6" w14:textId="77777777" w:rsidR="00FE3A0F" w:rsidRPr="00FE3A0F" w:rsidRDefault="00FE3A0F" w:rsidP="00FE3A0F">
      <w:pPr>
        <w:shd w:val="clear" w:color="auto" w:fill="FFFFFF"/>
        <w:spacing w:before="100" w:beforeAutospacing="1" w:after="100" w:afterAutospacing="1" w:line="360" w:lineRule="atLeast"/>
        <w:rPr>
          <w:rFonts w:ascii="Arial" w:eastAsia="Times New Roman" w:hAnsi="Arial" w:cs="Arial"/>
          <w:color w:val="000000"/>
          <w:sz w:val="24"/>
          <w:szCs w:val="24"/>
          <w:lang w:eastAsia="en-GB"/>
        </w:rPr>
      </w:pPr>
      <w:r w:rsidRPr="00FE3A0F">
        <w:rPr>
          <w:rFonts w:ascii="Arial" w:eastAsia="Times New Roman" w:hAnsi="Arial" w:cs="Arial"/>
          <w:color w:val="000000"/>
          <w:sz w:val="24"/>
          <w:szCs w:val="24"/>
          <w:lang w:eastAsia="en-GB"/>
        </w:rPr>
        <w:t>                                      </w:t>
      </w:r>
    </w:p>
    <w:p w14:paraId="396E3235" w14:textId="090AA6B7" w:rsidR="00A406F6" w:rsidRPr="003A4E81" w:rsidRDefault="00A406F6" w:rsidP="00A406F6">
      <w:pPr>
        <w:spacing w:line="360" w:lineRule="auto"/>
        <w:rPr>
          <w:sz w:val="24"/>
          <w:szCs w:val="24"/>
        </w:rPr>
      </w:pPr>
    </w:p>
    <w:p w14:paraId="60A2655B" w14:textId="5388FFA8" w:rsidR="00720167" w:rsidRDefault="00720167" w:rsidP="001806D0">
      <w:pPr>
        <w:tabs>
          <w:tab w:val="left" w:pos="188"/>
          <w:tab w:val="left" w:pos="3684"/>
        </w:tabs>
        <w:spacing w:line="360" w:lineRule="auto"/>
        <w:rPr>
          <w:sz w:val="24"/>
          <w:szCs w:val="24"/>
        </w:rPr>
      </w:pPr>
    </w:p>
    <w:p w14:paraId="0392C9D4" w14:textId="77777777" w:rsidR="00A56253" w:rsidRDefault="00A56253" w:rsidP="00A56253">
      <w:pPr>
        <w:tabs>
          <w:tab w:val="left" w:pos="3684"/>
        </w:tabs>
        <w:jc w:val="center"/>
        <w:rPr>
          <w:sz w:val="24"/>
          <w:szCs w:val="24"/>
        </w:rPr>
      </w:pPr>
    </w:p>
    <w:p w14:paraId="4A4C2E47" w14:textId="77777777" w:rsidR="00694EDE" w:rsidRDefault="00694EDE" w:rsidP="00B0360B">
      <w:pPr>
        <w:spacing w:after="0" w:line="480" w:lineRule="auto"/>
        <w:jc w:val="center"/>
        <w:rPr>
          <w:rFonts w:ascii="Times New Roman" w:hAnsi="Times New Roman" w:cs="Times New Roman"/>
          <w:sz w:val="24"/>
          <w:szCs w:val="24"/>
        </w:rPr>
      </w:pPr>
    </w:p>
    <w:p w14:paraId="58267B50" w14:textId="77777777" w:rsidR="00694EDE" w:rsidRDefault="00694EDE" w:rsidP="00B0360B">
      <w:pPr>
        <w:spacing w:after="0" w:line="480" w:lineRule="auto"/>
        <w:jc w:val="center"/>
        <w:rPr>
          <w:rFonts w:ascii="Times New Roman" w:hAnsi="Times New Roman" w:cs="Times New Roman"/>
          <w:sz w:val="24"/>
          <w:szCs w:val="24"/>
        </w:rPr>
      </w:pPr>
    </w:p>
    <w:p w14:paraId="067A868B" w14:textId="77777777" w:rsidR="00694EDE" w:rsidRDefault="00694EDE" w:rsidP="00B0360B">
      <w:pPr>
        <w:spacing w:after="0" w:line="480" w:lineRule="auto"/>
        <w:jc w:val="center"/>
        <w:rPr>
          <w:rFonts w:ascii="Times New Roman" w:hAnsi="Times New Roman" w:cs="Times New Roman"/>
          <w:sz w:val="24"/>
          <w:szCs w:val="24"/>
        </w:rPr>
      </w:pPr>
    </w:p>
    <w:p w14:paraId="7523E7C8" w14:textId="77777777" w:rsidR="00694EDE" w:rsidRDefault="00694EDE" w:rsidP="00B0360B">
      <w:pPr>
        <w:spacing w:after="0" w:line="480" w:lineRule="auto"/>
        <w:jc w:val="center"/>
        <w:rPr>
          <w:rFonts w:ascii="Times New Roman" w:hAnsi="Times New Roman" w:cs="Times New Roman"/>
          <w:sz w:val="24"/>
          <w:szCs w:val="24"/>
        </w:rPr>
      </w:pPr>
    </w:p>
    <w:p w14:paraId="2D808A3D" w14:textId="77777777" w:rsidR="00694EDE" w:rsidRDefault="00694EDE" w:rsidP="00B0360B">
      <w:pPr>
        <w:spacing w:after="0" w:line="480" w:lineRule="auto"/>
        <w:jc w:val="center"/>
        <w:rPr>
          <w:rFonts w:ascii="Times New Roman" w:hAnsi="Times New Roman" w:cs="Times New Roman"/>
          <w:sz w:val="24"/>
          <w:szCs w:val="24"/>
        </w:rPr>
      </w:pPr>
    </w:p>
    <w:p w14:paraId="4C3EA9A7" w14:textId="77777777" w:rsidR="00694EDE" w:rsidRDefault="00694EDE" w:rsidP="00B0360B">
      <w:pPr>
        <w:spacing w:after="0" w:line="480" w:lineRule="auto"/>
        <w:jc w:val="center"/>
        <w:rPr>
          <w:rFonts w:ascii="Times New Roman" w:hAnsi="Times New Roman" w:cs="Times New Roman"/>
          <w:sz w:val="24"/>
          <w:szCs w:val="24"/>
        </w:rPr>
      </w:pPr>
    </w:p>
    <w:p w14:paraId="4FFD482C" w14:textId="77777777" w:rsidR="00694EDE" w:rsidRDefault="00694EDE" w:rsidP="00B0360B">
      <w:pPr>
        <w:spacing w:after="0" w:line="480" w:lineRule="auto"/>
        <w:jc w:val="center"/>
        <w:rPr>
          <w:rFonts w:ascii="Times New Roman" w:hAnsi="Times New Roman" w:cs="Times New Roman"/>
          <w:sz w:val="24"/>
          <w:szCs w:val="24"/>
        </w:rPr>
      </w:pPr>
    </w:p>
    <w:p w14:paraId="57B1C934" w14:textId="77777777" w:rsidR="00694EDE" w:rsidRDefault="00694EDE" w:rsidP="00B0360B">
      <w:pPr>
        <w:spacing w:after="0" w:line="480" w:lineRule="auto"/>
        <w:jc w:val="center"/>
        <w:rPr>
          <w:rFonts w:ascii="Times New Roman" w:hAnsi="Times New Roman" w:cs="Times New Roman"/>
          <w:sz w:val="24"/>
          <w:szCs w:val="24"/>
        </w:rPr>
      </w:pPr>
    </w:p>
    <w:p w14:paraId="1632AEA4" w14:textId="77777777" w:rsidR="00694EDE" w:rsidRDefault="00694EDE" w:rsidP="00B0360B">
      <w:pPr>
        <w:spacing w:after="0" w:line="480" w:lineRule="auto"/>
        <w:jc w:val="center"/>
        <w:rPr>
          <w:rFonts w:ascii="Times New Roman" w:hAnsi="Times New Roman" w:cs="Times New Roman"/>
          <w:sz w:val="24"/>
          <w:szCs w:val="24"/>
        </w:rPr>
      </w:pPr>
    </w:p>
    <w:p w14:paraId="2C9D7A27" w14:textId="77777777" w:rsidR="00694EDE" w:rsidRDefault="00694EDE" w:rsidP="00B0360B">
      <w:pPr>
        <w:spacing w:after="0" w:line="480" w:lineRule="auto"/>
        <w:jc w:val="center"/>
        <w:rPr>
          <w:rFonts w:ascii="Times New Roman" w:hAnsi="Times New Roman" w:cs="Times New Roman"/>
          <w:sz w:val="24"/>
          <w:szCs w:val="24"/>
        </w:rPr>
      </w:pPr>
    </w:p>
    <w:p w14:paraId="065CA506" w14:textId="0D39EB76" w:rsidR="00694EDE" w:rsidRPr="00876EC4" w:rsidRDefault="00876EC4" w:rsidP="00B0360B">
      <w:pPr>
        <w:spacing w:after="0" w:line="480" w:lineRule="auto"/>
        <w:jc w:val="center"/>
        <w:rPr>
          <w:rFonts w:ascii="Times New Roman" w:hAnsi="Times New Roman" w:cs="Times New Roman"/>
          <w:b/>
          <w:bCs/>
          <w:sz w:val="24"/>
          <w:szCs w:val="24"/>
        </w:rPr>
      </w:pPr>
      <w:r w:rsidRPr="00876EC4">
        <w:rPr>
          <w:rFonts w:ascii="Times New Roman" w:hAnsi="Times New Roman" w:cs="Times New Roman"/>
          <w:b/>
          <w:bCs/>
          <w:sz w:val="24"/>
          <w:szCs w:val="24"/>
        </w:rPr>
        <w:lastRenderedPageBreak/>
        <w:t>References:</w:t>
      </w:r>
    </w:p>
    <w:p w14:paraId="0627AC5A" w14:textId="77777777" w:rsidR="002159D9" w:rsidRPr="00876EC4" w:rsidRDefault="002159D9" w:rsidP="00876EC4">
      <w:pPr>
        <w:spacing w:after="0" w:line="480" w:lineRule="auto"/>
        <w:rPr>
          <w:rFonts w:ascii="Times New Roman" w:hAnsi="Times New Roman" w:cs="Times New Roman"/>
          <w:sz w:val="24"/>
          <w:szCs w:val="24"/>
        </w:rPr>
      </w:pPr>
      <w:r w:rsidRPr="00876EC4">
        <w:rPr>
          <w:rFonts w:ascii="Times New Roman" w:hAnsi="Times New Roman" w:cs="Times New Roman"/>
          <w:sz w:val="24"/>
          <w:szCs w:val="24"/>
        </w:rPr>
        <w:t xml:space="preserve">Beard, J. and </w:t>
      </w:r>
      <w:proofErr w:type="spellStart"/>
      <w:r w:rsidRPr="00876EC4">
        <w:rPr>
          <w:rFonts w:ascii="Times New Roman" w:hAnsi="Times New Roman" w:cs="Times New Roman"/>
          <w:sz w:val="24"/>
          <w:szCs w:val="24"/>
        </w:rPr>
        <w:t>Politowski</w:t>
      </w:r>
      <w:proofErr w:type="spellEnd"/>
      <w:r w:rsidRPr="00876EC4">
        <w:rPr>
          <w:rFonts w:ascii="Times New Roman" w:hAnsi="Times New Roman" w:cs="Times New Roman"/>
          <w:sz w:val="24"/>
          <w:szCs w:val="24"/>
        </w:rPr>
        <w:t xml:space="preserve">, B., 2016. Reforming the Law on Homicide. [Online]. </w:t>
      </w:r>
      <w:r w:rsidRPr="00876EC4">
        <w:rPr>
          <w:rFonts w:ascii="Times New Roman" w:hAnsi="Times New Roman" w:cs="Times New Roman"/>
          <w:i/>
          <w:iCs/>
          <w:sz w:val="24"/>
          <w:szCs w:val="24"/>
        </w:rPr>
        <w:t>Research Briefings</w:t>
      </w:r>
      <w:r w:rsidRPr="00876EC4">
        <w:rPr>
          <w:rFonts w:ascii="Times New Roman" w:hAnsi="Times New Roman" w:cs="Times New Roman"/>
          <w:sz w:val="24"/>
          <w:szCs w:val="24"/>
        </w:rPr>
        <w:t xml:space="preserve">. Available at: </w:t>
      </w:r>
      <w:hyperlink r:id="rId7" w:history="1">
        <w:r w:rsidRPr="00876EC4">
          <w:rPr>
            <w:rStyle w:val="Hyperlink"/>
            <w:rFonts w:ascii="Times New Roman" w:hAnsi="Times New Roman" w:cs="Times New Roman"/>
            <w:sz w:val="24"/>
            <w:szCs w:val="24"/>
          </w:rPr>
          <w:t>https://researchbriefings.files.parliament.uk/documents/CDP-2016-0094/CDP-2016-0094.pdf</w:t>
        </w:r>
      </w:hyperlink>
    </w:p>
    <w:p w14:paraId="3B0BA355" w14:textId="77777777" w:rsidR="002159D9" w:rsidRPr="00876EC4" w:rsidRDefault="002159D9" w:rsidP="00876EC4">
      <w:pPr>
        <w:spacing w:line="480" w:lineRule="auto"/>
        <w:ind w:left="360"/>
        <w:jc w:val="both"/>
        <w:rPr>
          <w:rFonts w:ascii="Times New Roman" w:hAnsi="Times New Roman" w:cs="Times New Roman"/>
          <w:sz w:val="24"/>
          <w:szCs w:val="24"/>
        </w:rPr>
      </w:pPr>
      <w:r w:rsidRPr="00876EC4">
        <w:rPr>
          <w:rFonts w:ascii="Times New Roman" w:hAnsi="Times New Roman" w:cs="Times New Roman"/>
          <w:sz w:val="24"/>
          <w:szCs w:val="24"/>
        </w:rPr>
        <w:t xml:space="preserve">Clough, A. and </w:t>
      </w:r>
      <w:proofErr w:type="gramStart"/>
      <w:r w:rsidRPr="00876EC4">
        <w:rPr>
          <w:rFonts w:ascii="Times New Roman" w:hAnsi="Times New Roman" w:cs="Times New Roman"/>
          <w:sz w:val="24"/>
          <w:szCs w:val="24"/>
        </w:rPr>
        <w:t>Fitz-Gibbon</w:t>
      </w:r>
      <w:proofErr w:type="gramEnd"/>
      <w:r w:rsidRPr="00876EC4">
        <w:rPr>
          <w:rFonts w:ascii="Times New Roman" w:hAnsi="Times New Roman" w:cs="Times New Roman"/>
          <w:sz w:val="24"/>
          <w:szCs w:val="24"/>
        </w:rPr>
        <w:t>, K., 2021. The Outdated Defence of Non-Violent Homosexual Advance: Australian Provocation Reform and Lessons for English Homicide Law. </w:t>
      </w:r>
      <w:r w:rsidRPr="00876EC4">
        <w:rPr>
          <w:rFonts w:ascii="Times New Roman" w:hAnsi="Times New Roman" w:cs="Times New Roman"/>
          <w:i/>
          <w:iCs/>
          <w:sz w:val="24"/>
          <w:szCs w:val="24"/>
        </w:rPr>
        <w:t>J. Int'l &amp; Comp. L.</w:t>
      </w:r>
      <w:r w:rsidRPr="00876EC4">
        <w:rPr>
          <w:rFonts w:ascii="Times New Roman" w:hAnsi="Times New Roman" w:cs="Times New Roman"/>
          <w:sz w:val="24"/>
          <w:szCs w:val="24"/>
        </w:rPr>
        <w:t>, </w:t>
      </w:r>
      <w:r w:rsidRPr="00876EC4">
        <w:rPr>
          <w:rFonts w:ascii="Times New Roman" w:hAnsi="Times New Roman" w:cs="Times New Roman"/>
          <w:i/>
          <w:iCs/>
          <w:sz w:val="24"/>
          <w:szCs w:val="24"/>
        </w:rPr>
        <w:t>8</w:t>
      </w:r>
      <w:r w:rsidRPr="00876EC4">
        <w:rPr>
          <w:rFonts w:ascii="Times New Roman" w:hAnsi="Times New Roman" w:cs="Times New Roman"/>
          <w:sz w:val="24"/>
          <w:szCs w:val="24"/>
        </w:rPr>
        <w:t>, p.121.</w:t>
      </w:r>
    </w:p>
    <w:p w14:paraId="4885B4EB" w14:textId="77777777" w:rsidR="002159D9" w:rsidRPr="00876EC4" w:rsidRDefault="002159D9" w:rsidP="00B0360B">
      <w:pPr>
        <w:spacing w:after="0" w:line="480" w:lineRule="auto"/>
        <w:rPr>
          <w:rFonts w:ascii="Times New Roman" w:hAnsi="Times New Roman" w:cs="Times New Roman"/>
          <w:sz w:val="24"/>
          <w:szCs w:val="24"/>
        </w:rPr>
      </w:pPr>
      <w:r w:rsidRPr="00876EC4">
        <w:rPr>
          <w:rFonts w:ascii="Times New Roman" w:hAnsi="Times New Roman" w:cs="Times New Roman"/>
          <w:sz w:val="24"/>
          <w:szCs w:val="24"/>
        </w:rPr>
        <w:t>Coroners and Justice Act 2009</w:t>
      </w:r>
    </w:p>
    <w:p w14:paraId="4C7A6852" w14:textId="77777777" w:rsidR="002159D9" w:rsidRPr="00876EC4" w:rsidRDefault="002159D9" w:rsidP="00B0360B">
      <w:pPr>
        <w:spacing w:after="0" w:line="480" w:lineRule="auto"/>
        <w:ind w:left="720" w:hanging="720"/>
        <w:rPr>
          <w:rFonts w:ascii="Times New Roman" w:hAnsi="Times New Roman" w:cs="Times New Roman"/>
          <w:sz w:val="24"/>
          <w:szCs w:val="24"/>
        </w:rPr>
      </w:pPr>
      <w:proofErr w:type="gramStart"/>
      <w:r w:rsidRPr="00876EC4">
        <w:rPr>
          <w:rFonts w:ascii="Times New Roman" w:hAnsi="Times New Roman" w:cs="Times New Roman"/>
          <w:sz w:val="24"/>
          <w:szCs w:val="24"/>
        </w:rPr>
        <w:t>Fitz-Gibbon</w:t>
      </w:r>
      <w:proofErr w:type="gramEnd"/>
      <w:r w:rsidRPr="00876EC4">
        <w:rPr>
          <w:rFonts w:ascii="Times New Roman" w:hAnsi="Times New Roman" w:cs="Times New Roman"/>
          <w:sz w:val="24"/>
          <w:szCs w:val="24"/>
        </w:rPr>
        <w:t>, K., 2013. Replacing provocation in England and Wales: examining the partial defence of loss of control,</w:t>
      </w:r>
      <w:r w:rsidRPr="00876EC4">
        <w:rPr>
          <w:rFonts w:ascii="Times New Roman" w:hAnsi="Times New Roman" w:cs="Times New Roman"/>
          <w:i/>
          <w:iCs/>
          <w:sz w:val="24"/>
          <w:szCs w:val="24"/>
        </w:rPr>
        <w:t xml:space="preserve"> Journal of Law and Society</w:t>
      </w:r>
      <w:r w:rsidRPr="00876EC4">
        <w:rPr>
          <w:rFonts w:ascii="Times New Roman" w:hAnsi="Times New Roman" w:cs="Times New Roman"/>
          <w:sz w:val="24"/>
          <w:szCs w:val="24"/>
        </w:rPr>
        <w:t xml:space="preserve">, </w:t>
      </w:r>
      <w:r w:rsidRPr="00876EC4">
        <w:rPr>
          <w:rFonts w:ascii="Times New Roman" w:hAnsi="Times New Roman" w:cs="Times New Roman"/>
          <w:b/>
          <w:bCs/>
          <w:sz w:val="24"/>
          <w:szCs w:val="24"/>
        </w:rPr>
        <w:t>40</w:t>
      </w:r>
      <w:r w:rsidRPr="00876EC4">
        <w:rPr>
          <w:rFonts w:ascii="Times New Roman" w:hAnsi="Times New Roman" w:cs="Times New Roman"/>
          <w:sz w:val="24"/>
          <w:szCs w:val="24"/>
        </w:rPr>
        <w:t>(2), pp.280-305</w:t>
      </w:r>
    </w:p>
    <w:p w14:paraId="0F010089" w14:textId="77777777" w:rsidR="002159D9" w:rsidRPr="00876EC4" w:rsidRDefault="002159D9" w:rsidP="003901F3">
      <w:pPr>
        <w:spacing w:line="480" w:lineRule="auto"/>
        <w:ind w:left="1080" w:hanging="720"/>
        <w:jc w:val="both"/>
        <w:rPr>
          <w:rFonts w:ascii="Times New Roman" w:hAnsi="Times New Roman" w:cs="Times New Roman"/>
          <w:sz w:val="24"/>
          <w:szCs w:val="24"/>
        </w:rPr>
      </w:pPr>
      <w:r w:rsidRPr="00876EC4">
        <w:rPr>
          <w:rFonts w:ascii="Times New Roman" w:hAnsi="Times New Roman" w:cs="Times New Roman"/>
          <w:sz w:val="24"/>
          <w:szCs w:val="24"/>
        </w:rPr>
        <w:t>Flatley, J., 2018. Homicide in England and Wales: Year Ending March 2017.</w:t>
      </w:r>
    </w:p>
    <w:p w14:paraId="347E4D14" w14:textId="77777777" w:rsidR="002159D9" w:rsidRPr="00876EC4" w:rsidRDefault="002159D9" w:rsidP="006B7C10">
      <w:pPr>
        <w:spacing w:line="480" w:lineRule="auto"/>
        <w:ind w:left="1080" w:hanging="720"/>
        <w:jc w:val="both"/>
        <w:rPr>
          <w:rFonts w:ascii="Times New Roman" w:hAnsi="Times New Roman" w:cs="Times New Roman"/>
          <w:sz w:val="24"/>
          <w:szCs w:val="24"/>
        </w:rPr>
      </w:pPr>
      <w:r w:rsidRPr="00876EC4">
        <w:rPr>
          <w:rFonts w:ascii="Times New Roman" w:hAnsi="Times New Roman" w:cs="Times New Roman"/>
          <w:sz w:val="24"/>
          <w:szCs w:val="24"/>
        </w:rPr>
        <w:t>Gibson, M. and Reed, A., 2018. Reforming English homicide law: fair labelling questions and comparative answers. In </w:t>
      </w:r>
      <w:r w:rsidRPr="00876EC4">
        <w:rPr>
          <w:rFonts w:ascii="Times New Roman" w:hAnsi="Times New Roman" w:cs="Times New Roman"/>
          <w:i/>
          <w:iCs/>
          <w:sz w:val="24"/>
          <w:szCs w:val="24"/>
        </w:rPr>
        <w:t>Homicide in Criminal Law</w:t>
      </w:r>
      <w:r w:rsidRPr="00876EC4">
        <w:rPr>
          <w:rFonts w:ascii="Times New Roman" w:hAnsi="Times New Roman" w:cs="Times New Roman"/>
          <w:sz w:val="24"/>
          <w:szCs w:val="24"/>
        </w:rPr>
        <w:t> (pp. 37-61). Routledge.</w:t>
      </w:r>
    </w:p>
    <w:p w14:paraId="6C5FD2C7" w14:textId="77777777" w:rsidR="002159D9" w:rsidRPr="00876EC4" w:rsidRDefault="002159D9" w:rsidP="00F65EFF">
      <w:pPr>
        <w:spacing w:after="0" w:line="480" w:lineRule="auto"/>
        <w:rPr>
          <w:rFonts w:ascii="Times New Roman" w:hAnsi="Times New Roman" w:cs="Times New Roman"/>
          <w:sz w:val="24"/>
          <w:szCs w:val="24"/>
        </w:rPr>
      </w:pPr>
      <w:r w:rsidRPr="00876EC4">
        <w:rPr>
          <w:rFonts w:ascii="Times New Roman" w:hAnsi="Times New Roman" w:cs="Times New Roman"/>
          <w:sz w:val="24"/>
          <w:szCs w:val="24"/>
        </w:rPr>
        <w:t>Homicide Act 1957</w:t>
      </w:r>
    </w:p>
    <w:p w14:paraId="33260651" w14:textId="77777777" w:rsidR="002159D9" w:rsidRDefault="002159D9" w:rsidP="002159D9">
      <w:pPr>
        <w:spacing w:line="480" w:lineRule="auto"/>
        <w:ind w:left="1080" w:hanging="720"/>
        <w:jc w:val="both"/>
        <w:rPr>
          <w:rFonts w:ascii="Times New Roman" w:hAnsi="Times New Roman" w:cs="Times New Roman"/>
          <w:sz w:val="24"/>
          <w:szCs w:val="24"/>
        </w:rPr>
      </w:pPr>
      <w:r>
        <w:rPr>
          <w:rFonts w:ascii="Times New Roman" w:hAnsi="Times New Roman" w:cs="Times New Roman"/>
          <w:sz w:val="24"/>
          <w:szCs w:val="24"/>
        </w:rPr>
        <w:t xml:space="preserve">Horder, J. and </w:t>
      </w:r>
      <w:proofErr w:type="gramStart"/>
      <w:r>
        <w:rPr>
          <w:rFonts w:ascii="Times New Roman" w:hAnsi="Times New Roman" w:cs="Times New Roman"/>
          <w:sz w:val="24"/>
          <w:szCs w:val="24"/>
        </w:rPr>
        <w:t>Fitz-Gibbon</w:t>
      </w:r>
      <w:proofErr w:type="gramEnd"/>
      <w:r>
        <w:rPr>
          <w:rFonts w:ascii="Times New Roman" w:hAnsi="Times New Roman" w:cs="Times New Roman"/>
          <w:sz w:val="24"/>
          <w:szCs w:val="24"/>
        </w:rPr>
        <w:t>, K., 2015. When sexual infidelity triggers murder: Examining the impact of homicide law reform on judicial attitudes in sentencing. </w:t>
      </w:r>
      <w:r>
        <w:rPr>
          <w:rFonts w:ascii="Times New Roman" w:hAnsi="Times New Roman" w:cs="Times New Roman"/>
          <w:i/>
          <w:iCs/>
          <w:sz w:val="24"/>
          <w:szCs w:val="24"/>
        </w:rPr>
        <w:t>The Cambridge Law Journal</w:t>
      </w:r>
      <w:r>
        <w:rPr>
          <w:rFonts w:ascii="Times New Roman" w:hAnsi="Times New Roman" w:cs="Times New Roman"/>
          <w:sz w:val="24"/>
          <w:szCs w:val="24"/>
        </w:rPr>
        <w:t>, </w:t>
      </w:r>
      <w:r>
        <w:rPr>
          <w:rFonts w:ascii="Times New Roman" w:hAnsi="Times New Roman" w:cs="Times New Roman"/>
          <w:i/>
          <w:iCs/>
          <w:sz w:val="24"/>
          <w:szCs w:val="24"/>
        </w:rPr>
        <w:t>74</w:t>
      </w:r>
      <w:r>
        <w:rPr>
          <w:rFonts w:ascii="Times New Roman" w:hAnsi="Times New Roman" w:cs="Times New Roman"/>
          <w:sz w:val="24"/>
          <w:szCs w:val="24"/>
        </w:rPr>
        <w:t>(2), pp.307-328.</w:t>
      </w:r>
    </w:p>
    <w:p w14:paraId="54CD2C2A" w14:textId="77777777" w:rsidR="002159D9" w:rsidRPr="00876EC4" w:rsidRDefault="002159D9" w:rsidP="00F65EFF">
      <w:pPr>
        <w:spacing w:after="0" w:line="480" w:lineRule="auto"/>
        <w:rPr>
          <w:rFonts w:ascii="Times New Roman" w:hAnsi="Times New Roman" w:cs="Times New Roman"/>
          <w:sz w:val="24"/>
          <w:szCs w:val="24"/>
        </w:rPr>
      </w:pPr>
      <w:r w:rsidRPr="00876EC4">
        <w:rPr>
          <w:rFonts w:ascii="Times New Roman" w:hAnsi="Times New Roman" w:cs="Times New Roman"/>
          <w:sz w:val="24"/>
          <w:szCs w:val="24"/>
        </w:rPr>
        <w:t xml:space="preserve">Horder, J., 2011. </w:t>
      </w:r>
      <w:r w:rsidRPr="00876EC4">
        <w:rPr>
          <w:rFonts w:ascii="Times New Roman" w:hAnsi="Times New Roman" w:cs="Times New Roman"/>
          <w:i/>
          <w:iCs/>
          <w:sz w:val="24"/>
          <w:szCs w:val="24"/>
        </w:rPr>
        <w:t>Homicide and the politics of law reform</w:t>
      </w:r>
      <w:r w:rsidRPr="00876EC4">
        <w:rPr>
          <w:rFonts w:ascii="Times New Roman" w:hAnsi="Times New Roman" w:cs="Times New Roman"/>
          <w:sz w:val="24"/>
          <w:szCs w:val="24"/>
        </w:rPr>
        <w:t>. OUP Oxford.</w:t>
      </w:r>
    </w:p>
    <w:p w14:paraId="5E241FD2" w14:textId="77777777" w:rsidR="002159D9" w:rsidRPr="00876EC4" w:rsidRDefault="002159D9" w:rsidP="00F65EFF">
      <w:pPr>
        <w:spacing w:line="480" w:lineRule="auto"/>
        <w:ind w:left="1080" w:hanging="720"/>
        <w:jc w:val="both"/>
        <w:rPr>
          <w:rFonts w:ascii="Times New Roman" w:hAnsi="Times New Roman" w:cs="Times New Roman"/>
          <w:sz w:val="24"/>
          <w:szCs w:val="24"/>
        </w:rPr>
      </w:pPr>
      <w:r w:rsidRPr="00876EC4">
        <w:rPr>
          <w:rFonts w:ascii="Times New Roman" w:hAnsi="Times New Roman" w:cs="Times New Roman"/>
          <w:sz w:val="24"/>
          <w:szCs w:val="24"/>
        </w:rPr>
        <w:t>Horder, J., 2012. </w:t>
      </w:r>
      <w:r w:rsidRPr="00876EC4">
        <w:rPr>
          <w:rFonts w:ascii="Times New Roman" w:hAnsi="Times New Roman" w:cs="Times New Roman"/>
          <w:i/>
          <w:iCs/>
          <w:sz w:val="24"/>
          <w:szCs w:val="24"/>
        </w:rPr>
        <w:t>Homicide and the politics of law reform</w:t>
      </w:r>
      <w:r w:rsidRPr="00876EC4">
        <w:rPr>
          <w:rFonts w:ascii="Times New Roman" w:hAnsi="Times New Roman" w:cs="Times New Roman"/>
          <w:sz w:val="24"/>
          <w:szCs w:val="24"/>
        </w:rPr>
        <w:t>. OUP Oxford.</w:t>
      </w:r>
    </w:p>
    <w:p w14:paraId="2AE5AFF4" w14:textId="77777777" w:rsidR="002159D9" w:rsidRPr="00876EC4" w:rsidRDefault="002159D9" w:rsidP="00F65EFF">
      <w:pPr>
        <w:spacing w:line="480" w:lineRule="auto"/>
        <w:ind w:left="1080" w:hanging="720"/>
        <w:jc w:val="both"/>
        <w:rPr>
          <w:rFonts w:ascii="Times New Roman" w:hAnsi="Times New Roman" w:cs="Times New Roman"/>
          <w:sz w:val="24"/>
          <w:szCs w:val="24"/>
        </w:rPr>
      </w:pPr>
      <w:r w:rsidRPr="00876EC4">
        <w:rPr>
          <w:rFonts w:ascii="Times New Roman" w:hAnsi="Times New Roman" w:cs="Times New Roman"/>
          <w:sz w:val="24"/>
          <w:szCs w:val="24"/>
        </w:rPr>
        <w:t>Horder, J., 2016. Homicide reform and the changing character of legal thought. In </w:t>
      </w:r>
      <w:r w:rsidRPr="00876EC4">
        <w:rPr>
          <w:rFonts w:ascii="Times New Roman" w:hAnsi="Times New Roman" w:cs="Times New Roman"/>
          <w:i/>
          <w:iCs/>
          <w:sz w:val="24"/>
          <w:szCs w:val="24"/>
        </w:rPr>
        <w:t>Criminal Liability for Non-Aggressive Death</w:t>
      </w:r>
      <w:r w:rsidRPr="00876EC4">
        <w:rPr>
          <w:rFonts w:ascii="Times New Roman" w:hAnsi="Times New Roman" w:cs="Times New Roman"/>
          <w:sz w:val="24"/>
          <w:szCs w:val="24"/>
        </w:rPr>
        <w:t> (pp. 23-46). Routledge.</w:t>
      </w:r>
    </w:p>
    <w:p w14:paraId="489BF65C" w14:textId="77777777" w:rsidR="002159D9" w:rsidRPr="00876EC4" w:rsidRDefault="002159D9" w:rsidP="007D1B44">
      <w:pPr>
        <w:spacing w:line="480" w:lineRule="auto"/>
        <w:ind w:left="1080" w:hanging="720"/>
        <w:jc w:val="both"/>
        <w:rPr>
          <w:rFonts w:ascii="Times New Roman" w:hAnsi="Times New Roman" w:cs="Times New Roman"/>
          <w:sz w:val="24"/>
          <w:szCs w:val="24"/>
        </w:rPr>
      </w:pPr>
      <w:r w:rsidRPr="00876EC4">
        <w:rPr>
          <w:rFonts w:ascii="Times New Roman" w:hAnsi="Times New Roman" w:cs="Times New Roman"/>
          <w:sz w:val="24"/>
          <w:szCs w:val="24"/>
        </w:rPr>
        <w:t>Horton, D.P., 2019. </w:t>
      </w:r>
      <w:r w:rsidRPr="00876EC4">
        <w:rPr>
          <w:rFonts w:ascii="Times New Roman" w:hAnsi="Times New Roman" w:cs="Times New Roman"/>
          <w:i/>
          <w:iCs/>
          <w:sz w:val="24"/>
          <w:szCs w:val="24"/>
        </w:rPr>
        <w:t>Mental Health Homicide and Society: Understanding Health Care Governance</w:t>
      </w:r>
      <w:r w:rsidRPr="00876EC4">
        <w:rPr>
          <w:rFonts w:ascii="Times New Roman" w:hAnsi="Times New Roman" w:cs="Times New Roman"/>
          <w:sz w:val="24"/>
          <w:szCs w:val="24"/>
        </w:rPr>
        <w:t>. Bloomsbury Publishing.</w:t>
      </w:r>
    </w:p>
    <w:p w14:paraId="224715A5" w14:textId="77777777" w:rsidR="002159D9" w:rsidRPr="00876EC4" w:rsidRDefault="002159D9" w:rsidP="00B0360B">
      <w:pPr>
        <w:spacing w:after="0" w:line="480" w:lineRule="auto"/>
        <w:ind w:left="720" w:hanging="720"/>
        <w:rPr>
          <w:rFonts w:ascii="Times New Roman" w:hAnsi="Times New Roman" w:cs="Times New Roman"/>
          <w:sz w:val="24"/>
          <w:szCs w:val="24"/>
        </w:rPr>
      </w:pPr>
      <w:r w:rsidRPr="00876EC4">
        <w:rPr>
          <w:rFonts w:ascii="Times New Roman" w:hAnsi="Times New Roman" w:cs="Times New Roman"/>
          <w:sz w:val="24"/>
          <w:szCs w:val="24"/>
        </w:rPr>
        <w:lastRenderedPageBreak/>
        <w:t xml:space="preserve">Hossain, M. B. and Rahi, S. T., 2018. Murder: a critical analysis of the common law definition. </w:t>
      </w:r>
      <w:r w:rsidRPr="00876EC4">
        <w:rPr>
          <w:rFonts w:ascii="Times New Roman" w:hAnsi="Times New Roman" w:cs="Times New Roman"/>
          <w:i/>
          <w:iCs/>
          <w:sz w:val="24"/>
          <w:szCs w:val="24"/>
        </w:rPr>
        <w:t>Beijing Law Review</w:t>
      </w:r>
      <w:r w:rsidRPr="00876EC4">
        <w:rPr>
          <w:rFonts w:ascii="Times New Roman" w:hAnsi="Times New Roman" w:cs="Times New Roman"/>
          <w:sz w:val="24"/>
          <w:szCs w:val="24"/>
        </w:rPr>
        <w:t xml:space="preserve">, </w:t>
      </w:r>
      <w:r w:rsidRPr="00876EC4">
        <w:rPr>
          <w:rFonts w:ascii="Times New Roman" w:hAnsi="Times New Roman" w:cs="Times New Roman"/>
          <w:b/>
          <w:bCs/>
          <w:sz w:val="24"/>
          <w:szCs w:val="24"/>
        </w:rPr>
        <w:t>09</w:t>
      </w:r>
      <w:r w:rsidRPr="00876EC4">
        <w:rPr>
          <w:rFonts w:ascii="Times New Roman" w:hAnsi="Times New Roman" w:cs="Times New Roman"/>
          <w:sz w:val="24"/>
          <w:szCs w:val="24"/>
        </w:rPr>
        <w:t xml:space="preserve">(03), pp.460-480. </w:t>
      </w:r>
    </w:p>
    <w:p w14:paraId="1C1615D6" w14:textId="77777777" w:rsidR="002159D9" w:rsidRPr="00876EC4" w:rsidRDefault="002159D9" w:rsidP="00B0360B">
      <w:pPr>
        <w:spacing w:after="0" w:line="480" w:lineRule="auto"/>
        <w:ind w:left="720" w:hanging="720"/>
        <w:rPr>
          <w:rFonts w:ascii="Times New Roman" w:hAnsi="Times New Roman" w:cs="Times New Roman"/>
          <w:sz w:val="24"/>
          <w:szCs w:val="24"/>
        </w:rPr>
      </w:pPr>
      <w:r w:rsidRPr="00876EC4">
        <w:rPr>
          <w:rFonts w:ascii="Times New Roman" w:hAnsi="Times New Roman" w:cs="Times New Roman"/>
          <w:sz w:val="24"/>
          <w:szCs w:val="24"/>
        </w:rPr>
        <w:t xml:space="preserve">Keating, Diana M., 1988. Existence of a suicide pact as a complete </w:t>
      </w:r>
      <w:proofErr w:type="spellStart"/>
      <w:r w:rsidRPr="00876EC4">
        <w:rPr>
          <w:rFonts w:ascii="Times New Roman" w:hAnsi="Times New Roman" w:cs="Times New Roman"/>
          <w:sz w:val="24"/>
          <w:szCs w:val="24"/>
        </w:rPr>
        <w:t>defense</w:t>
      </w:r>
      <w:proofErr w:type="spellEnd"/>
      <w:r w:rsidRPr="00876EC4">
        <w:rPr>
          <w:rFonts w:ascii="Times New Roman" w:hAnsi="Times New Roman" w:cs="Times New Roman"/>
          <w:sz w:val="24"/>
          <w:szCs w:val="24"/>
        </w:rPr>
        <w:t xml:space="preserve"> to a survivor's criminal liability: State v. Sage. </w:t>
      </w:r>
      <w:r w:rsidRPr="00876EC4">
        <w:rPr>
          <w:rFonts w:ascii="Times New Roman" w:hAnsi="Times New Roman" w:cs="Times New Roman"/>
          <w:i/>
          <w:iCs/>
          <w:sz w:val="24"/>
          <w:szCs w:val="24"/>
        </w:rPr>
        <w:t>Akron Law Review</w:t>
      </w:r>
      <w:r w:rsidRPr="00876EC4">
        <w:rPr>
          <w:rFonts w:ascii="Times New Roman" w:hAnsi="Times New Roman" w:cs="Times New Roman"/>
          <w:sz w:val="24"/>
          <w:szCs w:val="24"/>
        </w:rPr>
        <w:t xml:space="preserve">: Vol. 21: </w:t>
      </w:r>
      <w:proofErr w:type="spellStart"/>
      <w:r w:rsidRPr="00876EC4">
        <w:rPr>
          <w:rFonts w:ascii="Times New Roman" w:hAnsi="Times New Roman" w:cs="Times New Roman"/>
          <w:sz w:val="24"/>
          <w:szCs w:val="24"/>
        </w:rPr>
        <w:t>Iss</w:t>
      </w:r>
      <w:proofErr w:type="spellEnd"/>
      <w:r w:rsidRPr="00876EC4">
        <w:rPr>
          <w:rFonts w:ascii="Times New Roman" w:hAnsi="Times New Roman" w:cs="Times New Roman"/>
          <w:sz w:val="24"/>
          <w:szCs w:val="24"/>
        </w:rPr>
        <w:t xml:space="preserve">. 2, Article 4. Available at: </w:t>
      </w:r>
      <w:hyperlink r:id="rId8" w:history="1">
        <w:r w:rsidRPr="00876EC4">
          <w:rPr>
            <w:rStyle w:val="Hyperlink"/>
            <w:rFonts w:ascii="Times New Roman" w:hAnsi="Times New Roman" w:cs="Times New Roman"/>
            <w:sz w:val="24"/>
            <w:szCs w:val="24"/>
          </w:rPr>
          <w:t>http://ideaexchange.uakron.edu/akronlawreview/vol21/iss2/4</w:t>
        </w:r>
      </w:hyperlink>
    </w:p>
    <w:p w14:paraId="165083BE" w14:textId="77777777" w:rsidR="002159D9" w:rsidRPr="00876EC4" w:rsidRDefault="002159D9" w:rsidP="00B0360B">
      <w:pPr>
        <w:spacing w:after="0" w:line="480" w:lineRule="auto"/>
        <w:ind w:left="720" w:hanging="720"/>
        <w:rPr>
          <w:rFonts w:ascii="Times New Roman" w:hAnsi="Times New Roman" w:cs="Times New Roman"/>
          <w:sz w:val="24"/>
          <w:szCs w:val="24"/>
        </w:rPr>
      </w:pPr>
      <w:r w:rsidRPr="00876EC4">
        <w:rPr>
          <w:rFonts w:ascii="Times New Roman" w:hAnsi="Times New Roman" w:cs="Times New Roman"/>
          <w:sz w:val="24"/>
          <w:szCs w:val="24"/>
        </w:rPr>
        <w:t xml:space="preserve">Kennefick, L., 2011. Introducing a new diminished responsibility defence for England and Wales. </w:t>
      </w:r>
      <w:r w:rsidRPr="00876EC4">
        <w:rPr>
          <w:rFonts w:ascii="Times New Roman" w:hAnsi="Times New Roman" w:cs="Times New Roman"/>
          <w:i/>
          <w:iCs/>
          <w:sz w:val="24"/>
          <w:szCs w:val="24"/>
        </w:rPr>
        <w:t>The Modern Law Review</w:t>
      </w:r>
      <w:r w:rsidRPr="00876EC4">
        <w:rPr>
          <w:rFonts w:ascii="Times New Roman" w:hAnsi="Times New Roman" w:cs="Times New Roman"/>
          <w:sz w:val="24"/>
          <w:szCs w:val="24"/>
        </w:rPr>
        <w:t xml:space="preserve">, </w:t>
      </w:r>
      <w:r w:rsidRPr="00876EC4">
        <w:rPr>
          <w:rFonts w:ascii="Times New Roman" w:hAnsi="Times New Roman" w:cs="Times New Roman"/>
          <w:b/>
          <w:bCs/>
          <w:sz w:val="24"/>
          <w:szCs w:val="24"/>
        </w:rPr>
        <w:t>74</w:t>
      </w:r>
      <w:r w:rsidRPr="00876EC4">
        <w:rPr>
          <w:rFonts w:ascii="Times New Roman" w:hAnsi="Times New Roman" w:cs="Times New Roman"/>
          <w:sz w:val="24"/>
          <w:szCs w:val="24"/>
        </w:rPr>
        <w:t xml:space="preserve">(5), pp.750-766. </w:t>
      </w:r>
    </w:p>
    <w:p w14:paraId="29DAD110" w14:textId="77777777" w:rsidR="002159D9" w:rsidRPr="00876EC4" w:rsidRDefault="002159D9" w:rsidP="00B0360B">
      <w:pPr>
        <w:rPr>
          <w:rFonts w:ascii="Times New Roman" w:hAnsi="Times New Roman" w:cs="Times New Roman"/>
          <w:sz w:val="24"/>
          <w:szCs w:val="24"/>
        </w:rPr>
      </w:pPr>
      <w:r w:rsidRPr="00876EC4">
        <w:rPr>
          <w:rFonts w:ascii="Times New Roman" w:hAnsi="Times New Roman" w:cs="Times New Roman"/>
          <w:color w:val="000000"/>
          <w:sz w:val="24"/>
          <w:szCs w:val="24"/>
          <w:shd w:val="clear" w:color="auto" w:fill="FFFFFF"/>
        </w:rPr>
        <w:t>Kent, U., 2017. </w:t>
      </w:r>
      <w:r w:rsidRPr="00876EC4">
        <w:rPr>
          <w:rFonts w:ascii="Times New Roman" w:hAnsi="Times New Roman" w:cs="Times New Roman"/>
          <w:i/>
          <w:iCs/>
          <w:color w:val="000000"/>
          <w:sz w:val="24"/>
          <w:szCs w:val="24"/>
          <w:shd w:val="clear" w:color="auto" w:fill="FFFFFF"/>
        </w:rPr>
        <w:t>R v Ahluwalia [1993] - Women's Legal Landmarks</w:t>
      </w:r>
      <w:r w:rsidRPr="00876EC4">
        <w:rPr>
          <w:rFonts w:ascii="Times New Roman" w:hAnsi="Times New Roman" w:cs="Times New Roman"/>
          <w:color w:val="000000"/>
          <w:sz w:val="24"/>
          <w:szCs w:val="24"/>
          <w:shd w:val="clear" w:color="auto" w:fill="FFFFFF"/>
        </w:rPr>
        <w:t xml:space="preserve">. [online] Women's Legal Landmarks. Available at: &lt; </w:t>
      </w:r>
      <w:hyperlink r:id="rId9" w:history="1">
        <w:r w:rsidRPr="00876EC4">
          <w:rPr>
            <w:rStyle w:val="Hyperlink"/>
            <w:rFonts w:ascii="Times New Roman" w:hAnsi="Times New Roman" w:cs="Times New Roman"/>
            <w:sz w:val="24"/>
            <w:szCs w:val="24"/>
            <w:shd w:val="clear" w:color="auto" w:fill="FFFFFF"/>
          </w:rPr>
          <w:t>https://womenslegallandmarks.com/2017/08/08/r-v-ahluwalia-1992/</w:t>
        </w:r>
      </w:hyperlink>
      <w:r w:rsidRPr="00876EC4">
        <w:rPr>
          <w:rFonts w:ascii="Times New Roman" w:hAnsi="Times New Roman" w:cs="Times New Roman"/>
          <w:color w:val="000000"/>
          <w:sz w:val="24"/>
          <w:szCs w:val="24"/>
          <w:shd w:val="clear" w:color="auto" w:fill="FFFFFF"/>
        </w:rPr>
        <w:t xml:space="preserve"> &gt; [Accessed 18 October 2021].</w:t>
      </w:r>
    </w:p>
    <w:p w14:paraId="4A931FC3" w14:textId="77777777" w:rsidR="002159D9" w:rsidRPr="00876EC4" w:rsidRDefault="002159D9" w:rsidP="00030A91">
      <w:pPr>
        <w:spacing w:line="480" w:lineRule="auto"/>
        <w:ind w:left="1080" w:hanging="720"/>
        <w:jc w:val="both"/>
        <w:rPr>
          <w:rFonts w:ascii="Times New Roman" w:hAnsi="Times New Roman" w:cs="Times New Roman"/>
          <w:sz w:val="24"/>
          <w:szCs w:val="24"/>
        </w:rPr>
      </w:pPr>
      <w:r w:rsidRPr="00876EC4">
        <w:rPr>
          <w:rFonts w:ascii="Times New Roman" w:hAnsi="Times New Roman" w:cs="Times New Roman"/>
          <w:sz w:val="24"/>
          <w:szCs w:val="24"/>
        </w:rPr>
        <w:t xml:space="preserve">Large, M., Smith, G., Swinson, N., Shaw, J. and </w:t>
      </w:r>
      <w:proofErr w:type="spellStart"/>
      <w:r w:rsidRPr="00876EC4">
        <w:rPr>
          <w:rFonts w:ascii="Times New Roman" w:hAnsi="Times New Roman" w:cs="Times New Roman"/>
          <w:sz w:val="24"/>
          <w:szCs w:val="24"/>
        </w:rPr>
        <w:t>Nielssen</w:t>
      </w:r>
      <w:proofErr w:type="spellEnd"/>
      <w:r w:rsidRPr="00876EC4">
        <w:rPr>
          <w:rFonts w:ascii="Times New Roman" w:hAnsi="Times New Roman" w:cs="Times New Roman"/>
          <w:sz w:val="24"/>
          <w:szCs w:val="24"/>
        </w:rPr>
        <w:t>, O., 2008. Homicide due to mental disorder in England and Wales over 50 years. </w:t>
      </w:r>
      <w:r w:rsidRPr="00876EC4">
        <w:rPr>
          <w:rFonts w:ascii="Times New Roman" w:hAnsi="Times New Roman" w:cs="Times New Roman"/>
          <w:i/>
          <w:iCs/>
          <w:sz w:val="24"/>
          <w:szCs w:val="24"/>
        </w:rPr>
        <w:t>The British journal of psychiatry</w:t>
      </w:r>
      <w:r w:rsidRPr="00876EC4">
        <w:rPr>
          <w:rFonts w:ascii="Times New Roman" w:hAnsi="Times New Roman" w:cs="Times New Roman"/>
          <w:sz w:val="24"/>
          <w:szCs w:val="24"/>
        </w:rPr>
        <w:t>, </w:t>
      </w:r>
      <w:r w:rsidRPr="00876EC4">
        <w:rPr>
          <w:rFonts w:ascii="Times New Roman" w:hAnsi="Times New Roman" w:cs="Times New Roman"/>
          <w:i/>
          <w:iCs/>
          <w:sz w:val="24"/>
          <w:szCs w:val="24"/>
        </w:rPr>
        <w:t>193</w:t>
      </w:r>
      <w:r w:rsidRPr="00876EC4">
        <w:rPr>
          <w:rFonts w:ascii="Times New Roman" w:hAnsi="Times New Roman" w:cs="Times New Roman"/>
          <w:sz w:val="24"/>
          <w:szCs w:val="24"/>
        </w:rPr>
        <w:t>(2), pp.130-133.</w:t>
      </w:r>
    </w:p>
    <w:p w14:paraId="09366A96" w14:textId="77777777" w:rsidR="002159D9" w:rsidRPr="00876EC4" w:rsidRDefault="002159D9" w:rsidP="007D1B44">
      <w:pPr>
        <w:spacing w:line="480" w:lineRule="auto"/>
        <w:ind w:left="1080" w:hanging="720"/>
        <w:jc w:val="both"/>
        <w:rPr>
          <w:rFonts w:ascii="Times New Roman" w:hAnsi="Times New Roman" w:cs="Times New Roman"/>
          <w:sz w:val="24"/>
          <w:szCs w:val="24"/>
        </w:rPr>
      </w:pPr>
      <w:r w:rsidRPr="00876EC4">
        <w:rPr>
          <w:rFonts w:ascii="Times New Roman" w:hAnsi="Times New Roman" w:cs="Times New Roman"/>
          <w:sz w:val="24"/>
          <w:szCs w:val="24"/>
        </w:rPr>
        <w:t>Liu, A.C., 2018. Diminished responsibility: law reform in the United Kingdom and personal perspective on forensic psychiatric practice in Hong Kong. </w:t>
      </w:r>
      <w:r w:rsidRPr="00876EC4">
        <w:rPr>
          <w:rFonts w:ascii="Times New Roman" w:hAnsi="Times New Roman" w:cs="Times New Roman"/>
          <w:i/>
          <w:iCs/>
          <w:sz w:val="24"/>
          <w:szCs w:val="24"/>
        </w:rPr>
        <w:t>East Asian archives of psychiatry</w:t>
      </w:r>
      <w:r w:rsidRPr="00876EC4">
        <w:rPr>
          <w:rFonts w:ascii="Times New Roman" w:hAnsi="Times New Roman" w:cs="Times New Roman"/>
          <w:sz w:val="24"/>
          <w:szCs w:val="24"/>
        </w:rPr>
        <w:t>, </w:t>
      </w:r>
      <w:r w:rsidRPr="00876EC4">
        <w:rPr>
          <w:rFonts w:ascii="Times New Roman" w:hAnsi="Times New Roman" w:cs="Times New Roman"/>
          <w:i/>
          <w:iCs/>
          <w:sz w:val="24"/>
          <w:szCs w:val="24"/>
        </w:rPr>
        <w:t>28</w:t>
      </w:r>
      <w:r w:rsidRPr="00876EC4">
        <w:rPr>
          <w:rFonts w:ascii="Times New Roman" w:hAnsi="Times New Roman" w:cs="Times New Roman"/>
          <w:sz w:val="24"/>
          <w:szCs w:val="24"/>
        </w:rPr>
        <w:t>(4), pp.144-149.</w:t>
      </w:r>
    </w:p>
    <w:p w14:paraId="07A3C1CE" w14:textId="77777777" w:rsidR="002159D9" w:rsidRPr="00876EC4" w:rsidRDefault="002159D9" w:rsidP="007D1B44">
      <w:pPr>
        <w:spacing w:line="480" w:lineRule="auto"/>
        <w:ind w:left="1080" w:hanging="720"/>
        <w:jc w:val="both"/>
        <w:rPr>
          <w:rFonts w:ascii="Times New Roman" w:hAnsi="Times New Roman" w:cs="Times New Roman"/>
          <w:sz w:val="24"/>
          <w:szCs w:val="24"/>
        </w:rPr>
      </w:pPr>
      <w:r w:rsidRPr="00876EC4">
        <w:rPr>
          <w:rFonts w:ascii="Times New Roman" w:hAnsi="Times New Roman" w:cs="Times New Roman"/>
          <w:sz w:val="24"/>
          <w:szCs w:val="24"/>
        </w:rPr>
        <w:t>Lloyd Jones, S.D., 2015. The Law Commission and the implementation of law reform. </w:t>
      </w:r>
      <w:r w:rsidRPr="00876EC4">
        <w:rPr>
          <w:rFonts w:ascii="Times New Roman" w:hAnsi="Times New Roman" w:cs="Times New Roman"/>
          <w:i/>
          <w:iCs/>
          <w:sz w:val="24"/>
          <w:szCs w:val="24"/>
        </w:rPr>
        <w:t>Amicus Curiae</w:t>
      </w:r>
      <w:r w:rsidRPr="00876EC4">
        <w:rPr>
          <w:rFonts w:ascii="Times New Roman" w:hAnsi="Times New Roman" w:cs="Times New Roman"/>
          <w:sz w:val="24"/>
          <w:szCs w:val="24"/>
        </w:rPr>
        <w:t>, </w:t>
      </w:r>
      <w:r w:rsidRPr="00876EC4">
        <w:rPr>
          <w:rFonts w:ascii="Times New Roman" w:hAnsi="Times New Roman" w:cs="Times New Roman"/>
          <w:i/>
          <w:iCs/>
          <w:sz w:val="24"/>
          <w:szCs w:val="24"/>
        </w:rPr>
        <w:t>2013</w:t>
      </w:r>
      <w:r w:rsidRPr="00876EC4">
        <w:rPr>
          <w:rFonts w:ascii="Times New Roman" w:hAnsi="Times New Roman" w:cs="Times New Roman"/>
          <w:sz w:val="24"/>
          <w:szCs w:val="24"/>
        </w:rPr>
        <w:t>(94), pp.2-10.</w:t>
      </w:r>
    </w:p>
    <w:p w14:paraId="304EAFFD" w14:textId="77777777" w:rsidR="002159D9" w:rsidRPr="00876EC4" w:rsidRDefault="002159D9" w:rsidP="00F65EFF">
      <w:pPr>
        <w:spacing w:line="480" w:lineRule="auto"/>
        <w:ind w:left="1080" w:hanging="720"/>
        <w:jc w:val="both"/>
        <w:rPr>
          <w:rFonts w:ascii="Times New Roman" w:hAnsi="Times New Roman" w:cs="Times New Roman"/>
          <w:sz w:val="24"/>
          <w:szCs w:val="24"/>
        </w:rPr>
      </w:pPr>
      <w:r w:rsidRPr="00876EC4">
        <w:rPr>
          <w:rFonts w:ascii="Times New Roman" w:hAnsi="Times New Roman" w:cs="Times New Roman"/>
          <w:sz w:val="24"/>
          <w:szCs w:val="24"/>
        </w:rPr>
        <w:t>Lloyd Jones, S.D., 2015. The Law Commission and the implementation of law reform. </w:t>
      </w:r>
      <w:r w:rsidRPr="00876EC4">
        <w:rPr>
          <w:rFonts w:ascii="Times New Roman" w:hAnsi="Times New Roman" w:cs="Times New Roman"/>
          <w:i/>
          <w:iCs/>
          <w:sz w:val="24"/>
          <w:szCs w:val="24"/>
        </w:rPr>
        <w:t>Amicus Curiae</w:t>
      </w:r>
      <w:r w:rsidRPr="00876EC4">
        <w:rPr>
          <w:rFonts w:ascii="Times New Roman" w:hAnsi="Times New Roman" w:cs="Times New Roman"/>
          <w:sz w:val="24"/>
          <w:szCs w:val="24"/>
        </w:rPr>
        <w:t>, </w:t>
      </w:r>
      <w:r w:rsidRPr="00876EC4">
        <w:rPr>
          <w:rFonts w:ascii="Times New Roman" w:hAnsi="Times New Roman" w:cs="Times New Roman"/>
          <w:i/>
          <w:iCs/>
          <w:sz w:val="24"/>
          <w:szCs w:val="24"/>
        </w:rPr>
        <w:t>2013</w:t>
      </w:r>
      <w:r w:rsidRPr="00876EC4">
        <w:rPr>
          <w:rFonts w:ascii="Times New Roman" w:hAnsi="Times New Roman" w:cs="Times New Roman"/>
          <w:sz w:val="24"/>
          <w:szCs w:val="24"/>
        </w:rPr>
        <w:t>(94), pp.2-10.</w:t>
      </w:r>
    </w:p>
    <w:p w14:paraId="55C24092" w14:textId="77777777" w:rsidR="002159D9" w:rsidRPr="00876EC4" w:rsidRDefault="002159D9" w:rsidP="00B0360B">
      <w:pPr>
        <w:spacing w:after="0" w:line="480" w:lineRule="auto"/>
        <w:ind w:left="720" w:hanging="720"/>
        <w:rPr>
          <w:rFonts w:ascii="Times New Roman" w:hAnsi="Times New Roman" w:cs="Times New Roman"/>
          <w:sz w:val="24"/>
          <w:szCs w:val="24"/>
        </w:rPr>
      </w:pPr>
      <w:r w:rsidRPr="00876EC4">
        <w:rPr>
          <w:rFonts w:ascii="Times New Roman" w:hAnsi="Times New Roman" w:cs="Times New Roman"/>
          <w:sz w:val="24"/>
          <w:szCs w:val="24"/>
        </w:rPr>
        <w:t xml:space="preserve">Loughnan, A., 2012. </w:t>
      </w:r>
      <w:r w:rsidRPr="00876EC4">
        <w:rPr>
          <w:rFonts w:ascii="Times New Roman" w:hAnsi="Times New Roman" w:cs="Times New Roman"/>
          <w:i/>
          <w:iCs/>
          <w:sz w:val="24"/>
          <w:szCs w:val="24"/>
        </w:rPr>
        <w:t>Manifest madness: mental incapacity in the criminal law</w:t>
      </w:r>
      <w:r w:rsidRPr="00876EC4">
        <w:rPr>
          <w:rFonts w:ascii="Times New Roman" w:hAnsi="Times New Roman" w:cs="Times New Roman"/>
          <w:sz w:val="24"/>
          <w:szCs w:val="24"/>
        </w:rPr>
        <w:t xml:space="preserve">. Oxford University Press. </w:t>
      </w:r>
    </w:p>
    <w:p w14:paraId="1833FBB4" w14:textId="77777777" w:rsidR="002159D9" w:rsidRPr="00876EC4" w:rsidRDefault="002159D9" w:rsidP="007D1B44">
      <w:pPr>
        <w:spacing w:line="480" w:lineRule="auto"/>
        <w:ind w:left="1080" w:hanging="720"/>
        <w:jc w:val="both"/>
        <w:rPr>
          <w:rFonts w:ascii="Times New Roman" w:hAnsi="Times New Roman" w:cs="Times New Roman"/>
          <w:sz w:val="24"/>
          <w:szCs w:val="24"/>
        </w:rPr>
      </w:pPr>
      <w:proofErr w:type="spellStart"/>
      <w:r w:rsidRPr="00876EC4">
        <w:rPr>
          <w:rFonts w:ascii="Times New Roman" w:hAnsi="Times New Roman" w:cs="Times New Roman"/>
          <w:sz w:val="24"/>
          <w:szCs w:val="24"/>
        </w:rPr>
        <w:t>Mee</w:t>
      </w:r>
      <w:proofErr w:type="spellEnd"/>
      <w:r w:rsidRPr="00876EC4">
        <w:rPr>
          <w:rFonts w:ascii="Times New Roman" w:hAnsi="Times New Roman" w:cs="Times New Roman"/>
          <w:sz w:val="24"/>
          <w:szCs w:val="24"/>
        </w:rPr>
        <w:t>, J., 2016. Prevention of Benefit from Homicide: A Critical Analysis of the Law Reform Commission's Proposals. </w:t>
      </w:r>
      <w:r w:rsidRPr="00876EC4">
        <w:rPr>
          <w:rFonts w:ascii="Times New Roman" w:hAnsi="Times New Roman" w:cs="Times New Roman"/>
          <w:i/>
          <w:iCs/>
          <w:sz w:val="24"/>
          <w:szCs w:val="24"/>
        </w:rPr>
        <w:t>Dublin ULJ</w:t>
      </w:r>
      <w:r w:rsidRPr="00876EC4">
        <w:rPr>
          <w:rFonts w:ascii="Times New Roman" w:hAnsi="Times New Roman" w:cs="Times New Roman"/>
          <w:sz w:val="24"/>
          <w:szCs w:val="24"/>
        </w:rPr>
        <w:t>, </w:t>
      </w:r>
      <w:r w:rsidRPr="00876EC4">
        <w:rPr>
          <w:rFonts w:ascii="Times New Roman" w:hAnsi="Times New Roman" w:cs="Times New Roman"/>
          <w:i/>
          <w:iCs/>
          <w:sz w:val="24"/>
          <w:szCs w:val="24"/>
        </w:rPr>
        <w:t>39</w:t>
      </w:r>
      <w:r w:rsidRPr="00876EC4">
        <w:rPr>
          <w:rFonts w:ascii="Times New Roman" w:hAnsi="Times New Roman" w:cs="Times New Roman"/>
          <w:sz w:val="24"/>
          <w:szCs w:val="24"/>
        </w:rPr>
        <w:t>, p.203.</w:t>
      </w:r>
    </w:p>
    <w:p w14:paraId="1D4BF9FD" w14:textId="77777777" w:rsidR="002159D9" w:rsidRPr="00876EC4" w:rsidRDefault="002159D9" w:rsidP="00B0360B">
      <w:pPr>
        <w:spacing w:after="0" w:line="480" w:lineRule="auto"/>
        <w:ind w:left="720" w:hanging="720"/>
        <w:rPr>
          <w:rFonts w:ascii="Times New Roman" w:hAnsi="Times New Roman" w:cs="Times New Roman"/>
          <w:sz w:val="24"/>
          <w:szCs w:val="24"/>
        </w:rPr>
      </w:pPr>
      <w:r w:rsidRPr="00876EC4">
        <w:rPr>
          <w:rFonts w:ascii="Times New Roman" w:hAnsi="Times New Roman" w:cs="Times New Roman"/>
          <w:sz w:val="24"/>
          <w:szCs w:val="24"/>
        </w:rPr>
        <w:lastRenderedPageBreak/>
        <w:t xml:space="preserve">Mitchell, B., 1986. Problems with the interpretation of murder. </w:t>
      </w:r>
      <w:r w:rsidRPr="00876EC4">
        <w:rPr>
          <w:rFonts w:ascii="Times New Roman" w:hAnsi="Times New Roman" w:cs="Times New Roman"/>
          <w:i/>
          <w:iCs/>
          <w:sz w:val="24"/>
          <w:szCs w:val="24"/>
        </w:rPr>
        <w:t>The Journal of Criminal Law</w:t>
      </w:r>
      <w:r w:rsidRPr="00876EC4">
        <w:rPr>
          <w:rFonts w:ascii="Times New Roman" w:hAnsi="Times New Roman" w:cs="Times New Roman"/>
          <w:sz w:val="24"/>
          <w:szCs w:val="24"/>
        </w:rPr>
        <w:t xml:space="preserve">, </w:t>
      </w:r>
      <w:r w:rsidRPr="00876EC4">
        <w:rPr>
          <w:rFonts w:ascii="Times New Roman" w:hAnsi="Times New Roman" w:cs="Times New Roman"/>
          <w:b/>
          <w:bCs/>
          <w:sz w:val="24"/>
          <w:szCs w:val="24"/>
        </w:rPr>
        <w:t>50</w:t>
      </w:r>
      <w:r w:rsidRPr="00876EC4">
        <w:rPr>
          <w:rFonts w:ascii="Times New Roman" w:hAnsi="Times New Roman" w:cs="Times New Roman"/>
          <w:sz w:val="24"/>
          <w:szCs w:val="24"/>
        </w:rPr>
        <w:t xml:space="preserve">(1), pp.76-86. </w:t>
      </w:r>
    </w:p>
    <w:p w14:paraId="06C23156" w14:textId="77777777" w:rsidR="002159D9" w:rsidRPr="00876EC4" w:rsidRDefault="002159D9" w:rsidP="007D1B44">
      <w:pPr>
        <w:spacing w:line="480" w:lineRule="auto"/>
        <w:ind w:left="1080" w:hanging="720"/>
        <w:jc w:val="both"/>
        <w:rPr>
          <w:rFonts w:ascii="Times New Roman" w:hAnsi="Times New Roman" w:cs="Times New Roman"/>
          <w:sz w:val="24"/>
          <w:szCs w:val="24"/>
        </w:rPr>
      </w:pPr>
      <w:r w:rsidRPr="00876EC4">
        <w:rPr>
          <w:rFonts w:ascii="Times New Roman" w:hAnsi="Times New Roman" w:cs="Times New Roman"/>
          <w:sz w:val="24"/>
          <w:szCs w:val="24"/>
        </w:rPr>
        <w:t>Naylor, B. and Tyson, D., 2017. Reforming defences to homicide in Victoria: Another attempt to address the gender question. </w:t>
      </w:r>
      <w:r w:rsidRPr="00876EC4">
        <w:rPr>
          <w:rFonts w:ascii="Times New Roman" w:hAnsi="Times New Roman" w:cs="Times New Roman"/>
          <w:i/>
          <w:iCs/>
          <w:sz w:val="24"/>
          <w:szCs w:val="24"/>
        </w:rPr>
        <w:t xml:space="preserve">International journal for crime, </w:t>
      </w:r>
      <w:proofErr w:type="gramStart"/>
      <w:r w:rsidRPr="00876EC4">
        <w:rPr>
          <w:rFonts w:ascii="Times New Roman" w:hAnsi="Times New Roman" w:cs="Times New Roman"/>
          <w:i/>
          <w:iCs/>
          <w:sz w:val="24"/>
          <w:szCs w:val="24"/>
        </w:rPr>
        <w:t>justice</w:t>
      </w:r>
      <w:proofErr w:type="gramEnd"/>
      <w:r w:rsidRPr="00876EC4">
        <w:rPr>
          <w:rFonts w:ascii="Times New Roman" w:hAnsi="Times New Roman" w:cs="Times New Roman"/>
          <w:i/>
          <w:iCs/>
          <w:sz w:val="24"/>
          <w:szCs w:val="24"/>
        </w:rPr>
        <w:t xml:space="preserve"> and social democracy</w:t>
      </w:r>
      <w:r w:rsidRPr="00876EC4">
        <w:rPr>
          <w:rFonts w:ascii="Times New Roman" w:hAnsi="Times New Roman" w:cs="Times New Roman"/>
          <w:sz w:val="24"/>
          <w:szCs w:val="24"/>
        </w:rPr>
        <w:t>, </w:t>
      </w:r>
      <w:r w:rsidRPr="00876EC4">
        <w:rPr>
          <w:rFonts w:ascii="Times New Roman" w:hAnsi="Times New Roman" w:cs="Times New Roman"/>
          <w:i/>
          <w:iCs/>
          <w:sz w:val="24"/>
          <w:szCs w:val="24"/>
        </w:rPr>
        <w:t>6</w:t>
      </w:r>
      <w:r w:rsidRPr="00876EC4">
        <w:rPr>
          <w:rFonts w:ascii="Times New Roman" w:hAnsi="Times New Roman" w:cs="Times New Roman"/>
          <w:sz w:val="24"/>
          <w:szCs w:val="24"/>
        </w:rPr>
        <w:t>(3), p.72.</w:t>
      </w:r>
    </w:p>
    <w:p w14:paraId="62EB5C39" w14:textId="77777777" w:rsidR="002159D9" w:rsidRPr="00876EC4" w:rsidRDefault="002159D9" w:rsidP="00B0360B">
      <w:pPr>
        <w:spacing w:after="0" w:line="480" w:lineRule="auto"/>
        <w:ind w:left="720" w:hanging="720"/>
        <w:rPr>
          <w:rFonts w:ascii="Times New Roman" w:hAnsi="Times New Roman" w:cs="Times New Roman"/>
          <w:sz w:val="24"/>
          <w:szCs w:val="24"/>
        </w:rPr>
      </w:pPr>
      <w:r w:rsidRPr="00876EC4">
        <w:rPr>
          <w:rFonts w:ascii="Times New Roman" w:hAnsi="Times New Roman" w:cs="Times New Roman"/>
          <w:sz w:val="24"/>
          <w:szCs w:val="24"/>
        </w:rPr>
        <w:t xml:space="preserve">Patil, P. and </w:t>
      </w:r>
      <w:proofErr w:type="spellStart"/>
      <w:r w:rsidRPr="00876EC4">
        <w:rPr>
          <w:rFonts w:ascii="Times New Roman" w:hAnsi="Times New Roman" w:cs="Times New Roman"/>
          <w:sz w:val="24"/>
          <w:szCs w:val="24"/>
        </w:rPr>
        <w:t>Rasquinha</w:t>
      </w:r>
      <w:proofErr w:type="spellEnd"/>
      <w:r w:rsidRPr="00876EC4">
        <w:rPr>
          <w:rFonts w:ascii="Times New Roman" w:hAnsi="Times New Roman" w:cs="Times New Roman"/>
          <w:sz w:val="24"/>
          <w:szCs w:val="24"/>
        </w:rPr>
        <w:t xml:space="preserve">, N., 2013. Diminished responsibility in England and Wales: historical and current perspectives. </w:t>
      </w:r>
      <w:r w:rsidRPr="00876EC4">
        <w:rPr>
          <w:rFonts w:ascii="Times New Roman" w:hAnsi="Times New Roman" w:cs="Times New Roman"/>
          <w:i/>
          <w:iCs/>
          <w:sz w:val="24"/>
          <w:szCs w:val="24"/>
        </w:rPr>
        <w:t>European Psychiatry</w:t>
      </w:r>
      <w:r w:rsidRPr="00876EC4">
        <w:rPr>
          <w:rFonts w:ascii="Times New Roman" w:hAnsi="Times New Roman" w:cs="Times New Roman"/>
          <w:sz w:val="24"/>
          <w:szCs w:val="24"/>
        </w:rPr>
        <w:t xml:space="preserve">, 28, p.1. </w:t>
      </w:r>
    </w:p>
    <w:p w14:paraId="7A3DE872" w14:textId="77777777" w:rsidR="002159D9" w:rsidRPr="00876EC4" w:rsidRDefault="002159D9" w:rsidP="00B0360B">
      <w:pPr>
        <w:spacing w:after="0" w:line="480" w:lineRule="auto"/>
        <w:rPr>
          <w:rFonts w:ascii="Times New Roman" w:hAnsi="Times New Roman" w:cs="Times New Roman"/>
          <w:sz w:val="24"/>
          <w:szCs w:val="24"/>
        </w:rPr>
      </w:pPr>
      <w:r w:rsidRPr="00876EC4">
        <w:rPr>
          <w:rFonts w:ascii="Times New Roman" w:hAnsi="Times New Roman" w:cs="Times New Roman"/>
          <w:sz w:val="24"/>
          <w:szCs w:val="24"/>
        </w:rPr>
        <w:t xml:space="preserve">R v </w:t>
      </w:r>
      <w:r w:rsidRPr="00876EC4">
        <w:rPr>
          <w:rFonts w:ascii="Times New Roman" w:hAnsi="Times New Roman" w:cs="Times New Roman"/>
          <w:bCs/>
          <w:sz w:val="24"/>
          <w:szCs w:val="24"/>
        </w:rPr>
        <w:t>Cheshire</w:t>
      </w:r>
      <w:r w:rsidRPr="00876EC4">
        <w:rPr>
          <w:rFonts w:ascii="Times New Roman" w:hAnsi="Times New Roman" w:cs="Times New Roman"/>
          <w:sz w:val="24"/>
          <w:szCs w:val="24"/>
        </w:rPr>
        <w:t xml:space="preserve"> [</w:t>
      </w:r>
      <w:r w:rsidRPr="00876EC4">
        <w:rPr>
          <w:rFonts w:ascii="Times New Roman" w:hAnsi="Times New Roman" w:cs="Times New Roman"/>
          <w:bCs/>
          <w:sz w:val="24"/>
          <w:szCs w:val="24"/>
        </w:rPr>
        <w:t>1991</w:t>
      </w:r>
      <w:r w:rsidRPr="00876EC4">
        <w:rPr>
          <w:rFonts w:ascii="Times New Roman" w:hAnsi="Times New Roman" w:cs="Times New Roman"/>
          <w:sz w:val="24"/>
          <w:szCs w:val="24"/>
        </w:rPr>
        <w:t>] 1 WLR 844</w:t>
      </w:r>
    </w:p>
    <w:p w14:paraId="340B5347" w14:textId="77777777" w:rsidR="002159D9" w:rsidRPr="00876EC4" w:rsidRDefault="002159D9" w:rsidP="00F65EFF">
      <w:pPr>
        <w:spacing w:line="480" w:lineRule="auto"/>
        <w:ind w:left="1080" w:hanging="720"/>
        <w:jc w:val="both"/>
        <w:rPr>
          <w:rFonts w:ascii="Times New Roman" w:hAnsi="Times New Roman" w:cs="Times New Roman"/>
          <w:sz w:val="24"/>
          <w:szCs w:val="24"/>
        </w:rPr>
      </w:pPr>
      <w:r w:rsidRPr="00876EC4">
        <w:rPr>
          <w:rFonts w:ascii="Times New Roman" w:hAnsi="Times New Roman" w:cs="Times New Roman"/>
          <w:sz w:val="24"/>
          <w:szCs w:val="24"/>
        </w:rPr>
        <w:t xml:space="preserve">Raj, S., 2015. Homicide Law Reform, </w:t>
      </w:r>
      <w:proofErr w:type="gramStart"/>
      <w:r w:rsidRPr="00876EC4">
        <w:rPr>
          <w:rFonts w:ascii="Times New Roman" w:hAnsi="Times New Roman" w:cs="Times New Roman"/>
          <w:sz w:val="24"/>
          <w:szCs w:val="24"/>
        </w:rPr>
        <w:t>Gender</w:t>
      </w:r>
      <w:proofErr w:type="gramEnd"/>
      <w:r w:rsidRPr="00876EC4">
        <w:rPr>
          <w:rFonts w:ascii="Times New Roman" w:hAnsi="Times New Roman" w:cs="Times New Roman"/>
          <w:sz w:val="24"/>
          <w:szCs w:val="24"/>
        </w:rPr>
        <w:t xml:space="preserve"> and the Provocation Defence by Kate Fitz-Gibbon.</w:t>
      </w:r>
    </w:p>
    <w:p w14:paraId="318699FE" w14:textId="77777777" w:rsidR="002159D9" w:rsidRPr="00876EC4" w:rsidRDefault="002159D9" w:rsidP="00F65EFF">
      <w:pPr>
        <w:spacing w:line="480" w:lineRule="auto"/>
        <w:ind w:left="1080" w:hanging="720"/>
        <w:jc w:val="both"/>
        <w:rPr>
          <w:rFonts w:ascii="Times New Roman" w:hAnsi="Times New Roman" w:cs="Times New Roman"/>
          <w:sz w:val="24"/>
          <w:szCs w:val="24"/>
        </w:rPr>
      </w:pPr>
      <w:r w:rsidRPr="00876EC4">
        <w:rPr>
          <w:rFonts w:ascii="Times New Roman" w:hAnsi="Times New Roman" w:cs="Times New Roman"/>
          <w:sz w:val="24"/>
          <w:szCs w:val="24"/>
        </w:rPr>
        <w:t>Reed, A. and Simpson, B., 2021. Criminalisation and the Contours of Liability: Current Legal Issues and Comparative Reform Solutions. </w:t>
      </w:r>
      <w:r w:rsidRPr="00876EC4">
        <w:rPr>
          <w:rFonts w:ascii="Times New Roman" w:hAnsi="Times New Roman" w:cs="Times New Roman"/>
          <w:i/>
          <w:iCs/>
          <w:sz w:val="24"/>
          <w:szCs w:val="24"/>
        </w:rPr>
        <w:t>J. Int'l &amp; Comp. L.</w:t>
      </w:r>
      <w:r w:rsidRPr="00876EC4">
        <w:rPr>
          <w:rFonts w:ascii="Times New Roman" w:hAnsi="Times New Roman" w:cs="Times New Roman"/>
          <w:sz w:val="24"/>
          <w:szCs w:val="24"/>
        </w:rPr>
        <w:t>, </w:t>
      </w:r>
      <w:r w:rsidRPr="00876EC4">
        <w:rPr>
          <w:rFonts w:ascii="Times New Roman" w:hAnsi="Times New Roman" w:cs="Times New Roman"/>
          <w:i/>
          <w:iCs/>
          <w:sz w:val="24"/>
          <w:szCs w:val="24"/>
        </w:rPr>
        <w:t>8</w:t>
      </w:r>
      <w:r w:rsidRPr="00876EC4">
        <w:rPr>
          <w:rFonts w:ascii="Times New Roman" w:hAnsi="Times New Roman" w:cs="Times New Roman"/>
          <w:sz w:val="24"/>
          <w:szCs w:val="24"/>
        </w:rPr>
        <w:t>, p.1.</w:t>
      </w:r>
    </w:p>
    <w:p w14:paraId="13CE7EE4" w14:textId="77777777" w:rsidR="002159D9" w:rsidRPr="00876EC4" w:rsidRDefault="002159D9" w:rsidP="00B0360B">
      <w:pPr>
        <w:spacing w:after="0" w:line="480" w:lineRule="auto"/>
        <w:jc w:val="center"/>
        <w:rPr>
          <w:rFonts w:ascii="Times New Roman" w:hAnsi="Times New Roman" w:cs="Times New Roman"/>
          <w:sz w:val="24"/>
          <w:szCs w:val="24"/>
        </w:rPr>
      </w:pPr>
      <w:r w:rsidRPr="00876EC4">
        <w:rPr>
          <w:rFonts w:ascii="Times New Roman" w:hAnsi="Times New Roman" w:cs="Times New Roman"/>
          <w:sz w:val="24"/>
          <w:szCs w:val="24"/>
        </w:rPr>
        <w:t>References:</w:t>
      </w:r>
    </w:p>
    <w:p w14:paraId="73E6AD98" w14:textId="77777777" w:rsidR="002159D9" w:rsidRPr="00876EC4" w:rsidRDefault="002159D9" w:rsidP="00B0360B">
      <w:pPr>
        <w:spacing w:after="0" w:line="480" w:lineRule="auto"/>
        <w:ind w:left="720" w:hanging="720"/>
        <w:rPr>
          <w:rFonts w:ascii="Times New Roman" w:hAnsi="Times New Roman" w:cs="Times New Roman"/>
          <w:sz w:val="24"/>
          <w:szCs w:val="24"/>
        </w:rPr>
      </w:pPr>
      <w:r w:rsidRPr="00876EC4">
        <w:rPr>
          <w:rFonts w:ascii="Times New Roman" w:hAnsi="Times New Roman" w:cs="Times New Roman"/>
          <w:sz w:val="24"/>
          <w:szCs w:val="24"/>
        </w:rPr>
        <w:t xml:space="preserve">Rogers, J., 2015. The amended diminished responsibility plea. </w:t>
      </w:r>
      <w:r w:rsidRPr="00876EC4">
        <w:rPr>
          <w:rFonts w:ascii="Times New Roman" w:hAnsi="Times New Roman" w:cs="Times New Roman"/>
          <w:i/>
          <w:iCs/>
          <w:sz w:val="24"/>
          <w:szCs w:val="24"/>
        </w:rPr>
        <w:t>The Cambridge Law Journal</w:t>
      </w:r>
      <w:r w:rsidRPr="00876EC4">
        <w:rPr>
          <w:rFonts w:ascii="Times New Roman" w:hAnsi="Times New Roman" w:cs="Times New Roman"/>
          <w:sz w:val="24"/>
          <w:szCs w:val="24"/>
        </w:rPr>
        <w:t xml:space="preserve">, </w:t>
      </w:r>
      <w:r w:rsidRPr="00876EC4">
        <w:rPr>
          <w:rFonts w:ascii="Times New Roman" w:hAnsi="Times New Roman" w:cs="Times New Roman"/>
          <w:b/>
          <w:bCs/>
          <w:sz w:val="24"/>
          <w:szCs w:val="24"/>
        </w:rPr>
        <w:t>74</w:t>
      </w:r>
      <w:r w:rsidRPr="00876EC4">
        <w:rPr>
          <w:rFonts w:ascii="Times New Roman" w:hAnsi="Times New Roman" w:cs="Times New Roman"/>
          <w:sz w:val="24"/>
          <w:szCs w:val="24"/>
        </w:rPr>
        <w:t xml:space="preserve">(2), pp.201-205. </w:t>
      </w:r>
    </w:p>
    <w:p w14:paraId="739E85F8" w14:textId="77777777" w:rsidR="002159D9" w:rsidRPr="00876EC4" w:rsidRDefault="002159D9" w:rsidP="00B0360B">
      <w:pPr>
        <w:spacing w:after="0" w:line="480" w:lineRule="auto"/>
        <w:ind w:left="720" w:hanging="720"/>
        <w:rPr>
          <w:rFonts w:ascii="Times New Roman" w:hAnsi="Times New Roman" w:cs="Times New Roman"/>
          <w:sz w:val="24"/>
          <w:szCs w:val="24"/>
        </w:rPr>
      </w:pPr>
      <w:proofErr w:type="spellStart"/>
      <w:r w:rsidRPr="00876EC4">
        <w:rPr>
          <w:rFonts w:ascii="Times New Roman" w:hAnsi="Times New Roman" w:cs="Times New Roman"/>
          <w:sz w:val="24"/>
          <w:szCs w:val="24"/>
          <w:lang w:val="en-US"/>
        </w:rPr>
        <w:t>Simester</w:t>
      </w:r>
      <w:proofErr w:type="spellEnd"/>
      <w:r w:rsidRPr="00876EC4">
        <w:rPr>
          <w:rFonts w:ascii="Times New Roman" w:hAnsi="Times New Roman" w:cs="Times New Roman"/>
          <w:sz w:val="24"/>
          <w:szCs w:val="24"/>
          <w:lang w:val="en-US"/>
        </w:rPr>
        <w:t xml:space="preserve">, A., 2021. </w:t>
      </w:r>
      <w:r w:rsidRPr="00876EC4">
        <w:rPr>
          <w:rFonts w:ascii="Times New Roman" w:hAnsi="Times New Roman" w:cs="Times New Roman"/>
          <w:i/>
          <w:iCs/>
          <w:sz w:val="24"/>
          <w:szCs w:val="24"/>
          <w:lang w:val="en-US"/>
        </w:rPr>
        <w:t>Fundamentals of criminal law: responsibility and culpability</w:t>
      </w:r>
      <w:r w:rsidRPr="00876EC4">
        <w:rPr>
          <w:rFonts w:ascii="Times New Roman" w:hAnsi="Times New Roman" w:cs="Times New Roman"/>
          <w:sz w:val="24"/>
          <w:szCs w:val="24"/>
          <w:lang w:val="en-US"/>
        </w:rPr>
        <w:t>. Oxford University Press.</w:t>
      </w:r>
    </w:p>
    <w:p w14:paraId="23866EB6" w14:textId="77777777" w:rsidR="002159D9" w:rsidRPr="00876EC4" w:rsidRDefault="002159D9" w:rsidP="00F65EFF">
      <w:pPr>
        <w:spacing w:line="480" w:lineRule="auto"/>
        <w:ind w:left="1080" w:hanging="720"/>
        <w:jc w:val="both"/>
        <w:rPr>
          <w:rFonts w:ascii="Times New Roman" w:hAnsi="Times New Roman" w:cs="Times New Roman"/>
          <w:sz w:val="24"/>
          <w:szCs w:val="24"/>
        </w:rPr>
      </w:pPr>
      <w:r w:rsidRPr="00876EC4">
        <w:rPr>
          <w:rFonts w:ascii="Times New Roman" w:hAnsi="Times New Roman" w:cs="Times New Roman"/>
          <w:sz w:val="24"/>
          <w:szCs w:val="24"/>
        </w:rPr>
        <w:t>Smith, A., 2021. </w:t>
      </w:r>
      <w:r w:rsidRPr="00876EC4">
        <w:rPr>
          <w:rFonts w:ascii="Times New Roman" w:hAnsi="Times New Roman" w:cs="Times New Roman"/>
          <w:i/>
          <w:iCs/>
          <w:sz w:val="24"/>
          <w:szCs w:val="24"/>
        </w:rPr>
        <w:t>Should the law on corporate homicide be reformed?</w:t>
      </w:r>
      <w:r w:rsidRPr="00876EC4">
        <w:rPr>
          <w:rFonts w:ascii="Times New Roman" w:hAnsi="Times New Roman" w:cs="Times New Roman"/>
          <w:sz w:val="24"/>
          <w:szCs w:val="24"/>
        </w:rPr>
        <w:t> (Doctoral dissertation, University of Glasgow).</w:t>
      </w:r>
    </w:p>
    <w:p w14:paraId="7751FA14" w14:textId="77777777" w:rsidR="002159D9" w:rsidRPr="00876EC4" w:rsidRDefault="002159D9" w:rsidP="00A56253">
      <w:pPr>
        <w:tabs>
          <w:tab w:val="left" w:pos="3684"/>
        </w:tabs>
        <w:rPr>
          <w:rFonts w:ascii="Times New Roman" w:hAnsi="Times New Roman" w:cs="Times New Roman"/>
          <w:sz w:val="24"/>
          <w:szCs w:val="24"/>
        </w:rPr>
      </w:pPr>
      <w:r w:rsidRPr="00876EC4">
        <w:rPr>
          <w:rFonts w:ascii="Times New Roman" w:hAnsi="Times New Roman" w:cs="Times New Roman"/>
          <w:color w:val="000000"/>
          <w:sz w:val="24"/>
          <w:szCs w:val="24"/>
          <w:shd w:val="clear" w:color="auto" w:fill="FFFFFF"/>
        </w:rPr>
        <w:t>swarb.co.uk. 2021. </w:t>
      </w:r>
      <w:r w:rsidRPr="00876EC4">
        <w:rPr>
          <w:rFonts w:ascii="Times New Roman" w:hAnsi="Times New Roman" w:cs="Times New Roman"/>
          <w:i/>
          <w:iCs/>
          <w:color w:val="000000"/>
          <w:sz w:val="24"/>
          <w:szCs w:val="24"/>
          <w:shd w:val="clear" w:color="auto" w:fill="FFFFFF"/>
        </w:rPr>
        <w:t>'Regina v Thornton (SE) (No 2): CACD 6 Jun 1996'</w:t>
      </w:r>
      <w:r w:rsidRPr="00876EC4">
        <w:rPr>
          <w:rFonts w:ascii="Times New Roman" w:hAnsi="Times New Roman" w:cs="Times New Roman"/>
          <w:color w:val="000000"/>
          <w:sz w:val="24"/>
          <w:szCs w:val="24"/>
          <w:shd w:val="clear" w:color="auto" w:fill="FFFFFF"/>
        </w:rPr>
        <w:t>. [online] Available at: &lt;</w:t>
      </w:r>
      <w:r w:rsidRPr="00876EC4">
        <w:rPr>
          <w:rFonts w:ascii="Times New Roman" w:hAnsi="Times New Roman" w:cs="Times New Roman"/>
          <w:color w:val="000000"/>
          <w:sz w:val="24"/>
          <w:szCs w:val="24"/>
          <w:shd w:val="clear" w:color="auto" w:fill="FFFFFF"/>
        </w:rPr>
        <w:t xml:space="preserve"> </w:t>
      </w:r>
      <w:hyperlink r:id="rId10" w:history="1">
        <w:r w:rsidRPr="00876EC4">
          <w:rPr>
            <w:rStyle w:val="Hyperlink"/>
            <w:rFonts w:ascii="Times New Roman" w:hAnsi="Times New Roman" w:cs="Times New Roman"/>
            <w:sz w:val="24"/>
            <w:szCs w:val="24"/>
            <w:shd w:val="clear" w:color="auto" w:fill="FFFFFF"/>
          </w:rPr>
          <w:t>https://swarb.co.uk/regina-v-thornton-se-no-2-CACD-6-Jun-1996/</w:t>
        </w:r>
      </w:hyperlink>
      <w:r w:rsidRPr="00876EC4">
        <w:rPr>
          <w:rFonts w:ascii="Times New Roman" w:hAnsi="Times New Roman" w:cs="Times New Roman"/>
          <w:color w:val="000000"/>
          <w:sz w:val="24"/>
          <w:szCs w:val="24"/>
          <w:shd w:val="clear" w:color="auto" w:fill="FFFFFF"/>
        </w:rPr>
        <w:t xml:space="preserve"> </w:t>
      </w:r>
      <w:r w:rsidRPr="00876EC4">
        <w:rPr>
          <w:rFonts w:ascii="Times New Roman" w:hAnsi="Times New Roman" w:cs="Times New Roman"/>
          <w:color w:val="000000"/>
          <w:sz w:val="24"/>
          <w:szCs w:val="24"/>
          <w:shd w:val="clear" w:color="auto" w:fill="FFFFFF"/>
        </w:rPr>
        <w:t>&gt; [Accessed 17 October 2021].</w:t>
      </w:r>
    </w:p>
    <w:p w14:paraId="1EF3D9CA" w14:textId="77777777" w:rsidR="002159D9" w:rsidRPr="00876EC4" w:rsidRDefault="002159D9" w:rsidP="00B0360B">
      <w:pPr>
        <w:spacing w:after="0" w:line="480" w:lineRule="auto"/>
        <w:ind w:left="720" w:hanging="720"/>
        <w:rPr>
          <w:rFonts w:ascii="Times New Roman" w:hAnsi="Times New Roman" w:cs="Times New Roman"/>
          <w:sz w:val="24"/>
          <w:szCs w:val="24"/>
        </w:rPr>
      </w:pPr>
      <w:r w:rsidRPr="00876EC4">
        <w:rPr>
          <w:rFonts w:ascii="Times New Roman" w:hAnsi="Times New Roman" w:cs="Times New Roman"/>
          <w:sz w:val="24"/>
          <w:szCs w:val="24"/>
        </w:rPr>
        <w:t xml:space="preserve">The Law Commission. 2003, October 31. </w:t>
      </w:r>
      <w:r w:rsidRPr="00876EC4">
        <w:rPr>
          <w:rFonts w:ascii="Times New Roman" w:hAnsi="Times New Roman" w:cs="Times New Roman"/>
          <w:i/>
          <w:iCs/>
          <w:sz w:val="24"/>
          <w:szCs w:val="24"/>
        </w:rPr>
        <w:t>Partial Defences to Murder - Consultation Paper No 173</w:t>
      </w:r>
      <w:r w:rsidRPr="00876EC4">
        <w:rPr>
          <w:rFonts w:ascii="Times New Roman" w:hAnsi="Times New Roman" w:cs="Times New Roman"/>
          <w:sz w:val="24"/>
          <w:szCs w:val="24"/>
        </w:rPr>
        <w:t>. Law Commission.</w:t>
      </w:r>
    </w:p>
    <w:p w14:paraId="0BF6CC10" w14:textId="77777777" w:rsidR="002159D9" w:rsidRPr="00876EC4" w:rsidRDefault="002159D9" w:rsidP="00B0360B">
      <w:pPr>
        <w:spacing w:after="0" w:line="480" w:lineRule="auto"/>
        <w:ind w:left="720" w:hanging="720"/>
        <w:rPr>
          <w:rFonts w:ascii="Times New Roman" w:hAnsi="Times New Roman" w:cs="Times New Roman"/>
          <w:sz w:val="24"/>
          <w:szCs w:val="24"/>
        </w:rPr>
      </w:pPr>
      <w:r w:rsidRPr="00876EC4">
        <w:rPr>
          <w:rFonts w:ascii="Times New Roman" w:hAnsi="Times New Roman" w:cs="Times New Roman"/>
          <w:sz w:val="24"/>
          <w:szCs w:val="24"/>
        </w:rPr>
        <w:lastRenderedPageBreak/>
        <w:t xml:space="preserve">The Law Commission. 2004, August 6. </w:t>
      </w:r>
      <w:r w:rsidRPr="00876EC4">
        <w:rPr>
          <w:rFonts w:ascii="Times New Roman" w:hAnsi="Times New Roman" w:cs="Times New Roman"/>
          <w:i/>
          <w:iCs/>
          <w:sz w:val="24"/>
          <w:szCs w:val="24"/>
        </w:rPr>
        <w:t>Partial Defences to Murder - Final Report</w:t>
      </w:r>
      <w:r w:rsidRPr="00876EC4">
        <w:rPr>
          <w:rFonts w:ascii="Times New Roman" w:hAnsi="Times New Roman" w:cs="Times New Roman"/>
          <w:sz w:val="24"/>
          <w:szCs w:val="24"/>
        </w:rPr>
        <w:t xml:space="preserve">. Law Commission. </w:t>
      </w:r>
      <w:hyperlink r:id="rId11" w:history="1">
        <w:r w:rsidRPr="00876EC4">
          <w:rPr>
            <w:rStyle w:val="Hyperlink"/>
            <w:rFonts w:ascii="Times New Roman" w:hAnsi="Times New Roman" w:cs="Times New Roman"/>
            <w:sz w:val="24"/>
            <w:szCs w:val="24"/>
          </w:rPr>
          <w:t>https://www.lawcom.gov.uk/app/uploads/2015/03/lc290_Partial_Defences_to_Murder.pdf</w:t>
        </w:r>
      </w:hyperlink>
    </w:p>
    <w:p w14:paraId="15FF45B3" w14:textId="77777777" w:rsidR="002159D9" w:rsidRPr="00876EC4" w:rsidRDefault="002159D9" w:rsidP="00B0360B">
      <w:pPr>
        <w:spacing w:after="0" w:line="480" w:lineRule="auto"/>
        <w:ind w:left="720" w:hanging="720"/>
        <w:rPr>
          <w:rFonts w:ascii="Times New Roman" w:hAnsi="Times New Roman" w:cs="Times New Roman"/>
          <w:sz w:val="24"/>
          <w:szCs w:val="24"/>
        </w:rPr>
      </w:pPr>
      <w:r w:rsidRPr="00876EC4">
        <w:rPr>
          <w:rFonts w:ascii="Times New Roman" w:hAnsi="Times New Roman" w:cs="Times New Roman"/>
          <w:sz w:val="24"/>
          <w:szCs w:val="24"/>
        </w:rPr>
        <w:t xml:space="preserve">The Law Commission. 2006, April. </w:t>
      </w:r>
      <w:r w:rsidRPr="00876EC4">
        <w:rPr>
          <w:rFonts w:ascii="Times New Roman" w:hAnsi="Times New Roman" w:cs="Times New Roman"/>
          <w:i/>
          <w:iCs/>
          <w:sz w:val="24"/>
          <w:szCs w:val="24"/>
        </w:rPr>
        <w:t>A new homicide law for England and Wales? Consultation Paper No 177 (Overview)</w:t>
      </w:r>
      <w:r w:rsidRPr="00876EC4">
        <w:rPr>
          <w:rFonts w:ascii="Times New Roman" w:hAnsi="Times New Roman" w:cs="Times New Roman"/>
          <w:sz w:val="24"/>
          <w:szCs w:val="24"/>
        </w:rPr>
        <w:t xml:space="preserve">. Law Commission. </w:t>
      </w:r>
      <w:hyperlink r:id="rId12" w:history="1">
        <w:r w:rsidRPr="00876EC4">
          <w:rPr>
            <w:rStyle w:val="Hyperlink"/>
            <w:rFonts w:ascii="Times New Roman" w:hAnsi="Times New Roman" w:cs="Times New Roman"/>
            <w:sz w:val="24"/>
            <w:szCs w:val="24"/>
          </w:rPr>
          <w:t>https://www.lawcom.gov.uk/app/uploads/2015/03/cp177_Murder_Manslaughter_and_Infanticide_consultation_overview_.pdf</w:t>
        </w:r>
      </w:hyperlink>
    </w:p>
    <w:p w14:paraId="7D21AD3B" w14:textId="77777777" w:rsidR="002159D9" w:rsidRPr="00876EC4" w:rsidRDefault="002159D9" w:rsidP="00B0360B">
      <w:pPr>
        <w:spacing w:after="0" w:line="480" w:lineRule="auto"/>
        <w:ind w:left="720" w:hanging="720"/>
        <w:rPr>
          <w:rFonts w:ascii="Times New Roman" w:hAnsi="Times New Roman" w:cs="Times New Roman"/>
          <w:sz w:val="24"/>
          <w:szCs w:val="24"/>
        </w:rPr>
      </w:pPr>
      <w:r w:rsidRPr="00876EC4">
        <w:rPr>
          <w:rFonts w:ascii="Times New Roman" w:hAnsi="Times New Roman" w:cs="Times New Roman"/>
          <w:sz w:val="24"/>
          <w:szCs w:val="24"/>
        </w:rPr>
        <w:t xml:space="preserve">The Law Commission. 2006, November 26. </w:t>
      </w:r>
      <w:r w:rsidRPr="00876EC4">
        <w:rPr>
          <w:rFonts w:ascii="Times New Roman" w:hAnsi="Times New Roman" w:cs="Times New Roman"/>
          <w:i/>
          <w:iCs/>
          <w:sz w:val="24"/>
          <w:szCs w:val="24"/>
        </w:rPr>
        <w:t xml:space="preserve">Murder, </w:t>
      </w:r>
      <w:proofErr w:type="gramStart"/>
      <w:r w:rsidRPr="00876EC4">
        <w:rPr>
          <w:rFonts w:ascii="Times New Roman" w:hAnsi="Times New Roman" w:cs="Times New Roman"/>
          <w:i/>
          <w:iCs/>
          <w:sz w:val="24"/>
          <w:szCs w:val="24"/>
        </w:rPr>
        <w:t>Manslaughter</w:t>
      </w:r>
      <w:proofErr w:type="gramEnd"/>
      <w:r w:rsidRPr="00876EC4">
        <w:rPr>
          <w:rFonts w:ascii="Times New Roman" w:hAnsi="Times New Roman" w:cs="Times New Roman"/>
          <w:i/>
          <w:iCs/>
          <w:sz w:val="24"/>
          <w:szCs w:val="24"/>
        </w:rPr>
        <w:t xml:space="preserve"> and Infanticide - Project 6 of the Ninth Programme of Law Reform: Homicide</w:t>
      </w:r>
      <w:r w:rsidRPr="00876EC4">
        <w:rPr>
          <w:rFonts w:ascii="Times New Roman" w:hAnsi="Times New Roman" w:cs="Times New Roman"/>
          <w:sz w:val="24"/>
          <w:szCs w:val="24"/>
        </w:rPr>
        <w:t xml:space="preserve">. Law Commission. </w:t>
      </w:r>
      <w:hyperlink r:id="rId13" w:history="1">
        <w:r w:rsidRPr="00876EC4">
          <w:rPr>
            <w:rStyle w:val="Hyperlink"/>
            <w:rFonts w:ascii="Times New Roman" w:hAnsi="Times New Roman" w:cs="Times New Roman"/>
            <w:sz w:val="24"/>
            <w:szCs w:val="24"/>
          </w:rPr>
          <w:t>https://www.lawcom.gov.uk/app/uploads/2015/03/lc304_Murder_Manslaughter_and_Infanticide_Report.pdf</w:t>
        </w:r>
      </w:hyperlink>
    </w:p>
    <w:p w14:paraId="0FFF9C09" w14:textId="77777777" w:rsidR="002159D9" w:rsidRPr="00876EC4" w:rsidRDefault="002159D9" w:rsidP="00B0360B">
      <w:pPr>
        <w:spacing w:after="0" w:line="480" w:lineRule="auto"/>
        <w:ind w:left="720" w:hanging="720"/>
        <w:rPr>
          <w:rFonts w:ascii="Times New Roman" w:hAnsi="Times New Roman" w:cs="Times New Roman"/>
          <w:sz w:val="24"/>
          <w:szCs w:val="24"/>
        </w:rPr>
      </w:pPr>
      <w:r w:rsidRPr="00876EC4">
        <w:rPr>
          <w:rFonts w:ascii="Times New Roman" w:hAnsi="Times New Roman" w:cs="Times New Roman"/>
          <w:sz w:val="24"/>
          <w:szCs w:val="24"/>
        </w:rPr>
        <w:t xml:space="preserve">The Law Commission. 2015, November 2. </w:t>
      </w:r>
      <w:r w:rsidRPr="00876EC4">
        <w:rPr>
          <w:rFonts w:ascii="Times New Roman" w:hAnsi="Times New Roman" w:cs="Times New Roman"/>
          <w:i/>
          <w:iCs/>
          <w:sz w:val="24"/>
          <w:szCs w:val="24"/>
        </w:rPr>
        <w:t>Reform of Offences against the Person (LAW COM No 361)</w:t>
      </w:r>
      <w:r w:rsidRPr="00876EC4">
        <w:rPr>
          <w:rFonts w:ascii="Times New Roman" w:hAnsi="Times New Roman" w:cs="Times New Roman"/>
          <w:sz w:val="24"/>
          <w:szCs w:val="24"/>
        </w:rPr>
        <w:t>. Law Commission.</w:t>
      </w:r>
    </w:p>
    <w:p w14:paraId="5C11B273" w14:textId="77777777" w:rsidR="002159D9" w:rsidRDefault="002159D9" w:rsidP="00B0360B">
      <w:pPr>
        <w:spacing w:after="0" w:line="480" w:lineRule="auto"/>
        <w:ind w:left="720" w:hanging="720"/>
        <w:rPr>
          <w:rStyle w:val="Hyperlink"/>
          <w:rFonts w:ascii="Times New Roman" w:hAnsi="Times New Roman" w:cs="Times New Roman"/>
          <w:sz w:val="24"/>
          <w:szCs w:val="24"/>
        </w:rPr>
      </w:pPr>
      <w:r w:rsidRPr="00876EC4">
        <w:rPr>
          <w:rFonts w:ascii="Times New Roman" w:hAnsi="Times New Roman" w:cs="Times New Roman"/>
          <w:sz w:val="24"/>
          <w:szCs w:val="24"/>
        </w:rPr>
        <w:t xml:space="preserve">UK Parliament. 2016, June 30. </w:t>
      </w:r>
      <w:r w:rsidRPr="00876EC4">
        <w:rPr>
          <w:rFonts w:ascii="Times New Roman" w:hAnsi="Times New Roman" w:cs="Times New Roman"/>
          <w:i/>
          <w:iCs/>
          <w:sz w:val="24"/>
          <w:szCs w:val="24"/>
        </w:rPr>
        <w:t>Homicide law reform - Thursday 30 June 2016 - Hansard - UK Parliament</w:t>
      </w:r>
      <w:r w:rsidRPr="00876EC4">
        <w:rPr>
          <w:rFonts w:ascii="Times New Roman" w:hAnsi="Times New Roman" w:cs="Times New Roman"/>
          <w:sz w:val="24"/>
          <w:szCs w:val="24"/>
        </w:rPr>
        <w:t xml:space="preserve">. Hansard - UK Parliament. </w:t>
      </w:r>
      <w:hyperlink r:id="rId14" w:history="1">
        <w:r w:rsidRPr="00876EC4">
          <w:rPr>
            <w:rStyle w:val="Hyperlink"/>
            <w:rFonts w:ascii="Times New Roman" w:hAnsi="Times New Roman" w:cs="Times New Roman"/>
            <w:sz w:val="24"/>
            <w:szCs w:val="24"/>
          </w:rPr>
          <w:t>https://hansard.parliament.uk/commons/2016-06-30/debates/D5042476-8A97-4E5F-82BB-5908AB04F0AA/HomicideLawReform</w:t>
        </w:r>
      </w:hyperlink>
    </w:p>
    <w:p w14:paraId="2BD4E8CF" w14:textId="77777777" w:rsidR="002159D9" w:rsidRPr="00876EC4" w:rsidRDefault="002159D9" w:rsidP="00B0360B">
      <w:pPr>
        <w:spacing w:after="0" w:line="480" w:lineRule="auto"/>
        <w:ind w:left="720" w:hanging="720"/>
        <w:rPr>
          <w:rFonts w:ascii="Times New Roman" w:hAnsi="Times New Roman" w:cs="Times New Roman"/>
          <w:sz w:val="24"/>
          <w:szCs w:val="24"/>
        </w:rPr>
      </w:pPr>
    </w:p>
    <w:sectPr w:rsidR="002159D9" w:rsidRPr="00876EC4">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0155D" w14:textId="77777777" w:rsidR="000A5331" w:rsidRDefault="000A5331" w:rsidP="00A56253">
      <w:pPr>
        <w:spacing w:after="0" w:line="240" w:lineRule="auto"/>
      </w:pPr>
      <w:r>
        <w:separator/>
      </w:r>
    </w:p>
  </w:endnote>
  <w:endnote w:type="continuationSeparator" w:id="0">
    <w:p w14:paraId="15D3392F" w14:textId="77777777" w:rsidR="000A5331" w:rsidRDefault="000A5331" w:rsidP="00A562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290B17" w14:textId="77777777" w:rsidR="000A5331" w:rsidRDefault="000A5331" w:rsidP="00A56253">
      <w:pPr>
        <w:spacing w:after="0" w:line="240" w:lineRule="auto"/>
      </w:pPr>
      <w:r>
        <w:separator/>
      </w:r>
    </w:p>
  </w:footnote>
  <w:footnote w:type="continuationSeparator" w:id="0">
    <w:p w14:paraId="61F4421B" w14:textId="77777777" w:rsidR="000A5331" w:rsidRDefault="000A5331" w:rsidP="00A562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F95CB8" w14:textId="45537E1B" w:rsidR="00A56253" w:rsidRDefault="00A56253" w:rsidP="00A56253">
    <w:pPr>
      <w:pStyle w:val="Header"/>
      <w:tabs>
        <w:tab w:val="clear" w:pos="4513"/>
        <w:tab w:val="clear" w:pos="9026"/>
        <w:tab w:val="left" w:pos="7518"/>
      </w:tabs>
    </w:pPr>
    <w:r>
      <w:t xml:space="preserve">                                                                                                                                                 Reform of Homicide</w:t>
    </w:r>
  </w:p>
  <w:p w14:paraId="04CF80FB" w14:textId="77777777" w:rsidR="00A56253" w:rsidRDefault="00A562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B70AD"/>
    <w:multiLevelType w:val="hybridMultilevel"/>
    <w:tmpl w:val="CD1EB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AB3"/>
    <w:rsid w:val="00030A91"/>
    <w:rsid w:val="00072509"/>
    <w:rsid w:val="00083E68"/>
    <w:rsid w:val="00085F4D"/>
    <w:rsid w:val="00086B2D"/>
    <w:rsid w:val="000A5331"/>
    <w:rsid w:val="000D142D"/>
    <w:rsid w:val="00114CCE"/>
    <w:rsid w:val="001806D0"/>
    <w:rsid w:val="001963E2"/>
    <w:rsid w:val="001A78C4"/>
    <w:rsid w:val="001B5572"/>
    <w:rsid w:val="00203DDA"/>
    <w:rsid w:val="002159D9"/>
    <w:rsid w:val="003720BC"/>
    <w:rsid w:val="003901F3"/>
    <w:rsid w:val="003968CC"/>
    <w:rsid w:val="003A2AAB"/>
    <w:rsid w:val="003B6E54"/>
    <w:rsid w:val="00443CCB"/>
    <w:rsid w:val="004B100A"/>
    <w:rsid w:val="004B44E8"/>
    <w:rsid w:val="004B7F4F"/>
    <w:rsid w:val="004D2F6A"/>
    <w:rsid w:val="00521669"/>
    <w:rsid w:val="00541874"/>
    <w:rsid w:val="005528CC"/>
    <w:rsid w:val="00553C50"/>
    <w:rsid w:val="0068188B"/>
    <w:rsid w:val="00694EDE"/>
    <w:rsid w:val="006A6498"/>
    <w:rsid w:val="006B7C10"/>
    <w:rsid w:val="006B7F81"/>
    <w:rsid w:val="006C5603"/>
    <w:rsid w:val="006D26F9"/>
    <w:rsid w:val="00707BAD"/>
    <w:rsid w:val="00720167"/>
    <w:rsid w:val="007429EA"/>
    <w:rsid w:val="00760738"/>
    <w:rsid w:val="007A6C96"/>
    <w:rsid w:val="007D1B44"/>
    <w:rsid w:val="007D4B9B"/>
    <w:rsid w:val="007E4225"/>
    <w:rsid w:val="007F04FF"/>
    <w:rsid w:val="008658FB"/>
    <w:rsid w:val="00876EC4"/>
    <w:rsid w:val="008813BA"/>
    <w:rsid w:val="00895559"/>
    <w:rsid w:val="008B5741"/>
    <w:rsid w:val="008D408C"/>
    <w:rsid w:val="009A40FD"/>
    <w:rsid w:val="009E0993"/>
    <w:rsid w:val="009E6B9B"/>
    <w:rsid w:val="00A05FFB"/>
    <w:rsid w:val="00A14650"/>
    <w:rsid w:val="00A406F6"/>
    <w:rsid w:val="00A52D2A"/>
    <w:rsid w:val="00A56253"/>
    <w:rsid w:val="00A8363B"/>
    <w:rsid w:val="00A91AB3"/>
    <w:rsid w:val="00AE7727"/>
    <w:rsid w:val="00AF2A1D"/>
    <w:rsid w:val="00AF6290"/>
    <w:rsid w:val="00B0360B"/>
    <w:rsid w:val="00B17728"/>
    <w:rsid w:val="00B36100"/>
    <w:rsid w:val="00BB25F8"/>
    <w:rsid w:val="00BC561D"/>
    <w:rsid w:val="00BD185C"/>
    <w:rsid w:val="00C0719A"/>
    <w:rsid w:val="00C35AB5"/>
    <w:rsid w:val="00CB1570"/>
    <w:rsid w:val="00D23E0C"/>
    <w:rsid w:val="00D32170"/>
    <w:rsid w:val="00D51431"/>
    <w:rsid w:val="00D60D71"/>
    <w:rsid w:val="00D6375C"/>
    <w:rsid w:val="00D84B7D"/>
    <w:rsid w:val="00DB7922"/>
    <w:rsid w:val="00E039E4"/>
    <w:rsid w:val="00E07DDD"/>
    <w:rsid w:val="00E27371"/>
    <w:rsid w:val="00E36193"/>
    <w:rsid w:val="00E36F2E"/>
    <w:rsid w:val="00E6035B"/>
    <w:rsid w:val="00EA6216"/>
    <w:rsid w:val="00EC21D6"/>
    <w:rsid w:val="00ED0DA8"/>
    <w:rsid w:val="00EF5AA8"/>
    <w:rsid w:val="00EF6CCE"/>
    <w:rsid w:val="00F21CE1"/>
    <w:rsid w:val="00F65EFF"/>
    <w:rsid w:val="00FE3A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EEEB2"/>
  <w15:chartTrackingRefBased/>
  <w15:docId w15:val="{BA254BB4-2D96-4667-AE25-F0B667FD9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62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6253"/>
  </w:style>
  <w:style w:type="paragraph" w:styleId="Footer">
    <w:name w:val="footer"/>
    <w:basedOn w:val="Normal"/>
    <w:link w:val="FooterChar"/>
    <w:uiPriority w:val="99"/>
    <w:unhideWhenUsed/>
    <w:rsid w:val="00A562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6253"/>
  </w:style>
  <w:style w:type="character" w:styleId="Hyperlink">
    <w:name w:val="Hyperlink"/>
    <w:basedOn w:val="DefaultParagraphFont"/>
    <w:uiPriority w:val="99"/>
    <w:unhideWhenUsed/>
    <w:rsid w:val="00B0360B"/>
    <w:rPr>
      <w:color w:val="0563C1" w:themeColor="hyperlink"/>
      <w:u w:val="single"/>
    </w:rPr>
  </w:style>
  <w:style w:type="paragraph" w:styleId="ListParagraph">
    <w:name w:val="List Paragraph"/>
    <w:basedOn w:val="Normal"/>
    <w:uiPriority w:val="34"/>
    <w:qFormat/>
    <w:rsid w:val="00EC21D6"/>
    <w:pPr>
      <w:ind w:left="720"/>
      <w:contextualSpacing/>
    </w:pPr>
  </w:style>
  <w:style w:type="character" w:styleId="UnresolvedMention">
    <w:name w:val="Unresolved Mention"/>
    <w:basedOn w:val="DefaultParagraphFont"/>
    <w:uiPriority w:val="99"/>
    <w:semiHidden/>
    <w:unhideWhenUsed/>
    <w:rsid w:val="006B7F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1456769">
      <w:bodyDiv w:val="1"/>
      <w:marLeft w:val="0"/>
      <w:marRight w:val="0"/>
      <w:marTop w:val="0"/>
      <w:marBottom w:val="0"/>
      <w:divBdr>
        <w:top w:val="none" w:sz="0" w:space="0" w:color="auto"/>
        <w:left w:val="none" w:sz="0" w:space="0" w:color="auto"/>
        <w:bottom w:val="none" w:sz="0" w:space="0" w:color="auto"/>
        <w:right w:val="none" w:sz="0" w:space="0" w:color="auto"/>
      </w:divBdr>
    </w:div>
    <w:div w:id="1433430879">
      <w:bodyDiv w:val="1"/>
      <w:marLeft w:val="0"/>
      <w:marRight w:val="0"/>
      <w:marTop w:val="0"/>
      <w:marBottom w:val="0"/>
      <w:divBdr>
        <w:top w:val="none" w:sz="0" w:space="0" w:color="auto"/>
        <w:left w:val="none" w:sz="0" w:space="0" w:color="auto"/>
        <w:bottom w:val="none" w:sz="0" w:space="0" w:color="auto"/>
        <w:right w:val="none" w:sz="0" w:space="0" w:color="auto"/>
      </w:divBdr>
      <w:divsChild>
        <w:div w:id="8699945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ideaexchange.uakron.edu/akronlawreview/vol21/iss2/4" TargetMode="External"/><Relationship Id="rId13" Type="http://schemas.openxmlformats.org/officeDocument/2006/relationships/hyperlink" Target="https://www.lawcom.gov.uk/app/uploads/2015/03/lc304_Murder_Manslaughter_and_Infanticide_Report.pdf" TargetMode="External"/><Relationship Id="rId3" Type="http://schemas.openxmlformats.org/officeDocument/2006/relationships/settings" Target="settings.xml"/><Relationship Id="rId7" Type="http://schemas.openxmlformats.org/officeDocument/2006/relationships/hyperlink" Target="https://researchbriefings.files.parliament.uk/documents/CDP-2016-0094/CDP-2016-0094.pdf" TargetMode="External"/><Relationship Id="rId12" Type="http://schemas.openxmlformats.org/officeDocument/2006/relationships/hyperlink" Target="https://www.lawcom.gov.uk/app/uploads/2015/03/cp177_Murder_Manslaughter_and_Infanticide_consultation_overview_.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awcom.gov.uk/app/uploads/2015/03/lc290_Partial_Defences_to_Murder.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swarb.co.uk/regina-v-thornton-se-no-2-CACD-6-Jun-1996/" TargetMode="External"/><Relationship Id="rId4" Type="http://schemas.openxmlformats.org/officeDocument/2006/relationships/webSettings" Target="webSettings.xml"/><Relationship Id="rId9" Type="http://schemas.openxmlformats.org/officeDocument/2006/relationships/hyperlink" Target="https://womenslegallandmarks.com/2017/08/08/r-v-ahluwalia-1992/" TargetMode="External"/><Relationship Id="rId14" Type="http://schemas.openxmlformats.org/officeDocument/2006/relationships/hyperlink" Target="https://hansard.parliament.uk/commons/2016-06-30/debates/D5042476-8A97-4E5F-82BB-5908AB04F0AA/HomicideLawRefor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1153</TotalTime>
  <Pages>10</Pages>
  <Words>2522</Words>
  <Characters>14377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Smith</dc:creator>
  <cp:keywords/>
  <dc:description/>
  <cp:lastModifiedBy>Ella Smith</cp:lastModifiedBy>
  <cp:revision>32</cp:revision>
  <dcterms:created xsi:type="dcterms:W3CDTF">2021-10-28T16:02:00Z</dcterms:created>
  <dcterms:modified xsi:type="dcterms:W3CDTF">2021-10-29T16:23:00Z</dcterms:modified>
</cp:coreProperties>
</file>