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0F93" w:rsidRPr="00A46721" w:rsidRDefault="00B25B7A" w:rsidP="0096120F">
      <w:pPr>
        <w:jc w:val="center"/>
        <w:rPr>
          <w:rFonts w:cs="Arial"/>
          <w:b/>
          <w:sz w:val="24"/>
          <w:szCs w:val="24"/>
          <w:u w:val="single"/>
        </w:rPr>
      </w:pPr>
      <w:r w:rsidRPr="00A46721">
        <w:rPr>
          <w:rFonts w:cs="Arial"/>
          <w:b/>
          <w:sz w:val="24"/>
          <w:szCs w:val="24"/>
          <w:u w:val="single"/>
        </w:rPr>
        <w:t xml:space="preserve">Learning Outcome 1 – </w:t>
      </w:r>
      <w:r w:rsidR="00F52C68" w:rsidRPr="00A46721">
        <w:rPr>
          <w:rFonts w:cs="Arial"/>
          <w:b/>
          <w:sz w:val="24"/>
          <w:szCs w:val="24"/>
          <w:u w:val="single"/>
        </w:rPr>
        <w:t>Be able to provide information on Performance Management activity within an organisation</w:t>
      </w:r>
    </w:p>
    <w:p w:rsidR="00414607" w:rsidRPr="00116CA2" w:rsidRDefault="00414607" w:rsidP="00010B3E">
      <w:pPr>
        <w:rPr>
          <w:rFonts w:cs="Arial"/>
          <w:b/>
        </w:rPr>
      </w:pPr>
    </w:p>
    <w:p w:rsidR="001824A2" w:rsidRPr="00116CA2" w:rsidRDefault="00010B3E" w:rsidP="00010B3E">
      <w:pPr>
        <w:rPr>
          <w:rFonts w:cs="Arial"/>
          <w:b/>
        </w:rPr>
      </w:pPr>
      <w:r w:rsidRPr="00116CA2">
        <w:rPr>
          <w:rFonts w:cs="Arial"/>
          <w:b/>
        </w:rPr>
        <w:t xml:space="preserve">1.1 </w:t>
      </w:r>
      <w:r w:rsidR="00F52C68" w:rsidRPr="00116CA2">
        <w:rPr>
          <w:rFonts w:cs="Arial"/>
          <w:b/>
        </w:rPr>
        <w:t>Explain Performance Management Policies and Processes in the organisation and the roles and responsibilities of those involved in them</w:t>
      </w:r>
      <w:r w:rsidR="001A1852">
        <w:rPr>
          <w:rFonts w:cs="Arial"/>
          <w:b/>
        </w:rPr>
        <w:t xml:space="preserve">  </w:t>
      </w:r>
    </w:p>
    <w:p w:rsidR="004F4660" w:rsidRPr="00116CA2" w:rsidRDefault="0020192E">
      <w:pPr>
        <w:rPr>
          <w:rFonts w:cs="Arial"/>
        </w:rPr>
      </w:pPr>
      <w:r w:rsidRPr="00116CA2">
        <w:rPr>
          <w:rFonts w:cs="Arial"/>
        </w:rPr>
        <w:t>At Maximus, Line Managers have access to a Performance Support and Management Framew</w:t>
      </w:r>
      <w:r w:rsidR="00B5353F">
        <w:rPr>
          <w:rFonts w:cs="Arial"/>
        </w:rPr>
        <w:t>ork (EV1)</w:t>
      </w:r>
      <w:r w:rsidR="00AC6DA5" w:rsidRPr="00116CA2">
        <w:rPr>
          <w:rFonts w:cs="Arial"/>
        </w:rPr>
        <w:t xml:space="preserve">.  </w:t>
      </w:r>
      <w:r w:rsidR="00116CA2">
        <w:rPr>
          <w:rFonts w:cs="Arial"/>
        </w:rPr>
        <w:t>E</w:t>
      </w:r>
      <w:r w:rsidR="00F73445" w:rsidRPr="00116CA2">
        <w:rPr>
          <w:rFonts w:cs="Arial"/>
        </w:rPr>
        <w:t>mployees are given</w:t>
      </w:r>
      <w:r w:rsidR="001665F0" w:rsidRPr="00116CA2">
        <w:rPr>
          <w:rFonts w:cs="Arial"/>
        </w:rPr>
        <w:t xml:space="preserve"> clear, measurabl</w:t>
      </w:r>
      <w:r w:rsidR="002C3D99" w:rsidRPr="00116CA2">
        <w:rPr>
          <w:rFonts w:cs="Arial"/>
        </w:rPr>
        <w:t>e performance expectations</w:t>
      </w:r>
      <w:r w:rsidR="00B5353F">
        <w:rPr>
          <w:rFonts w:cs="Arial"/>
        </w:rPr>
        <w:t xml:space="preserve"> that</w:t>
      </w:r>
      <w:r w:rsidR="00F73445" w:rsidRPr="00116CA2">
        <w:rPr>
          <w:rFonts w:cs="Arial"/>
        </w:rPr>
        <w:t xml:space="preserve"> are </w:t>
      </w:r>
      <w:r w:rsidR="00B5353F">
        <w:rPr>
          <w:rFonts w:cs="Arial"/>
        </w:rPr>
        <w:t>recorded on a</w:t>
      </w:r>
      <w:r w:rsidR="001665F0" w:rsidRPr="00116CA2">
        <w:rPr>
          <w:rFonts w:cs="Arial"/>
        </w:rPr>
        <w:t xml:space="preserve"> Performance Expectations Document (EV2)</w:t>
      </w:r>
      <w:r w:rsidR="00740EAA" w:rsidRPr="00116CA2">
        <w:rPr>
          <w:rFonts w:cs="Arial"/>
        </w:rPr>
        <w:t xml:space="preserve">.  </w:t>
      </w:r>
      <w:r w:rsidR="00B5353F">
        <w:rPr>
          <w:rFonts w:cs="Arial"/>
        </w:rPr>
        <w:t>Formal p</w:t>
      </w:r>
      <w:r w:rsidR="004F4660" w:rsidRPr="00116CA2">
        <w:rPr>
          <w:rFonts w:cs="Arial"/>
        </w:rPr>
        <w:t>erformance assessment</w:t>
      </w:r>
      <w:r w:rsidR="00B5353F">
        <w:rPr>
          <w:rFonts w:cs="Arial"/>
        </w:rPr>
        <w:t xml:space="preserve"> </w:t>
      </w:r>
      <w:r w:rsidR="00116CA2">
        <w:rPr>
          <w:rFonts w:cs="Arial"/>
        </w:rPr>
        <w:t>is termed</w:t>
      </w:r>
      <w:r w:rsidR="004F4660" w:rsidRPr="00116CA2">
        <w:rPr>
          <w:rFonts w:cs="Arial"/>
        </w:rPr>
        <w:t xml:space="preserve"> a Performance Appraisal (Armstrong, 2018).  </w:t>
      </w:r>
      <w:r w:rsidR="00363C4D" w:rsidRPr="00116CA2">
        <w:rPr>
          <w:rFonts w:cs="Arial"/>
        </w:rPr>
        <w:t>Annual Appraisals are used to reflect on the past year and plan for t</w:t>
      </w:r>
      <w:r w:rsidR="006B28E0" w:rsidRPr="00116CA2">
        <w:rPr>
          <w:rFonts w:cs="Arial"/>
        </w:rPr>
        <w:t xml:space="preserve">he year ahead.  </w:t>
      </w:r>
      <w:r w:rsidR="00D13D3C" w:rsidRPr="00116CA2">
        <w:rPr>
          <w:rFonts w:cs="Arial"/>
        </w:rPr>
        <w:t>A Performance Appraisa</w:t>
      </w:r>
      <w:r w:rsidR="00116CA2">
        <w:rPr>
          <w:rFonts w:cs="Arial"/>
        </w:rPr>
        <w:t>l Policy is available</w:t>
      </w:r>
      <w:r w:rsidR="000244E1">
        <w:rPr>
          <w:rFonts w:cs="Arial"/>
        </w:rPr>
        <w:t xml:space="preserve"> to support with th</w:t>
      </w:r>
      <w:r w:rsidR="00B5353F">
        <w:rPr>
          <w:rFonts w:cs="Arial"/>
        </w:rPr>
        <w:t>is</w:t>
      </w:r>
      <w:r w:rsidR="000244E1">
        <w:rPr>
          <w:rFonts w:cs="Arial"/>
        </w:rPr>
        <w:t xml:space="preserve"> faci</w:t>
      </w:r>
      <w:r w:rsidR="00B5353F">
        <w:rPr>
          <w:rFonts w:cs="Arial"/>
        </w:rPr>
        <w:t xml:space="preserve">litation </w:t>
      </w:r>
      <w:r w:rsidR="00AC6DA5" w:rsidRPr="00116CA2">
        <w:rPr>
          <w:rFonts w:cs="Arial"/>
        </w:rPr>
        <w:t>(EV</w:t>
      </w:r>
      <w:r w:rsidR="00116CA2">
        <w:rPr>
          <w:rFonts w:cs="Arial"/>
        </w:rPr>
        <w:t>3</w:t>
      </w:r>
      <w:r w:rsidR="00AC6DA5" w:rsidRPr="00116CA2">
        <w:rPr>
          <w:rFonts w:cs="Arial"/>
        </w:rPr>
        <w:t>)</w:t>
      </w:r>
      <w:r w:rsidR="003761EF" w:rsidRPr="00116CA2">
        <w:rPr>
          <w:rFonts w:cs="Arial"/>
        </w:rPr>
        <w:t xml:space="preserve">. </w:t>
      </w:r>
    </w:p>
    <w:p w:rsidR="005A5F2D" w:rsidRPr="00116CA2" w:rsidRDefault="005A5F2D">
      <w:pPr>
        <w:rPr>
          <w:rFonts w:cs="Arial"/>
        </w:rPr>
      </w:pPr>
      <w:r w:rsidRPr="00116CA2">
        <w:rPr>
          <w:rFonts w:cs="Arial"/>
        </w:rPr>
        <w:t>Line Manager</w:t>
      </w:r>
      <w:r w:rsidR="00AC6DA5" w:rsidRPr="00116CA2">
        <w:rPr>
          <w:rFonts w:cs="Arial"/>
        </w:rPr>
        <w:t>s are</w:t>
      </w:r>
      <w:r w:rsidRPr="00116CA2">
        <w:rPr>
          <w:rFonts w:cs="Arial"/>
        </w:rPr>
        <w:t xml:space="preserve"> responsible for re</w:t>
      </w:r>
      <w:r w:rsidR="00AC6DA5" w:rsidRPr="00116CA2">
        <w:rPr>
          <w:rFonts w:cs="Arial"/>
        </w:rPr>
        <w:t>gularly reviewing performance at Monthly Check Ins</w:t>
      </w:r>
      <w:r w:rsidRPr="00116CA2">
        <w:rPr>
          <w:rFonts w:cs="Arial"/>
        </w:rPr>
        <w:t xml:space="preserve">, providing feedback, </w:t>
      </w:r>
      <w:r w:rsidR="00046C46" w:rsidRPr="00116CA2">
        <w:rPr>
          <w:rFonts w:cs="Arial"/>
        </w:rPr>
        <w:t>identifying</w:t>
      </w:r>
      <w:r w:rsidRPr="00116CA2">
        <w:rPr>
          <w:rFonts w:cs="Arial"/>
        </w:rPr>
        <w:t xml:space="preserve"> areas of underperformance</w:t>
      </w:r>
      <w:r w:rsidR="00AC6DA5" w:rsidRPr="00116CA2">
        <w:rPr>
          <w:rFonts w:cs="Arial"/>
        </w:rPr>
        <w:t xml:space="preserve"> in a timely manner</w:t>
      </w:r>
      <w:r w:rsidRPr="00116CA2">
        <w:rPr>
          <w:rFonts w:cs="Arial"/>
        </w:rPr>
        <w:t xml:space="preserve"> and providing support.</w:t>
      </w:r>
      <w:r w:rsidR="001B6661" w:rsidRPr="00116CA2">
        <w:rPr>
          <w:rFonts w:cs="Arial"/>
        </w:rPr>
        <w:t xml:space="preserve">  </w:t>
      </w:r>
      <w:r w:rsidR="00AC6DA5" w:rsidRPr="00116CA2">
        <w:rPr>
          <w:rFonts w:cs="Arial"/>
        </w:rPr>
        <w:t>T</w:t>
      </w:r>
      <w:r w:rsidR="001B6661" w:rsidRPr="00116CA2">
        <w:rPr>
          <w:rFonts w:cs="Arial"/>
        </w:rPr>
        <w:t xml:space="preserve">he Monitoring stage of the performance management cycle </w:t>
      </w:r>
      <w:r w:rsidR="00046C46" w:rsidRPr="00116CA2">
        <w:rPr>
          <w:rFonts w:cs="Arial"/>
        </w:rPr>
        <w:t xml:space="preserve">ensures that any underperformance </w:t>
      </w:r>
      <w:r w:rsidR="001B6661" w:rsidRPr="00116CA2">
        <w:rPr>
          <w:rFonts w:cs="Arial"/>
        </w:rPr>
        <w:t xml:space="preserve">is given attention in good time so that improvements can be made (Armstrong, 2016).  </w:t>
      </w:r>
      <w:r w:rsidRPr="00116CA2">
        <w:rPr>
          <w:rFonts w:cs="Arial"/>
        </w:rPr>
        <w:t xml:space="preserve"> </w:t>
      </w:r>
      <w:r w:rsidR="003761EF" w:rsidRPr="00116CA2">
        <w:rPr>
          <w:rFonts w:cs="Arial"/>
        </w:rPr>
        <w:t>The employee</w:t>
      </w:r>
      <w:r w:rsidRPr="00116CA2">
        <w:rPr>
          <w:rFonts w:cs="Arial"/>
        </w:rPr>
        <w:t xml:space="preserve"> is required to </w:t>
      </w:r>
      <w:r w:rsidR="00046C46" w:rsidRPr="00116CA2">
        <w:rPr>
          <w:rFonts w:cs="Arial"/>
        </w:rPr>
        <w:t xml:space="preserve">prepare for their appraisal, </w:t>
      </w:r>
      <w:r w:rsidRPr="00116CA2">
        <w:rPr>
          <w:rFonts w:cs="Arial"/>
        </w:rPr>
        <w:t xml:space="preserve">rate </w:t>
      </w:r>
      <w:r w:rsidR="00046C46" w:rsidRPr="00116CA2">
        <w:rPr>
          <w:rFonts w:cs="Arial"/>
        </w:rPr>
        <w:t>themselves</w:t>
      </w:r>
      <w:r w:rsidRPr="00116CA2">
        <w:rPr>
          <w:rFonts w:cs="Arial"/>
        </w:rPr>
        <w:t xml:space="preserve"> against the criteria</w:t>
      </w:r>
      <w:r w:rsidR="00046C46" w:rsidRPr="00116CA2">
        <w:rPr>
          <w:rFonts w:cs="Arial"/>
        </w:rPr>
        <w:t>, perform</w:t>
      </w:r>
      <w:r w:rsidR="003761EF" w:rsidRPr="00116CA2">
        <w:rPr>
          <w:rFonts w:cs="Arial"/>
        </w:rPr>
        <w:t xml:space="preserve"> to their </w:t>
      </w:r>
      <w:r w:rsidR="00585AFA" w:rsidRPr="00116CA2">
        <w:rPr>
          <w:rFonts w:cs="Arial"/>
        </w:rPr>
        <w:t xml:space="preserve">full </w:t>
      </w:r>
      <w:r w:rsidRPr="00116CA2">
        <w:rPr>
          <w:rFonts w:cs="Arial"/>
        </w:rPr>
        <w:t>potentia</w:t>
      </w:r>
      <w:r w:rsidR="000244E1">
        <w:rPr>
          <w:rFonts w:cs="Arial"/>
        </w:rPr>
        <w:t>l and meet</w:t>
      </w:r>
      <w:r w:rsidRPr="00116CA2">
        <w:rPr>
          <w:rFonts w:cs="Arial"/>
        </w:rPr>
        <w:t xml:space="preserve"> the </w:t>
      </w:r>
      <w:r w:rsidR="00585AFA" w:rsidRPr="00116CA2">
        <w:rPr>
          <w:rFonts w:cs="Arial"/>
        </w:rPr>
        <w:t>required</w:t>
      </w:r>
      <w:r w:rsidRPr="00116CA2">
        <w:rPr>
          <w:rFonts w:cs="Arial"/>
        </w:rPr>
        <w:t xml:space="preserve"> standard</w:t>
      </w:r>
      <w:r w:rsidR="00585AFA" w:rsidRPr="00116CA2">
        <w:rPr>
          <w:rFonts w:cs="Arial"/>
        </w:rPr>
        <w:t>.  Maximus People Manager provide</w:t>
      </w:r>
      <w:r w:rsidR="00046C46" w:rsidRPr="00116CA2">
        <w:rPr>
          <w:rFonts w:cs="Arial"/>
        </w:rPr>
        <w:t>s</w:t>
      </w:r>
      <w:r w:rsidR="00585AFA" w:rsidRPr="00116CA2">
        <w:rPr>
          <w:rFonts w:cs="Arial"/>
        </w:rPr>
        <w:t xml:space="preserve"> advic</w:t>
      </w:r>
      <w:r w:rsidR="00046C46" w:rsidRPr="00116CA2">
        <w:rPr>
          <w:rFonts w:cs="Arial"/>
        </w:rPr>
        <w:t>e and support, along with the wider HR team to ensure the process</w:t>
      </w:r>
      <w:r w:rsidRPr="00116CA2">
        <w:rPr>
          <w:rFonts w:cs="Arial"/>
        </w:rPr>
        <w:t xml:space="preserve"> is</w:t>
      </w:r>
      <w:r w:rsidR="00585AFA" w:rsidRPr="00116CA2">
        <w:rPr>
          <w:rFonts w:cs="Arial"/>
        </w:rPr>
        <w:t xml:space="preserve"> fairly applied and managed. </w:t>
      </w:r>
      <w:r w:rsidR="00247764" w:rsidRPr="00116CA2">
        <w:rPr>
          <w:rFonts w:cs="Arial"/>
        </w:rPr>
        <w:t>Following the perf</w:t>
      </w:r>
      <w:r w:rsidR="000244E1">
        <w:rPr>
          <w:rFonts w:cs="Arial"/>
        </w:rPr>
        <w:t>ormance appraisal meeting</w:t>
      </w:r>
      <w:r w:rsidR="00247764" w:rsidRPr="00116CA2">
        <w:rPr>
          <w:rFonts w:cs="Arial"/>
        </w:rPr>
        <w:t>, a moderation e</w:t>
      </w:r>
      <w:r w:rsidR="00046C46" w:rsidRPr="00116CA2">
        <w:rPr>
          <w:rFonts w:cs="Arial"/>
        </w:rPr>
        <w:t xml:space="preserve">xercise </w:t>
      </w:r>
      <w:r w:rsidR="00247764" w:rsidRPr="00116CA2">
        <w:rPr>
          <w:rFonts w:cs="Arial"/>
        </w:rPr>
        <w:t>take</w:t>
      </w:r>
      <w:r w:rsidR="00046C46" w:rsidRPr="00116CA2">
        <w:rPr>
          <w:rFonts w:cs="Arial"/>
        </w:rPr>
        <w:t>s</w:t>
      </w:r>
      <w:r w:rsidR="00247764" w:rsidRPr="00116CA2">
        <w:rPr>
          <w:rFonts w:cs="Arial"/>
        </w:rPr>
        <w:t xml:space="preserve"> place to</w:t>
      </w:r>
      <w:r w:rsidR="00046C46" w:rsidRPr="00116CA2">
        <w:rPr>
          <w:rFonts w:cs="Arial"/>
        </w:rPr>
        <w:t xml:space="preserve"> ensure consistency</w:t>
      </w:r>
      <w:r w:rsidRPr="00116CA2">
        <w:rPr>
          <w:rFonts w:cs="Arial"/>
        </w:rPr>
        <w:t>.</w:t>
      </w:r>
      <w:r w:rsidR="00046C46" w:rsidRPr="00116CA2">
        <w:rPr>
          <w:rFonts w:cs="Arial"/>
        </w:rPr>
        <w:t xml:space="preserve">  At Google, they operate a Calibration process to ensure fairness</w:t>
      </w:r>
      <w:r w:rsidR="000244E1">
        <w:rPr>
          <w:rFonts w:cs="Arial"/>
        </w:rPr>
        <w:t>,</w:t>
      </w:r>
      <w:r w:rsidR="00046C46" w:rsidRPr="00116CA2">
        <w:rPr>
          <w:rFonts w:cs="Arial"/>
        </w:rPr>
        <w:t xml:space="preserve"> where Managers with similar teams will review their employees’ performance collectively (Bock, 2015).</w:t>
      </w:r>
    </w:p>
    <w:p w:rsidR="0090651E" w:rsidRPr="00116CA2" w:rsidRDefault="0090651E">
      <w:pPr>
        <w:rPr>
          <w:rFonts w:cs="Arial"/>
        </w:rPr>
      </w:pPr>
      <w:r w:rsidRPr="00116CA2">
        <w:rPr>
          <w:rFonts w:cs="Arial"/>
        </w:rPr>
        <w:t>The Pay a</w:t>
      </w:r>
      <w:r w:rsidR="001B6661" w:rsidRPr="00116CA2">
        <w:rPr>
          <w:rFonts w:cs="Arial"/>
        </w:rPr>
        <w:t>nd Reward eligibility policy details how to recognise exceptional performance</w:t>
      </w:r>
      <w:r w:rsidR="000244E1">
        <w:rPr>
          <w:rFonts w:cs="Arial"/>
        </w:rPr>
        <w:t xml:space="preserve"> (EV4</w:t>
      </w:r>
      <w:r w:rsidRPr="00116CA2">
        <w:rPr>
          <w:rFonts w:cs="Arial"/>
        </w:rPr>
        <w:t>).</w:t>
      </w:r>
      <w:r w:rsidR="00FA0755" w:rsidRPr="00116CA2">
        <w:rPr>
          <w:rFonts w:cs="Arial"/>
        </w:rPr>
        <w:t xml:space="preserve">  There is also</w:t>
      </w:r>
      <w:r w:rsidR="000244E1">
        <w:rPr>
          <w:rFonts w:cs="Arial"/>
        </w:rPr>
        <w:t xml:space="preserve"> a</w:t>
      </w:r>
      <w:r w:rsidR="00FA0755" w:rsidRPr="00116CA2">
        <w:rPr>
          <w:rFonts w:cs="Arial"/>
        </w:rPr>
        <w:t xml:space="preserve"> Co</w:t>
      </w:r>
      <w:r w:rsidR="000244E1">
        <w:rPr>
          <w:rFonts w:cs="Arial"/>
        </w:rPr>
        <w:t>lleague Recognition Toolkit (EV5</w:t>
      </w:r>
      <w:r w:rsidR="00FA0755" w:rsidRPr="00116CA2">
        <w:rPr>
          <w:rFonts w:cs="Arial"/>
        </w:rPr>
        <w:t xml:space="preserve">) and </w:t>
      </w:r>
      <w:r w:rsidR="00B5353F">
        <w:rPr>
          <w:rFonts w:cs="Arial"/>
        </w:rPr>
        <w:t>‘</w:t>
      </w:r>
      <w:r w:rsidR="00FA0755" w:rsidRPr="00116CA2">
        <w:rPr>
          <w:rFonts w:cs="Arial"/>
        </w:rPr>
        <w:t>Making a</w:t>
      </w:r>
      <w:r w:rsidR="000244E1">
        <w:rPr>
          <w:rFonts w:cs="Arial"/>
        </w:rPr>
        <w:t xml:space="preserve"> Difference Awards</w:t>
      </w:r>
      <w:r w:rsidR="00B5353F">
        <w:rPr>
          <w:rFonts w:cs="Arial"/>
        </w:rPr>
        <w:t>’</w:t>
      </w:r>
      <w:r w:rsidR="000244E1">
        <w:rPr>
          <w:rFonts w:cs="Arial"/>
        </w:rPr>
        <w:t xml:space="preserve"> Guidance (EV6</w:t>
      </w:r>
      <w:r w:rsidR="00FA0755" w:rsidRPr="00116CA2">
        <w:rPr>
          <w:rFonts w:cs="Arial"/>
        </w:rPr>
        <w:t>) that can support</w:t>
      </w:r>
      <w:r w:rsidR="000244E1">
        <w:rPr>
          <w:rFonts w:cs="Arial"/>
        </w:rPr>
        <w:t xml:space="preserve"> Line Managers</w:t>
      </w:r>
      <w:r w:rsidR="00FA0755" w:rsidRPr="00116CA2">
        <w:rPr>
          <w:rFonts w:cs="Arial"/>
        </w:rPr>
        <w:t>.</w:t>
      </w:r>
    </w:p>
    <w:p w:rsidR="001B6661" w:rsidRPr="00116CA2" w:rsidRDefault="00B42271" w:rsidP="001B6661">
      <w:pPr>
        <w:rPr>
          <w:rFonts w:cs="Arial"/>
        </w:rPr>
      </w:pPr>
      <w:r>
        <w:rPr>
          <w:rFonts w:cs="Arial"/>
        </w:rPr>
        <w:t xml:space="preserve">The process of Performance Management is </w:t>
      </w:r>
      <w:r w:rsidR="00382E7B" w:rsidRPr="00116CA2">
        <w:rPr>
          <w:rFonts w:cs="Arial"/>
        </w:rPr>
        <w:t>positive</w:t>
      </w:r>
      <w:r>
        <w:rPr>
          <w:rFonts w:cs="Arial"/>
        </w:rPr>
        <w:t>, building</w:t>
      </w:r>
      <w:r w:rsidR="00382E7B" w:rsidRPr="00116CA2">
        <w:rPr>
          <w:rFonts w:cs="Arial"/>
        </w:rPr>
        <w:t xml:space="preserve"> on strengths but is also used to help people improve (Armstrong, 2018).  </w:t>
      </w:r>
      <w:r w:rsidR="000244E1">
        <w:rPr>
          <w:rFonts w:cs="Arial"/>
        </w:rPr>
        <w:t xml:space="preserve">Where </w:t>
      </w:r>
      <w:r w:rsidR="00FA0755" w:rsidRPr="00116CA2">
        <w:rPr>
          <w:rFonts w:cs="Arial"/>
        </w:rPr>
        <w:t>underperformance</w:t>
      </w:r>
      <w:r w:rsidR="001B6661" w:rsidRPr="00116CA2">
        <w:rPr>
          <w:rFonts w:cs="Arial"/>
        </w:rPr>
        <w:t xml:space="preserve"> can be addressed, </w:t>
      </w:r>
      <w:r w:rsidR="000244E1">
        <w:rPr>
          <w:rFonts w:cs="Arial"/>
        </w:rPr>
        <w:t>a period</w:t>
      </w:r>
      <w:r w:rsidR="00FA0755" w:rsidRPr="00116CA2">
        <w:rPr>
          <w:rFonts w:cs="Arial"/>
        </w:rPr>
        <w:t xml:space="preserve"> of enhanc</w:t>
      </w:r>
      <w:r w:rsidR="000244E1">
        <w:rPr>
          <w:rFonts w:cs="Arial"/>
        </w:rPr>
        <w:t>ed support should be initiated.  E</w:t>
      </w:r>
      <w:r w:rsidR="00FA0755" w:rsidRPr="00116CA2">
        <w:rPr>
          <w:rFonts w:cs="Arial"/>
        </w:rPr>
        <w:t>xpectations</w:t>
      </w:r>
      <w:r w:rsidR="000244E1">
        <w:rPr>
          <w:rFonts w:cs="Arial"/>
        </w:rPr>
        <w:t xml:space="preserve"> should be documented</w:t>
      </w:r>
      <w:r w:rsidR="00FA0755" w:rsidRPr="00116CA2">
        <w:rPr>
          <w:rFonts w:cs="Arial"/>
        </w:rPr>
        <w:t xml:space="preserve"> </w:t>
      </w:r>
      <w:r w:rsidR="000244E1">
        <w:rPr>
          <w:rFonts w:cs="Arial"/>
        </w:rPr>
        <w:t>on an Enhanced Support Plan (EV7</w:t>
      </w:r>
      <w:r w:rsidR="00FA0755" w:rsidRPr="00116CA2">
        <w:rPr>
          <w:rFonts w:cs="Arial"/>
        </w:rPr>
        <w:t>)</w:t>
      </w:r>
      <w:r w:rsidR="001B6661" w:rsidRPr="00116CA2">
        <w:rPr>
          <w:rFonts w:cs="Arial"/>
        </w:rPr>
        <w:t xml:space="preserve">.  </w:t>
      </w:r>
      <w:r w:rsidR="00070A84" w:rsidRPr="00116CA2">
        <w:rPr>
          <w:rFonts w:cs="Arial"/>
        </w:rPr>
        <w:t>Where there are instances of an employee not being able</w:t>
      </w:r>
      <w:r w:rsidR="00D51012">
        <w:rPr>
          <w:rFonts w:cs="Arial"/>
        </w:rPr>
        <w:t xml:space="preserve"> to achieve what is expected</w:t>
      </w:r>
      <w:r w:rsidR="00070A84" w:rsidRPr="00116CA2">
        <w:rPr>
          <w:rFonts w:cs="Arial"/>
        </w:rPr>
        <w:t>, Managers need to refer to the Per</w:t>
      </w:r>
      <w:r w:rsidR="000244E1">
        <w:rPr>
          <w:rFonts w:cs="Arial"/>
        </w:rPr>
        <w:t>formance Capability Policy (EV8</w:t>
      </w:r>
      <w:r w:rsidR="00070A84" w:rsidRPr="00116CA2">
        <w:rPr>
          <w:rFonts w:cs="Arial"/>
        </w:rPr>
        <w:t xml:space="preserve">).  </w:t>
      </w:r>
      <w:r w:rsidR="000244E1">
        <w:rPr>
          <w:rFonts w:cs="Arial"/>
        </w:rPr>
        <w:t>D</w:t>
      </w:r>
      <w:r w:rsidR="001B6661" w:rsidRPr="00116CA2">
        <w:rPr>
          <w:rFonts w:cs="Arial"/>
        </w:rPr>
        <w:t>eliver</w:t>
      </w:r>
      <w:r w:rsidR="000244E1">
        <w:rPr>
          <w:rFonts w:cs="Arial"/>
        </w:rPr>
        <w:t>y of</w:t>
      </w:r>
      <w:r w:rsidR="001B6661" w:rsidRPr="00116CA2">
        <w:rPr>
          <w:rFonts w:cs="Arial"/>
        </w:rPr>
        <w:t xml:space="preserve"> </w:t>
      </w:r>
      <w:r w:rsidR="00307674" w:rsidRPr="00116CA2">
        <w:rPr>
          <w:rFonts w:cs="Arial"/>
        </w:rPr>
        <w:t xml:space="preserve">the performance capability process </w:t>
      </w:r>
      <w:r w:rsidR="000244E1">
        <w:rPr>
          <w:rFonts w:cs="Arial"/>
        </w:rPr>
        <w:t xml:space="preserve">is </w:t>
      </w:r>
      <w:r w:rsidR="00D51012">
        <w:rPr>
          <w:rFonts w:cs="Arial"/>
        </w:rPr>
        <w:t>facilitated by the Line Manager but</w:t>
      </w:r>
      <w:r w:rsidR="000244E1">
        <w:rPr>
          <w:rFonts w:cs="Arial"/>
        </w:rPr>
        <w:t xml:space="preserve"> supported </w:t>
      </w:r>
      <w:r w:rsidR="00307674" w:rsidRPr="00116CA2">
        <w:rPr>
          <w:rFonts w:cs="Arial"/>
        </w:rPr>
        <w:t>by Maximus People Manager and the HR</w:t>
      </w:r>
      <w:r w:rsidR="000C0F5B" w:rsidRPr="00116CA2">
        <w:rPr>
          <w:rFonts w:cs="Arial"/>
        </w:rPr>
        <w:t xml:space="preserve"> Team.  The employee </w:t>
      </w:r>
      <w:r w:rsidR="00307674" w:rsidRPr="00116CA2">
        <w:rPr>
          <w:rFonts w:cs="Arial"/>
        </w:rPr>
        <w:t xml:space="preserve">is responsible </w:t>
      </w:r>
      <w:r w:rsidR="00D51012">
        <w:rPr>
          <w:rFonts w:cs="Arial"/>
        </w:rPr>
        <w:t xml:space="preserve">for </w:t>
      </w:r>
      <w:r w:rsidR="00307674" w:rsidRPr="00116CA2">
        <w:rPr>
          <w:rFonts w:cs="Arial"/>
        </w:rPr>
        <w:t>engage</w:t>
      </w:r>
      <w:r w:rsidR="00D51012">
        <w:rPr>
          <w:rFonts w:cs="Arial"/>
        </w:rPr>
        <w:t>ment</w:t>
      </w:r>
      <w:r w:rsidR="00307674" w:rsidRPr="00116CA2">
        <w:rPr>
          <w:rFonts w:cs="Arial"/>
        </w:rPr>
        <w:t xml:space="preserve"> with the process and improve</w:t>
      </w:r>
      <w:r w:rsidR="00D51012">
        <w:rPr>
          <w:rFonts w:cs="Arial"/>
        </w:rPr>
        <w:t xml:space="preserve">ment of </w:t>
      </w:r>
      <w:r w:rsidR="00307674" w:rsidRPr="00116CA2">
        <w:rPr>
          <w:rFonts w:cs="Arial"/>
        </w:rPr>
        <w:t>perfo</w:t>
      </w:r>
      <w:r w:rsidR="000C0F5B" w:rsidRPr="00116CA2">
        <w:rPr>
          <w:rFonts w:cs="Arial"/>
        </w:rPr>
        <w:t>rmance where they are failing to meet the required standard</w:t>
      </w:r>
      <w:r w:rsidR="00307674" w:rsidRPr="00116CA2">
        <w:rPr>
          <w:rFonts w:cs="Arial"/>
        </w:rPr>
        <w:t>.</w:t>
      </w:r>
      <w:r w:rsidR="00F30FD5" w:rsidRPr="00116CA2">
        <w:rPr>
          <w:rFonts w:cs="Arial"/>
        </w:rPr>
        <w:t xml:space="preserve">  </w:t>
      </w:r>
    </w:p>
    <w:p w:rsidR="001B6661" w:rsidRPr="00116CA2" w:rsidRDefault="001B6661" w:rsidP="001B6661">
      <w:pPr>
        <w:rPr>
          <w:rFonts w:cs="Arial"/>
        </w:rPr>
      </w:pPr>
    </w:p>
    <w:p w:rsidR="001824A2" w:rsidRPr="000244E1" w:rsidRDefault="000244E1" w:rsidP="001B6661">
      <w:pPr>
        <w:rPr>
          <w:rFonts w:cs="Arial"/>
          <w:b/>
        </w:rPr>
      </w:pPr>
      <w:r w:rsidRPr="000244E1">
        <w:rPr>
          <w:rFonts w:cs="Arial"/>
          <w:b/>
        </w:rPr>
        <w:t xml:space="preserve">1.2 </w:t>
      </w:r>
      <w:r w:rsidR="00F52C68" w:rsidRPr="000244E1">
        <w:rPr>
          <w:rFonts w:cs="Arial"/>
          <w:b/>
        </w:rPr>
        <w:t>Explain key sources of information, including legislative information, which underpin performance management activities</w:t>
      </w:r>
    </w:p>
    <w:p w:rsidR="005D039A" w:rsidRPr="00116CA2" w:rsidRDefault="000244E1">
      <w:pPr>
        <w:rPr>
          <w:rFonts w:cs="Arial"/>
        </w:rPr>
      </w:pPr>
      <w:r>
        <w:rPr>
          <w:rFonts w:cs="Arial"/>
        </w:rPr>
        <w:t>At Maximus, P</w:t>
      </w:r>
      <w:r w:rsidR="005D039A" w:rsidRPr="00116CA2">
        <w:rPr>
          <w:rFonts w:cs="Arial"/>
        </w:rPr>
        <w:t xml:space="preserve">erformance targets are </w:t>
      </w:r>
      <w:r>
        <w:rPr>
          <w:rFonts w:cs="Arial"/>
        </w:rPr>
        <w:t xml:space="preserve">set by </w:t>
      </w:r>
      <w:r w:rsidR="005D039A" w:rsidRPr="00116CA2">
        <w:rPr>
          <w:rFonts w:cs="Arial"/>
        </w:rPr>
        <w:t>Commissio</w:t>
      </w:r>
      <w:r>
        <w:rPr>
          <w:rFonts w:cs="Arial"/>
        </w:rPr>
        <w:t>ners</w:t>
      </w:r>
      <w:r w:rsidR="005D039A" w:rsidRPr="00116CA2">
        <w:rPr>
          <w:rFonts w:cs="Arial"/>
        </w:rPr>
        <w:t>.  In Wales we deliver Work and Health Program</w:t>
      </w:r>
      <w:r w:rsidR="000C0F5B" w:rsidRPr="00116CA2">
        <w:rPr>
          <w:rFonts w:cs="Arial"/>
        </w:rPr>
        <w:t xml:space="preserve">me on behalf of DWP.  DWP set contractual targets </w:t>
      </w:r>
      <w:r w:rsidR="005D039A" w:rsidRPr="00116CA2">
        <w:rPr>
          <w:rFonts w:cs="Arial"/>
        </w:rPr>
        <w:t>and our</w:t>
      </w:r>
      <w:r>
        <w:rPr>
          <w:rFonts w:cs="Arial"/>
        </w:rPr>
        <w:t xml:space="preserve"> </w:t>
      </w:r>
      <w:r w:rsidR="005D039A" w:rsidRPr="00116CA2">
        <w:rPr>
          <w:rFonts w:cs="Arial"/>
        </w:rPr>
        <w:t>performance is monitored frequently.  Perf</w:t>
      </w:r>
      <w:r w:rsidR="00573349" w:rsidRPr="00116CA2">
        <w:rPr>
          <w:rFonts w:cs="Arial"/>
        </w:rPr>
        <w:t>ormance against contractual expectations</w:t>
      </w:r>
      <w:r w:rsidR="000C0F5B" w:rsidRPr="00116CA2">
        <w:rPr>
          <w:rFonts w:cs="Arial"/>
        </w:rPr>
        <w:t xml:space="preserve"> is</w:t>
      </w:r>
      <w:r w:rsidR="005D039A" w:rsidRPr="00116CA2">
        <w:rPr>
          <w:rFonts w:cs="Arial"/>
        </w:rPr>
        <w:t xml:space="preserve"> displayed on our Contractual </w:t>
      </w:r>
      <w:r w:rsidR="00573349" w:rsidRPr="00116CA2">
        <w:rPr>
          <w:rFonts w:cs="Arial"/>
        </w:rPr>
        <w:t>dashboard</w:t>
      </w:r>
      <w:r w:rsidR="000C0F5B" w:rsidRPr="00116CA2">
        <w:rPr>
          <w:rFonts w:cs="Arial"/>
        </w:rPr>
        <w:t xml:space="preserve"> </w:t>
      </w:r>
      <w:r w:rsidR="00573349" w:rsidRPr="00116CA2">
        <w:rPr>
          <w:rFonts w:cs="Arial"/>
        </w:rPr>
        <w:t>and visible to all employees</w:t>
      </w:r>
      <w:r w:rsidR="000C0F5B" w:rsidRPr="00116CA2">
        <w:rPr>
          <w:rFonts w:cs="Arial"/>
        </w:rPr>
        <w:t xml:space="preserve"> (EV</w:t>
      </w:r>
      <w:r>
        <w:rPr>
          <w:rFonts w:cs="Arial"/>
        </w:rPr>
        <w:t>9</w:t>
      </w:r>
      <w:r w:rsidR="000C0F5B" w:rsidRPr="00116CA2">
        <w:rPr>
          <w:rFonts w:cs="Arial"/>
        </w:rPr>
        <w:t>)</w:t>
      </w:r>
      <w:r w:rsidR="00573349" w:rsidRPr="00116CA2">
        <w:rPr>
          <w:rFonts w:cs="Arial"/>
        </w:rPr>
        <w:t>.</w:t>
      </w:r>
    </w:p>
    <w:p w:rsidR="009A1221" w:rsidRPr="00116CA2" w:rsidRDefault="009A1221">
      <w:pPr>
        <w:rPr>
          <w:rFonts w:cs="Arial"/>
        </w:rPr>
      </w:pPr>
      <w:r w:rsidRPr="00116CA2">
        <w:rPr>
          <w:rFonts w:cs="Arial"/>
        </w:rPr>
        <w:lastRenderedPageBreak/>
        <w:t>Performance Management Act</w:t>
      </w:r>
      <w:r w:rsidR="000244E1">
        <w:rPr>
          <w:rFonts w:cs="Arial"/>
        </w:rPr>
        <w:t xml:space="preserve">ivities are underpinned by key </w:t>
      </w:r>
      <w:r w:rsidR="000C0F5B" w:rsidRPr="00116CA2">
        <w:rPr>
          <w:rFonts w:cs="Arial"/>
        </w:rPr>
        <w:t>legislation</w:t>
      </w:r>
      <w:r w:rsidRPr="00116CA2">
        <w:rPr>
          <w:rFonts w:cs="Arial"/>
        </w:rPr>
        <w:t>.  The ACAS codes of practice set the minimum standard of fairness that workplaces should follow.  They are used by Employment Tribunals</w:t>
      </w:r>
      <w:r w:rsidR="001A2647" w:rsidRPr="00116CA2">
        <w:rPr>
          <w:rFonts w:cs="Arial"/>
        </w:rPr>
        <w:t xml:space="preserve"> when making decisions on cases (ACAS, 2010). The Code of Practice on Disciplinary and Grievance Procedures is created to support Employers, Employees and Representatives deal with disciplinary </w:t>
      </w:r>
      <w:r w:rsidR="00B42271">
        <w:rPr>
          <w:rFonts w:cs="Arial"/>
        </w:rPr>
        <w:t>and grievance procedures in work</w:t>
      </w:r>
      <w:r w:rsidR="001A2647" w:rsidRPr="00116CA2">
        <w:rPr>
          <w:rFonts w:cs="Arial"/>
        </w:rPr>
        <w:t>.  Disciplinary situations i</w:t>
      </w:r>
      <w:r w:rsidR="000244E1">
        <w:rPr>
          <w:rFonts w:cs="Arial"/>
        </w:rPr>
        <w:t>nclude poor performance.  W</w:t>
      </w:r>
      <w:r w:rsidR="001A2647" w:rsidRPr="00116CA2">
        <w:rPr>
          <w:rFonts w:cs="Arial"/>
        </w:rPr>
        <w:t>here an Organisation such as Maximus has their own capab</w:t>
      </w:r>
      <w:r w:rsidR="000C0F5B" w:rsidRPr="00116CA2">
        <w:rPr>
          <w:rFonts w:cs="Arial"/>
        </w:rPr>
        <w:t>ility procedure</w:t>
      </w:r>
      <w:r w:rsidR="001A2647" w:rsidRPr="00116CA2">
        <w:rPr>
          <w:rFonts w:cs="Arial"/>
        </w:rPr>
        <w:t>, the basic principles of fairness set out in this code</w:t>
      </w:r>
      <w:r w:rsidR="000244E1">
        <w:rPr>
          <w:rFonts w:cs="Arial"/>
        </w:rPr>
        <w:t xml:space="preserve"> still</w:t>
      </w:r>
      <w:r w:rsidR="001A2647" w:rsidRPr="00116CA2">
        <w:rPr>
          <w:rFonts w:cs="Arial"/>
        </w:rPr>
        <w:t xml:space="preserve"> need to be adhered to (ACAS, 2015).</w:t>
      </w:r>
      <w:r w:rsidRPr="00116CA2">
        <w:rPr>
          <w:rFonts w:cs="Arial"/>
        </w:rPr>
        <w:t xml:space="preserve">  </w:t>
      </w:r>
      <w:r w:rsidR="008354BD" w:rsidRPr="00116CA2">
        <w:rPr>
          <w:rFonts w:cs="Arial"/>
        </w:rPr>
        <w:t>The Employment Relations Act 1999 gives workers the right to be accompanied to a disciplinary or grievance hearing (Daniels, 2019).</w:t>
      </w:r>
    </w:p>
    <w:p w:rsidR="00E43412" w:rsidRPr="00116CA2" w:rsidRDefault="00E43412">
      <w:pPr>
        <w:rPr>
          <w:rFonts w:cs="Arial"/>
        </w:rPr>
      </w:pPr>
      <w:r w:rsidRPr="00116CA2">
        <w:rPr>
          <w:rFonts w:cs="Arial"/>
        </w:rPr>
        <w:t>Issues with data pro</w:t>
      </w:r>
      <w:r w:rsidR="00D51012">
        <w:rPr>
          <w:rFonts w:cs="Arial"/>
        </w:rPr>
        <w:t>tection impact on most HR concerns</w:t>
      </w:r>
      <w:r w:rsidRPr="00116CA2">
        <w:rPr>
          <w:rFonts w:cs="Arial"/>
        </w:rPr>
        <w:t xml:space="preserve"> including performance management.  The Data Protection Act 2018 currently governs data protection in the UK as well as the General Data Protection </w:t>
      </w:r>
      <w:r w:rsidR="005D039A" w:rsidRPr="00116CA2">
        <w:rPr>
          <w:rFonts w:cs="Arial"/>
        </w:rPr>
        <w:t>Regulations</w:t>
      </w:r>
      <w:r w:rsidRPr="00116CA2">
        <w:rPr>
          <w:rFonts w:cs="Arial"/>
        </w:rPr>
        <w:t xml:space="preserve"> (GDPR).  Individuals are protected b</w:t>
      </w:r>
      <w:r w:rsidR="00B42271">
        <w:rPr>
          <w:rFonts w:cs="Arial"/>
        </w:rPr>
        <w:t xml:space="preserve">y data protection laws from </w:t>
      </w:r>
      <w:r w:rsidRPr="00116CA2">
        <w:rPr>
          <w:rFonts w:cs="Arial"/>
        </w:rPr>
        <w:t xml:space="preserve">misuse of information about them.  Employers should develop policies that take a compliant but </w:t>
      </w:r>
      <w:r w:rsidR="00B5353F" w:rsidRPr="00116CA2">
        <w:rPr>
          <w:rFonts w:cs="Arial"/>
        </w:rPr>
        <w:t>sensible</w:t>
      </w:r>
      <w:r w:rsidRPr="00116CA2">
        <w:rPr>
          <w:rFonts w:cs="Arial"/>
        </w:rPr>
        <w:t xml:space="preserve"> approach.  They should also ensure </w:t>
      </w:r>
      <w:r w:rsidR="008748B9" w:rsidRPr="00116CA2">
        <w:rPr>
          <w:rFonts w:cs="Arial"/>
        </w:rPr>
        <w:t xml:space="preserve">employees understand their own rights and </w:t>
      </w:r>
      <w:r w:rsidR="00B5353F" w:rsidRPr="00116CA2">
        <w:rPr>
          <w:rFonts w:cs="Arial"/>
        </w:rPr>
        <w:t>responsibilities</w:t>
      </w:r>
      <w:r w:rsidR="008748B9" w:rsidRPr="00116CA2">
        <w:rPr>
          <w:rFonts w:cs="Arial"/>
        </w:rPr>
        <w:t xml:space="preserve"> (CIPD, 2020).</w:t>
      </w:r>
    </w:p>
    <w:p w:rsidR="008F716B" w:rsidRPr="00116CA2" w:rsidRDefault="008F716B">
      <w:pPr>
        <w:rPr>
          <w:rFonts w:cs="Arial"/>
        </w:rPr>
      </w:pPr>
      <w:r w:rsidRPr="00116CA2">
        <w:rPr>
          <w:rFonts w:cs="Arial"/>
        </w:rPr>
        <w:t xml:space="preserve">Discrimination </w:t>
      </w:r>
      <w:r w:rsidR="000C0F5B" w:rsidRPr="00116CA2">
        <w:rPr>
          <w:rFonts w:cs="Arial"/>
        </w:rPr>
        <w:t>Law ensures</w:t>
      </w:r>
      <w:r w:rsidRPr="00116CA2">
        <w:rPr>
          <w:rFonts w:cs="Arial"/>
        </w:rPr>
        <w:t xml:space="preserve"> all policies and processes are free from discrimination including performance management processes.  The Equality Act 2010 has brought together all areas of discrimination legislation </w:t>
      </w:r>
      <w:r w:rsidR="002675BF" w:rsidRPr="00116CA2">
        <w:rPr>
          <w:rFonts w:cs="Arial"/>
        </w:rPr>
        <w:t>(Daniels, 2019).  It replaced previous discrimination laws with a single ac</w:t>
      </w:r>
      <w:r w:rsidR="00B5353F">
        <w:rPr>
          <w:rFonts w:cs="Arial"/>
        </w:rPr>
        <w:t>t</w:t>
      </w:r>
      <w:r w:rsidR="002675BF" w:rsidRPr="00116CA2">
        <w:rPr>
          <w:rFonts w:cs="Arial"/>
        </w:rPr>
        <w:t xml:space="preserve">, potentially strengthening protection and setting out different ways in which </w:t>
      </w:r>
      <w:r w:rsidR="005D039A" w:rsidRPr="00116CA2">
        <w:rPr>
          <w:rFonts w:cs="Arial"/>
        </w:rPr>
        <w:t>it’s</w:t>
      </w:r>
      <w:r w:rsidR="002675BF" w:rsidRPr="00116CA2">
        <w:rPr>
          <w:rFonts w:cs="Arial"/>
        </w:rPr>
        <w:t xml:space="preserve"> unlawful to treat someone (Gov.uk, 2013).</w:t>
      </w:r>
    </w:p>
    <w:p w:rsidR="00D433E6" w:rsidRDefault="004021D9">
      <w:pPr>
        <w:rPr>
          <w:rFonts w:cs="Arial"/>
        </w:rPr>
      </w:pPr>
      <w:r w:rsidRPr="00116CA2">
        <w:rPr>
          <w:rFonts w:cs="Arial"/>
        </w:rPr>
        <w:t>According to the Employme</w:t>
      </w:r>
      <w:r w:rsidR="005D039A" w:rsidRPr="00116CA2">
        <w:rPr>
          <w:rFonts w:cs="Arial"/>
        </w:rPr>
        <w:t xml:space="preserve">nts Rights Act 1996 there are </w:t>
      </w:r>
      <w:r w:rsidRPr="00116CA2">
        <w:rPr>
          <w:rFonts w:cs="Arial"/>
        </w:rPr>
        <w:t>potentially</w:t>
      </w:r>
      <w:r w:rsidR="005D039A" w:rsidRPr="00116CA2">
        <w:rPr>
          <w:rFonts w:cs="Arial"/>
        </w:rPr>
        <w:t xml:space="preserve"> five</w:t>
      </w:r>
      <w:r w:rsidRPr="00116CA2">
        <w:rPr>
          <w:rFonts w:cs="Arial"/>
        </w:rPr>
        <w:t xml:space="preserve"> fair reaso</w:t>
      </w:r>
      <w:r w:rsidR="005D039A" w:rsidRPr="00116CA2">
        <w:rPr>
          <w:rFonts w:cs="Arial"/>
        </w:rPr>
        <w:t>ns for an employer to dismiss; one of which is ‘</w:t>
      </w:r>
      <w:r w:rsidRPr="00116CA2">
        <w:rPr>
          <w:rFonts w:cs="Arial"/>
        </w:rPr>
        <w:t>Capability or qualifications</w:t>
      </w:r>
      <w:r w:rsidR="005D039A" w:rsidRPr="00116CA2">
        <w:rPr>
          <w:rFonts w:cs="Arial"/>
        </w:rPr>
        <w:t>’.  T</w:t>
      </w:r>
      <w:r w:rsidRPr="00116CA2">
        <w:rPr>
          <w:rFonts w:cs="Arial"/>
        </w:rPr>
        <w:t xml:space="preserve">he Act ensures that Employers </w:t>
      </w:r>
      <w:r w:rsidR="00D51012">
        <w:rPr>
          <w:rFonts w:cs="Arial"/>
        </w:rPr>
        <w:t xml:space="preserve">are accountable for </w:t>
      </w:r>
      <w:r w:rsidRPr="00116CA2">
        <w:rPr>
          <w:rFonts w:cs="Arial"/>
        </w:rPr>
        <w:t>employee</w:t>
      </w:r>
      <w:r w:rsidR="005D039A" w:rsidRPr="00116CA2">
        <w:rPr>
          <w:rFonts w:cs="Arial"/>
        </w:rPr>
        <w:t>s understand</w:t>
      </w:r>
      <w:r w:rsidR="00D51012">
        <w:rPr>
          <w:rFonts w:cs="Arial"/>
        </w:rPr>
        <w:t>ing</w:t>
      </w:r>
      <w:r w:rsidRPr="00116CA2">
        <w:rPr>
          <w:rFonts w:cs="Arial"/>
        </w:rPr>
        <w:t xml:space="preserve"> the</w:t>
      </w:r>
      <w:r w:rsidR="00D51012">
        <w:rPr>
          <w:rFonts w:cs="Arial"/>
        </w:rPr>
        <w:t>ir</w:t>
      </w:r>
      <w:r w:rsidR="005D039A" w:rsidRPr="00116CA2">
        <w:rPr>
          <w:rFonts w:cs="Arial"/>
        </w:rPr>
        <w:t xml:space="preserve"> role requirements</w:t>
      </w:r>
      <w:r w:rsidRPr="00116CA2">
        <w:rPr>
          <w:rFonts w:cs="Arial"/>
        </w:rPr>
        <w:t>,</w:t>
      </w:r>
      <w:r w:rsidR="005D039A" w:rsidRPr="00116CA2">
        <w:rPr>
          <w:rFonts w:cs="Arial"/>
        </w:rPr>
        <w:t xml:space="preserve"> </w:t>
      </w:r>
      <w:r w:rsidR="00B5353F">
        <w:rPr>
          <w:rFonts w:cs="Arial"/>
        </w:rPr>
        <w:t>identify training needs and provide this where appropriate</w:t>
      </w:r>
      <w:r w:rsidRPr="00116CA2">
        <w:rPr>
          <w:rFonts w:cs="Arial"/>
        </w:rPr>
        <w:t xml:space="preserve">.  They should </w:t>
      </w:r>
      <w:r w:rsidR="00B5353F">
        <w:rPr>
          <w:rFonts w:cs="Arial"/>
        </w:rPr>
        <w:t>also ensure that the employee has clarity</w:t>
      </w:r>
      <w:r w:rsidRPr="00116CA2">
        <w:rPr>
          <w:rFonts w:cs="Arial"/>
        </w:rPr>
        <w:t xml:space="preserve"> of any likely </w:t>
      </w:r>
      <w:r w:rsidR="00B5353F" w:rsidRPr="00116CA2">
        <w:rPr>
          <w:rFonts w:cs="Arial"/>
        </w:rPr>
        <w:t>consequence</w:t>
      </w:r>
      <w:r w:rsidRPr="00116CA2">
        <w:rPr>
          <w:rFonts w:cs="Arial"/>
        </w:rPr>
        <w:t xml:space="preserve"> for failing to achieve the requir</w:t>
      </w:r>
      <w:r w:rsidR="005D039A" w:rsidRPr="00116CA2">
        <w:rPr>
          <w:rFonts w:cs="Arial"/>
        </w:rPr>
        <w:t>ed</w:t>
      </w:r>
      <w:r w:rsidR="00D51012">
        <w:rPr>
          <w:rFonts w:cs="Arial"/>
        </w:rPr>
        <w:t xml:space="preserve"> performance standards </w:t>
      </w:r>
      <w:r w:rsidRPr="00116CA2">
        <w:rPr>
          <w:rFonts w:cs="Arial"/>
        </w:rPr>
        <w:t>(Daniels, 2019)</w:t>
      </w:r>
      <w:r w:rsidR="00B5353F">
        <w:rPr>
          <w:rFonts w:cs="Arial"/>
        </w:rPr>
        <w:t>.</w:t>
      </w:r>
    </w:p>
    <w:p w:rsidR="00B5353F" w:rsidRPr="00116CA2" w:rsidRDefault="00B5353F">
      <w:pPr>
        <w:rPr>
          <w:rFonts w:cs="Arial"/>
        </w:rPr>
      </w:pPr>
    </w:p>
    <w:p w:rsidR="001824A2" w:rsidRPr="00B5353F" w:rsidRDefault="00F52C68" w:rsidP="00B5353F">
      <w:pPr>
        <w:pStyle w:val="ListParagraph"/>
        <w:numPr>
          <w:ilvl w:val="1"/>
          <w:numId w:val="3"/>
        </w:numPr>
        <w:rPr>
          <w:rFonts w:cs="Arial"/>
          <w:b/>
        </w:rPr>
      </w:pPr>
      <w:r w:rsidRPr="00B5353F">
        <w:rPr>
          <w:rFonts w:cs="Arial"/>
          <w:b/>
        </w:rPr>
        <w:t>Provide timely and accurate information to colleagues regarding performance management activities</w:t>
      </w:r>
    </w:p>
    <w:p w:rsidR="00A81C1D" w:rsidRPr="00116CA2" w:rsidRDefault="00A81C1D" w:rsidP="00B5353F">
      <w:pPr>
        <w:pStyle w:val="ListParagraph"/>
        <w:ind w:left="360"/>
        <w:rPr>
          <w:rFonts w:cs="Arial"/>
          <w:b/>
        </w:rPr>
      </w:pPr>
    </w:p>
    <w:p w:rsidR="00B5353F" w:rsidRDefault="00116CA2" w:rsidP="00A81C1D">
      <w:pPr>
        <w:pStyle w:val="ListParagraph"/>
        <w:ind w:left="0"/>
        <w:rPr>
          <w:rFonts w:cs="Arial"/>
        </w:rPr>
      </w:pPr>
      <w:r w:rsidRPr="00116CA2">
        <w:rPr>
          <w:rFonts w:cs="Arial"/>
        </w:rPr>
        <w:t>In 2010, the Co-operative Group won a national training award by revising their indu</w:t>
      </w:r>
      <w:r w:rsidR="00D51012">
        <w:rPr>
          <w:rFonts w:cs="Arial"/>
        </w:rPr>
        <w:t>ction programme.  Turnover reduced, employees were more engaged and Managers we</w:t>
      </w:r>
      <w:r w:rsidRPr="00116CA2">
        <w:rPr>
          <w:rFonts w:cs="Arial"/>
        </w:rPr>
        <w:t>re actively involved in the process (Pollitt, 2013).  At Maximus, d</w:t>
      </w:r>
      <w:r w:rsidR="000C0F5B" w:rsidRPr="00116CA2">
        <w:rPr>
          <w:rFonts w:cs="Arial"/>
        </w:rPr>
        <w:t>ue to</w:t>
      </w:r>
      <w:r w:rsidRPr="00116CA2">
        <w:rPr>
          <w:rFonts w:cs="Arial"/>
        </w:rPr>
        <w:t xml:space="preserve"> </w:t>
      </w:r>
      <w:r w:rsidR="00D51012">
        <w:rPr>
          <w:rFonts w:cs="Arial"/>
        </w:rPr>
        <w:t xml:space="preserve">high </w:t>
      </w:r>
      <w:r w:rsidR="00E54B97" w:rsidRPr="00116CA2">
        <w:rPr>
          <w:rFonts w:cs="Arial"/>
        </w:rPr>
        <w:t>attrit</w:t>
      </w:r>
      <w:r w:rsidR="000C0F5B" w:rsidRPr="00116CA2">
        <w:rPr>
          <w:rFonts w:cs="Arial"/>
        </w:rPr>
        <w:t>ion</w:t>
      </w:r>
      <w:r w:rsidR="00D51012">
        <w:rPr>
          <w:rFonts w:cs="Arial"/>
        </w:rPr>
        <w:t>,</w:t>
      </w:r>
      <w:r w:rsidR="000C0F5B" w:rsidRPr="00116CA2">
        <w:rPr>
          <w:rFonts w:cs="Arial"/>
        </w:rPr>
        <w:t xml:space="preserve"> </w:t>
      </w:r>
      <w:r w:rsidR="00E54B97" w:rsidRPr="00116CA2">
        <w:rPr>
          <w:rFonts w:cs="Arial"/>
        </w:rPr>
        <w:t>we carefully considered our</w:t>
      </w:r>
      <w:r w:rsidR="00B5353F">
        <w:rPr>
          <w:rFonts w:cs="Arial"/>
        </w:rPr>
        <w:t xml:space="preserve"> current induction programme</w:t>
      </w:r>
      <w:r w:rsidR="00E54B97" w:rsidRPr="00116CA2">
        <w:rPr>
          <w:rFonts w:cs="Arial"/>
        </w:rPr>
        <w:t>.</w:t>
      </w:r>
      <w:r w:rsidR="000C0F5B" w:rsidRPr="00116CA2">
        <w:rPr>
          <w:rFonts w:cs="Arial"/>
        </w:rPr>
        <w:t xml:space="preserve">  </w:t>
      </w:r>
      <w:r w:rsidR="00B5353F">
        <w:rPr>
          <w:rFonts w:cs="Arial"/>
        </w:rPr>
        <w:t xml:space="preserve">Consequently, I </w:t>
      </w:r>
      <w:r w:rsidR="00E54B97" w:rsidRPr="00116CA2">
        <w:rPr>
          <w:rFonts w:cs="Arial"/>
        </w:rPr>
        <w:t>cre</w:t>
      </w:r>
      <w:r w:rsidR="00B5353F">
        <w:rPr>
          <w:rFonts w:cs="Arial"/>
        </w:rPr>
        <w:t>ated</w:t>
      </w:r>
      <w:r w:rsidR="00E54B97" w:rsidRPr="00116CA2">
        <w:rPr>
          <w:rFonts w:cs="Arial"/>
        </w:rPr>
        <w:t xml:space="preserve"> a</w:t>
      </w:r>
      <w:r w:rsidR="00F439E6" w:rsidRPr="00116CA2">
        <w:rPr>
          <w:rFonts w:cs="Arial"/>
        </w:rPr>
        <w:t xml:space="preserve"> </w:t>
      </w:r>
      <w:r w:rsidR="00E54B97" w:rsidRPr="00116CA2">
        <w:rPr>
          <w:rFonts w:cs="Arial"/>
        </w:rPr>
        <w:t>n</w:t>
      </w:r>
      <w:r w:rsidR="00F439E6" w:rsidRPr="00116CA2">
        <w:rPr>
          <w:rFonts w:cs="Arial"/>
        </w:rPr>
        <w:t>ew</w:t>
      </w:r>
      <w:r w:rsidR="00B5353F">
        <w:rPr>
          <w:rFonts w:cs="Arial"/>
        </w:rPr>
        <w:t xml:space="preserve"> Induction Programme </w:t>
      </w:r>
      <w:r w:rsidR="00F439E6" w:rsidRPr="00116CA2">
        <w:rPr>
          <w:rFonts w:cs="Arial"/>
        </w:rPr>
        <w:t>to ensure that new employees were provided with</w:t>
      </w:r>
      <w:r w:rsidR="00E54B97" w:rsidRPr="00116CA2">
        <w:rPr>
          <w:rFonts w:cs="Arial"/>
        </w:rPr>
        <w:t xml:space="preserve"> all the support, skills, knowl</w:t>
      </w:r>
      <w:r w:rsidR="00B42271">
        <w:rPr>
          <w:rFonts w:cs="Arial"/>
        </w:rPr>
        <w:t xml:space="preserve">edge and training required to </w:t>
      </w:r>
      <w:r w:rsidR="000C0F5B" w:rsidRPr="00116CA2">
        <w:rPr>
          <w:rFonts w:cs="Arial"/>
        </w:rPr>
        <w:t>perform</w:t>
      </w:r>
      <w:r w:rsidR="00E54B97" w:rsidRPr="00116CA2">
        <w:rPr>
          <w:rFonts w:cs="Arial"/>
        </w:rPr>
        <w:t xml:space="preserve"> effe</w:t>
      </w:r>
      <w:r w:rsidR="003D6FC3" w:rsidRPr="00116CA2">
        <w:rPr>
          <w:rFonts w:cs="Arial"/>
        </w:rPr>
        <w:t>ctive</w:t>
      </w:r>
      <w:r w:rsidR="000C0F5B" w:rsidRPr="00116CA2">
        <w:rPr>
          <w:rFonts w:cs="Arial"/>
        </w:rPr>
        <w:t xml:space="preserve">ly </w:t>
      </w:r>
      <w:r w:rsidR="00F439E6" w:rsidRPr="00116CA2">
        <w:rPr>
          <w:rFonts w:cs="Arial"/>
        </w:rPr>
        <w:t>(EV</w:t>
      </w:r>
      <w:r w:rsidR="00D51012">
        <w:rPr>
          <w:rFonts w:cs="Arial"/>
        </w:rPr>
        <w:t>10</w:t>
      </w:r>
      <w:r w:rsidR="00F439E6" w:rsidRPr="00116CA2">
        <w:rPr>
          <w:rFonts w:cs="Arial"/>
        </w:rPr>
        <w:t>)</w:t>
      </w:r>
      <w:r w:rsidR="000C1C50" w:rsidRPr="00116CA2">
        <w:rPr>
          <w:rFonts w:cs="Arial"/>
        </w:rPr>
        <w:t xml:space="preserve">.  An effective induction programme allows the employee to become productive quickly and work to their highest potential (CIPD, 2019).  </w:t>
      </w:r>
      <w:r w:rsidR="003D6FC3" w:rsidRPr="00116CA2">
        <w:rPr>
          <w:rFonts w:cs="Arial"/>
        </w:rPr>
        <w:t xml:space="preserve">Performance Expectations being made transparent </w:t>
      </w:r>
      <w:r w:rsidR="000C1C50" w:rsidRPr="00116CA2">
        <w:rPr>
          <w:rFonts w:cs="Arial"/>
        </w:rPr>
        <w:t xml:space="preserve">is </w:t>
      </w:r>
      <w:r w:rsidR="00B5353F">
        <w:rPr>
          <w:rFonts w:cs="Arial"/>
        </w:rPr>
        <w:t xml:space="preserve">important and </w:t>
      </w:r>
      <w:r w:rsidR="000C1C50" w:rsidRPr="00116CA2">
        <w:rPr>
          <w:rFonts w:cs="Arial"/>
        </w:rPr>
        <w:t>Line Managers are responsible for cla</w:t>
      </w:r>
      <w:r w:rsidR="00B5353F">
        <w:rPr>
          <w:rFonts w:cs="Arial"/>
        </w:rPr>
        <w:t>rifying these</w:t>
      </w:r>
      <w:r w:rsidR="000C1C50" w:rsidRPr="00116CA2">
        <w:rPr>
          <w:rFonts w:cs="Arial"/>
        </w:rPr>
        <w:t xml:space="preserve"> (Hutchinson, 2013).   I</w:t>
      </w:r>
      <w:r w:rsidR="00B5353F">
        <w:rPr>
          <w:rFonts w:cs="Arial"/>
        </w:rPr>
        <w:t>n my role, I</w:t>
      </w:r>
      <w:r w:rsidR="000C1C50" w:rsidRPr="00116CA2">
        <w:rPr>
          <w:rFonts w:cs="Arial"/>
        </w:rPr>
        <w:t xml:space="preserve"> en</w:t>
      </w:r>
      <w:r w:rsidR="00B5353F">
        <w:rPr>
          <w:rFonts w:cs="Arial"/>
        </w:rPr>
        <w:t>sure that this happens and that New Employees</w:t>
      </w:r>
      <w:r w:rsidR="000C1C50" w:rsidRPr="00116CA2">
        <w:rPr>
          <w:rFonts w:cs="Arial"/>
        </w:rPr>
        <w:t xml:space="preserve"> are </w:t>
      </w:r>
      <w:r w:rsidR="003D6FC3" w:rsidRPr="00116CA2">
        <w:rPr>
          <w:rFonts w:cs="Arial"/>
        </w:rPr>
        <w:t>direct</w:t>
      </w:r>
      <w:r w:rsidR="000C1C50" w:rsidRPr="00116CA2">
        <w:rPr>
          <w:rFonts w:cs="Arial"/>
        </w:rPr>
        <w:t xml:space="preserve">ed to </w:t>
      </w:r>
      <w:r w:rsidR="003D6FC3" w:rsidRPr="00116CA2">
        <w:rPr>
          <w:rFonts w:cs="Arial"/>
        </w:rPr>
        <w:t>policies</w:t>
      </w:r>
      <w:r w:rsidR="000C1C50" w:rsidRPr="00116CA2">
        <w:rPr>
          <w:rFonts w:cs="Arial"/>
        </w:rPr>
        <w:t xml:space="preserve"> and processes</w:t>
      </w:r>
      <w:r w:rsidR="003D6FC3" w:rsidRPr="00116CA2">
        <w:rPr>
          <w:rFonts w:cs="Arial"/>
        </w:rPr>
        <w:t xml:space="preserve"> for </w:t>
      </w:r>
      <w:r w:rsidR="00B5353F">
        <w:rPr>
          <w:rFonts w:cs="Arial"/>
        </w:rPr>
        <w:t xml:space="preserve">any </w:t>
      </w:r>
      <w:r w:rsidR="003D6FC3" w:rsidRPr="00116CA2">
        <w:rPr>
          <w:rFonts w:cs="Arial"/>
        </w:rPr>
        <w:t>additional clarity and understanding.  I mon</w:t>
      </w:r>
      <w:r w:rsidR="000C1C50" w:rsidRPr="00116CA2">
        <w:rPr>
          <w:rFonts w:cs="Arial"/>
        </w:rPr>
        <w:t xml:space="preserve">itor induction progression </w:t>
      </w:r>
      <w:r w:rsidR="003D6FC3" w:rsidRPr="00116CA2">
        <w:rPr>
          <w:rFonts w:cs="Arial"/>
        </w:rPr>
        <w:t xml:space="preserve">and </w:t>
      </w:r>
      <w:r w:rsidR="000C1C50" w:rsidRPr="00116CA2">
        <w:rPr>
          <w:rFonts w:cs="Arial"/>
        </w:rPr>
        <w:t xml:space="preserve">ensure inductions aren’t </w:t>
      </w:r>
      <w:r w:rsidR="003D6FC3" w:rsidRPr="00116CA2">
        <w:rPr>
          <w:rFonts w:cs="Arial"/>
        </w:rPr>
        <w:t>signed off until t</w:t>
      </w:r>
      <w:r w:rsidR="000C1C50" w:rsidRPr="00116CA2">
        <w:rPr>
          <w:rFonts w:cs="Arial"/>
        </w:rPr>
        <w:t>he checklist has been completed.</w:t>
      </w:r>
      <w:r w:rsidR="003D6FC3" w:rsidRPr="00116CA2">
        <w:rPr>
          <w:rFonts w:cs="Arial"/>
        </w:rPr>
        <w:t xml:space="preserve"> </w:t>
      </w:r>
    </w:p>
    <w:p w:rsidR="009F668F" w:rsidRPr="00116CA2" w:rsidRDefault="009F668F" w:rsidP="00A81C1D">
      <w:pPr>
        <w:pStyle w:val="ListParagraph"/>
        <w:ind w:left="0"/>
        <w:rPr>
          <w:rFonts w:cs="Arial"/>
        </w:rPr>
      </w:pPr>
      <w:r w:rsidRPr="00116CA2">
        <w:rPr>
          <w:rFonts w:cs="Arial"/>
        </w:rPr>
        <w:t>File Checks ar</w:t>
      </w:r>
      <w:r w:rsidR="00F73445" w:rsidRPr="00116CA2">
        <w:rPr>
          <w:rFonts w:cs="Arial"/>
        </w:rPr>
        <w:t>e</w:t>
      </w:r>
      <w:r w:rsidR="00B5353F">
        <w:rPr>
          <w:rFonts w:cs="Arial"/>
        </w:rPr>
        <w:t xml:space="preserve"> a</w:t>
      </w:r>
      <w:r w:rsidR="00F73445" w:rsidRPr="00116CA2">
        <w:rPr>
          <w:rFonts w:cs="Arial"/>
        </w:rPr>
        <w:t xml:space="preserve"> </w:t>
      </w:r>
      <w:r w:rsidR="000C1C50" w:rsidRPr="00116CA2">
        <w:rPr>
          <w:rFonts w:cs="Arial"/>
        </w:rPr>
        <w:t>fundamental</w:t>
      </w:r>
      <w:r w:rsidR="00F73445" w:rsidRPr="00116CA2">
        <w:rPr>
          <w:rFonts w:cs="Arial"/>
        </w:rPr>
        <w:t xml:space="preserve"> p</w:t>
      </w:r>
      <w:r w:rsidR="00B5353F">
        <w:rPr>
          <w:rFonts w:cs="Arial"/>
        </w:rPr>
        <w:t>erformance management activity</w:t>
      </w:r>
      <w:r w:rsidR="009446A9" w:rsidRPr="00116CA2">
        <w:rPr>
          <w:rFonts w:cs="Arial"/>
        </w:rPr>
        <w:t xml:space="preserve"> that</w:t>
      </w:r>
      <w:r w:rsidR="00F73445" w:rsidRPr="00116CA2">
        <w:rPr>
          <w:rFonts w:cs="Arial"/>
        </w:rPr>
        <w:t xml:space="preserve"> Line Managers</w:t>
      </w:r>
      <w:r w:rsidR="00B5353F">
        <w:rPr>
          <w:rFonts w:cs="Arial"/>
        </w:rPr>
        <w:t xml:space="preserve"> </w:t>
      </w:r>
      <w:r w:rsidR="004C3509" w:rsidRPr="00116CA2">
        <w:rPr>
          <w:rFonts w:cs="Arial"/>
        </w:rPr>
        <w:t xml:space="preserve">use to monitor performance and provide feedback to colleagues to ensure they understand what they have done </w:t>
      </w:r>
      <w:r w:rsidR="004C3509" w:rsidRPr="00116CA2">
        <w:rPr>
          <w:rFonts w:cs="Arial"/>
        </w:rPr>
        <w:lastRenderedPageBreak/>
        <w:t>correctly and what th</w:t>
      </w:r>
      <w:r w:rsidR="00B5353F">
        <w:rPr>
          <w:rFonts w:cs="Arial"/>
        </w:rPr>
        <w:t>ey need to change</w:t>
      </w:r>
      <w:r w:rsidR="004C3509" w:rsidRPr="00116CA2">
        <w:rPr>
          <w:rFonts w:cs="Arial"/>
        </w:rPr>
        <w:t>.</w:t>
      </w:r>
      <w:r w:rsidR="004F4660" w:rsidRPr="00116CA2">
        <w:rPr>
          <w:rFonts w:cs="Arial"/>
        </w:rPr>
        <w:t xml:space="preserve">  Gifford (2016) discusses how feedback can make the difference of a positive impact, negative impact or no impact.</w:t>
      </w:r>
      <w:r w:rsidR="004C3509" w:rsidRPr="00116CA2">
        <w:rPr>
          <w:rFonts w:cs="Arial"/>
        </w:rPr>
        <w:t xml:space="preserve"> I created a How to Guide for Managers to ensure they are confident in their knowledge and understanding of how to complete an effective file check (EV</w:t>
      </w:r>
      <w:r w:rsidR="00D51012">
        <w:rPr>
          <w:rFonts w:cs="Arial"/>
        </w:rPr>
        <w:t>11</w:t>
      </w:r>
      <w:r w:rsidR="004C3509" w:rsidRPr="00116CA2">
        <w:rPr>
          <w:rFonts w:cs="Arial"/>
        </w:rPr>
        <w:t xml:space="preserve">) and </w:t>
      </w:r>
      <w:r w:rsidR="00D51012">
        <w:rPr>
          <w:rFonts w:cs="Arial"/>
        </w:rPr>
        <w:t xml:space="preserve">also provided one to one </w:t>
      </w:r>
      <w:r w:rsidR="00686606" w:rsidRPr="00116CA2">
        <w:rPr>
          <w:rFonts w:cs="Arial"/>
        </w:rPr>
        <w:t xml:space="preserve">coaching to those who required </w:t>
      </w:r>
      <w:r w:rsidR="000C1C50" w:rsidRPr="00116CA2">
        <w:rPr>
          <w:rFonts w:cs="Arial"/>
        </w:rPr>
        <w:t xml:space="preserve">additional </w:t>
      </w:r>
      <w:r w:rsidR="00686606" w:rsidRPr="00116CA2">
        <w:rPr>
          <w:rFonts w:cs="Arial"/>
        </w:rPr>
        <w:t>support (EV</w:t>
      </w:r>
      <w:r w:rsidR="00D51012">
        <w:rPr>
          <w:rFonts w:cs="Arial"/>
        </w:rPr>
        <w:t>12</w:t>
      </w:r>
      <w:r w:rsidR="00686606" w:rsidRPr="00116CA2">
        <w:rPr>
          <w:rFonts w:cs="Arial"/>
        </w:rPr>
        <w:t>)</w:t>
      </w:r>
      <w:r w:rsidR="00F66D0A" w:rsidRPr="00116CA2">
        <w:rPr>
          <w:rFonts w:cs="Arial"/>
        </w:rPr>
        <w:t>.</w:t>
      </w:r>
    </w:p>
    <w:p w:rsidR="0073179A" w:rsidRPr="00116CA2" w:rsidRDefault="0073179A">
      <w:pPr>
        <w:rPr>
          <w:rFonts w:cs="Arial"/>
        </w:rPr>
      </w:pPr>
    </w:p>
    <w:p w:rsidR="008270B5" w:rsidRPr="00116CA2" w:rsidRDefault="008270B5">
      <w:pPr>
        <w:rPr>
          <w:b/>
        </w:rPr>
      </w:pPr>
      <w:r w:rsidRPr="00116CA2">
        <w:rPr>
          <w:b/>
        </w:rPr>
        <w:t>BIBLIOGRAPHY:</w:t>
      </w:r>
    </w:p>
    <w:p w:rsidR="00284B14" w:rsidRPr="00116CA2" w:rsidRDefault="00284B14" w:rsidP="00307674">
      <w:r w:rsidRPr="00116CA2">
        <w:t xml:space="preserve">ACAS (2010) </w:t>
      </w:r>
      <w:r w:rsidRPr="00116CA2">
        <w:rPr>
          <w:i/>
        </w:rPr>
        <w:t xml:space="preserve">ACAS Codes of Practice </w:t>
      </w:r>
      <w:r w:rsidRPr="00116CA2">
        <w:t>[online</w:t>
      </w:r>
      <w:r w:rsidR="00116CA2" w:rsidRPr="00116CA2">
        <w:t>]</w:t>
      </w:r>
      <w:r w:rsidR="00116CA2" w:rsidRPr="00116CA2">
        <w:rPr>
          <w:i/>
        </w:rPr>
        <w:t xml:space="preserve"> Available</w:t>
      </w:r>
      <w:r w:rsidRPr="00116CA2">
        <w:t xml:space="preserve"> at: </w:t>
      </w:r>
      <w:hyperlink r:id="rId6" w:history="1">
        <w:r w:rsidRPr="00116CA2">
          <w:rPr>
            <w:rStyle w:val="Hyperlink"/>
          </w:rPr>
          <w:t>https://www.acas.org.uk/codes-of-practice</w:t>
        </w:r>
      </w:hyperlink>
      <w:r w:rsidRPr="00116CA2">
        <w:t xml:space="preserve"> (Accessed: 01 September 2020)</w:t>
      </w:r>
    </w:p>
    <w:p w:rsidR="001A2647" w:rsidRPr="00116CA2" w:rsidRDefault="001A2647" w:rsidP="00307674">
      <w:r w:rsidRPr="00116CA2">
        <w:t xml:space="preserve">ACAS (2015) </w:t>
      </w:r>
      <w:r w:rsidRPr="00116CA2">
        <w:rPr>
          <w:i/>
        </w:rPr>
        <w:t xml:space="preserve">Code of Practice on disciplinary and grievance procedures </w:t>
      </w:r>
      <w:r w:rsidRPr="00116CA2">
        <w:t xml:space="preserve">[Online].  Available at: </w:t>
      </w:r>
      <w:hyperlink r:id="rId7" w:history="1">
        <w:r w:rsidRPr="00116CA2">
          <w:rPr>
            <w:rStyle w:val="Hyperlink"/>
          </w:rPr>
          <w:t>https://www.acas.org.uk/acas-code-of-practice-for-disciplinary-and-grievance-procedures/html</w:t>
        </w:r>
      </w:hyperlink>
      <w:r w:rsidRPr="00116CA2">
        <w:t xml:space="preserve"> (Accessed: 01 September 2020)</w:t>
      </w:r>
    </w:p>
    <w:p w:rsidR="004F4660" w:rsidRPr="00116CA2" w:rsidRDefault="004F4660" w:rsidP="00307674">
      <w:r w:rsidRPr="00116CA2">
        <w:t xml:space="preserve">ARMSTRONG, M. (2018) </w:t>
      </w:r>
      <w:r w:rsidRPr="00116CA2">
        <w:rPr>
          <w:i/>
        </w:rPr>
        <w:t xml:space="preserve">Armstrong’s Handbook of Performance Management. </w:t>
      </w:r>
      <w:r w:rsidRPr="00116CA2">
        <w:t>6</w:t>
      </w:r>
      <w:r w:rsidRPr="00116CA2">
        <w:rPr>
          <w:vertAlign w:val="superscript"/>
        </w:rPr>
        <w:t>th</w:t>
      </w:r>
      <w:r w:rsidRPr="00116CA2">
        <w:t xml:space="preserve"> Edn. London: Kogan Page.</w:t>
      </w:r>
    </w:p>
    <w:p w:rsidR="00307674" w:rsidRPr="00116CA2" w:rsidRDefault="00307674" w:rsidP="00307674">
      <w:r w:rsidRPr="00116CA2">
        <w:t xml:space="preserve">ARMSTRONG, M. (2016) </w:t>
      </w:r>
      <w:r w:rsidRPr="00116CA2">
        <w:rPr>
          <w:i/>
        </w:rPr>
        <w:t xml:space="preserve">Armstrong’s Handbook of Strategic Human Resource Management. </w:t>
      </w:r>
      <w:r w:rsidRPr="00116CA2">
        <w:t>6</w:t>
      </w:r>
      <w:r w:rsidRPr="00116CA2">
        <w:rPr>
          <w:vertAlign w:val="superscript"/>
        </w:rPr>
        <w:t>th</w:t>
      </w:r>
      <w:r w:rsidRPr="00116CA2">
        <w:t xml:space="preserve"> Edn. London: Kogan Page.</w:t>
      </w:r>
    </w:p>
    <w:p w:rsidR="00046C46" w:rsidRPr="00116CA2" w:rsidRDefault="00046C46" w:rsidP="00307674">
      <w:r w:rsidRPr="00116CA2">
        <w:t xml:space="preserve">BOCK, L. (2015) </w:t>
      </w:r>
      <w:r w:rsidRPr="00116CA2">
        <w:rPr>
          <w:i/>
        </w:rPr>
        <w:t xml:space="preserve">Work Rules! </w:t>
      </w:r>
      <w:r w:rsidRPr="00116CA2">
        <w:t>London: John Murray Publishers.</w:t>
      </w:r>
    </w:p>
    <w:p w:rsidR="001A2647" w:rsidRPr="00116CA2" w:rsidRDefault="001A2647" w:rsidP="00307674">
      <w:r w:rsidRPr="00116CA2">
        <w:t xml:space="preserve">CIPD (2020) </w:t>
      </w:r>
      <w:r w:rsidRPr="00116CA2">
        <w:rPr>
          <w:i/>
        </w:rPr>
        <w:t xml:space="preserve">Data Protection and GDPR in the Workplace </w:t>
      </w:r>
      <w:r w:rsidRPr="00116CA2">
        <w:t xml:space="preserve">[Online].  Available at: </w:t>
      </w:r>
      <w:hyperlink r:id="rId8" w:history="1">
        <w:r w:rsidRPr="00116CA2">
          <w:rPr>
            <w:rStyle w:val="Hyperlink"/>
          </w:rPr>
          <w:t>https://www.cipd.co.uk/knowledge/fundamentals/emp-law/data-protection/factsheet</w:t>
        </w:r>
      </w:hyperlink>
      <w:r w:rsidRPr="00116CA2">
        <w:t xml:space="preserve"> (Accessed: 01 September 2020).</w:t>
      </w:r>
    </w:p>
    <w:p w:rsidR="000C1C50" w:rsidRPr="00116CA2" w:rsidRDefault="000C1C50">
      <w:pPr>
        <w:rPr>
          <w:rFonts w:cs="Arial"/>
        </w:rPr>
      </w:pPr>
      <w:r w:rsidRPr="00116CA2">
        <w:rPr>
          <w:rFonts w:cs="Arial"/>
        </w:rPr>
        <w:t xml:space="preserve">CIPD (2019) </w:t>
      </w:r>
      <w:r w:rsidRPr="00116CA2">
        <w:rPr>
          <w:rFonts w:cs="Arial"/>
          <w:i/>
        </w:rPr>
        <w:t>Induction</w:t>
      </w:r>
      <w:r w:rsidRPr="00116CA2">
        <w:rPr>
          <w:rFonts w:cs="Arial"/>
        </w:rPr>
        <w:t xml:space="preserve"> [Online].  Available at: </w:t>
      </w:r>
      <w:hyperlink r:id="rId9" w:history="1">
        <w:r w:rsidRPr="00116CA2">
          <w:rPr>
            <w:rStyle w:val="Hyperlink"/>
            <w:rFonts w:cs="Arial"/>
          </w:rPr>
          <w:t>https://www.cipd.co.uk/knowledge/fundamentals/people/recruitment/induction-factsheet</w:t>
        </w:r>
      </w:hyperlink>
      <w:r w:rsidRPr="00116CA2">
        <w:rPr>
          <w:rFonts w:cs="Arial"/>
        </w:rPr>
        <w:t xml:space="preserve"> (Accessed: 06 Sep. 2020).</w:t>
      </w:r>
    </w:p>
    <w:p w:rsidR="00CA2C5C" w:rsidRPr="00116CA2" w:rsidRDefault="002675BF">
      <w:pPr>
        <w:rPr>
          <w:rFonts w:cs="Arial"/>
        </w:rPr>
      </w:pPr>
      <w:r w:rsidRPr="00116CA2">
        <w:rPr>
          <w:rFonts w:cs="Arial"/>
        </w:rPr>
        <w:t xml:space="preserve">DANIELS, K. (2019) </w:t>
      </w:r>
      <w:r w:rsidRPr="00116CA2">
        <w:rPr>
          <w:rFonts w:cs="Arial"/>
          <w:i/>
        </w:rPr>
        <w:t xml:space="preserve">Introduction to Employment Law. </w:t>
      </w:r>
      <w:r w:rsidRPr="00116CA2">
        <w:rPr>
          <w:rFonts w:cs="Arial"/>
        </w:rPr>
        <w:t>5</w:t>
      </w:r>
      <w:r w:rsidRPr="00116CA2">
        <w:rPr>
          <w:rFonts w:cs="Arial"/>
          <w:vertAlign w:val="superscript"/>
        </w:rPr>
        <w:t>th</w:t>
      </w:r>
      <w:r w:rsidRPr="00116CA2">
        <w:rPr>
          <w:rFonts w:cs="Arial"/>
        </w:rPr>
        <w:t xml:space="preserve"> edn. London: Kogan Page.</w:t>
      </w:r>
    </w:p>
    <w:p w:rsidR="004F4660" w:rsidRPr="00116CA2" w:rsidRDefault="004F4660">
      <w:r w:rsidRPr="00116CA2">
        <w:t xml:space="preserve">GIFFORD, J. (2016) ‘Could do better?’ </w:t>
      </w:r>
      <w:r w:rsidRPr="00116CA2">
        <w:rPr>
          <w:i/>
        </w:rPr>
        <w:t xml:space="preserve">CIPD Research Report, </w:t>
      </w:r>
      <w:r w:rsidRPr="00116CA2">
        <w:t xml:space="preserve">Dec 2016, pp. 01-52. </w:t>
      </w:r>
    </w:p>
    <w:p w:rsidR="00E55C75" w:rsidRPr="00116CA2" w:rsidRDefault="002675BF">
      <w:pPr>
        <w:rPr>
          <w:rFonts w:cs="Arial"/>
        </w:rPr>
      </w:pPr>
      <w:r w:rsidRPr="00116CA2">
        <w:rPr>
          <w:rFonts w:cs="Arial"/>
        </w:rPr>
        <w:t xml:space="preserve">GOV.UK (2013) </w:t>
      </w:r>
      <w:r w:rsidRPr="00116CA2">
        <w:rPr>
          <w:rFonts w:cs="Arial"/>
          <w:i/>
        </w:rPr>
        <w:t xml:space="preserve">Equality Act 2010: Guidance </w:t>
      </w:r>
      <w:r w:rsidRPr="00116CA2">
        <w:rPr>
          <w:rFonts w:cs="Arial"/>
        </w:rPr>
        <w:t xml:space="preserve">[Online].  Available at: </w:t>
      </w:r>
      <w:hyperlink r:id="rId10" w:history="1">
        <w:r w:rsidRPr="00116CA2">
          <w:rPr>
            <w:rStyle w:val="Hyperlink"/>
            <w:rFonts w:cs="Arial"/>
          </w:rPr>
          <w:t>https://www.gov.uk/guidance/equality-act-2010-guidance</w:t>
        </w:r>
      </w:hyperlink>
      <w:r w:rsidRPr="00116CA2">
        <w:rPr>
          <w:rFonts w:cs="Arial"/>
        </w:rPr>
        <w:t xml:space="preserve"> (Accessed: 01 September 2020)</w:t>
      </w:r>
    </w:p>
    <w:p w:rsidR="000C1C50" w:rsidRPr="00116CA2" w:rsidRDefault="000C1C50">
      <w:pPr>
        <w:rPr>
          <w:rFonts w:cs="Arial"/>
        </w:rPr>
      </w:pPr>
      <w:r w:rsidRPr="00116CA2">
        <w:rPr>
          <w:rFonts w:cs="Arial"/>
        </w:rPr>
        <w:t xml:space="preserve">HUTCHINSON, S. (2013) </w:t>
      </w:r>
      <w:r w:rsidRPr="00116CA2">
        <w:rPr>
          <w:rFonts w:cs="Arial"/>
          <w:i/>
        </w:rPr>
        <w:t xml:space="preserve">Performance Management. Theory &amp; Practice. </w:t>
      </w:r>
      <w:r w:rsidRPr="00116CA2">
        <w:rPr>
          <w:rFonts w:cs="Arial"/>
        </w:rPr>
        <w:t>London: CIPD.</w:t>
      </w:r>
    </w:p>
    <w:p w:rsidR="00382E7B" w:rsidRDefault="00382E7B">
      <w:pPr>
        <w:rPr>
          <w:rFonts w:cs="Arial"/>
        </w:rPr>
      </w:pPr>
      <w:r w:rsidRPr="00116CA2">
        <w:rPr>
          <w:rFonts w:cs="Arial"/>
        </w:rPr>
        <w:t>POLLITT, D. (2013)</w:t>
      </w:r>
      <w:r w:rsidR="00116CA2" w:rsidRPr="00116CA2">
        <w:rPr>
          <w:rFonts w:cs="Arial"/>
        </w:rPr>
        <w:t xml:space="preserve"> ‘Co-operative Group induction inspires enthusiastic and engaged employees’, </w:t>
      </w:r>
      <w:r w:rsidR="00116CA2" w:rsidRPr="00116CA2">
        <w:rPr>
          <w:rFonts w:cs="Arial"/>
          <w:i/>
        </w:rPr>
        <w:t xml:space="preserve">Human Resource Management International Digest, </w:t>
      </w:r>
      <w:r w:rsidR="00116CA2" w:rsidRPr="00116CA2">
        <w:rPr>
          <w:rFonts w:cs="Arial"/>
        </w:rPr>
        <w:t xml:space="preserve">21 (5), pp. 19 – 21. DOI: </w:t>
      </w:r>
      <w:r w:rsidR="00116CA2" w:rsidRPr="00116CA2">
        <w:t>DOI 10.1108/HRMID-05-2013-0039</w:t>
      </w:r>
      <w:r w:rsidR="00116CA2" w:rsidRPr="00116CA2">
        <w:rPr>
          <w:rFonts w:cs="Arial"/>
        </w:rPr>
        <w:t>.</w:t>
      </w:r>
    </w:p>
    <w:p w:rsidR="00B42271" w:rsidRDefault="00B42271">
      <w:pPr>
        <w:rPr>
          <w:rFonts w:cs="Arial"/>
        </w:rPr>
      </w:pPr>
    </w:p>
    <w:p w:rsidR="00B42271" w:rsidRDefault="00B42271">
      <w:pPr>
        <w:rPr>
          <w:rFonts w:cs="Arial"/>
        </w:rPr>
      </w:pPr>
    </w:p>
    <w:p w:rsidR="00B42271" w:rsidRDefault="00B42271">
      <w:pPr>
        <w:rPr>
          <w:rFonts w:cs="Arial"/>
        </w:rPr>
      </w:pPr>
    </w:p>
    <w:p w:rsidR="00B42271" w:rsidRDefault="00B42271" w:rsidP="00B42271">
      <w:pPr>
        <w:jc w:val="center"/>
        <w:rPr>
          <w:rFonts w:cstheme="minorHAnsi"/>
          <w:b/>
          <w:u w:val="single"/>
        </w:rPr>
      </w:pPr>
      <w:r>
        <w:rPr>
          <w:rFonts w:cstheme="minorHAnsi"/>
          <w:b/>
          <w:u w:val="single"/>
        </w:rPr>
        <w:lastRenderedPageBreak/>
        <w:t>Learning Outcome 2 – Be able to support Line Managers deliver Performance Management Activities within the organisation</w:t>
      </w:r>
    </w:p>
    <w:p w:rsidR="00B42271" w:rsidRDefault="00B42271" w:rsidP="00B42271">
      <w:pPr>
        <w:rPr>
          <w:rFonts w:cstheme="minorHAnsi"/>
          <w:b/>
        </w:rPr>
      </w:pPr>
    </w:p>
    <w:p w:rsidR="00B42271" w:rsidRDefault="00B42271" w:rsidP="00B42271">
      <w:pPr>
        <w:pStyle w:val="Default"/>
        <w:rPr>
          <w:rFonts w:asciiTheme="minorHAnsi" w:hAnsiTheme="minorHAnsi" w:cstheme="minorHAnsi"/>
          <w:b/>
          <w:sz w:val="22"/>
          <w:szCs w:val="22"/>
        </w:rPr>
      </w:pPr>
      <w:r>
        <w:rPr>
          <w:rFonts w:asciiTheme="minorHAnsi" w:hAnsiTheme="minorHAnsi" w:cstheme="minorHAnsi"/>
          <w:b/>
          <w:sz w:val="22"/>
          <w:szCs w:val="22"/>
        </w:rPr>
        <w:t xml:space="preserve">2.1 Analyse the types of support line managers in the organisation need from HR, in relation to performance management activities. </w:t>
      </w:r>
    </w:p>
    <w:p w:rsidR="00B42271" w:rsidRDefault="00B42271" w:rsidP="00B42271">
      <w:pPr>
        <w:pStyle w:val="Default"/>
        <w:rPr>
          <w:rFonts w:asciiTheme="minorHAnsi" w:hAnsiTheme="minorHAnsi" w:cstheme="minorHAnsi"/>
          <w:b/>
          <w:sz w:val="22"/>
          <w:szCs w:val="22"/>
        </w:rPr>
      </w:pPr>
    </w:p>
    <w:p w:rsidR="00B42271" w:rsidRDefault="00B42271" w:rsidP="00B42271">
      <w:pPr>
        <w:rPr>
          <w:rFonts w:cstheme="minorHAnsi"/>
        </w:rPr>
      </w:pPr>
      <w:r>
        <w:rPr>
          <w:rFonts w:cstheme="minorHAnsi"/>
        </w:rPr>
        <w:t xml:space="preserve">I attended a Senior Leadership Team meeting in Sept 2019 where the theme focused on ‘Performance’.  There was a requirement for a year-end push, and a long term solution for improved performance (EV13). Members of the Senior Team felt that Line Managers needed additional training in this area.  Line Managers are key in influencing employee attitudes and behaviours.  Demands are growing and Line Managers are now responsible for most aspects of performance management.  However, it is regularly shown that Managers struggle to undertake these roles effectively and often due to a lack of training (Hutchinson, 2013).  I came away from the meeting with the action to consider what the training may entail and put a proposal together which was sent to my Line Manager (EV14) In order to gauge Line Managers thoughts on what support they needed, I put a pre-training questionnaire together to ensure we addressed the support required (EV15).  Through direct consultation with Line Managers we established the support required was training on how to use performance management tools to effectively drive and improve performance, support with how to address underperformance and deliver effective feedback.  </w:t>
      </w:r>
      <w:r w:rsidR="00F1188E">
        <w:rPr>
          <w:rFonts w:cstheme="minorHAnsi"/>
        </w:rPr>
        <w:t xml:space="preserve">Employees are our greatest asset and </w:t>
      </w:r>
      <w:r>
        <w:rPr>
          <w:rFonts w:cstheme="minorHAnsi"/>
        </w:rPr>
        <w:t>In order to retain</w:t>
      </w:r>
      <w:r w:rsidR="00F1188E">
        <w:rPr>
          <w:rFonts w:cstheme="minorHAnsi"/>
        </w:rPr>
        <w:t xml:space="preserve"> them we needed to ensure</w:t>
      </w:r>
      <w:r>
        <w:rPr>
          <w:rFonts w:cstheme="minorHAnsi"/>
        </w:rPr>
        <w:t xml:space="preserve"> our Line Managers</w:t>
      </w:r>
      <w:r w:rsidR="00F1188E">
        <w:rPr>
          <w:rFonts w:cstheme="minorHAnsi"/>
        </w:rPr>
        <w:t xml:space="preserve"> have</w:t>
      </w:r>
      <w:r>
        <w:rPr>
          <w:rFonts w:cstheme="minorHAnsi"/>
        </w:rPr>
        <w:t xml:space="preserve"> the adequate skills and knowle</w:t>
      </w:r>
      <w:r w:rsidR="00F1188E">
        <w:rPr>
          <w:rFonts w:cstheme="minorHAnsi"/>
        </w:rPr>
        <w:t>dge to effectively manage them</w:t>
      </w:r>
      <w:r>
        <w:rPr>
          <w:rFonts w:cstheme="minorHAnsi"/>
        </w:rPr>
        <w:t xml:space="preserve"> (Bajoreck, 2020).</w:t>
      </w:r>
    </w:p>
    <w:p w:rsidR="00B42271" w:rsidRDefault="00B42271" w:rsidP="00B42271">
      <w:pPr>
        <w:pStyle w:val="Default"/>
        <w:rPr>
          <w:rFonts w:asciiTheme="minorHAnsi" w:hAnsiTheme="minorHAnsi" w:cstheme="minorHAnsi"/>
          <w:b/>
          <w:sz w:val="22"/>
          <w:szCs w:val="22"/>
        </w:rPr>
      </w:pPr>
      <w:r>
        <w:rPr>
          <w:rFonts w:asciiTheme="minorHAnsi" w:hAnsiTheme="minorHAnsi" w:cstheme="minorHAnsi"/>
          <w:b/>
          <w:sz w:val="22"/>
          <w:szCs w:val="22"/>
        </w:rPr>
        <w:t xml:space="preserve">2.2 Support line managers’ capability to deliver performance management activities. </w:t>
      </w:r>
    </w:p>
    <w:p w:rsidR="00B42271" w:rsidRDefault="00B42271" w:rsidP="00B42271">
      <w:pPr>
        <w:pStyle w:val="Default"/>
        <w:rPr>
          <w:rFonts w:asciiTheme="minorHAnsi" w:hAnsiTheme="minorHAnsi" w:cstheme="minorHAnsi"/>
          <w:b/>
          <w:sz w:val="22"/>
          <w:szCs w:val="22"/>
        </w:rPr>
      </w:pPr>
    </w:p>
    <w:p w:rsidR="00B42271" w:rsidRDefault="00B42271" w:rsidP="00B42271">
      <w:pPr>
        <w:rPr>
          <w:rFonts w:cstheme="minorHAnsi"/>
        </w:rPr>
      </w:pPr>
      <w:r>
        <w:rPr>
          <w:rFonts w:cstheme="minorHAnsi"/>
        </w:rPr>
        <w:t>Following the feedback, I compiled a training plan and facilitated a 2 day Training session, centred on ‘Driving Performance’ (EV16).  I was supported by various subject matter experts.  The training incorporated the Performance Management Framework, Objective setting, an introduction to support tools to monitor performance and supporting underperformance. Google’s Performance Management System has always started with goal setting.  Google always set ambitious goals that quite often they know are una</w:t>
      </w:r>
      <w:r w:rsidR="00F1188E">
        <w:rPr>
          <w:rFonts w:cstheme="minorHAnsi"/>
        </w:rPr>
        <w:t>chievable but believe that if</w:t>
      </w:r>
      <w:r>
        <w:rPr>
          <w:rFonts w:cstheme="minorHAnsi"/>
        </w:rPr>
        <w:t xml:space="preserve"> you</w:t>
      </w:r>
      <w:r w:rsidR="00F1188E">
        <w:rPr>
          <w:rFonts w:cstheme="minorHAnsi"/>
        </w:rPr>
        <w:t>’ve</w:t>
      </w:r>
      <w:r>
        <w:rPr>
          <w:rFonts w:cstheme="minorHAnsi"/>
        </w:rPr>
        <w:t xml:space="preserve"> achieve</w:t>
      </w:r>
      <w:r w:rsidR="00F1188E">
        <w:rPr>
          <w:rFonts w:cstheme="minorHAnsi"/>
        </w:rPr>
        <w:t>d</w:t>
      </w:r>
      <w:r>
        <w:rPr>
          <w:rFonts w:cstheme="minorHAnsi"/>
        </w:rPr>
        <w:t xml:space="preserve"> all your objectives, they weren’t challenging enough (Bock, 2015). The workshop tested feedback skills along with techniques to address underperforman</w:t>
      </w:r>
      <w:r w:rsidR="00F1188E">
        <w:rPr>
          <w:rFonts w:cstheme="minorHAnsi"/>
        </w:rPr>
        <w:t>ce.  Feedback is an important aspect</w:t>
      </w:r>
      <w:r>
        <w:rPr>
          <w:rFonts w:cstheme="minorHAnsi"/>
        </w:rPr>
        <w:t xml:space="preserve"> of performance management and should be delivered in a way that allows colleagues to recognise and accept it as fact (Armstrong, 2018).  Following this session, I designed and delivered additional training focusing specifically on underperformance (EV17).  It focused on the enhanced support plan; how to initiate the support, how to ensure actions set are SMART and how to document the information correctly.  A solid plan needs to be developed to incorporate what both Managers and Employees are going to do differently; agreeing on measurable outcomes to ensure progress can be checked (Gallo, 2014).</w:t>
      </w:r>
    </w:p>
    <w:p w:rsidR="00B42271" w:rsidRDefault="00B42271" w:rsidP="00B42271">
      <w:pPr>
        <w:rPr>
          <w:rFonts w:cstheme="minorHAnsi"/>
        </w:rPr>
      </w:pPr>
      <w:r>
        <w:rPr>
          <w:rFonts w:cstheme="minorHAnsi"/>
        </w:rPr>
        <w:t xml:space="preserve">The recent pandemic meant that performance has been more challenging and resulted in us needing to reconsider our approach to performance management.  More recently, there has been an expectation from Commissioners to see improvements.   We had to ensure performance increased but not put any undue pressure on colleagues. The pandemic has brought people’s health and wellbeing to the top of the business agenda.  Many employees feel isolated, are anxious and/or are juggling caring responsibilities around work.  It has led to a number of unhealthy work practices such </w:t>
      </w:r>
      <w:r>
        <w:rPr>
          <w:rFonts w:cstheme="minorHAnsi"/>
        </w:rPr>
        <w:lastRenderedPageBreak/>
        <w:t>as 'presenteesism' where people are working when they are unwell and 'leaveism' where people are working on annual leave to catch up (CIPD, 2020).  Our Senior Performance Manager, Performance and Contracts Manager and I arranged a meeting to discuss our approach.  We decided to initiate Performance Coaching (EV18).  The pandemic is evidently a period of change and Coaching is deemed a suitable development tool when dealing with an impact of change on an individual’s role (CIPD, 2020).  Managers need to be transformed into coaches for employees to achieve success (Clifton &amp; Harter, 2019).   I facilitated a call with the Line Managers to clarify any questions they had and to ensure they were confident with delivering the support (EV19).</w:t>
      </w:r>
    </w:p>
    <w:p w:rsidR="00B42271" w:rsidRDefault="00B42271" w:rsidP="00B42271">
      <w:pPr>
        <w:rPr>
          <w:rFonts w:cstheme="minorHAnsi"/>
          <w:b/>
        </w:rPr>
      </w:pPr>
    </w:p>
    <w:p w:rsidR="00B42271" w:rsidRDefault="00B42271" w:rsidP="00B42271">
      <w:pPr>
        <w:autoSpaceDE w:val="0"/>
        <w:autoSpaceDN w:val="0"/>
        <w:adjustRightInd w:val="0"/>
        <w:spacing w:after="0" w:line="240" w:lineRule="auto"/>
        <w:rPr>
          <w:rFonts w:cstheme="minorHAnsi"/>
          <w:b/>
          <w:color w:val="000000"/>
        </w:rPr>
      </w:pPr>
      <w:r>
        <w:rPr>
          <w:rFonts w:cstheme="minorHAnsi"/>
          <w:b/>
          <w:color w:val="000000"/>
        </w:rPr>
        <w:t xml:space="preserve">2.3 Work in conjunction with line managers in the provision of employee performance and development reviews. </w:t>
      </w:r>
    </w:p>
    <w:p w:rsidR="00B42271" w:rsidRDefault="00B42271" w:rsidP="00B42271">
      <w:pPr>
        <w:rPr>
          <w:rFonts w:cstheme="minorHAnsi"/>
        </w:rPr>
      </w:pPr>
    </w:p>
    <w:p w:rsidR="00B42271" w:rsidRDefault="00B42271" w:rsidP="00B42271">
      <w:pPr>
        <w:rPr>
          <w:rFonts w:cstheme="minorHAnsi"/>
        </w:rPr>
      </w:pPr>
      <w:r>
        <w:rPr>
          <w:rFonts w:cstheme="minorHAnsi"/>
        </w:rPr>
        <w:t>I recently supported one of our Line Managers to create a Personal Development Plan (PDP) for an employee who had thoughts around progression, potential change of role and additional learning.  We discussed suitable options (EV20).  PDPs are learning action plans designed to achieve learning objectives for which the individuals are responsible with the support of their managers and the business (Armstrong, 2016).  This individual had an interest in training and project management so we agreed that she support with the coordination and facilitation of induction for new colleagues.</w:t>
      </w:r>
    </w:p>
    <w:p w:rsidR="00B42271" w:rsidRDefault="00B42271" w:rsidP="00B42271">
      <w:pPr>
        <w:rPr>
          <w:rFonts w:cstheme="minorHAnsi"/>
        </w:rPr>
      </w:pPr>
      <w:r>
        <w:rPr>
          <w:rFonts w:cstheme="minorHAnsi"/>
        </w:rPr>
        <w:t>Performance Management often focuses on solely assessing employees’ past performance, however if the goal is to improve performance then there should be a focus on how they need to develop (CIPD, 2019). As part of my role I have supported Managers to deliver Learning and Development Plans for their teams.  Rather than focus on individual development plans, we focused on a collective approach.  It ensured there was a continuous focus on learning and development activities including induction, training, coaching and mentoring (EV 21).</w:t>
      </w:r>
    </w:p>
    <w:p w:rsidR="00B42271" w:rsidRDefault="00B42271" w:rsidP="00B42271">
      <w:pPr>
        <w:rPr>
          <w:rFonts w:cstheme="minorHAnsi"/>
        </w:rPr>
      </w:pPr>
      <w:r>
        <w:rPr>
          <w:rFonts w:cstheme="minorHAnsi"/>
        </w:rPr>
        <w:t xml:space="preserve">Although the induction of an employee is the responsibility of the line manager, they would not be expected to cover all elements.  The design, development and evaluation mainly sit with HR and/or L&amp;D specialists (CIPD, 2019).  I co-deliver induction sessions with Line Managers for all new starters.  The day one call consists of a welcome to the business, introduction to their induction plan, what will be covered and expectations from both parties.  I co-facilitate monthly check-ins with the Line Manager to review performance against induction progress.  It’s a three way conversation to ensure the induction is being followed and support and training are being provided.  We continue with monthly check-in meetings until all three parties agree the induction is complete, the individual has the skills and knowledge to be effective in their role and the induction can be signed off (EV22). </w:t>
      </w:r>
    </w:p>
    <w:p w:rsidR="00B42271" w:rsidRDefault="00B42271" w:rsidP="00B42271">
      <w:pPr>
        <w:rPr>
          <w:rFonts w:cstheme="minorHAnsi"/>
        </w:rPr>
      </w:pPr>
    </w:p>
    <w:p w:rsidR="00B42271" w:rsidRDefault="00B42271" w:rsidP="00B42271">
      <w:pPr>
        <w:rPr>
          <w:rFonts w:cstheme="minorHAnsi"/>
          <w:b/>
        </w:rPr>
      </w:pPr>
      <w:r>
        <w:rPr>
          <w:rFonts w:cstheme="minorHAnsi"/>
          <w:b/>
        </w:rPr>
        <w:t>BIBLIOGRAPHY:</w:t>
      </w:r>
    </w:p>
    <w:p w:rsidR="00B42271" w:rsidRDefault="00B42271" w:rsidP="00B42271">
      <w:pPr>
        <w:rPr>
          <w:rFonts w:cstheme="minorHAnsi"/>
        </w:rPr>
      </w:pPr>
      <w:r>
        <w:rPr>
          <w:rFonts w:cstheme="minorHAnsi"/>
        </w:rPr>
        <w:t xml:space="preserve">ARMSTRONG, M. (2018) </w:t>
      </w:r>
      <w:r>
        <w:rPr>
          <w:rFonts w:cstheme="minorHAnsi"/>
          <w:i/>
        </w:rPr>
        <w:t xml:space="preserve">Armstrong’s handbook of Performance Management: An evidence-based guide to delivering high performance. </w:t>
      </w:r>
      <w:r>
        <w:rPr>
          <w:rFonts w:cstheme="minorHAnsi"/>
        </w:rPr>
        <w:t>6</w:t>
      </w:r>
      <w:r>
        <w:rPr>
          <w:rFonts w:cstheme="minorHAnsi"/>
          <w:vertAlign w:val="superscript"/>
        </w:rPr>
        <w:t>th</w:t>
      </w:r>
      <w:r>
        <w:rPr>
          <w:rFonts w:cstheme="minorHAnsi"/>
        </w:rPr>
        <w:t xml:space="preserve"> edn. London: Kogan Page.</w:t>
      </w:r>
    </w:p>
    <w:p w:rsidR="00B42271" w:rsidRDefault="00B42271" w:rsidP="00B42271">
      <w:pPr>
        <w:rPr>
          <w:rFonts w:cstheme="minorHAnsi"/>
        </w:rPr>
      </w:pPr>
      <w:r>
        <w:rPr>
          <w:rFonts w:cstheme="minorHAnsi"/>
        </w:rPr>
        <w:t xml:space="preserve">ARMSTRONG, M. (2016) </w:t>
      </w:r>
      <w:r>
        <w:rPr>
          <w:rFonts w:cstheme="minorHAnsi"/>
          <w:i/>
        </w:rPr>
        <w:t xml:space="preserve">Armstrong’s Handbook of Strategic Human Resource Management. </w:t>
      </w:r>
      <w:r>
        <w:rPr>
          <w:rFonts w:cstheme="minorHAnsi"/>
        </w:rPr>
        <w:t>6</w:t>
      </w:r>
      <w:r>
        <w:rPr>
          <w:rFonts w:cstheme="minorHAnsi"/>
          <w:vertAlign w:val="superscript"/>
        </w:rPr>
        <w:t>th</w:t>
      </w:r>
      <w:r>
        <w:rPr>
          <w:rFonts w:cstheme="minorHAnsi"/>
        </w:rPr>
        <w:t xml:space="preserve"> Edn. London: Kogan Page.</w:t>
      </w:r>
    </w:p>
    <w:p w:rsidR="00B42271" w:rsidRDefault="00B42271" w:rsidP="00B42271">
      <w:pPr>
        <w:rPr>
          <w:rFonts w:cstheme="minorHAnsi"/>
        </w:rPr>
      </w:pPr>
      <w:r>
        <w:rPr>
          <w:rFonts w:cstheme="minorHAnsi"/>
        </w:rPr>
        <w:lastRenderedPageBreak/>
        <w:t xml:space="preserve">BAJOREK, Z. (2020) ‘The Squeezed Middle’, </w:t>
      </w:r>
      <w:r>
        <w:rPr>
          <w:rFonts w:cstheme="minorHAnsi"/>
          <w:i/>
        </w:rPr>
        <w:t xml:space="preserve">IES Report, </w:t>
      </w:r>
      <w:r>
        <w:rPr>
          <w:rFonts w:cstheme="minorHAnsi"/>
        </w:rPr>
        <w:t>Report 540, pp. 01 -16.</w:t>
      </w:r>
    </w:p>
    <w:p w:rsidR="00B42271" w:rsidRDefault="00B42271" w:rsidP="00B42271">
      <w:pPr>
        <w:rPr>
          <w:rFonts w:cstheme="minorHAnsi"/>
        </w:rPr>
      </w:pPr>
      <w:r>
        <w:rPr>
          <w:rFonts w:cstheme="minorHAnsi"/>
        </w:rPr>
        <w:t xml:space="preserve">BOCK, L. (2015) </w:t>
      </w:r>
      <w:r>
        <w:rPr>
          <w:rFonts w:cstheme="minorHAnsi"/>
          <w:i/>
        </w:rPr>
        <w:t xml:space="preserve">Work Rules! Insights from Google that will transform how you live and lead. </w:t>
      </w:r>
      <w:r>
        <w:rPr>
          <w:rFonts w:cstheme="minorHAnsi"/>
        </w:rPr>
        <w:t>London: John Murray (Publishers).</w:t>
      </w:r>
    </w:p>
    <w:p w:rsidR="00B42271" w:rsidRDefault="00B42271" w:rsidP="00B42271">
      <w:pPr>
        <w:rPr>
          <w:rFonts w:cstheme="minorHAnsi"/>
        </w:rPr>
      </w:pPr>
      <w:r>
        <w:rPr>
          <w:rFonts w:cstheme="minorHAnsi"/>
        </w:rPr>
        <w:t xml:space="preserve">CIPD (2020) </w:t>
      </w:r>
      <w:r>
        <w:rPr>
          <w:rFonts w:cstheme="minorHAnsi"/>
          <w:i/>
        </w:rPr>
        <w:t xml:space="preserve">Coaching and Mentoring </w:t>
      </w:r>
      <w:r>
        <w:rPr>
          <w:rFonts w:cstheme="minorHAnsi"/>
        </w:rPr>
        <w:t xml:space="preserve">[Online].  Available at: </w:t>
      </w:r>
      <w:hyperlink r:id="rId11" w:anchor="7002" w:history="1">
        <w:r>
          <w:rPr>
            <w:rStyle w:val="Hyperlink"/>
            <w:rFonts w:cstheme="minorHAnsi"/>
          </w:rPr>
          <w:t>https://www.cipd.co.uk/knowledge/fundamentals/people/development/coaching-mentoring-factsheet#7002</w:t>
        </w:r>
      </w:hyperlink>
      <w:r>
        <w:rPr>
          <w:rFonts w:cstheme="minorHAnsi"/>
        </w:rPr>
        <w:t xml:space="preserve"> (Accessed: 07 Sept 2020).</w:t>
      </w:r>
    </w:p>
    <w:p w:rsidR="00B42271" w:rsidRDefault="00B42271" w:rsidP="00B42271">
      <w:pPr>
        <w:rPr>
          <w:rFonts w:cstheme="minorHAnsi"/>
        </w:rPr>
      </w:pPr>
      <w:r>
        <w:rPr>
          <w:rFonts w:cstheme="minorHAnsi"/>
        </w:rPr>
        <w:t xml:space="preserve">CIPD (2019) ‘Induction’ [Online].  Available at: </w:t>
      </w:r>
      <w:hyperlink r:id="rId12" w:anchor="7348" w:history="1">
        <w:r>
          <w:rPr>
            <w:rStyle w:val="Hyperlink"/>
            <w:rFonts w:cstheme="minorHAnsi"/>
          </w:rPr>
          <w:t>https://www.cipd.co.uk/knowledge/fundamentals/people/recruitment/induction-factsheet#7348</w:t>
        </w:r>
      </w:hyperlink>
      <w:r>
        <w:rPr>
          <w:rFonts w:cstheme="minorHAnsi"/>
        </w:rPr>
        <w:t xml:space="preserve"> (Accessed: 07 Sep. 2020).</w:t>
      </w:r>
    </w:p>
    <w:p w:rsidR="00B42271" w:rsidRDefault="00B42271" w:rsidP="00B42271">
      <w:pPr>
        <w:rPr>
          <w:rFonts w:cstheme="minorHAnsi"/>
        </w:rPr>
      </w:pPr>
      <w:r>
        <w:rPr>
          <w:rFonts w:cstheme="minorHAnsi"/>
        </w:rPr>
        <w:t xml:space="preserve">CIPD (2019) </w:t>
      </w:r>
      <w:r>
        <w:rPr>
          <w:rFonts w:cstheme="minorHAnsi"/>
          <w:i/>
        </w:rPr>
        <w:t xml:space="preserve">Performance Management: an introduction </w:t>
      </w:r>
      <w:r>
        <w:rPr>
          <w:rFonts w:cstheme="minorHAnsi"/>
        </w:rPr>
        <w:t xml:space="preserve">[Online].  Available at: </w:t>
      </w:r>
      <w:hyperlink r:id="rId13" w:anchor="26125" w:history="1">
        <w:r>
          <w:rPr>
            <w:rStyle w:val="Hyperlink"/>
            <w:rFonts w:cstheme="minorHAnsi"/>
          </w:rPr>
          <w:t>https://www.cipd.co.uk/knowledge/fundamentals/people/performance/factsheet#26125</w:t>
        </w:r>
      </w:hyperlink>
      <w:r>
        <w:rPr>
          <w:rFonts w:cstheme="minorHAnsi"/>
        </w:rPr>
        <w:t xml:space="preserve"> (Accessed: 07 Sep. 2020).</w:t>
      </w:r>
    </w:p>
    <w:p w:rsidR="00B42271" w:rsidRDefault="00B42271" w:rsidP="00B42271">
      <w:pPr>
        <w:rPr>
          <w:rFonts w:cstheme="minorHAnsi"/>
        </w:rPr>
      </w:pPr>
      <w:r>
        <w:rPr>
          <w:rFonts w:cstheme="minorHAnsi"/>
        </w:rPr>
        <w:t xml:space="preserve">CIPD (2020) </w:t>
      </w:r>
      <w:r>
        <w:rPr>
          <w:rFonts w:cstheme="minorHAnsi"/>
          <w:i/>
        </w:rPr>
        <w:t>Well-being at work</w:t>
      </w:r>
      <w:r>
        <w:rPr>
          <w:rFonts w:cstheme="minorHAnsi"/>
        </w:rPr>
        <w:t xml:space="preserve"> [Online].  Available at: </w:t>
      </w:r>
      <w:hyperlink r:id="rId14" w:anchor="75754" w:history="1">
        <w:r>
          <w:rPr>
            <w:rStyle w:val="Hyperlink"/>
            <w:rFonts w:cstheme="minorHAnsi"/>
          </w:rPr>
          <w:t>https://www.cipd.co.uk/knowledge/culture/well-being/factsheet#75754</w:t>
        </w:r>
      </w:hyperlink>
      <w:r>
        <w:rPr>
          <w:rFonts w:cstheme="minorHAnsi"/>
        </w:rPr>
        <w:t xml:space="preserve"> (Accessed: 07 Sep. 2020).</w:t>
      </w:r>
    </w:p>
    <w:p w:rsidR="00B42271" w:rsidRDefault="00B42271" w:rsidP="00B42271">
      <w:pPr>
        <w:rPr>
          <w:rFonts w:cstheme="minorHAnsi"/>
          <w:i/>
        </w:rPr>
      </w:pPr>
      <w:r>
        <w:rPr>
          <w:rFonts w:cstheme="minorHAnsi"/>
        </w:rPr>
        <w:t xml:space="preserve">CLIFTON, J. &amp; HARTER, J. (2019) </w:t>
      </w:r>
      <w:r>
        <w:rPr>
          <w:rFonts w:cstheme="minorHAnsi"/>
          <w:i/>
        </w:rPr>
        <w:t xml:space="preserve">It’s the Manager. </w:t>
      </w:r>
      <w:r>
        <w:rPr>
          <w:rFonts w:cstheme="minorHAnsi"/>
        </w:rPr>
        <w:t>New York: Gallup Press.</w:t>
      </w:r>
      <w:r>
        <w:rPr>
          <w:rFonts w:cstheme="minorHAnsi"/>
          <w:i/>
        </w:rPr>
        <w:t xml:space="preserve"> </w:t>
      </w:r>
    </w:p>
    <w:p w:rsidR="00B42271" w:rsidRDefault="00B42271" w:rsidP="00B42271">
      <w:pPr>
        <w:rPr>
          <w:rFonts w:cstheme="minorHAnsi"/>
        </w:rPr>
      </w:pPr>
      <w:r>
        <w:rPr>
          <w:rFonts w:cstheme="minorHAnsi"/>
        </w:rPr>
        <w:t xml:space="preserve">GALLO, A. (2014) ‘How to help and Underperformer’, </w:t>
      </w:r>
      <w:r>
        <w:rPr>
          <w:rFonts w:cstheme="minorHAnsi"/>
          <w:i/>
        </w:rPr>
        <w:t xml:space="preserve">Harvard Business Review, </w:t>
      </w:r>
      <w:r>
        <w:rPr>
          <w:rFonts w:cstheme="minorHAnsi"/>
        </w:rPr>
        <w:t xml:space="preserve">June 2014.  Available at: </w:t>
      </w:r>
      <w:hyperlink r:id="rId15" w:history="1">
        <w:r>
          <w:rPr>
            <w:rStyle w:val="Hyperlink"/>
            <w:rFonts w:cstheme="minorHAnsi"/>
          </w:rPr>
          <w:t>https://hbr.org/2014/06/how-to-help-an-underperformer</w:t>
        </w:r>
      </w:hyperlink>
      <w:r>
        <w:rPr>
          <w:rFonts w:cstheme="minorHAnsi"/>
        </w:rPr>
        <w:t xml:space="preserve"> (Accessed: 07 Sep. 2020)</w:t>
      </w:r>
    </w:p>
    <w:p w:rsidR="00B42271" w:rsidRDefault="00B42271" w:rsidP="00B42271">
      <w:pPr>
        <w:rPr>
          <w:rFonts w:cstheme="minorHAnsi"/>
        </w:rPr>
      </w:pPr>
      <w:r>
        <w:rPr>
          <w:rFonts w:cstheme="minorHAnsi"/>
        </w:rPr>
        <w:t xml:space="preserve">HUTCHINSON, S. (2013) </w:t>
      </w:r>
      <w:r>
        <w:rPr>
          <w:rFonts w:cstheme="minorHAnsi"/>
          <w:i/>
        </w:rPr>
        <w:t xml:space="preserve">Performance Management Theory and Practice. </w:t>
      </w:r>
      <w:r>
        <w:rPr>
          <w:rFonts w:cstheme="minorHAnsi"/>
        </w:rPr>
        <w:t>London: CIPD.</w:t>
      </w:r>
    </w:p>
    <w:p w:rsidR="00B42271" w:rsidRDefault="00B42271" w:rsidP="00B42271">
      <w:pPr>
        <w:rPr>
          <w:rFonts w:cstheme="minorHAnsi"/>
          <w:sz w:val="24"/>
          <w:szCs w:val="24"/>
        </w:rPr>
      </w:pPr>
    </w:p>
    <w:p w:rsidR="00B42271" w:rsidRDefault="00B42271" w:rsidP="00B42271">
      <w:pPr>
        <w:rPr>
          <w:rFonts w:cstheme="minorHAnsi"/>
        </w:rPr>
      </w:pPr>
    </w:p>
    <w:p w:rsidR="00B42271" w:rsidRDefault="00B42271">
      <w:pPr>
        <w:rPr>
          <w:rFonts w:cs="Arial"/>
        </w:rPr>
      </w:pPr>
    </w:p>
    <w:p w:rsidR="00F1188E" w:rsidRDefault="00F1188E">
      <w:pPr>
        <w:rPr>
          <w:rFonts w:cs="Arial"/>
        </w:rPr>
      </w:pPr>
    </w:p>
    <w:p w:rsidR="00F1188E" w:rsidRDefault="00F1188E">
      <w:pPr>
        <w:rPr>
          <w:rFonts w:cs="Arial"/>
        </w:rPr>
      </w:pPr>
    </w:p>
    <w:p w:rsidR="00F1188E" w:rsidRDefault="00F1188E">
      <w:pPr>
        <w:rPr>
          <w:rFonts w:cs="Arial"/>
        </w:rPr>
      </w:pPr>
    </w:p>
    <w:p w:rsidR="00F1188E" w:rsidRDefault="00F1188E">
      <w:pPr>
        <w:rPr>
          <w:rFonts w:cs="Arial"/>
        </w:rPr>
      </w:pPr>
    </w:p>
    <w:p w:rsidR="00F1188E" w:rsidRDefault="00F1188E">
      <w:pPr>
        <w:rPr>
          <w:rFonts w:cs="Arial"/>
        </w:rPr>
      </w:pPr>
    </w:p>
    <w:p w:rsidR="00F1188E" w:rsidRDefault="00F1188E">
      <w:pPr>
        <w:rPr>
          <w:rFonts w:cs="Arial"/>
        </w:rPr>
      </w:pPr>
    </w:p>
    <w:p w:rsidR="00F1188E" w:rsidRDefault="00F1188E">
      <w:pPr>
        <w:rPr>
          <w:rFonts w:cs="Arial"/>
        </w:rPr>
      </w:pPr>
    </w:p>
    <w:p w:rsidR="00F1188E" w:rsidRDefault="00F1188E">
      <w:pPr>
        <w:rPr>
          <w:rFonts w:cs="Arial"/>
        </w:rPr>
      </w:pPr>
    </w:p>
    <w:p w:rsidR="00F1188E" w:rsidRDefault="00F1188E">
      <w:pPr>
        <w:rPr>
          <w:rFonts w:cs="Arial"/>
        </w:rPr>
      </w:pPr>
    </w:p>
    <w:p w:rsidR="00F1188E" w:rsidRDefault="00F1188E">
      <w:pPr>
        <w:rPr>
          <w:rFonts w:cs="Arial"/>
        </w:rPr>
      </w:pPr>
    </w:p>
    <w:p w:rsidR="00F1188E" w:rsidRDefault="00F1188E" w:rsidP="00F1188E">
      <w:pPr>
        <w:jc w:val="center"/>
        <w:rPr>
          <w:rFonts w:cstheme="minorHAnsi"/>
          <w:b/>
          <w:u w:val="single"/>
        </w:rPr>
      </w:pPr>
      <w:r>
        <w:rPr>
          <w:rFonts w:cstheme="minorHAnsi"/>
          <w:b/>
          <w:u w:val="single"/>
        </w:rPr>
        <w:lastRenderedPageBreak/>
        <w:t xml:space="preserve">Learning Outcome 3 – </w:t>
      </w:r>
      <w:r>
        <w:rPr>
          <w:rFonts w:cstheme="minorHAnsi"/>
          <w:b/>
          <w:bCs/>
          <w:u w:val="single"/>
        </w:rPr>
        <w:t>Be able to assess the impact of performance management activities on organisational performance and make recommendations for enhancement.</w:t>
      </w:r>
    </w:p>
    <w:p w:rsidR="00F1188E" w:rsidRDefault="00F1188E" w:rsidP="00F1188E">
      <w:pPr>
        <w:rPr>
          <w:rFonts w:cstheme="minorHAnsi"/>
          <w:b/>
        </w:rPr>
      </w:pPr>
    </w:p>
    <w:p w:rsidR="00F1188E" w:rsidRDefault="00F1188E" w:rsidP="00F1188E">
      <w:pPr>
        <w:autoSpaceDE w:val="0"/>
        <w:autoSpaceDN w:val="0"/>
        <w:adjustRightInd w:val="0"/>
        <w:spacing w:after="0" w:line="240" w:lineRule="auto"/>
        <w:rPr>
          <w:rFonts w:cstheme="minorHAnsi"/>
          <w:b/>
          <w:color w:val="000000"/>
        </w:rPr>
      </w:pPr>
      <w:r>
        <w:rPr>
          <w:rFonts w:cstheme="minorHAnsi"/>
          <w:b/>
          <w:color w:val="000000"/>
        </w:rPr>
        <w:t xml:space="preserve">3.1 Evaluate the organisation’s approach to performance management, including employee performance and development reviews. </w:t>
      </w:r>
    </w:p>
    <w:p w:rsidR="00F1188E" w:rsidRDefault="00F1188E" w:rsidP="00F1188E">
      <w:pPr>
        <w:rPr>
          <w:rFonts w:cstheme="minorHAnsi"/>
        </w:rPr>
      </w:pPr>
    </w:p>
    <w:p w:rsidR="00F1188E" w:rsidRDefault="00F1188E" w:rsidP="00F1188E">
      <w:pPr>
        <w:rPr>
          <w:rFonts w:cstheme="minorHAnsi"/>
        </w:rPr>
      </w:pPr>
      <w:r>
        <w:rPr>
          <w:rFonts w:cstheme="minorHAnsi"/>
        </w:rPr>
        <w:t>Remploy delivers the Work and Health Programme contract in Wales on behalf of DWP and is in the top performance position (EV23).  I held a meeting with the Performance and Contracts Manager to evaluate the organisation’s approach to Performance Management (EV24).</w:t>
      </w:r>
    </w:p>
    <w:p w:rsidR="00F1188E" w:rsidRDefault="00F1188E" w:rsidP="00F1188E">
      <w:pPr>
        <w:rPr>
          <w:rFonts w:cstheme="minorHAnsi"/>
        </w:rPr>
      </w:pPr>
      <w:r>
        <w:rPr>
          <w:rFonts w:cstheme="minorHAnsi"/>
        </w:rPr>
        <w:t>Maximus’ delivers a thorough induction with a robust training programme to ensure colleagues have the skills and knowledge to perform (EV10).  Shea (1985, cited in Taylor, 2010) discusses how an effective induction invests in an employee’s growth, learning and productivity, supporting the organisations long term productivity and success.  SMART objectives are set at the beginning of the financial year (EV25).  Taylor (2016) discusses how the continual shifting of organisational priorities questions the relevance of annual objectives.  Performance is reviewed at monthly check-ins.  Colleagues have an annual appraisal where a performance rating is delivered.  Performance and Development are discussed during the same review however we need to evaluate whether it’s appropriate to discuss strengths and development areas together (Taylor, 2016).  It was determined that potentially more time could be invested in individual development discussions and personal development plans. Organisational performance relies on having employees with the right skills and providing learning opportunities can increase organisational effectiveness (CIPD, 2020). Reward and Recognition is another area which potentially could be enhanced.  There is a colleague recognition toolkit available however usage of the toolkit is uncertain (EV5).  Additional training may need to be considered.  This stresses the importance of HR Specialists working closely with Managers to reinforce the tools available (Marchington &amp; Wilkinson, 2012, cited in Hutchinson, 2013).</w:t>
      </w:r>
    </w:p>
    <w:p w:rsidR="00F1188E" w:rsidRDefault="00F1188E" w:rsidP="00F1188E">
      <w:pPr>
        <w:pStyle w:val="Default"/>
        <w:rPr>
          <w:rFonts w:asciiTheme="minorHAnsi" w:hAnsiTheme="minorHAnsi" w:cstheme="minorHAnsi"/>
          <w:b/>
          <w:sz w:val="22"/>
          <w:szCs w:val="22"/>
        </w:rPr>
      </w:pPr>
    </w:p>
    <w:p w:rsidR="00F1188E" w:rsidRDefault="00F1188E" w:rsidP="00F1188E">
      <w:pPr>
        <w:autoSpaceDE w:val="0"/>
        <w:autoSpaceDN w:val="0"/>
        <w:adjustRightInd w:val="0"/>
        <w:spacing w:after="0" w:line="240" w:lineRule="auto"/>
        <w:rPr>
          <w:rFonts w:cstheme="minorHAnsi"/>
          <w:b/>
          <w:color w:val="000000"/>
        </w:rPr>
      </w:pPr>
      <w:r>
        <w:rPr>
          <w:rFonts w:cstheme="minorHAnsi"/>
          <w:b/>
          <w:color w:val="000000"/>
        </w:rPr>
        <w:t>3.2 Assess the extent to which performance management processes support high performance working (HPW) and contribute to sustained organisational performance.</w:t>
      </w:r>
    </w:p>
    <w:p w:rsidR="00F1188E" w:rsidRDefault="00F1188E" w:rsidP="00F1188E">
      <w:pPr>
        <w:autoSpaceDE w:val="0"/>
        <w:autoSpaceDN w:val="0"/>
        <w:adjustRightInd w:val="0"/>
        <w:spacing w:after="0" w:line="240" w:lineRule="auto"/>
        <w:rPr>
          <w:rFonts w:cstheme="minorHAnsi"/>
          <w:b/>
          <w:color w:val="000000"/>
        </w:rPr>
      </w:pPr>
      <w:r>
        <w:rPr>
          <w:rFonts w:cstheme="minorHAnsi"/>
          <w:b/>
          <w:color w:val="000000"/>
        </w:rPr>
        <w:t xml:space="preserve"> </w:t>
      </w:r>
    </w:p>
    <w:p w:rsidR="00F1188E" w:rsidRDefault="00F1188E" w:rsidP="00F1188E">
      <w:pPr>
        <w:rPr>
          <w:rFonts w:cstheme="minorHAnsi"/>
        </w:rPr>
      </w:pPr>
      <w:r>
        <w:rPr>
          <w:rFonts w:cstheme="minorHAnsi"/>
        </w:rPr>
        <w:t xml:space="preserve">HPW can be achieved by developing a high performance culture through HPWS in which performance management is important (Armstrong, 2018).  Maximus Colleagues have clear goals and understand their responsibilities (EV25).  Maximus’ mission statement is ‘Helping People Transform their lives’ (Maximus, 2008).  Objectives are aligned to the mission statement and overall business strategy ensuring individuals are committed to achieving their goals.  A High Performance Culture has a clear message that performance is important (Armstrong, 2018).  One of the Maximus values is being ‘Performance Focused’.  Being ethical and honest is another important value which highlights the importance of giving feedback to help people develop (Maximus, 2016).   Line Manager feedback within Maximus is continuous.  Armstrong (2018) discusses that high performance is achieved through improving skills and ability through feedback, coaching and development planning.  Information Transparency positively impacts employee commitment (Taylor, 2016).  Maximus operates a dashboard system to allow visibility of performance against targets </w:t>
      </w:r>
      <w:r>
        <w:rPr>
          <w:rFonts w:cstheme="minorHAnsi"/>
        </w:rPr>
        <w:lastRenderedPageBreak/>
        <w:t>(EV26).  Dagan (2007, cited in Armstrong, 2018) discusses how dashboards are a quick way for people to access how they are doing in terms of performance.</w:t>
      </w:r>
    </w:p>
    <w:p w:rsidR="00F1188E" w:rsidRDefault="00F1188E" w:rsidP="00F1188E">
      <w:pPr>
        <w:rPr>
          <w:rFonts w:cstheme="minorHAnsi"/>
        </w:rPr>
      </w:pPr>
      <w:r>
        <w:rPr>
          <w:rFonts w:cstheme="minorHAnsi"/>
        </w:rPr>
        <w:t xml:space="preserve">Effective Appraisals take place annually and performance is recognised through the colleague recognition toolkit which may take the form of a financial reward.  This provides an incentive for employees to maximise their performance (Taylor, 2016).   Recognition is necessary when it’s earned and deserved and is important for creating a culture of high performance (Robbins, 2019).  </w:t>
      </w:r>
    </w:p>
    <w:p w:rsidR="00F1188E" w:rsidRDefault="00F1188E" w:rsidP="00F1188E">
      <w:pPr>
        <w:rPr>
          <w:rFonts w:cstheme="minorHAnsi"/>
        </w:rPr>
      </w:pPr>
      <w:r>
        <w:rPr>
          <w:rFonts w:cstheme="minorHAnsi"/>
        </w:rPr>
        <w:t>Development discussions could benefit from more of a consistent focus.  Investment in Training and Development is important to improve capability and allow employees to progress (Taylor, 2016).  American Express and Google make learning an essential part of their talent management systems (Chamorro-Premuzic &amp; Bersin, 2018)</w:t>
      </w:r>
    </w:p>
    <w:p w:rsidR="00F1188E" w:rsidRDefault="00F1188E" w:rsidP="00F1188E">
      <w:pPr>
        <w:autoSpaceDE w:val="0"/>
        <w:autoSpaceDN w:val="0"/>
        <w:adjustRightInd w:val="0"/>
        <w:spacing w:after="0" w:line="240" w:lineRule="auto"/>
        <w:rPr>
          <w:rFonts w:cstheme="minorHAnsi"/>
          <w:b/>
          <w:color w:val="000000"/>
        </w:rPr>
      </w:pPr>
      <w:r>
        <w:rPr>
          <w:rFonts w:cstheme="minorHAnsi"/>
          <w:b/>
          <w:color w:val="000000"/>
        </w:rPr>
        <w:t xml:space="preserve">3.3 Recommend ways for developing performance management processes to enhance their impact on organisational performance. </w:t>
      </w:r>
    </w:p>
    <w:p w:rsidR="00F1188E" w:rsidRDefault="00F1188E" w:rsidP="00F1188E">
      <w:pPr>
        <w:autoSpaceDE w:val="0"/>
        <w:autoSpaceDN w:val="0"/>
        <w:adjustRightInd w:val="0"/>
        <w:spacing w:after="0" w:line="240" w:lineRule="auto"/>
        <w:rPr>
          <w:rFonts w:cstheme="minorHAnsi"/>
          <w:b/>
          <w:color w:val="000000"/>
        </w:rPr>
      </w:pPr>
    </w:p>
    <w:p w:rsidR="00F1188E" w:rsidRDefault="00F1188E" w:rsidP="00F1188E">
      <w:pPr>
        <w:rPr>
          <w:rFonts w:cstheme="minorHAnsi"/>
        </w:rPr>
      </w:pPr>
      <w:r>
        <w:rPr>
          <w:rFonts w:cstheme="minorHAnsi"/>
        </w:rPr>
        <w:t>If Annual Appraisals were eliminated, employees would still continue to have monthly performance check-ins.  Traditionally, reviewing performance has been an annual occurrence; however performance should be reviewed more regularly to have a positive impact (CIPD, 2019).  An option could be to replace with 360 degree feedback as this widens opinion. 360 degree feedback is feedback is provided from a number of different sources (CIPD, 2019).  Another recommendation would be to ensure Line Managers are adopting strengths based conversations when delivering feedback.  To inspire exceptional performance, Leaders should lead with meaningful feedback as it increases the likelihood colleagues will grow and develop (Clifton &amp; Harter, 2019).</w:t>
      </w:r>
    </w:p>
    <w:p w:rsidR="00F1188E" w:rsidRDefault="00F1188E" w:rsidP="00F1188E">
      <w:pPr>
        <w:rPr>
          <w:rFonts w:cstheme="minorHAnsi"/>
        </w:rPr>
      </w:pPr>
      <w:r>
        <w:rPr>
          <w:rFonts w:cstheme="minorHAnsi"/>
        </w:rPr>
        <w:t xml:space="preserve">Reviewing the Performance Management approach is already under consideration and one option being discussed is the removal of hard targets (EV25).  This poses some risk, however Organisations that express a growth mind set encourage risk taking (Dweck, 2016).   Linking performance metrics to strategy has become common best practice but organisations need to be mindful they don’t lose sight of their strategy (Harris &amp; Tayler, 2019).   Performance management can isolate talented employees and taking away hard targets may release creativity to improve performance.  </w:t>
      </w:r>
    </w:p>
    <w:p w:rsidR="00F1188E" w:rsidRDefault="00F1188E" w:rsidP="00F1188E">
      <w:pPr>
        <w:rPr>
          <w:rFonts w:cstheme="minorHAnsi"/>
        </w:rPr>
      </w:pPr>
      <w:r>
        <w:rPr>
          <w:rFonts w:cstheme="minorHAnsi"/>
        </w:rPr>
        <w:t>Feedback from a prior research study I conducted clarified what was important to colleagues (EV27). Teamwork was important; so it would be an interesting approach to pilot a team based target.  Team based approaches empower groups to determine how they will achieve their objectives, promoting engagement (Taylor, 2016).  The Line Manager relationship is really important for engagement; so a strong leader would need to be in place to truly assess the impact of the pilot.  Gallup states that 70% of the variance in team engagement is determined by the Manager alone (Clifton &amp; Harter, 2019).</w:t>
      </w:r>
    </w:p>
    <w:p w:rsidR="00F1188E" w:rsidRDefault="00F1188E" w:rsidP="00F1188E">
      <w:pPr>
        <w:rPr>
          <w:rFonts w:cstheme="minorHAnsi"/>
        </w:rPr>
      </w:pPr>
      <w:r>
        <w:rPr>
          <w:rFonts w:cstheme="minorHAnsi"/>
        </w:rPr>
        <w:t xml:space="preserve">It would also be recommended to separate development and performance discussions.  Google separate the two; intrinsic motivation is essential to growth but a Performance Management system can destroy that motivation.  Where you introduce extrinsic motivators, the ability to learn shuts down (Bock, 2015).  The British Heart Foundation and MacMillan Cancer Support have created a sophisticated graduate programme for young talent so they always have a pipeline of talent for the future (Jacobs, 2017).  A recommendation I made as part of my prior study was to implement a Talent and Development Support Programme (EV28).  Recognition is a powerful form of reward, </w:t>
      </w:r>
      <w:r>
        <w:rPr>
          <w:rFonts w:cstheme="minorHAnsi"/>
        </w:rPr>
        <w:lastRenderedPageBreak/>
        <w:t>encouraging discretionary effort.  Engagement is enhanced if employees are provided with learning opportunities to develop and progress (Armstrong, 2018).</w:t>
      </w:r>
    </w:p>
    <w:p w:rsidR="00F1188E" w:rsidRDefault="00F1188E" w:rsidP="00F1188E">
      <w:pPr>
        <w:rPr>
          <w:rFonts w:cstheme="minorHAnsi"/>
        </w:rPr>
      </w:pPr>
    </w:p>
    <w:p w:rsidR="00F1188E" w:rsidRDefault="00F1188E" w:rsidP="00F1188E">
      <w:pPr>
        <w:rPr>
          <w:rFonts w:cstheme="minorHAnsi"/>
          <w:b/>
        </w:rPr>
      </w:pPr>
      <w:r>
        <w:rPr>
          <w:rFonts w:cstheme="minorHAnsi"/>
          <w:b/>
        </w:rPr>
        <w:t>BIBLIOGRAPHY:</w:t>
      </w:r>
    </w:p>
    <w:p w:rsidR="00F1188E" w:rsidRDefault="00F1188E" w:rsidP="00F1188E">
      <w:pPr>
        <w:rPr>
          <w:rFonts w:cstheme="minorHAnsi"/>
        </w:rPr>
      </w:pPr>
      <w:r>
        <w:rPr>
          <w:rFonts w:cstheme="minorHAnsi"/>
        </w:rPr>
        <w:t xml:space="preserve">ARMSTRONG, M. (2018) </w:t>
      </w:r>
      <w:r>
        <w:rPr>
          <w:rFonts w:cstheme="minorHAnsi"/>
          <w:i/>
        </w:rPr>
        <w:t xml:space="preserve">Armstrong’s Handbook of Performance Management. </w:t>
      </w:r>
      <w:r>
        <w:rPr>
          <w:rFonts w:cstheme="minorHAnsi"/>
        </w:rPr>
        <w:t>6</w:t>
      </w:r>
      <w:r>
        <w:rPr>
          <w:rFonts w:cstheme="minorHAnsi"/>
          <w:vertAlign w:val="superscript"/>
        </w:rPr>
        <w:t>th</w:t>
      </w:r>
      <w:r>
        <w:rPr>
          <w:rFonts w:cstheme="minorHAnsi"/>
        </w:rPr>
        <w:t xml:space="preserve"> edn. London: Kogan Page.</w:t>
      </w:r>
    </w:p>
    <w:p w:rsidR="00F1188E" w:rsidRDefault="00F1188E" w:rsidP="00F1188E">
      <w:r>
        <w:t xml:space="preserve">BOCK, L. (2015) </w:t>
      </w:r>
      <w:r>
        <w:rPr>
          <w:i/>
        </w:rPr>
        <w:t xml:space="preserve">Work Rules! Insights from Google that will transform how you live and lead. </w:t>
      </w:r>
      <w:r>
        <w:t>London: John Murray (Publishers).</w:t>
      </w:r>
    </w:p>
    <w:p w:rsidR="00F1188E" w:rsidRDefault="00F1188E" w:rsidP="00F1188E">
      <w:pPr>
        <w:rPr>
          <w:rFonts w:cstheme="minorHAnsi"/>
        </w:rPr>
      </w:pPr>
      <w:r>
        <w:rPr>
          <w:rFonts w:cstheme="minorHAnsi"/>
        </w:rPr>
        <w:t xml:space="preserve">CIPD (2010) </w:t>
      </w:r>
      <w:r>
        <w:rPr>
          <w:rFonts w:cstheme="minorHAnsi"/>
          <w:i/>
        </w:rPr>
        <w:t xml:space="preserve">360 degree feedback </w:t>
      </w:r>
      <w:r>
        <w:rPr>
          <w:rFonts w:cstheme="minorHAnsi"/>
        </w:rPr>
        <w:t xml:space="preserve">[Online].  Available at: </w:t>
      </w:r>
      <w:hyperlink r:id="rId16" w:history="1">
        <w:r>
          <w:rPr>
            <w:rStyle w:val="Hyperlink"/>
            <w:rFonts w:cstheme="minorHAnsi"/>
          </w:rPr>
          <w:t>https://www.cipd.co.uk/knowledge/fundamentals/people/performance/feedback-factsheet</w:t>
        </w:r>
      </w:hyperlink>
      <w:r>
        <w:rPr>
          <w:rFonts w:cstheme="minorHAnsi"/>
        </w:rPr>
        <w:t xml:space="preserve"> (Accessed: 08 Sept. 2020).</w:t>
      </w:r>
    </w:p>
    <w:p w:rsidR="00F1188E" w:rsidRDefault="00F1188E" w:rsidP="00F1188E">
      <w:pPr>
        <w:rPr>
          <w:rFonts w:cstheme="minorHAnsi"/>
        </w:rPr>
      </w:pPr>
      <w:r>
        <w:rPr>
          <w:rFonts w:cstheme="minorHAnsi"/>
        </w:rPr>
        <w:t xml:space="preserve">CIPD (2020) </w:t>
      </w:r>
      <w:r>
        <w:rPr>
          <w:rFonts w:cstheme="minorHAnsi"/>
          <w:i/>
        </w:rPr>
        <w:t xml:space="preserve">Identifying Learning and Development Needs </w:t>
      </w:r>
      <w:r>
        <w:rPr>
          <w:rFonts w:cstheme="minorHAnsi"/>
        </w:rPr>
        <w:t xml:space="preserve">[Online].  Available at: </w:t>
      </w:r>
      <w:hyperlink r:id="rId17" w:history="1">
        <w:r>
          <w:rPr>
            <w:rStyle w:val="Hyperlink"/>
            <w:rFonts w:cstheme="minorHAnsi"/>
          </w:rPr>
          <w:t>https://www.cipd.co.uk/knowledge/fundamentals/people/development/learning-needs-factsheet</w:t>
        </w:r>
      </w:hyperlink>
      <w:r>
        <w:rPr>
          <w:rFonts w:cstheme="minorHAnsi"/>
        </w:rPr>
        <w:t xml:space="preserve"> (Accessed: 09 Sep. 2020).</w:t>
      </w:r>
    </w:p>
    <w:p w:rsidR="00F1188E" w:rsidRDefault="00F1188E" w:rsidP="00F1188E">
      <w:pPr>
        <w:rPr>
          <w:rFonts w:cstheme="minorHAnsi"/>
        </w:rPr>
      </w:pPr>
      <w:r>
        <w:rPr>
          <w:rFonts w:cstheme="minorHAnsi"/>
        </w:rPr>
        <w:t xml:space="preserve">CIPD (2019) </w:t>
      </w:r>
      <w:r>
        <w:rPr>
          <w:rFonts w:cstheme="minorHAnsi"/>
          <w:i/>
        </w:rPr>
        <w:t xml:space="preserve">Performance Management: An Introduction </w:t>
      </w:r>
      <w:r>
        <w:rPr>
          <w:rFonts w:cstheme="minorHAnsi"/>
        </w:rPr>
        <w:t xml:space="preserve">[Online].  Available at: </w:t>
      </w:r>
      <w:hyperlink r:id="rId18" w:anchor="26127" w:history="1">
        <w:r>
          <w:rPr>
            <w:rStyle w:val="Hyperlink"/>
            <w:rFonts w:cstheme="minorHAnsi"/>
          </w:rPr>
          <w:t>https://www.cipd.co.uk/knowledge/fundamentals/people/performance/factsheet#26127</w:t>
        </w:r>
      </w:hyperlink>
      <w:r>
        <w:rPr>
          <w:rFonts w:cstheme="minorHAnsi"/>
        </w:rPr>
        <w:t xml:space="preserve"> (Accessed: 08 Sep. 2020).</w:t>
      </w:r>
    </w:p>
    <w:p w:rsidR="00F1188E" w:rsidRDefault="00F1188E" w:rsidP="00F1188E">
      <w:pPr>
        <w:rPr>
          <w:rFonts w:cstheme="minorHAnsi"/>
        </w:rPr>
      </w:pPr>
      <w:r>
        <w:rPr>
          <w:rFonts w:cstheme="minorHAnsi"/>
        </w:rPr>
        <w:t xml:space="preserve">CHAMORRO-PREMUZIC, T. &amp; BERSIN, J. (2018) ‘4 Ways to create a learning culture on your team’, </w:t>
      </w:r>
      <w:r>
        <w:rPr>
          <w:rFonts w:cstheme="minorHAnsi"/>
          <w:i/>
        </w:rPr>
        <w:t xml:space="preserve">Harvard Business Review, </w:t>
      </w:r>
      <w:r>
        <w:rPr>
          <w:rFonts w:cstheme="minorHAnsi"/>
        </w:rPr>
        <w:t xml:space="preserve">July 2018.  Available at: </w:t>
      </w:r>
      <w:hyperlink r:id="rId19" w:history="1">
        <w:r>
          <w:rPr>
            <w:rStyle w:val="Hyperlink"/>
            <w:rFonts w:cstheme="minorHAnsi"/>
          </w:rPr>
          <w:t>https://hbr.org/2018/07/4-ways-to-create-a-learning-culture-on-your-team</w:t>
        </w:r>
      </w:hyperlink>
      <w:r>
        <w:rPr>
          <w:rFonts w:cstheme="minorHAnsi"/>
        </w:rPr>
        <w:t xml:space="preserve"> (Accessed: 08 Sep. 2020).</w:t>
      </w:r>
    </w:p>
    <w:p w:rsidR="00F1188E" w:rsidRDefault="00F1188E" w:rsidP="00F1188E">
      <w:pPr>
        <w:rPr>
          <w:i/>
        </w:rPr>
      </w:pPr>
      <w:r>
        <w:t xml:space="preserve">CLIFTON, J. &amp; HARTER, J. (2019) </w:t>
      </w:r>
      <w:r>
        <w:rPr>
          <w:i/>
        </w:rPr>
        <w:t xml:space="preserve">It’s the Manager. </w:t>
      </w:r>
      <w:r>
        <w:t>New York: Gallup Press.</w:t>
      </w:r>
      <w:r>
        <w:rPr>
          <w:i/>
        </w:rPr>
        <w:t xml:space="preserve"> </w:t>
      </w:r>
    </w:p>
    <w:p w:rsidR="00F1188E" w:rsidRDefault="00F1188E" w:rsidP="00F1188E">
      <w:pPr>
        <w:rPr>
          <w:rFonts w:cstheme="minorHAnsi"/>
        </w:rPr>
      </w:pPr>
      <w:r>
        <w:rPr>
          <w:rFonts w:cstheme="minorHAnsi"/>
        </w:rPr>
        <w:t xml:space="preserve">DWECK, C. (2016) ‘What having a “Growth Mindset” actually means’, </w:t>
      </w:r>
      <w:r>
        <w:rPr>
          <w:rFonts w:cstheme="minorHAnsi"/>
          <w:i/>
        </w:rPr>
        <w:t xml:space="preserve">Harvard Business Review, </w:t>
      </w:r>
      <w:r>
        <w:rPr>
          <w:rFonts w:cstheme="minorHAnsi"/>
        </w:rPr>
        <w:t xml:space="preserve">Jan 2016.  Available at: </w:t>
      </w:r>
      <w:hyperlink r:id="rId20" w:history="1">
        <w:r>
          <w:rPr>
            <w:rStyle w:val="Hyperlink"/>
            <w:rFonts w:cstheme="minorHAnsi"/>
          </w:rPr>
          <w:t>https://hbr.org/2016/01/what-having-a-growth-mindset-actually-means</w:t>
        </w:r>
      </w:hyperlink>
      <w:r>
        <w:rPr>
          <w:rFonts w:cstheme="minorHAnsi"/>
        </w:rPr>
        <w:t xml:space="preserve"> (Accessed: 05 Sep. 2020)</w:t>
      </w:r>
    </w:p>
    <w:p w:rsidR="00F1188E" w:rsidRDefault="00F1188E" w:rsidP="00F1188E">
      <w:pPr>
        <w:rPr>
          <w:rFonts w:cstheme="minorHAnsi"/>
        </w:rPr>
      </w:pPr>
      <w:r>
        <w:rPr>
          <w:rFonts w:cstheme="minorHAnsi"/>
        </w:rPr>
        <w:t xml:space="preserve">HARRIS, M. &amp; Tayler, B. (2019) ‘Don’t let metrics undermine your business’, </w:t>
      </w:r>
      <w:r>
        <w:rPr>
          <w:rFonts w:cstheme="minorHAnsi"/>
          <w:i/>
        </w:rPr>
        <w:t xml:space="preserve">Harvard Business Review, </w:t>
      </w:r>
      <w:r>
        <w:rPr>
          <w:rFonts w:cstheme="minorHAnsi"/>
        </w:rPr>
        <w:t xml:space="preserve">Sept-Oct 2019.  Available at: </w:t>
      </w:r>
      <w:hyperlink r:id="rId21" w:history="1">
        <w:r>
          <w:rPr>
            <w:rStyle w:val="Hyperlink"/>
            <w:rFonts w:cstheme="minorHAnsi"/>
          </w:rPr>
          <w:t>https://hbr.org/2019/09/dont-let-metrics-undermine-your-business</w:t>
        </w:r>
      </w:hyperlink>
      <w:r>
        <w:rPr>
          <w:rFonts w:cstheme="minorHAnsi"/>
        </w:rPr>
        <w:t xml:space="preserve"> (Accessed: 08 Sep. 2020).</w:t>
      </w:r>
    </w:p>
    <w:p w:rsidR="00F1188E" w:rsidRDefault="00F1188E" w:rsidP="00F1188E">
      <w:r>
        <w:t xml:space="preserve">HUTCHINSON, S. (2013) </w:t>
      </w:r>
      <w:r>
        <w:rPr>
          <w:i/>
        </w:rPr>
        <w:t xml:space="preserve">Performance Management Theory and Practice. </w:t>
      </w:r>
      <w:r>
        <w:t>London: CIPD.</w:t>
      </w:r>
    </w:p>
    <w:p w:rsidR="00F1188E" w:rsidRDefault="00F1188E" w:rsidP="00F1188E">
      <w:pPr>
        <w:rPr>
          <w:rFonts w:cstheme="minorHAnsi"/>
        </w:rPr>
      </w:pPr>
      <w:r>
        <w:rPr>
          <w:rFonts w:cstheme="minorHAnsi"/>
        </w:rPr>
        <w:t xml:space="preserve">JACOBS, K. (2017) ‘Case Study: Sharing Graduate Recruitment in the Charity Sector’, </w:t>
      </w:r>
      <w:r>
        <w:rPr>
          <w:rFonts w:cstheme="minorHAnsi"/>
          <w:i/>
        </w:rPr>
        <w:t xml:space="preserve">HR Magazine, </w:t>
      </w:r>
      <w:r>
        <w:rPr>
          <w:rFonts w:cstheme="minorHAnsi"/>
        </w:rPr>
        <w:t xml:space="preserve">March 2017.  Available at: </w:t>
      </w:r>
      <w:hyperlink r:id="rId22" w:history="1">
        <w:r>
          <w:rPr>
            <w:rStyle w:val="Hyperlink"/>
            <w:rFonts w:cstheme="minorHAnsi"/>
          </w:rPr>
          <w:t>https://www.hrmagazine.co.uk/article-details/case-study-sharing-graduate-recruitment-in-the-charity-sector</w:t>
        </w:r>
      </w:hyperlink>
      <w:r>
        <w:rPr>
          <w:rFonts w:cstheme="minorHAnsi"/>
        </w:rPr>
        <w:t xml:space="preserve"> (Accessed: 08 Sep. 2020).</w:t>
      </w:r>
    </w:p>
    <w:p w:rsidR="00F1188E" w:rsidRDefault="00F1188E" w:rsidP="00F1188E">
      <w:pPr>
        <w:rPr>
          <w:rFonts w:cstheme="minorHAnsi"/>
        </w:rPr>
      </w:pPr>
      <w:r>
        <w:rPr>
          <w:rFonts w:cstheme="minorHAnsi"/>
        </w:rPr>
        <w:t xml:space="preserve">MAXIMUS (2008) </w:t>
      </w:r>
      <w:r>
        <w:rPr>
          <w:rFonts w:cstheme="minorHAnsi"/>
          <w:i/>
        </w:rPr>
        <w:t xml:space="preserve">Helping People Transform their lives </w:t>
      </w:r>
      <w:r>
        <w:rPr>
          <w:rFonts w:cstheme="minorHAnsi"/>
        </w:rPr>
        <w:t xml:space="preserve">[Online].  Available at: </w:t>
      </w:r>
      <w:hyperlink r:id="rId23" w:history="1">
        <w:r>
          <w:rPr>
            <w:rStyle w:val="Hyperlink"/>
            <w:rFonts w:cstheme="minorHAnsi"/>
          </w:rPr>
          <w:t>https://www.maximusuk.co.uk/</w:t>
        </w:r>
      </w:hyperlink>
      <w:r>
        <w:rPr>
          <w:rFonts w:cstheme="minorHAnsi"/>
        </w:rPr>
        <w:t xml:space="preserve"> (Accessed: 05 September 2020).</w:t>
      </w:r>
    </w:p>
    <w:p w:rsidR="00F1188E" w:rsidRDefault="00F1188E" w:rsidP="00F1188E">
      <w:pPr>
        <w:rPr>
          <w:rFonts w:cstheme="minorHAnsi"/>
        </w:rPr>
      </w:pPr>
      <w:r>
        <w:rPr>
          <w:rFonts w:cstheme="minorHAnsi"/>
        </w:rPr>
        <w:t xml:space="preserve">MAXIMUS (2016) </w:t>
      </w:r>
      <w:r>
        <w:rPr>
          <w:rFonts w:cstheme="minorHAnsi"/>
          <w:i/>
        </w:rPr>
        <w:t xml:space="preserve">Our Values </w:t>
      </w:r>
      <w:r>
        <w:rPr>
          <w:rFonts w:cstheme="minorHAnsi"/>
        </w:rPr>
        <w:t xml:space="preserve">[Online].  Available at: </w:t>
      </w:r>
      <w:hyperlink r:id="rId24" w:history="1">
        <w:r>
          <w:rPr>
            <w:rStyle w:val="Hyperlink"/>
            <w:rFonts w:cstheme="minorHAnsi"/>
          </w:rPr>
          <w:t>https://maximusuk.co.uk/values</w:t>
        </w:r>
      </w:hyperlink>
      <w:r>
        <w:rPr>
          <w:rFonts w:cstheme="minorHAnsi"/>
        </w:rPr>
        <w:t xml:space="preserve"> (Accessed: 05 September 2020)</w:t>
      </w:r>
    </w:p>
    <w:p w:rsidR="00F1188E" w:rsidRDefault="00F1188E" w:rsidP="00F1188E">
      <w:pPr>
        <w:rPr>
          <w:rFonts w:cstheme="minorHAnsi"/>
        </w:rPr>
      </w:pPr>
      <w:r>
        <w:rPr>
          <w:rFonts w:cstheme="minorHAnsi"/>
        </w:rPr>
        <w:lastRenderedPageBreak/>
        <w:t xml:space="preserve">ROBBINS, M. (2019) ‘Why Employees need both recognition and appreciation’, </w:t>
      </w:r>
      <w:r>
        <w:rPr>
          <w:rFonts w:cstheme="minorHAnsi"/>
          <w:i/>
        </w:rPr>
        <w:t xml:space="preserve">Harvard Business Review, </w:t>
      </w:r>
      <w:r>
        <w:rPr>
          <w:rFonts w:cstheme="minorHAnsi"/>
        </w:rPr>
        <w:t xml:space="preserve">Nov 2019.  Available at: </w:t>
      </w:r>
      <w:hyperlink r:id="rId25" w:history="1">
        <w:r>
          <w:rPr>
            <w:rStyle w:val="Hyperlink"/>
            <w:rFonts w:cstheme="minorHAnsi"/>
          </w:rPr>
          <w:t>https://hbr.org/2019/11/why-employees-need-both-recognition-and-appreciation</w:t>
        </w:r>
      </w:hyperlink>
      <w:r>
        <w:rPr>
          <w:rFonts w:cstheme="minorHAnsi"/>
        </w:rPr>
        <w:t xml:space="preserve"> (Accessed: 08 Sept 2020).</w:t>
      </w:r>
    </w:p>
    <w:p w:rsidR="00F1188E" w:rsidRDefault="00F1188E" w:rsidP="00F1188E">
      <w:pPr>
        <w:rPr>
          <w:rFonts w:cstheme="minorHAnsi"/>
        </w:rPr>
      </w:pPr>
      <w:r>
        <w:rPr>
          <w:rFonts w:cstheme="minorHAnsi"/>
        </w:rPr>
        <w:t>TAYLOR, S. (2016) ‘Improving Organisational Performance’, in Taylor, S. &amp; Woodhams, C. (2</w:t>
      </w:r>
      <w:r>
        <w:rPr>
          <w:rFonts w:cstheme="minorHAnsi"/>
          <w:vertAlign w:val="superscript"/>
        </w:rPr>
        <w:t>nd</w:t>
      </w:r>
      <w:r>
        <w:rPr>
          <w:rFonts w:cstheme="minorHAnsi"/>
        </w:rPr>
        <w:t xml:space="preserve"> edn.) </w:t>
      </w:r>
      <w:r>
        <w:rPr>
          <w:rFonts w:cstheme="minorHAnsi"/>
          <w:i/>
        </w:rPr>
        <w:t xml:space="preserve">Human Resource Management: People and Organisations. </w:t>
      </w:r>
      <w:r>
        <w:rPr>
          <w:rFonts w:cstheme="minorHAnsi"/>
        </w:rPr>
        <w:t>Lon</w:t>
      </w:r>
      <w:bookmarkStart w:id="0" w:name="_GoBack"/>
      <w:bookmarkEnd w:id="0"/>
      <w:r>
        <w:rPr>
          <w:rFonts w:cstheme="minorHAnsi"/>
        </w:rPr>
        <w:t>don: CIPD.</w:t>
      </w:r>
    </w:p>
    <w:p w:rsidR="00F1188E" w:rsidRPr="00116CA2" w:rsidRDefault="00F1188E" w:rsidP="00F1188E">
      <w:pPr>
        <w:rPr>
          <w:rFonts w:cs="Arial"/>
        </w:rPr>
      </w:pPr>
      <w:r>
        <w:rPr>
          <w:rFonts w:cstheme="minorHAnsi"/>
        </w:rPr>
        <w:t xml:space="preserve">TAYLOR, S. (2010) </w:t>
      </w:r>
      <w:r>
        <w:rPr>
          <w:rFonts w:cstheme="minorHAnsi"/>
          <w:i/>
        </w:rPr>
        <w:t xml:space="preserve">Resourcing &amp; Talent Planning, </w:t>
      </w:r>
      <w:r>
        <w:rPr>
          <w:rFonts w:cstheme="minorHAnsi"/>
        </w:rPr>
        <w:t>5</w:t>
      </w:r>
      <w:r>
        <w:rPr>
          <w:rFonts w:cstheme="minorHAnsi"/>
          <w:vertAlign w:val="superscript"/>
        </w:rPr>
        <w:t>th</w:t>
      </w:r>
      <w:r>
        <w:rPr>
          <w:rFonts w:cstheme="minorHAnsi"/>
        </w:rPr>
        <w:t xml:space="preserve"> edn. </w:t>
      </w:r>
      <w:r>
        <w:rPr>
          <w:rFonts w:cstheme="minorHAnsi"/>
        </w:rPr>
        <w:t>London</w:t>
      </w:r>
    </w:p>
    <w:sectPr w:rsidR="00F1188E" w:rsidRPr="00116C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57AB0"/>
    <w:multiLevelType w:val="multilevel"/>
    <w:tmpl w:val="214A5E2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FEF5A87"/>
    <w:multiLevelType w:val="hybridMultilevel"/>
    <w:tmpl w:val="79A89AB0"/>
    <w:lvl w:ilvl="0" w:tplc="CF4AFD18">
      <w:start w:val="1"/>
      <w:numFmt w:val="bullet"/>
      <w:lvlText w:val="•"/>
      <w:lvlJc w:val="left"/>
      <w:pPr>
        <w:tabs>
          <w:tab w:val="num" w:pos="720"/>
        </w:tabs>
        <w:ind w:left="720" w:hanging="360"/>
      </w:pPr>
      <w:rPr>
        <w:rFonts w:ascii="Arial" w:hAnsi="Arial" w:hint="default"/>
      </w:rPr>
    </w:lvl>
    <w:lvl w:ilvl="1" w:tplc="15802F24" w:tentative="1">
      <w:start w:val="1"/>
      <w:numFmt w:val="bullet"/>
      <w:lvlText w:val="•"/>
      <w:lvlJc w:val="left"/>
      <w:pPr>
        <w:tabs>
          <w:tab w:val="num" w:pos="1440"/>
        </w:tabs>
        <w:ind w:left="1440" w:hanging="360"/>
      </w:pPr>
      <w:rPr>
        <w:rFonts w:ascii="Arial" w:hAnsi="Arial" w:hint="default"/>
      </w:rPr>
    </w:lvl>
    <w:lvl w:ilvl="2" w:tplc="D5FA7584" w:tentative="1">
      <w:start w:val="1"/>
      <w:numFmt w:val="bullet"/>
      <w:lvlText w:val="•"/>
      <w:lvlJc w:val="left"/>
      <w:pPr>
        <w:tabs>
          <w:tab w:val="num" w:pos="2160"/>
        </w:tabs>
        <w:ind w:left="2160" w:hanging="360"/>
      </w:pPr>
      <w:rPr>
        <w:rFonts w:ascii="Arial" w:hAnsi="Arial" w:hint="default"/>
      </w:rPr>
    </w:lvl>
    <w:lvl w:ilvl="3" w:tplc="ED5093E2" w:tentative="1">
      <w:start w:val="1"/>
      <w:numFmt w:val="bullet"/>
      <w:lvlText w:val="•"/>
      <w:lvlJc w:val="left"/>
      <w:pPr>
        <w:tabs>
          <w:tab w:val="num" w:pos="2880"/>
        </w:tabs>
        <w:ind w:left="2880" w:hanging="360"/>
      </w:pPr>
      <w:rPr>
        <w:rFonts w:ascii="Arial" w:hAnsi="Arial" w:hint="default"/>
      </w:rPr>
    </w:lvl>
    <w:lvl w:ilvl="4" w:tplc="CA080A8A" w:tentative="1">
      <w:start w:val="1"/>
      <w:numFmt w:val="bullet"/>
      <w:lvlText w:val="•"/>
      <w:lvlJc w:val="left"/>
      <w:pPr>
        <w:tabs>
          <w:tab w:val="num" w:pos="3600"/>
        </w:tabs>
        <w:ind w:left="3600" w:hanging="360"/>
      </w:pPr>
      <w:rPr>
        <w:rFonts w:ascii="Arial" w:hAnsi="Arial" w:hint="default"/>
      </w:rPr>
    </w:lvl>
    <w:lvl w:ilvl="5" w:tplc="A4388FD2" w:tentative="1">
      <w:start w:val="1"/>
      <w:numFmt w:val="bullet"/>
      <w:lvlText w:val="•"/>
      <w:lvlJc w:val="left"/>
      <w:pPr>
        <w:tabs>
          <w:tab w:val="num" w:pos="4320"/>
        </w:tabs>
        <w:ind w:left="4320" w:hanging="360"/>
      </w:pPr>
      <w:rPr>
        <w:rFonts w:ascii="Arial" w:hAnsi="Arial" w:hint="default"/>
      </w:rPr>
    </w:lvl>
    <w:lvl w:ilvl="6" w:tplc="054C8C10" w:tentative="1">
      <w:start w:val="1"/>
      <w:numFmt w:val="bullet"/>
      <w:lvlText w:val="•"/>
      <w:lvlJc w:val="left"/>
      <w:pPr>
        <w:tabs>
          <w:tab w:val="num" w:pos="5040"/>
        </w:tabs>
        <w:ind w:left="5040" w:hanging="360"/>
      </w:pPr>
      <w:rPr>
        <w:rFonts w:ascii="Arial" w:hAnsi="Arial" w:hint="default"/>
      </w:rPr>
    </w:lvl>
    <w:lvl w:ilvl="7" w:tplc="B7EC83BE" w:tentative="1">
      <w:start w:val="1"/>
      <w:numFmt w:val="bullet"/>
      <w:lvlText w:val="•"/>
      <w:lvlJc w:val="left"/>
      <w:pPr>
        <w:tabs>
          <w:tab w:val="num" w:pos="5760"/>
        </w:tabs>
        <w:ind w:left="5760" w:hanging="360"/>
      </w:pPr>
      <w:rPr>
        <w:rFonts w:ascii="Arial" w:hAnsi="Arial" w:hint="default"/>
      </w:rPr>
    </w:lvl>
    <w:lvl w:ilvl="8" w:tplc="7F24E752" w:tentative="1">
      <w:start w:val="1"/>
      <w:numFmt w:val="bullet"/>
      <w:lvlText w:val="•"/>
      <w:lvlJc w:val="left"/>
      <w:pPr>
        <w:tabs>
          <w:tab w:val="num" w:pos="6480"/>
        </w:tabs>
        <w:ind w:left="6480" w:hanging="360"/>
      </w:pPr>
      <w:rPr>
        <w:rFonts w:ascii="Arial" w:hAnsi="Arial" w:hint="default"/>
      </w:rPr>
    </w:lvl>
  </w:abstractNum>
  <w:abstractNum w:abstractNumId="2">
    <w:nsid w:val="23052F22"/>
    <w:multiLevelType w:val="hybridMultilevel"/>
    <w:tmpl w:val="AECA29A6"/>
    <w:lvl w:ilvl="0" w:tplc="3B1605EA">
      <w:start w:val="1"/>
      <w:numFmt w:val="bullet"/>
      <w:lvlText w:val="•"/>
      <w:lvlJc w:val="left"/>
      <w:pPr>
        <w:tabs>
          <w:tab w:val="num" w:pos="720"/>
        </w:tabs>
        <w:ind w:left="720" w:hanging="360"/>
      </w:pPr>
      <w:rPr>
        <w:rFonts w:ascii="Arial" w:hAnsi="Arial" w:hint="default"/>
      </w:rPr>
    </w:lvl>
    <w:lvl w:ilvl="1" w:tplc="2FA2C434" w:tentative="1">
      <w:start w:val="1"/>
      <w:numFmt w:val="bullet"/>
      <w:lvlText w:val="•"/>
      <w:lvlJc w:val="left"/>
      <w:pPr>
        <w:tabs>
          <w:tab w:val="num" w:pos="1440"/>
        </w:tabs>
        <w:ind w:left="1440" w:hanging="360"/>
      </w:pPr>
      <w:rPr>
        <w:rFonts w:ascii="Arial" w:hAnsi="Arial" w:hint="default"/>
      </w:rPr>
    </w:lvl>
    <w:lvl w:ilvl="2" w:tplc="7F10F4FA" w:tentative="1">
      <w:start w:val="1"/>
      <w:numFmt w:val="bullet"/>
      <w:lvlText w:val="•"/>
      <w:lvlJc w:val="left"/>
      <w:pPr>
        <w:tabs>
          <w:tab w:val="num" w:pos="2160"/>
        </w:tabs>
        <w:ind w:left="2160" w:hanging="360"/>
      </w:pPr>
      <w:rPr>
        <w:rFonts w:ascii="Arial" w:hAnsi="Arial" w:hint="default"/>
      </w:rPr>
    </w:lvl>
    <w:lvl w:ilvl="3" w:tplc="A614C178" w:tentative="1">
      <w:start w:val="1"/>
      <w:numFmt w:val="bullet"/>
      <w:lvlText w:val="•"/>
      <w:lvlJc w:val="left"/>
      <w:pPr>
        <w:tabs>
          <w:tab w:val="num" w:pos="2880"/>
        </w:tabs>
        <w:ind w:left="2880" w:hanging="360"/>
      </w:pPr>
      <w:rPr>
        <w:rFonts w:ascii="Arial" w:hAnsi="Arial" w:hint="default"/>
      </w:rPr>
    </w:lvl>
    <w:lvl w:ilvl="4" w:tplc="C12EB29A" w:tentative="1">
      <w:start w:val="1"/>
      <w:numFmt w:val="bullet"/>
      <w:lvlText w:val="•"/>
      <w:lvlJc w:val="left"/>
      <w:pPr>
        <w:tabs>
          <w:tab w:val="num" w:pos="3600"/>
        </w:tabs>
        <w:ind w:left="3600" w:hanging="360"/>
      </w:pPr>
      <w:rPr>
        <w:rFonts w:ascii="Arial" w:hAnsi="Arial" w:hint="default"/>
      </w:rPr>
    </w:lvl>
    <w:lvl w:ilvl="5" w:tplc="5330EEC0" w:tentative="1">
      <w:start w:val="1"/>
      <w:numFmt w:val="bullet"/>
      <w:lvlText w:val="•"/>
      <w:lvlJc w:val="left"/>
      <w:pPr>
        <w:tabs>
          <w:tab w:val="num" w:pos="4320"/>
        </w:tabs>
        <w:ind w:left="4320" w:hanging="360"/>
      </w:pPr>
      <w:rPr>
        <w:rFonts w:ascii="Arial" w:hAnsi="Arial" w:hint="default"/>
      </w:rPr>
    </w:lvl>
    <w:lvl w:ilvl="6" w:tplc="CA4414E0" w:tentative="1">
      <w:start w:val="1"/>
      <w:numFmt w:val="bullet"/>
      <w:lvlText w:val="•"/>
      <w:lvlJc w:val="left"/>
      <w:pPr>
        <w:tabs>
          <w:tab w:val="num" w:pos="5040"/>
        </w:tabs>
        <w:ind w:left="5040" w:hanging="360"/>
      </w:pPr>
      <w:rPr>
        <w:rFonts w:ascii="Arial" w:hAnsi="Arial" w:hint="default"/>
      </w:rPr>
    </w:lvl>
    <w:lvl w:ilvl="7" w:tplc="2D1841EA" w:tentative="1">
      <w:start w:val="1"/>
      <w:numFmt w:val="bullet"/>
      <w:lvlText w:val="•"/>
      <w:lvlJc w:val="left"/>
      <w:pPr>
        <w:tabs>
          <w:tab w:val="num" w:pos="5760"/>
        </w:tabs>
        <w:ind w:left="5760" w:hanging="360"/>
      </w:pPr>
      <w:rPr>
        <w:rFonts w:ascii="Arial" w:hAnsi="Arial" w:hint="default"/>
      </w:rPr>
    </w:lvl>
    <w:lvl w:ilvl="8" w:tplc="3FA05E64" w:tentative="1">
      <w:start w:val="1"/>
      <w:numFmt w:val="bullet"/>
      <w:lvlText w:val="•"/>
      <w:lvlJc w:val="left"/>
      <w:pPr>
        <w:tabs>
          <w:tab w:val="num" w:pos="6480"/>
        </w:tabs>
        <w:ind w:left="6480" w:hanging="360"/>
      </w:pPr>
      <w:rPr>
        <w:rFonts w:ascii="Arial" w:hAnsi="Arial" w:hint="default"/>
      </w:rPr>
    </w:lvl>
  </w:abstractNum>
  <w:abstractNum w:abstractNumId="3">
    <w:nsid w:val="2A676550"/>
    <w:multiLevelType w:val="hybridMultilevel"/>
    <w:tmpl w:val="09E28688"/>
    <w:lvl w:ilvl="0" w:tplc="888CC948">
      <w:start w:val="1"/>
      <w:numFmt w:val="bullet"/>
      <w:lvlText w:val="•"/>
      <w:lvlJc w:val="left"/>
      <w:pPr>
        <w:tabs>
          <w:tab w:val="num" w:pos="360"/>
        </w:tabs>
        <w:ind w:left="360" w:hanging="360"/>
      </w:pPr>
      <w:rPr>
        <w:rFonts w:ascii="Arial" w:hAnsi="Arial" w:hint="default"/>
      </w:rPr>
    </w:lvl>
    <w:lvl w:ilvl="1" w:tplc="5C547B98" w:tentative="1">
      <w:start w:val="1"/>
      <w:numFmt w:val="bullet"/>
      <w:lvlText w:val="•"/>
      <w:lvlJc w:val="left"/>
      <w:pPr>
        <w:tabs>
          <w:tab w:val="num" w:pos="1080"/>
        </w:tabs>
        <w:ind w:left="1080" w:hanging="360"/>
      </w:pPr>
      <w:rPr>
        <w:rFonts w:ascii="Arial" w:hAnsi="Arial" w:hint="default"/>
      </w:rPr>
    </w:lvl>
    <w:lvl w:ilvl="2" w:tplc="FA0E79E4" w:tentative="1">
      <w:start w:val="1"/>
      <w:numFmt w:val="bullet"/>
      <w:lvlText w:val="•"/>
      <w:lvlJc w:val="left"/>
      <w:pPr>
        <w:tabs>
          <w:tab w:val="num" w:pos="1800"/>
        </w:tabs>
        <w:ind w:left="1800" w:hanging="360"/>
      </w:pPr>
      <w:rPr>
        <w:rFonts w:ascii="Arial" w:hAnsi="Arial" w:hint="default"/>
      </w:rPr>
    </w:lvl>
    <w:lvl w:ilvl="3" w:tplc="964A2828" w:tentative="1">
      <w:start w:val="1"/>
      <w:numFmt w:val="bullet"/>
      <w:lvlText w:val="•"/>
      <w:lvlJc w:val="left"/>
      <w:pPr>
        <w:tabs>
          <w:tab w:val="num" w:pos="2520"/>
        </w:tabs>
        <w:ind w:left="2520" w:hanging="360"/>
      </w:pPr>
      <w:rPr>
        <w:rFonts w:ascii="Arial" w:hAnsi="Arial" w:hint="default"/>
      </w:rPr>
    </w:lvl>
    <w:lvl w:ilvl="4" w:tplc="D12625EE" w:tentative="1">
      <w:start w:val="1"/>
      <w:numFmt w:val="bullet"/>
      <w:lvlText w:val="•"/>
      <w:lvlJc w:val="left"/>
      <w:pPr>
        <w:tabs>
          <w:tab w:val="num" w:pos="3240"/>
        </w:tabs>
        <w:ind w:left="3240" w:hanging="360"/>
      </w:pPr>
      <w:rPr>
        <w:rFonts w:ascii="Arial" w:hAnsi="Arial" w:hint="default"/>
      </w:rPr>
    </w:lvl>
    <w:lvl w:ilvl="5" w:tplc="7DC8F37A" w:tentative="1">
      <w:start w:val="1"/>
      <w:numFmt w:val="bullet"/>
      <w:lvlText w:val="•"/>
      <w:lvlJc w:val="left"/>
      <w:pPr>
        <w:tabs>
          <w:tab w:val="num" w:pos="3960"/>
        </w:tabs>
        <w:ind w:left="3960" w:hanging="360"/>
      </w:pPr>
      <w:rPr>
        <w:rFonts w:ascii="Arial" w:hAnsi="Arial" w:hint="default"/>
      </w:rPr>
    </w:lvl>
    <w:lvl w:ilvl="6" w:tplc="320EA7E8" w:tentative="1">
      <w:start w:val="1"/>
      <w:numFmt w:val="bullet"/>
      <w:lvlText w:val="•"/>
      <w:lvlJc w:val="left"/>
      <w:pPr>
        <w:tabs>
          <w:tab w:val="num" w:pos="4680"/>
        </w:tabs>
        <w:ind w:left="4680" w:hanging="360"/>
      </w:pPr>
      <w:rPr>
        <w:rFonts w:ascii="Arial" w:hAnsi="Arial" w:hint="default"/>
      </w:rPr>
    </w:lvl>
    <w:lvl w:ilvl="7" w:tplc="0CBE11B4" w:tentative="1">
      <w:start w:val="1"/>
      <w:numFmt w:val="bullet"/>
      <w:lvlText w:val="•"/>
      <w:lvlJc w:val="left"/>
      <w:pPr>
        <w:tabs>
          <w:tab w:val="num" w:pos="5400"/>
        </w:tabs>
        <w:ind w:left="5400" w:hanging="360"/>
      </w:pPr>
      <w:rPr>
        <w:rFonts w:ascii="Arial" w:hAnsi="Arial" w:hint="default"/>
      </w:rPr>
    </w:lvl>
    <w:lvl w:ilvl="8" w:tplc="7CDA1B16" w:tentative="1">
      <w:start w:val="1"/>
      <w:numFmt w:val="bullet"/>
      <w:lvlText w:val="•"/>
      <w:lvlJc w:val="left"/>
      <w:pPr>
        <w:tabs>
          <w:tab w:val="num" w:pos="6120"/>
        </w:tabs>
        <w:ind w:left="6120" w:hanging="360"/>
      </w:pPr>
      <w:rPr>
        <w:rFonts w:ascii="Arial" w:hAnsi="Arial" w:hint="default"/>
      </w:rPr>
    </w:lvl>
  </w:abstractNum>
  <w:abstractNum w:abstractNumId="4">
    <w:nsid w:val="2FE6423E"/>
    <w:multiLevelType w:val="hybridMultilevel"/>
    <w:tmpl w:val="1C5431C6"/>
    <w:lvl w:ilvl="0" w:tplc="D5D62436">
      <w:start w:val="1"/>
      <w:numFmt w:val="bullet"/>
      <w:lvlText w:val="•"/>
      <w:lvlJc w:val="left"/>
      <w:pPr>
        <w:tabs>
          <w:tab w:val="num" w:pos="720"/>
        </w:tabs>
        <w:ind w:left="720" w:hanging="360"/>
      </w:pPr>
      <w:rPr>
        <w:rFonts w:ascii="Arial" w:hAnsi="Arial" w:hint="default"/>
      </w:rPr>
    </w:lvl>
    <w:lvl w:ilvl="1" w:tplc="96F255E4" w:tentative="1">
      <w:start w:val="1"/>
      <w:numFmt w:val="bullet"/>
      <w:lvlText w:val="•"/>
      <w:lvlJc w:val="left"/>
      <w:pPr>
        <w:tabs>
          <w:tab w:val="num" w:pos="1440"/>
        </w:tabs>
        <w:ind w:left="1440" w:hanging="360"/>
      </w:pPr>
      <w:rPr>
        <w:rFonts w:ascii="Arial" w:hAnsi="Arial" w:hint="default"/>
      </w:rPr>
    </w:lvl>
    <w:lvl w:ilvl="2" w:tplc="7EEA4AF6" w:tentative="1">
      <w:start w:val="1"/>
      <w:numFmt w:val="bullet"/>
      <w:lvlText w:val="•"/>
      <w:lvlJc w:val="left"/>
      <w:pPr>
        <w:tabs>
          <w:tab w:val="num" w:pos="2160"/>
        </w:tabs>
        <w:ind w:left="2160" w:hanging="360"/>
      </w:pPr>
      <w:rPr>
        <w:rFonts w:ascii="Arial" w:hAnsi="Arial" w:hint="default"/>
      </w:rPr>
    </w:lvl>
    <w:lvl w:ilvl="3" w:tplc="107A5BE0" w:tentative="1">
      <w:start w:val="1"/>
      <w:numFmt w:val="bullet"/>
      <w:lvlText w:val="•"/>
      <w:lvlJc w:val="left"/>
      <w:pPr>
        <w:tabs>
          <w:tab w:val="num" w:pos="2880"/>
        </w:tabs>
        <w:ind w:left="2880" w:hanging="360"/>
      </w:pPr>
      <w:rPr>
        <w:rFonts w:ascii="Arial" w:hAnsi="Arial" w:hint="default"/>
      </w:rPr>
    </w:lvl>
    <w:lvl w:ilvl="4" w:tplc="003E8AEE" w:tentative="1">
      <w:start w:val="1"/>
      <w:numFmt w:val="bullet"/>
      <w:lvlText w:val="•"/>
      <w:lvlJc w:val="left"/>
      <w:pPr>
        <w:tabs>
          <w:tab w:val="num" w:pos="3600"/>
        </w:tabs>
        <w:ind w:left="3600" w:hanging="360"/>
      </w:pPr>
      <w:rPr>
        <w:rFonts w:ascii="Arial" w:hAnsi="Arial" w:hint="default"/>
      </w:rPr>
    </w:lvl>
    <w:lvl w:ilvl="5" w:tplc="4C3622BC" w:tentative="1">
      <w:start w:val="1"/>
      <w:numFmt w:val="bullet"/>
      <w:lvlText w:val="•"/>
      <w:lvlJc w:val="left"/>
      <w:pPr>
        <w:tabs>
          <w:tab w:val="num" w:pos="4320"/>
        </w:tabs>
        <w:ind w:left="4320" w:hanging="360"/>
      </w:pPr>
      <w:rPr>
        <w:rFonts w:ascii="Arial" w:hAnsi="Arial" w:hint="default"/>
      </w:rPr>
    </w:lvl>
    <w:lvl w:ilvl="6" w:tplc="03A2D2F8" w:tentative="1">
      <w:start w:val="1"/>
      <w:numFmt w:val="bullet"/>
      <w:lvlText w:val="•"/>
      <w:lvlJc w:val="left"/>
      <w:pPr>
        <w:tabs>
          <w:tab w:val="num" w:pos="5040"/>
        </w:tabs>
        <w:ind w:left="5040" w:hanging="360"/>
      </w:pPr>
      <w:rPr>
        <w:rFonts w:ascii="Arial" w:hAnsi="Arial" w:hint="default"/>
      </w:rPr>
    </w:lvl>
    <w:lvl w:ilvl="7" w:tplc="35D0C6A0" w:tentative="1">
      <w:start w:val="1"/>
      <w:numFmt w:val="bullet"/>
      <w:lvlText w:val="•"/>
      <w:lvlJc w:val="left"/>
      <w:pPr>
        <w:tabs>
          <w:tab w:val="num" w:pos="5760"/>
        </w:tabs>
        <w:ind w:left="5760" w:hanging="360"/>
      </w:pPr>
      <w:rPr>
        <w:rFonts w:ascii="Arial" w:hAnsi="Arial" w:hint="default"/>
      </w:rPr>
    </w:lvl>
    <w:lvl w:ilvl="8" w:tplc="9B604B06" w:tentative="1">
      <w:start w:val="1"/>
      <w:numFmt w:val="bullet"/>
      <w:lvlText w:val="•"/>
      <w:lvlJc w:val="left"/>
      <w:pPr>
        <w:tabs>
          <w:tab w:val="num" w:pos="6480"/>
        </w:tabs>
        <w:ind w:left="6480" w:hanging="360"/>
      </w:pPr>
      <w:rPr>
        <w:rFonts w:ascii="Arial" w:hAnsi="Arial" w:hint="default"/>
      </w:rPr>
    </w:lvl>
  </w:abstractNum>
  <w:abstractNum w:abstractNumId="5">
    <w:nsid w:val="3A8123DB"/>
    <w:multiLevelType w:val="hybridMultilevel"/>
    <w:tmpl w:val="5E64B20C"/>
    <w:lvl w:ilvl="0" w:tplc="0632181E">
      <w:start w:val="1"/>
      <w:numFmt w:val="bullet"/>
      <w:lvlText w:val="•"/>
      <w:lvlJc w:val="left"/>
      <w:pPr>
        <w:tabs>
          <w:tab w:val="num" w:pos="720"/>
        </w:tabs>
        <w:ind w:left="720" w:hanging="360"/>
      </w:pPr>
      <w:rPr>
        <w:rFonts w:ascii="Arial" w:hAnsi="Arial" w:hint="default"/>
      </w:rPr>
    </w:lvl>
    <w:lvl w:ilvl="1" w:tplc="7FBCB7B2" w:tentative="1">
      <w:start w:val="1"/>
      <w:numFmt w:val="bullet"/>
      <w:lvlText w:val="•"/>
      <w:lvlJc w:val="left"/>
      <w:pPr>
        <w:tabs>
          <w:tab w:val="num" w:pos="1440"/>
        </w:tabs>
        <w:ind w:left="1440" w:hanging="360"/>
      </w:pPr>
      <w:rPr>
        <w:rFonts w:ascii="Arial" w:hAnsi="Arial" w:hint="default"/>
      </w:rPr>
    </w:lvl>
    <w:lvl w:ilvl="2" w:tplc="AB34540A" w:tentative="1">
      <w:start w:val="1"/>
      <w:numFmt w:val="bullet"/>
      <w:lvlText w:val="•"/>
      <w:lvlJc w:val="left"/>
      <w:pPr>
        <w:tabs>
          <w:tab w:val="num" w:pos="2160"/>
        </w:tabs>
        <w:ind w:left="2160" w:hanging="360"/>
      </w:pPr>
      <w:rPr>
        <w:rFonts w:ascii="Arial" w:hAnsi="Arial" w:hint="default"/>
      </w:rPr>
    </w:lvl>
    <w:lvl w:ilvl="3" w:tplc="90245B6E" w:tentative="1">
      <w:start w:val="1"/>
      <w:numFmt w:val="bullet"/>
      <w:lvlText w:val="•"/>
      <w:lvlJc w:val="left"/>
      <w:pPr>
        <w:tabs>
          <w:tab w:val="num" w:pos="2880"/>
        </w:tabs>
        <w:ind w:left="2880" w:hanging="360"/>
      </w:pPr>
      <w:rPr>
        <w:rFonts w:ascii="Arial" w:hAnsi="Arial" w:hint="default"/>
      </w:rPr>
    </w:lvl>
    <w:lvl w:ilvl="4" w:tplc="13E0E9DE" w:tentative="1">
      <w:start w:val="1"/>
      <w:numFmt w:val="bullet"/>
      <w:lvlText w:val="•"/>
      <w:lvlJc w:val="left"/>
      <w:pPr>
        <w:tabs>
          <w:tab w:val="num" w:pos="3600"/>
        </w:tabs>
        <w:ind w:left="3600" w:hanging="360"/>
      </w:pPr>
      <w:rPr>
        <w:rFonts w:ascii="Arial" w:hAnsi="Arial" w:hint="default"/>
      </w:rPr>
    </w:lvl>
    <w:lvl w:ilvl="5" w:tplc="6AA82176" w:tentative="1">
      <w:start w:val="1"/>
      <w:numFmt w:val="bullet"/>
      <w:lvlText w:val="•"/>
      <w:lvlJc w:val="left"/>
      <w:pPr>
        <w:tabs>
          <w:tab w:val="num" w:pos="4320"/>
        </w:tabs>
        <w:ind w:left="4320" w:hanging="360"/>
      </w:pPr>
      <w:rPr>
        <w:rFonts w:ascii="Arial" w:hAnsi="Arial" w:hint="default"/>
      </w:rPr>
    </w:lvl>
    <w:lvl w:ilvl="6" w:tplc="01A687AE" w:tentative="1">
      <w:start w:val="1"/>
      <w:numFmt w:val="bullet"/>
      <w:lvlText w:val="•"/>
      <w:lvlJc w:val="left"/>
      <w:pPr>
        <w:tabs>
          <w:tab w:val="num" w:pos="5040"/>
        </w:tabs>
        <w:ind w:left="5040" w:hanging="360"/>
      </w:pPr>
      <w:rPr>
        <w:rFonts w:ascii="Arial" w:hAnsi="Arial" w:hint="default"/>
      </w:rPr>
    </w:lvl>
    <w:lvl w:ilvl="7" w:tplc="BD760414" w:tentative="1">
      <w:start w:val="1"/>
      <w:numFmt w:val="bullet"/>
      <w:lvlText w:val="•"/>
      <w:lvlJc w:val="left"/>
      <w:pPr>
        <w:tabs>
          <w:tab w:val="num" w:pos="5760"/>
        </w:tabs>
        <w:ind w:left="5760" w:hanging="360"/>
      </w:pPr>
      <w:rPr>
        <w:rFonts w:ascii="Arial" w:hAnsi="Arial" w:hint="default"/>
      </w:rPr>
    </w:lvl>
    <w:lvl w:ilvl="8" w:tplc="DF6CE8CC" w:tentative="1">
      <w:start w:val="1"/>
      <w:numFmt w:val="bullet"/>
      <w:lvlText w:val="•"/>
      <w:lvlJc w:val="left"/>
      <w:pPr>
        <w:tabs>
          <w:tab w:val="num" w:pos="6480"/>
        </w:tabs>
        <w:ind w:left="6480" w:hanging="360"/>
      </w:pPr>
      <w:rPr>
        <w:rFonts w:ascii="Arial" w:hAnsi="Arial" w:hint="default"/>
      </w:rPr>
    </w:lvl>
  </w:abstractNum>
  <w:abstractNum w:abstractNumId="6">
    <w:nsid w:val="3A8D02FD"/>
    <w:multiLevelType w:val="hybridMultilevel"/>
    <w:tmpl w:val="9B44FA88"/>
    <w:lvl w:ilvl="0" w:tplc="BE264B56">
      <w:start w:val="1"/>
      <w:numFmt w:val="bullet"/>
      <w:lvlText w:val="•"/>
      <w:lvlJc w:val="left"/>
      <w:pPr>
        <w:tabs>
          <w:tab w:val="num" w:pos="720"/>
        </w:tabs>
        <w:ind w:left="720" w:hanging="360"/>
      </w:pPr>
      <w:rPr>
        <w:rFonts w:ascii="Arial" w:hAnsi="Arial" w:hint="default"/>
      </w:rPr>
    </w:lvl>
    <w:lvl w:ilvl="1" w:tplc="71843A82" w:tentative="1">
      <w:start w:val="1"/>
      <w:numFmt w:val="bullet"/>
      <w:lvlText w:val="•"/>
      <w:lvlJc w:val="left"/>
      <w:pPr>
        <w:tabs>
          <w:tab w:val="num" w:pos="1440"/>
        </w:tabs>
        <w:ind w:left="1440" w:hanging="360"/>
      </w:pPr>
      <w:rPr>
        <w:rFonts w:ascii="Arial" w:hAnsi="Arial" w:hint="default"/>
      </w:rPr>
    </w:lvl>
    <w:lvl w:ilvl="2" w:tplc="FDE49E4E" w:tentative="1">
      <w:start w:val="1"/>
      <w:numFmt w:val="bullet"/>
      <w:lvlText w:val="•"/>
      <w:lvlJc w:val="left"/>
      <w:pPr>
        <w:tabs>
          <w:tab w:val="num" w:pos="2160"/>
        </w:tabs>
        <w:ind w:left="2160" w:hanging="360"/>
      </w:pPr>
      <w:rPr>
        <w:rFonts w:ascii="Arial" w:hAnsi="Arial" w:hint="default"/>
      </w:rPr>
    </w:lvl>
    <w:lvl w:ilvl="3" w:tplc="88300A94" w:tentative="1">
      <w:start w:val="1"/>
      <w:numFmt w:val="bullet"/>
      <w:lvlText w:val="•"/>
      <w:lvlJc w:val="left"/>
      <w:pPr>
        <w:tabs>
          <w:tab w:val="num" w:pos="2880"/>
        </w:tabs>
        <w:ind w:left="2880" w:hanging="360"/>
      </w:pPr>
      <w:rPr>
        <w:rFonts w:ascii="Arial" w:hAnsi="Arial" w:hint="default"/>
      </w:rPr>
    </w:lvl>
    <w:lvl w:ilvl="4" w:tplc="35A09CB6" w:tentative="1">
      <w:start w:val="1"/>
      <w:numFmt w:val="bullet"/>
      <w:lvlText w:val="•"/>
      <w:lvlJc w:val="left"/>
      <w:pPr>
        <w:tabs>
          <w:tab w:val="num" w:pos="3600"/>
        </w:tabs>
        <w:ind w:left="3600" w:hanging="360"/>
      </w:pPr>
      <w:rPr>
        <w:rFonts w:ascii="Arial" w:hAnsi="Arial" w:hint="default"/>
      </w:rPr>
    </w:lvl>
    <w:lvl w:ilvl="5" w:tplc="7E8AEFBC" w:tentative="1">
      <w:start w:val="1"/>
      <w:numFmt w:val="bullet"/>
      <w:lvlText w:val="•"/>
      <w:lvlJc w:val="left"/>
      <w:pPr>
        <w:tabs>
          <w:tab w:val="num" w:pos="4320"/>
        </w:tabs>
        <w:ind w:left="4320" w:hanging="360"/>
      </w:pPr>
      <w:rPr>
        <w:rFonts w:ascii="Arial" w:hAnsi="Arial" w:hint="default"/>
      </w:rPr>
    </w:lvl>
    <w:lvl w:ilvl="6" w:tplc="BDBA08D6" w:tentative="1">
      <w:start w:val="1"/>
      <w:numFmt w:val="bullet"/>
      <w:lvlText w:val="•"/>
      <w:lvlJc w:val="left"/>
      <w:pPr>
        <w:tabs>
          <w:tab w:val="num" w:pos="5040"/>
        </w:tabs>
        <w:ind w:left="5040" w:hanging="360"/>
      </w:pPr>
      <w:rPr>
        <w:rFonts w:ascii="Arial" w:hAnsi="Arial" w:hint="default"/>
      </w:rPr>
    </w:lvl>
    <w:lvl w:ilvl="7" w:tplc="48E4BCC6" w:tentative="1">
      <w:start w:val="1"/>
      <w:numFmt w:val="bullet"/>
      <w:lvlText w:val="•"/>
      <w:lvlJc w:val="left"/>
      <w:pPr>
        <w:tabs>
          <w:tab w:val="num" w:pos="5760"/>
        </w:tabs>
        <w:ind w:left="5760" w:hanging="360"/>
      </w:pPr>
      <w:rPr>
        <w:rFonts w:ascii="Arial" w:hAnsi="Arial" w:hint="default"/>
      </w:rPr>
    </w:lvl>
    <w:lvl w:ilvl="8" w:tplc="7D1654EC" w:tentative="1">
      <w:start w:val="1"/>
      <w:numFmt w:val="bullet"/>
      <w:lvlText w:val="•"/>
      <w:lvlJc w:val="left"/>
      <w:pPr>
        <w:tabs>
          <w:tab w:val="num" w:pos="6480"/>
        </w:tabs>
        <w:ind w:left="6480" w:hanging="360"/>
      </w:pPr>
      <w:rPr>
        <w:rFonts w:ascii="Arial" w:hAnsi="Arial" w:hint="default"/>
      </w:rPr>
    </w:lvl>
  </w:abstractNum>
  <w:abstractNum w:abstractNumId="7">
    <w:nsid w:val="3D4E0A40"/>
    <w:multiLevelType w:val="multilevel"/>
    <w:tmpl w:val="C628868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42AC7CEA"/>
    <w:multiLevelType w:val="hybridMultilevel"/>
    <w:tmpl w:val="F2A42A5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51264CD"/>
    <w:multiLevelType w:val="multilevel"/>
    <w:tmpl w:val="D640FB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5D9C6A08"/>
    <w:multiLevelType w:val="hybridMultilevel"/>
    <w:tmpl w:val="06E4C3DC"/>
    <w:lvl w:ilvl="0" w:tplc="7E10CD0E">
      <w:start w:val="1"/>
      <w:numFmt w:val="bullet"/>
      <w:lvlText w:val="•"/>
      <w:lvlJc w:val="left"/>
      <w:pPr>
        <w:tabs>
          <w:tab w:val="num" w:pos="720"/>
        </w:tabs>
        <w:ind w:left="720" w:hanging="360"/>
      </w:pPr>
      <w:rPr>
        <w:rFonts w:ascii="Arial" w:hAnsi="Arial" w:hint="default"/>
      </w:rPr>
    </w:lvl>
    <w:lvl w:ilvl="1" w:tplc="437C41F0" w:tentative="1">
      <w:start w:val="1"/>
      <w:numFmt w:val="bullet"/>
      <w:lvlText w:val="•"/>
      <w:lvlJc w:val="left"/>
      <w:pPr>
        <w:tabs>
          <w:tab w:val="num" w:pos="1440"/>
        </w:tabs>
        <w:ind w:left="1440" w:hanging="360"/>
      </w:pPr>
      <w:rPr>
        <w:rFonts w:ascii="Arial" w:hAnsi="Arial" w:hint="default"/>
      </w:rPr>
    </w:lvl>
    <w:lvl w:ilvl="2" w:tplc="2962193C" w:tentative="1">
      <w:start w:val="1"/>
      <w:numFmt w:val="bullet"/>
      <w:lvlText w:val="•"/>
      <w:lvlJc w:val="left"/>
      <w:pPr>
        <w:tabs>
          <w:tab w:val="num" w:pos="2160"/>
        </w:tabs>
        <w:ind w:left="2160" w:hanging="360"/>
      </w:pPr>
      <w:rPr>
        <w:rFonts w:ascii="Arial" w:hAnsi="Arial" w:hint="default"/>
      </w:rPr>
    </w:lvl>
    <w:lvl w:ilvl="3" w:tplc="84D436D4" w:tentative="1">
      <w:start w:val="1"/>
      <w:numFmt w:val="bullet"/>
      <w:lvlText w:val="•"/>
      <w:lvlJc w:val="left"/>
      <w:pPr>
        <w:tabs>
          <w:tab w:val="num" w:pos="2880"/>
        </w:tabs>
        <w:ind w:left="2880" w:hanging="360"/>
      </w:pPr>
      <w:rPr>
        <w:rFonts w:ascii="Arial" w:hAnsi="Arial" w:hint="default"/>
      </w:rPr>
    </w:lvl>
    <w:lvl w:ilvl="4" w:tplc="B70009AC" w:tentative="1">
      <w:start w:val="1"/>
      <w:numFmt w:val="bullet"/>
      <w:lvlText w:val="•"/>
      <w:lvlJc w:val="left"/>
      <w:pPr>
        <w:tabs>
          <w:tab w:val="num" w:pos="3600"/>
        </w:tabs>
        <w:ind w:left="3600" w:hanging="360"/>
      </w:pPr>
      <w:rPr>
        <w:rFonts w:ascii="Arial" w:hAnsi="Arial" w:hint="default"/>
      </w:rPr>
    </w:lvl>
    <w:lvl w:ilvl="5" w:tplc="8990F00C" w:tentative="1">
      <w:start w:val="1"/>
      <w:numFmt w:val="bullet"/>
      <w:lvlText w:val="•"/>
      <w:lvlJc w:val="left"/>
      <w:pPr>
        <w:tabs>
          <w:tab w:val="num" w:pos="4320"/>
        </w:tabs>
        <w:ind w:left="4320" w:hanging="360"/>
      </w:pPr>
      <w:rPr>
        <w:rFonts w:ascii="Arial" w:hAnsi="Arial" w:hint="default"/>
      </w:rPr>
    </w:lvl>
    <w:lvl w:ilvl="6" w:tplc="BFEEA11A" w:tentative="1">
      <w:start w:val="1"/>
      <w:numFmt w:val="bullet"/>
      <w:lvlText w:val="•"/>
      <w:lvlJc w:val="left"/>
      <w:pPr>
        <w:tabs>
          <w:tab w:val="num" w:pos="5040"/>
        </w:tabs>
        <w:ind w:left="5040" w:hanging="360"/>
      </w:pPr>
      <w:rPr>
        <w:rFonts w:ascii="Arial" w:hAnsi="Arial" w:hint="default"/>
      </w:rPr>
    </w:lvl>
    <w:lvl w:ilvl="7" w:tplc="E0547222" w:tentative="1">
      <w:start w:val="1"/>
      <w:numFmt w:val="bullet"/>
      <w:lvlText w:val="•"/>
      <w:lvlJc w:val="left"/>
      <w:pPr>
        <w:tabs>
          <w:tab w:val="num" w:pos="5760"/>
        </w:tabs>
        <w:ind w:left="5760" w:hanging="360"/>
      </w:pPr>
      <w:rPr>
        <w:rFonts w:ascii="Arial" w:hAnsi="Arial" w:hint="default"/>
      </w:rPr>
    </w:lvl>
    <w:lvl w:ilvl="8" w:tplc="DD348D80"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9"/>
  </w:num>
  <w:num w:numId="3">
    <w:abstractNumId w:val="7"/>
  </w:num>
  <w:num w:numId="4">
    <w:abstractNumId w:val="0"/>
  </w:num>
  <w:num w:numId="5">
    <w:abstractNumId w:val="3"/>
  </w:num>
  <w:num w:numId="6">
    <w:abstractNumId w:val="1"/>
  </w:num>
  <w:num w:numId="7">
    <w:abstractNumId w:val="4"/>
  </w:num>
  <w:num w:numId="8">
    <w:abstractNumId w:val="10"/>
  </w:num>
  <w:num w:numId="9">
    <w:abstractNumId w:val="6"/>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670"/>
    <w:rsid w:val="00010B3E"/>
    <w:rsid w:val="000244E1"/>
    <w:rsid w:val="00046C46"/>
    <w:rsid w:val="00051D1A"/>
    <w:rsid w:val="00070A84"/>
    <w:rsid w:val="00084AA0"/>
    <w:rsid w:val="000A2BB6"/>
    <w:rsid w:val="000C0F5B"/>
    <w:rsid w:val="000C1C50"/>
    <w:rsid w:val="000F7F99"/>
    <w:rsid w:val="00116CA2"/>
    <w:rsid w:val="00121FA7"/>
    <w:rsid w:val="00123307"/>
    <w:rsid w:val="00153558"/>
    <w:rsid w:val="001665F0"/>
    <w:rsid w:val="001824A2"/>
    <w:rsid w:val="00192721"/>
    <w:rsid w:val="001A1852"/>
    <w:rsid w:val="001A2647"/>
    <w:rsid w:val="001B6661"/>
    <w:rsid w:val="0020192E"/>
    <w:rsid w:val="00214D34"/>
    <w:rsid w:val="00247764"/>
    <w:rsid w:val="00254B9A"/>
    <w:rsid w:val="00262866"/>
    <w:rsid w:val="002675BF"/>
    <w:rsid w:val="00267FEE"/>
    <w:rsid w:val="00272E2F"/>
    <w:rsid w:val="0027706B"/>
    <w:rsid w:val="00284B14"/>
    <w:rsid w:val="002C3D99"/>
    <w:rsid w:val="002E65D1"/>
    <w:rsid w:val="002F13A0"/>
    <w:rsid w:val="00307674"/>
    <w:rsid w:val="00311FEE"/>
    <w:rsid w:val="00337064"/>
    <w:rsid w:val="00360E04"/>
    <w:rsid w:val="00363273"/>
    <w:rsid w:val="00363C4D"/>
    <w:rsid w:val="003761EF"/>
    <w:rsid w:val="00382E7B"/>
    <w:rsid w:val="003D6FC3"/>
    <w:rsid w:val="003E4481"/>
    <w:rsid w:val="004021D9"/>
    <w:rsid w:val="00406BF5"/>
    <w:rsid w:val="00414607"/>
    <w:rsid w:val="0045442F"/>
    <w:rsid w:val="00455EB1"/>
    <w:rsid w:val="00456CFB"/>
    <w:rsid w:val="004C0D6C"/>
    <w:rsid w:val="004C3509"/>
    <w:rsid w:val="004F0A02"/>
    <w:rsid w:val="004F4660"/>
    <w:rsid w:val="00500D8A"/>
    <w:rsid w:val="00536169"/>
    <w:rsid w:val="00542FE5"/>
    <w:rsid w:val="00573349"/>
    <w:rsid w:val="00585AFA"/>
    <w:rsid w:val="005A5F2D"/>
    <w:rsid w:val="005D039A"/>
    <w:rsid w:val="005E252D"/>
    <w:rsid w:val="005E76A6"/>
    <w:rsid w:val="005F422B"/>
    <w:rsid w:val="00612670"/>
    <w:rsid w:val="00664151"/>
    <w:rsid w:val="006657DF"/>
    <w:rsid w:val="00671FFA"/>
    <w:rsid w:val="00682EE3"/>
    <w:rsid w:val="00686606"/>
    <w:rsid w:val="006B28E0"/>
    <w:rsid w:val="006B2F56"/>
    <w:rsid w:val="006B47EA"/>
    <w:rsid w:val="006B508C"/>
    <w:rsid w:val="00700877"/>
    <w:rsid w:val="0071357C"/>
    <w:rsid w:val="0073179A"/>
    <w:rsid w:val="00740269"/>
    <w:rsid w:val="00740EAA"/>
    <w:rsid w:val="007834E9"/>
    <w:rsid w:val="007902BA"/>
    <w:rsid w:val="007A6C47"/>
    <w:rsid w:val="00800C68"/>
    <w:rsid w:val="00816B0B"/>
    <w:rsid w:val="008173A0"/>
    <w:rsid w:val="008270B5"/>
    <w:rsid w:val="008354BD"/>
    <w:rsid w:val="008748B9"/>
    <w:rsid w:val="008F716B"/>
    <w:rsid w:val="00900806"/>
    <w:rsid w:val="00905C0C"/>
    <w:rsid w:val="0090651E"/>
    <w:rsid w:val="00917411"/>
    <w:rsid w:val="009275C1"/>
    <w:rsid w:val="009446A9"/>
    <w:rsid w:val="0096120F"/>
    <w:rsid w:val="00963CE7"/>
    <w:rsid w:val="00965621"/>
    <w:rsid w:val="00990D16"/>
    <w:rsid w:val="00996B2B"/>
    <w:rsid w:val="009A1221"/>
    <w:rsid w:val="009A41ED"/>
    <w:rsid w:val="009F668F"/>
    <w:rsid w:val="00A40A17"/>
    <w:rsid w:val="00A46721"/>
    <w:rsid w:val="00A81C1D"/>
    <w:rsid w:val="00AC6DA5"/>
    <w:rsid w:val="00B1634F"/>
    <w:rsid w:val="00B22F25"/>
    <w:rsid w:val="00B25B7A"/>
    <w:rsid w:val="00B42271"/>
    <w:rsid w:val="00B51146"/>
    <w:rsid w:val="00B5353F"/>
    <w:rsid w:val="00B84D84"/>
    <w:rsid w:val="00C21BFB"/>
    <w:rsid w:val="00C364F5"/>
    <w:rsid w:val="00C82B36"/>
    <w:rsid w:val="00C91FF6"/>
    <w:rsid w:val="00CA2C5C"/>
    <w:rsid w:val="00CB0F93"/>
    <w:rsid w:val="00CB115B"/>
    <w:rsid w:val="00CC6C94"/>
    <w:rsid w:val="00CE110D"/>
    <w:rsid w:val="00D13D3C"/>
    <w:rsid w:val="00D160CA"/>
    <w:rsid w:val="00D33A3E"/>
    <w:rsid w:val="00D433E6"/>
    <w:rsid w:val="00D50816"/>
    <w:rsid w:val="00D51012"/>
    <w:rsid w:val="00D54239"/>
    <w:rsid w:val="00DC754A"/>
    <w:rsid w:val="00DF47D8"/>
    <w:rsid w:val="00E1071E"/>
    <w:rsid w:val="00E10A03"/>
    <w:rsid w:val="00E43412"/>
    <w:rsid w:val="00E502FF"/>
    <w:rsid w:val="00E54B97"/>
    <w:rsid w:val="00E55C75"/>
    <w:rsid w:val="00EA029A"/>
    <w:rsid w:val="00F03619"/>
    <w:rsid w:val="00F1188E"/>
    <w:rsid w:val="00F30FD5"/>
    <w:rsid w:val="00F439E6"/>
    <w:rsid w:val="00F52C68"/>
    <w:rsid w:val="00F62718"/>
    <w:rsid w:val="00F66D0A"/>
    <w:rsid w:val="00F73445"/>
    <w:rsid w:val="00FA07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0D16"/>
    <w:rPr>
      <w:color w:val="0000FF"/>
      <w:u w:val="single"/>
    </w:rPr>
  </w:style>
  <w:style w:type="character" w:styleId="FollowedHyperlink">
    <w:name w:val="FollowedHyperlink"/>
    <w:basedOn w:val="DefaultParagraphFont"/>
    <w:uiPriority w:val="99"/>
    <w:semiHidden/>
    <w:unhideWhenUsed/>
    <w:rsid w:val="00740269"/>
    <w:rPr>
      <w:color w:val="800080" w:themeColor="followedHyperlink"/>
      <w:u w:val="single"/>
    </w:rPr>
  </w:style>
  <w:style w:type="paragraph" w:styleId="ListParagraph">
    <w:name w:val="List Paragraph"/>
    <w:basedOn w:val="Normal"/>
    <w:uiPriority w:val="34"/>
    <w:qFormat/>
    <w:rsid w:val="001824A2"/>
    <w:pPr>
      <w:ind w:left="720"/>
      <w:contextualSpacing/>
    </w:pPr>
  </w:style>
  <w:style w:type="paragraph" w:styleId="BalloonText">
    <w:name w:val="Balloon Text"/>
    <w:basedOn w:val="Normal"/>
    <w:link w:val="BalloonTextChar"/>
    <w:uiPriority w:val="99"/>
    <w:semiHidden/>
    <w:unhideWhenUsed/>
    <w:rsid w:val="00051D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1D1A"/>
    <w:rPr>
      <w:rFonts w:ascii="Tahoma" w:hAnsi="Tahoma" w:cs="Tahoma"/>
      <w:sz w:val="16"/>
      <w:szCs w:val="16"/>
    </w:rPr>
  </w:style>
  <w:style w:type="paragraph" w:customStyle="1" w:styleId="Default">
    <w:name w:val="Default"/>
    <w:rsid w:val="00B42271"/>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90D16"/>
    <w:rPr>
      <w:color w:val="0000FF"/>
      <w:u w:val="single"/>
    </w:rPr>
  </w:style>
  <w:style w:type="character" w:styleId="FollowedHyperlink">
    <w:name w:val="FollowedHyperlink"/>
    <w:basedOn w:val="DefaultParagraphFont"/>
    <w:uiPriority w:val="99"/>
    <w:semiHidden/>
    <w:unhideWhenUsed/>
    <w:rsid w:val="00740269"/>
    <w:rPr>
      <w:color w:val="800080" w:themeColor="followedHyperlink"/>
      <w:u w:val="single"/>
    </w:rPr>
  </w:style>
  <w:style w:type="paragraph" w:styleId="ListParagraph">
    <w:name w:val="List Paragraph"/>
    <w:basedOn w:val="Normal"/>
    <w:uiPriority w:val="34"/>
    <w:qFormat/>
    <w:rsid w:val="001824A2"/>
    <w:pPr>
      <w:ind w:left="720"/>
      <w:contextualSpacing/>
    </w:pPr>
  </w:style>
  <w:style w:type="paragraph" w:styleId="BalloonText">
    <w:name w:val="Balloon Text"/>
    <w:basedOn w:val="Normal"/>
    <w:link w:val="BalloonTextChar"/>
    <w:uiPriority w:val="99"/>
    <w:semiHidden/>
    <w:unhideWhenUsed/>
    <w:rsid w:val="00051D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1D1A"/>
    <w:rPr>
      <w:rFonts w:ascii="Tahoma" w:hAnsi="Tahoma" w:cs="Tahoma"/>
      <w:sz w:val="16"/>
      <w:szCs w:val="16"/>
    </w:rPr>
  </w:style>
  <w:style w:type="paragraph" w:customStyle="1" w:styleId="Default">
    <w:name w:val="Default"/>
    <w:rsid w:val="00B4227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746653">
      <w:bodyDiv w:val="1"/>
      <w:marLeft w:val="0"/>
      <w:marRight w:val="0"/>
      <w:marTop w:val="0"/>
      <w:marBottom w:val="0"/>
      <w:divBdr>
        <w:top w:val="none" w:sz="0" w:space="0" w:color="auto"/>
        <w:left w:val="none" w:sz="0" w:space="0" w:color="auto"/>
        <w:bottom w:val="none" w:sz="0" w:space="0" w:color="auto"/>
        <w:right w:val="none" w:sz="0" w:space="0" w:color="auto"/>
      </w:divBdr>
      <w:divsChild>
        <w:div w:id="1484469822">
          <w:marLeft w:val="547"/>
          <w:marRight w:val="0"/>
          <w:marTop w:val="120"/>
          <w:marBottom w:val="0"/>
          <w:divBdr>
            <w:top w:val="none" w:sz="0" w:space="0" w:color="auto"/>
            <w:left w:val="none" w:sz="0" w:space="0" w:color="auto"/>
            <w:bottom w:val="none" w:sz="0" w:space="0" w:color="auto"/>
            <w:right w:val="none" w:sz="0" w:space="0" w:color="auto"/>
          </w:divBdr>
        </w:div>
      </w:divsChild>
    </w:div>
    <w:div w:id="404303879">
      <w:bodyDiv w:val="1"/>
      <w:marLeft w:val="0"/>
      <w:marRight w:val="0"/>
      <w:marTop w:val="0"/>
      <w:marBottom w:val="0"/>
      <w:divBdr>
        <w:top w:val="none" w:sz="0" w:space="0" w:color="auto"/>
        <w:left w:val="none" w:sz="0" w:space="0" w:color="auto"/>
        <w:bottom w:val="none" w:sz="0" w:space="0" w:color="auto"/>
        <w:right w:val="none" w:sz="0" w:space="0" w:color="auto"/>
      </w:divBdr>
      <w:divsChild>
        <w:div w:id="1841263804">
          <w:marLeft w:val="274"/>
          <w:marRight w:val="0"/>
          <w:marTop w:val="0"/>
          <w:marBottom w:val="0"/>
          <w:divBdr>
            <w:top w:val="none" w:sz="0" w:space="0" w:color="auto"/>
            <w:left w:val="none" w:sz="0" w:space="0" w:color="auto"/>
            <w:bottom w:val="none" w:sz="0" w:space="0" w:color="auto"/>
            <w:right w:val="none" w:sz="0" w:space="0" w:color="auto"/>
          </w:divBdr>
        </w:div>
        <w:div w:id="94402872">
          <w:marLeft w:val="274"/>
          <w:marRight w:val="0"/>
          <w:marTop w:val="0"/>
          <w:marBottom w:val="0"/>
          <w:divBdr>
            <w:top w:val="none" w:sz="0" w:space="0" w:color="auto"/>
            <w:left w:val="none" w:sz="0" w:space="0" w:color="auto"/>
            <w:bottom w:val="none" w:sz="0" w:space="0" w:color="auto"/>
            <w:right w:val="none" w:sz="0" w:space="0" w:color="auto"/>
          </w:divBdr>
        </w:div>
      </w:divsChild>
    </w:div>
    <w:div w:id="418798240">
      <w:bodyDiv w:val="1"/>
      <w:marLeft w:val="0"/>
      <w:marRight w:val="0"/>
      <w:marTop w:val="0"/>
      <w:marBottom w:val="0"/>
      <w:divBdr>
        <w:top w:val="none" w:sz="0" w:space="0" w:color="auto"/>
        <w:left w:val="none" w:sz="0" w:space="0" w:color="auto"/>
        <w:bottom w:val="none" w:sz="0" w:space="0" w:color="auto"/>
        <w:right w:val="none" w:sz="0" w:space="0" w:color="auto"/>
      </w:divBdr>
    </w:div>
    <w:div w:id="543711389">
      <w:bodyDiv w:val="1"/>
      <w:marLeft w:val="0"/>
      <w:marRight w:val="0"/>
      <w:marTop w:val="0"/>
      <w:marBottom w:val="0"/>
      <w:divBdr>
        <w:top w:val="none" w:sz="0" w:space="0" w:color="auto"/>
        <w:left w:val="none" w:sz="0" w:space="0" w:color="auto"/>
        <w:bottom w:val="none" w:sz="0" w:space="0" w:color="auto"/>
        <w:right w:val="none" w:sz="0" w:space="0" w:color="auto"/>
      </w:divBdr>
      <w:divsChild>
        <w:div w:id="135416051">
          <w:marLeft w:val="547"/>
          <w:marRight w:val="0"/>
          <w:marTop w:val="120"/>
          <w:marBottom w:val="0"/>
          <w:divBdr>
            <w:top w:val="none" w:sz="0" w:space="0" w:color="auto"/>
            <w:left w:val="none" w:sz="0" w:space="0" w:color="auto"/>
            <w:bottom w:val="none" w:sz="0" w:space="0" w:color="auto"/>
            <w:right w:val="none" w:sz="0" w:space="0" w:color="auto"/>
          </w:divBdr>
        </w:div>
      </w:divsChild>
    </w:div>
    <w:div w:id="741871663">
      <w:bodyDiv w:val="1"/>
      <w:marLeft w:val="0"/>
      <w:marRight w:val="0"/>
      <w:marTop w:val="0"/>
      <w:marBottom w:val="0"/>
      <w:divBdr>
        <w:top w:val="none" w:sz="0" w:space="0" w:color="auto"/>
        <w:left w:val="none" w:sz="0" w:space="0" w:color="auto"/>
        <w:bottom w:val="none" w:sz="0" w:space="0" w:color="auto"/>
        <w:right w:val="none" w:sz="0" w:space="0" w:color="auto"/>
      </w:divBdr>
      <w:divsChild>
        <w:div w:id="1316640615">
          <w:marLeft w:val="547"/>
          <w:marRight w:val="0"/>
          <w:marTop w:val="120"/>
          <w:marBottom w:val="0"/>
          <w:divBdr>
            <w:top w:val="none" w:sz="0" w:space="0" w:color="auto"/>
            <w:left w:val="none" w:sz="0" w:space="0" w:color="auto"/>
            <w:bottom w:val="none" w:sz="0" w:space="0" w:color="auto"/>
            <w:right w:val="none" w:sz="0" w:space="0" w:color="auto"/>
          </w:divBdr>
        </w:div>
        <w:div w:id="967396125">
          <w:marLeft w:val="547"/>
          <w:marRight w:val="0"/>
          <w:marTop w:val="120"/>
          <w:marBottom w:val="0"/>
          <w:divBdr>
            <w:top w:val="none" w:sz="0" w:space="0" w:color="auto"/>
            <w:left w:val="none" w:sz="0" w:space="0" w:color="auto"/>
            <w:bottom w:val="none" w:sz="0" w:space="0" w:color="auto"/>
            <w:right w:val="none" w:sz="0" w:space="0" w:color="auto"/>
          </w:divBdr>
        </w:div>
      </w:divsChild>
    </w:div>
    <w:div w:id="1231383068">
      <w:bodyDiv w:val="1"/>
      <w:marLeft w:val="0"/>
      <w:marRight w:val="0"/>
      <w:marTop w:val="0"/>
      <w:marBottom w:val="0"/>
      <w:divBdr>
        <w:top w:val="none" w:sz="0" w:space="0" w:color="auto"/>
        <w:left w:val="none" w:sz="0" w:space="0" w:color="auto"/>
        <w:bottom w:val="none" w:sz="0" w:space="0" w:color="auto"/>
        <w:right w:val="none" w:sz="0" w:space="0" w:color="auto"/>
      </w:divBdr>
      <w:divsChild>
        <w:div w:id="518541843">
          <w:marLeft w:val="274"/>
          <w:marRight w:val="0"/>
          <w:marTop w:val="0"/>
          <w:marBottom w:val="0"/>
          <w:divBdr>
            <w:top w:val="none" w:sz="0" w:space="0" w:color="auto"/>
            <w:left w:val="none" w:sz="0" w:space="0" w:color="auto"/>
            <w:bottom w:val="none" w:sz="0" w:space="0" w:color="auto"/>
            <w:right w:val="none" w:sz="0" w:space="0" w:color="auto"/>
          </w:divBdr>
        </w:div>
      </w:divsChild>
    </w:div>
    <w:div w:id="1796022144">
      <w:bodyDiv w:val="1"/>
      <w:marLeft w:val="0"/>
      <w:marRight w:val="0"/>
      <w:marTop w:val="0"/>
      <w:marBottom w:val="0"/>
      <w:divBdr>
        <w:top w:val="none" w:sz="0" w:space="0" w:color="auto"/>
        <w:left w:val="none" w:sz="0" w:space="0" w:color="auto"/>
        <w:bottom w:val="none" w:sz="0" w:space="0" w:color="auto"/>
        <w:right w:val="none" w:sz="0" w:space="0" w:color="auto"/>
      </w:divBdr>
    </w:div>
    <w:div w:id="1842698624">
      <w:bodyDiv w:val="1"/>
      <w:marLeft w:val="0"/>
      <w:marRight w:val="0"/>
      <w:marTop w:val="0"/>
      <w:marBottom w:val="0"/>
      <w:divBdr>
        <w:top w:val="none" w:sz="0" w:space="0" w:color="auto"/>
        <w:left w:val="none" w:sz="0" w:space="0" w:color="auto"/>
        <w:bottom w:val="none" w:sz="0" w:space="0" w:color="auto"/>
        <w:right w:val="none" w:sz="0" w:space="0" w:color="auto"/>
      </w:divBdr>
      <w:divsChild>
        <w:div w:id="1814906694">
          <w:marLeft w:val="547"/>
          <w:marRight w:val="0"/>
          <w:marTop w:val="120"/>
          <w:marBottom w:val="0"/>
          <w:divBdr>
            <w:top w:val="none" w:sz="0" w:space="0" w:color="auto"/>
            <w:left w:val="none" w:sz="0" w:space="0" w:color="auto"/>
            <w:bottom w:val="none" w:sz="0" w:space="0" w:color="auto"/>
            <w:right w:val="none" w:sz="0" w:space="0" w:color="auto"/>
          </w:divBdr>
        </w:div>
      </w:divsChild>
    </w:div>
    <w:div w:id="1915116430">
      <w:bodyDiv w:val="1"/>
      <w:marLeft w:val="0"/>
      <w:marRight w:val="0"/>
      <w:marTop w:val="0"/>
      <w:marBottom w:val="0"/>
      <w:divBdr>
        <w:top w:val="none" w:sz="0" w:space="0" w:color="auto"/>
        <w:left w:val="none" w:sz="0" w:space="0" w:color="auto"/>
        <w:bottom w:val="none" w:sz="0" w:space="0" w:color="auto"/>
        <w:right w:val="none" w:sz="0" w:space="0" w:color="auto"/>
      </w:divBdr>
      <w:divsChild>
        <w:div w:id="1226598792">
          <w:marLeft w:val="274"/>
          <w:marRight w:val="0"/>
          <w:marTop w:val="0"/>
          <w:marBottom w:val="0"/>
          <w:divBdr>
            <w:top w:val="none" w:sz="0" w:space="0" w:color="auto"/>
            <w:left w:val="none" w:sz="0" w:space="0" w:color="auto"/>
            <w:bottom w:val="none" w:sz="0" w:space="0" w:color="auto"/>
            <w:right w:val="none" w:sz="0" w:space="0" w:color="auto"/>
          </w:divBdr>
        </w:div>
        <w:div w:id="1394935131">
          <w:marLeft w:val="274"/>
          <w:marRight w:val="0"/>
          <w:marTop w:val="0"/>
          <w:marBottom w:val="0"/>
          <w:divBdr>
            <w:top w:val="none" w:sz="0" w:space="0" w:color="auto"/>
            <w:left w:val="none" w:sz="0" w:space="0" w:color="auto"/>
            <w:bottom w:val="none" w:sz="0" w:space="0" w:color="auto"/>
            <w:right w:val="none" w:sz="0" w:space="0" w:color="auto"/>
          </w:divBdr>
        </w:div>
      </w:divsChild>
    </w:div>
    <w:div w:id="1973292979">
      <w:bodyDiv w:val="1"/>
      <w:marLeft w:val="0"/>
      <w:marRight w:val="0"/>
      <w:marTop w:val="0"/>
      <w:marBottom w:val="0"/>
      <w:divBdr>
        <w:top w:val="none" w:sz="0" w:space="0" w:color="auto"/>
        <w:left w:val="none" w:sz="0" w:space="0" w:color="auto"/>
        <w:bottom w:val="none" w:sz="0" w:space="0" w:color="auto"/>
        <w:right w:val="none" w:sz="0" w:space="0" w:color="auto"/>
      </w:divBdr>
    </w:div>
    <w:div w:id="1984309184">
      <w:bodyDiv w:val="1"/>
      <w:marLeft w:val="0"/>
      <w:marRight w:val="0"/>
      <w:marTop w:val="0"/>
      <w:marBottom w:val="0"/>
      <w:divBdr>
        <w:top w:val="none" w:sz="0" w:space="0" w:color="auto"/>
        <w:left w:val="none" w:sz="0" w:space="0" w:color="auto"/>
        <w:bottom w:val="none" w:sz="0" w:space="0" w:color="auto"/>
        <w:right w:val="none" w:sz="0" w:space="0" w:color="auto"/>
      </w:divBdr>
    </w:div>
    <w:div w:id="2133133846">
      <w:bodyDiv w:val="1"/>
      <w:marLeft w:val="0"/>
      <w:marRight w:val="0"/>
      <w:marTop w:val="0"/>
      <w:marBottom w:val="0"/>
      <w:divBdr>
        <w:top w:val="none" w:sz="0" w:space="0" w:color="auto"/>
        <w:left w:val="none" w:sz="0" w:space="0" w:color="auto"/>
        <w:bottom w:val="none" w:sz="0" w:space="0" w:color="auto"/>
        <w:right w:val="none" w:sz="0" w:space="0" w:color="auto"/>
      </w:divBdr>
      <w:divsChild>
        <w:div w:id="284896933">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emp-law/data-protection/factsheet" TargetMode="External"/><Relationship Id="rId13" Type="http://schemas.openxmlformats.org/officeDocument/2006/relationships/hyperlink" Target="https://www.cipd.co.uk/knowledge/fundamentals/people/performance/factsheet" TargetMode="External"/><Relationship Id="rId18" Type="http://schemas.openxmlformats.org/officeDocument/2006/relationships/hyperlink" Target="https://www.cipd.co.uk/knowledge/fundamentals/people/performance/factsheet"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hbr.org/2019/09/dont-let-metrics-undermine-your-business" TargetMode="External"/><Relationship Id="rId7" Type="http://schemas.openxmlformats.org/officeDocument/2006/relationships/hyperlink" Target="https://www.acas.org.uk/acas-code-of-practice-for-disciplinary-and-grievance-procedures/html" TargetMode="External"/><Relationship Id="rId12" Type="http://schemas.openxmlformats.org/officeDocument/2006/relationships/hyperlink" Target="https://www.cipd.co.uk/knowledge/fundamentals/people/recruitment/induction-factsheet" TargetMode="External"/><Relationship Id="rId17" Type="http://schemas.openxmlformats.org/officeDocument/2006/relationships/hyperlink" Target="https://www.cipd.co.uk/knowledge/fundamentals/people/development/learning-needs-factsheet" TargetMode="External"/><Relationship Id="rId25" Type="http://schemas.openxmlformats.org/officeDocument/2006/relationships/hyperlink" Target="https://hbr.org/2019/11/why-employees-need-both-recognition-and-appreciation" TargetMode="External"/><Relationship Id="rId2" Type="http://schemas.openxmlformats.org/officeDocument/2006/relationships/styles" Target="styles.xml"/><Relationship Id="rId16" Type="http://schemas.openxmlformats.org/officeDocument/2006/relationships/hyperlink" Target="https://www.cipd.co.uk/knowledge/fundamentals/people/performance/feedback-factsheet" TargetMode="External"/><Relationship Id="rId20" Type="http://schemas.openxmlformats.org/officeDocument/2006/relationships/hyperlink" Target="https://hbr.org/2016/01/what-having-a-growth-mindset-actually-means" TargetMode="External"/><Relationship Id="rId1" Type="http://schemas.openxmlformats.org/officeDocument/2006/relationships/numbering" Target="numbering.xml"/><Relationship Id="rId6" Type="http://schemas.openxmlformats.org/officeDocument/2006/relationships/hyperlink" Target="https://www.acas.org.uk/codes-of-practice" TargetMode="External"/><Relationship Id="rId11" Type="http://schemas.openxmlformats.org/officeDocument/2006/relationships/hyperlink" Target="https://www.cipd.co.uk/knowledge/fundamentals/people/development/coaching-mentoring-factsheet" TargetMode="External"/><Relationship Id="rId24" Type="http://schemas.openxmlformats.org/officeDocument/2006/relationships/hyperlink" Target="https://maximusuk.co.uk/values" TargetMode="External"/><Relationship Id="rId5" Type="http://schemas.openxmlformats.org/officeDocument/2006/relationships/webSettings" Target="webSettings.xml"/><Relationship Id="rId15" Type="http://schemas.openxmlformats.org/officeDocument/2006/relationships/hyperlink" Target="https://hbr.org/2014/06/how-to-help-an-underperformer" TargetMode="External"/><Relationship Id="rId23" Type="http://schemas.openxmlformats.org/officeDocument/2006/relationships/hyperlink" Target="https://www.maximusuk.co.uk/" TargetMode="External"/><Relationship Id="rId10" Type="http://schemas.openxmlformats.org/officeDocument/2006/relationships/hyperlink" Target="https://www.gov.uk/guidance/equality-act-2010-guidance" TargetMode="External"/><Relationship Id="rId19" Type="http://schemas.openxmlformats.org/officeDocument/2006/relationships/hyperlink" Target="https://hbr.org/2018/07/4-ways-to-create-a-learning-culture-on-your-team" TargetMode="External"/><Relationship Id="rId4" Type="http://schemas.openxmlformats.org/officeDocument/2006/relationships/settings" Target="settings.xml"/><Relationship Id="rId9" Type="http://schemas.openxmlformats.org/officeDocument/2006/relationships/hyperlink" Target="https://www.cipd.co.uk/knowledge/fundamentals/people/recruitment/induction-factsheet" TargetMode="External"/><Relationship Id="rId14" Type="http://schemas.openxmlformats.org/officeDocument/2006/relationships/hyperlink" Target="https://www.cipd.co.uk/knowledge/culture/well-being/factsheet" TargetMode="External"/><Relationship Id="rId22" Type="http://schemas.openxmlformats.org/officeDocument/2006/relationships/hyperlink" Target="https://www.hrmagazine.co.uk/article-details/case-study-sharing-graduate-recruitment-in-the-charity-secto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10</Pages>
  <Words>4185</Words>
  <Characters>23857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O'Kelly</dc:creator>
  <cp:lastModifiedBy>Sophie O'Kelly</cp:lastModifiedBy>
  <cp:revision>2</cp:revision>
  <dcterms:created xsi:type="dcterms:W3CDTF">2020-09-10T11:09:00Z</dcterms:created>
  <dcterms:modified xsi:type="dcterms:W3CDTF">2020-09-10T11:09:00Z</dcterms:modified>
</cp:coreProperties>
</file>