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Photo"/>
      </w:pPr>
      <w:r>
        <w:rPr>
          <w:outline w:val="0"/>
          <w:color w:val="000000"/>
          <w:u w:color="000000"/>
          <w14:textFill>
            <w14:solidFill>
              <w14:srgbClr w14:val="000000"/>
            </w14:solidFill>
          </w14:textFill>
        </w:rPr>
        <w:drawing xmlns:a="http://schemas.openxmlformats.org/drawingml/2006/main">
          <wp:inline distT="0" distB="0" distL="0" distR="0">
            <wp:extent cx="3657600" cy="5486400"/>
            <wp:effectExtent l="0" t="0" r="0" b="0"/>
            <wp:docPr id="1073741825" name="officeArt object" descr="Bright blue glacial lake surrounded by white ice on a dark mountain"/>
            <wp:cNvGraphicFramePr/>
            <a:graphic xmlns:a="http://schemas.openxmlformats.org/drawingml/2006/main">
              <a:graphicData uri="http://schemas.openxmlformats.org/drawingml/2006/picture">
                <pic:pic xmlns:pic="http://schemas.openxmlformats.org/drawingml/2006/picture">
                  <pic:nvPicPr>
                    <pic:cNvPr id="1073741825" name="Bright blue glacial lake surrounded by white ice on a dark mountain" descr="Bright blue glacial lake surrounded by white ice on a dark mountain"/>
                    <pic:cNvPicPr>
                      <a:picLocks noChangeAspect="1"/>
                    </pic:cNvPicPr>
                  </pic:nvPicPr>
                  <pic:blipFill>
                    <a:blip r:embed="rId4">
                      <a:extLst/>
                    </a:blip>
                    <a:stretch>
                      <a:fillRect/>
                    </a:stretch>
                  </pic:blipFill>
                  <pic:spPr>
                    <a:xfrm>
                      <a:off x="0" y="0"/>
                      <a:ext cx="3657600" cy="5486400"/>
                    </a:xfrm>
                    <a:prstGeom prst="rect">
                      <a:avLst/>
                    </a:prstGeom>
                    <a:ln w="12700" cap="flat">
                      <a:noFill/>
                      <a:miter lim="400000"/>
                    </a:ln>
                    <a:effectLst/>
                  </pic:spPr>
                </pic:pic>
              </a:graphicData>
            </a:graphic>
          </wp:inline>
        </w:drawing>
      </w:r>
    </w:p>
    <w:p>
      <w:pPr>
        <w:pStyle w:val="Title"/>
        <w:rPr>
          <w:rFonts w:ascii="Arial" w:cs="Arial" w:hAnsi="Arial" w:eastAsia="Arial"/>
          <w:sz w:val="28"/>
          <w:szCs w:val="28"/>
        </w:rPr>
      </w:pPr>
      <w:r>
        <w:rPr>
          <w:rFonts w:ascii="Arial" w:hAnsi="Arial"/>
          <w:sz w:val="28"/>
          <w:szCs w:val="28"/>
          <w:rtl w:val="0"/>
          <w:lang w:val="en-US"/>
        </w:rPr>
        <w:t>Employment Relations</w:t>
      </w:r>
    </w:p>
    <w:p>
      <w:pPr>
        <w:pStyle w:val="Subtitle"/>
        <w:rPr>
          <w:rFonts w:ascii="Arial" w:cs="Arial" w:hAnsi="Arial" w:eastAsia="Arial"/>
          <w:b w:val="1"/>
          <w:bCs w:val="1"/>
          <w:sz w:val="24"/>
          <w:szCs w:val="24"/>
        </w:rPr>
      </w:pPr>
      <w:r>
        <w:rPr>
          <w:rFonts w:ascii="Arial" w:hAnsi="Arial"/>
          <w:b w:val="1"/>
          <w:bCs w:val="1"/>
          <w:sz w:val="24"/>
          <w:szCs w:val="24"/>
          <w:rtl w:val="0"/>
          <w:lang w:val="en-US"/>
        </w:rPr>
        <w:t>The IMPACT OF COVId-19</w:t>
      </w:r>
    </w:p>
    <w:p>
      <w:pPr>
        <w:pStyle w:val="Contact Info"/>
      </w:pPr>
      <w:r>
        <w:rPr>
          <w:rFonts w:ascii="Arial" w:hAnsi="Arial"/>
          <w:sz w:val="24"/>
          <w:szCs w:val="24"/>
          <w:rtl w:val="0"/>
          <w:lang w:val="en-US"/>
        </w:rPr>
        <w:t>Sian Cooper | 4,657 excluding tables | 8/1/2021</w:t>
      </w:r>
      <w:r>
        <w:br w:type="page"/>
      </w:r>
    </w:p>
    <w:p>
      <w:pPr>
        <w:pStyle w:val="Body A"/>
        <w:rPr>
          <w:rFonts w:ascii="Arial" w:cs="Arial" w:hAnsi="Arial" w:eastAsia="Arial"/>
          <w:b w:val="1"/>
          <w:bCs w:val="1"/>
          <w:sz w:val="28"/>
          <w:szCs w:val="28"/>
        </w:rPr>
      </w:pPr>
      <w:r>
        <w:rPr>
          <w:rFonts w:ascii="Arial" w:hAnsi="Arial"/>
          <w:b w:val="1"/>
          <w:bCs w:val="1"/>
          <w:sz w:val="28"/>
          <w:szCs w:val="28"/>
          <w:rtl w:val="0"/>
          <w:lang w:val="en-US"/>
        </w:rPr>
        <w:t>Executive Summary</w:t>
      </w:r>
    </w:p>
    <w:p>
      <w:pPr>
        <w:pStyle w:val="Body A"/>
        <w:rPr>
          <w:rFonts w:ascii="Arial" w:cs="Arial" w:hAnsi="Arial" w:eastAsia="Arial"/>
          <w:sz w:val="24"/>
          <w:szCs w:val="24"/>
        </w:rPr>
      </w:pPr>
      <w:r>
        <w:rPr>
          <w:rFonts w:ascii="Arial" w:hAnsi="Arial"/>
          <w:sz w:val="24"/>
          <w:szCs w:val="24"/>
          <w:rtl w:val="0"/>
          <w:lang w:val="en-US"/>
        </w:rPr>
        <w:t>The following report outlines the impact of the global pandemic COVID-19 on the Employment Relations climate within DWP and other organisations.</w:t>
      </w:r>
    </w:p>
    <w:p>
      <w:pPr>
        <w:pStyle w:val="Body A"/>
        <w:rPr>
          <w:rFonts w:ascii="Arial" w:cs="Arial" w:hAnsi="Arial" w:eastAsia="Arial"/>
          <w:sz w:val="24"/>
          <w:szCs w:val="24"/>
        </w:rPr>
      </w:pPr>
      <w:r>
        <w:rPr>
          <w:rFonts w:ascii="Arial" w:hAnsi="Arial"/>
          <w:sz w:val="24"/>
          <w:szCs w:val="24"/>
          <w:rtl w:val="0"/>
          <w:lang w:val="en-US"/>
        </w:rPr>
        <w:t xml:space="preserve">DWP is the largest government employer with over 86,000 employees. DWP administers the welfare reform system to the UK, including benefits to working-age and retirement age citizens.  </w:t>
      </w:r>
    </w:p>
    <w:p>
      <w:pPr>
        <w:pStyle w:val="Body A"/>
        <w:rPr>
          <w:rFonts w:ascii="Arial" w:cs="Arial" w:hAnsi="Arial" w:eastAsia="Arial"/>
          <w:sz w:val="24"/>
          <w:szCs w:val="24"/>
        </w:rPr>
      </w:pPr>
      <w:r>
        <w:rPr>
          <w:rFonts w:ascii="Arial" w:hAnsi="Arial"/>
          <w:sz w:val="24"/>
          <w:szCs w:val="24"/>
          <w:rtl w:val="0"/>
          <w:lang w:val="en-US"/>
        </w:rPr>
        <w:t>This report examines the impact of COVID-19 on Employment Relations, specifically relating to external factors such as social, technological and political.</w:t>
      </w:r>
    </w:p>
    <w:p>
      <w:pPr>
        <w:pStyle w:val="Body A"/>
        <w:rPr>
          <w:rFonts w:ascii="Arial" w:cs="Arial" w:hAnsi="Arial" w:eastAsia="Arial"/>
          <w:sz w:val="24"/>
          <w:szCs w:val="24"/>
        </w:rPr>
      </w:pPr>
      <w:r>
        <w:rPr>
          <w:rFonts w:ascii="Arial" w:hAnsi="Arial"/>
          <w:sz w:val="24"/>
          <w:szCs w:val="24"/>
          <w:rtl w:val="0"/>
          <w:lang w:val="en-US"/>
        </w:rPr>
        <w:t>It also critiques the role that leaders play in managing the ER climate, and the relevance of their leadership abilities and skills such as emotional intelligence, in managing DWP</w:t>
      </w:r>
      <w:r>
        <w:rPr>
          <w:rFonts w:ascii="Arial" w:hAnsi="Arial" w:hint="default"/>
          <w:sz w:val="24"/>
          <w:szCs w:val="24"/>
          <w:rtl w:val="0"/>
          <w:lang w:val="en-US"/>
        </w:rPr>
        <w:t>’</w:t>
      </w:r>
      <w:r>
        <w:rPr>
          <w:rFonts w:ascii="Arial" w:hAnsi="Arial"/>
          <w:sz w:val="24"/>
          <w:szCs w:val="24"/>
          <w:rtl w:val="0"/>
          <w:lang w:val="en-US"/>
        </w:rPr>
        <w:t>s relations.</w:t>
      </w:r>
    </w:p>
    <w:p>
      <w:pPr>
        <w:pStyle w:val="Body A"/>
        <w:rPr>
          <w:rFonts w:ascii="Arial" w:cs="Arial" w:hAnsi="Arial" w:eastAsia="Arial"/>
          <w:sz w:val="24"/>
          <w:szCs w:val="24"/>
        </w:rPr>
      </w:pPr>
      <w:r>
        <w:rPr>
          <w:rFonts w:ascii="Arial" w:hAnsi="Arial"/>
          <w:sz w:val="24"/>
          <w:szCs w:val="24"/>
          <w:rtl w:val="0"/>
          <w:lang w:val="en-US"/>
        </w:rPr>
        <w:t>This paper analyses the role that health and wellbeing play in achieving an effective employment relationship between Leader and Colleague.</w:t>
      </w:r>
    </w:p>
    <w:p>
      <w:pPr>
        <w:pStyle w:val="Body A"/>
        <w:rPr>
          <w:rFonts w:ascii="Arial" w:cs="Arial" w:hAnsi="Arial" w:eastAsia="Arial"/>
          <w:sz w:val="24"/>
          <w:szCs w:val="24"/>
        </w:rPr>
      </w:pPr>
      <w:r>
        <w:rPr>
          <w:rFonts w:ascii="Arial" w:hAnsi="Arial"/>
          <w:sz w:val="24"/>
          <w:szCs w:val="24"/>
          <w:rtl w:val="0"/>
          <w:lang w:val="en-US"/>
        </w:rPr>
        <w:t>Recommendations are made to improve the Employment Relations climate by prioritising the health and wellbeing of colleagues through the crisis and using technology advancements to promote, establish and maintain a robust ER relationship.</w:t>
      </w:r>
    </w:p>
    <w:p>
      <w:pPr>
        <w:pStyle w:val="Body A"/>
        <w:rPr>
          <w:rFonts w:ascii="Arial" w:cs="Arial" w:hAnsi="Arial" w:eastAsia="Arial"/>
          <w:sz w:val="24"/>
          <w:szCs w:val="24"/>
        </w:rPr>
      </w:pPr>
      <w:r>
        <w:rPr>
          <w:rFonts w:ascii="Arial" w:hAnsi="Arial"/>
          <w:sz w:val="24"/>
          <w:szCs w:val="24"/>
          <w:rtl w:val="0"/>
          <w:lang w:val="en-US"/>
        </w:rPr>
        <w:t>Furthermore, the recommendations will suggest placing concentration on ensuring leaders are equipped with the skills such as emotional intelligence, to help them place their people at the heart of everything they do and subsequently strengthen the ER climate in DWP.</w:t>
      </w:r>
    </w:p>
    <w:p>
      <w:pPr>
        <w:pStyle w:val="Body A"/>
      </w:pPr>
    </w:p>
    <w:p>
      <w:pPr>
        <w:pStyle w:val="Heading"/>
      </w:pPr>
    </w:p>
    <w:p>
      <w:pPr>
        <w:pStyle w:val="Heading"/>
      </w:pPr>
    </w:p>
    <w:p>
      <w:pPr>
        <w:pStyle w:val="Heading"/>
      </w:pPr>
    </w:p>
    <w:p>
      <w:pPr>
        <w:pStyle w:val="Body A"/>
      </w:pPr>
    </w:p>
    <w:p>
      <w:pPr>
        <w:pStyle w:val="Body A"/>
      </w:pPr>
    </w:p>
    <w:p>
      <w:pPr>
        <w:pStyle w:val="Body A"/>
      </w:pPr>
    </w:p>
    <w:p>
      <w:pPr>
        <w:pStyle w:val="Body A"/>
      </w:pPr>
    </w:p>
    <w:p>
      <w:pPr>
        <w:pStyle w:val="Body A"/>
        <w:rPr>
          <w:rFonts w:ascii="Arial" w:cs="Arial" w:hAnsi="Arial" w:eastAsia="Arial"/>
          <w:sz w:val="28"/>
          <w:szCs w:val="28"/>
        </w:rPr>
      </w:pPr>
      <w:r>
        <w:rPr>
          <w:rFonts w:ascii="Arial" w:hAnsi="Arial"/>
          <w:sz w:val="28"/>
          <w:szCs w:val="28"/>
          <w:rtl w:val="0"/>
          <w:lang w:val="en-US"/>
        </w:rPr>
        <w:t>Contents Page</w:t>
      </w:r>
    </w:p>
    <w:p>
      <w:pPr>
        <w:pStyle w:val="Body A"/>
        <w:rPr>
          <w:rFonts w:ascii="Arial" w:cs="Arial" w:hAnsi="Arial" w:eastAsia="Arial"/>
          <w:sz w:val="24"/>
          <w:szCs w:val="24"/>
        </w:rPr>
      </w:pPr>
      <w:r>
        <w:rPr>
          <w:rFonts w:ascii="Arial" w:hAnsi="Arial"/>
          <w:sz w:val="24"/>
          <w:szCs w:val="24"/>
          <w:rtl w:val="0"/>
          <w:lang w:val="en-US"/>
        </w:rPr>
        <w:t>Table of Contents                                                                         Page</w:t>
      </w:r>
    </w:p>
    <w:p>
      <w:pPr>
        <w:pStyle w:val="Body A"/>
        <w:rPr>
          <w:rFonts w:ascii="Arial" w:cs="Arial" w:hAnsi="Arial" w:eastAsia="Arial"/>
          <w:sz w:val="24"/>
          <w:szCs w:val="24"/>
        </w:rPr>
      </w:pPr>
      <w:r>
        <w:rPr>
          <w:rFonts w:ascii="Arial" w:hAnsi="Arial"/>
          <w:sz w:val="24"/>
          <w:szCs w:val="24"/>
          <w:rtl w:val="0"/>
          <w:lang w:val="en-US"/>
        </w:rPr>
        <w:t>Executive Summary</w:t>
      </w:r>
    </w:p>
    <w:p>
      <w:pPr>
        <w:pStyle w:val="Body A"/>
        <w:rPr>
          <w:rFonts w:ascii="Arial" w:cs="Arial" w:hAnsi="Arial" w:eastAsia="Arial"/>
          <w:sz w:val="24"/>
          <w:szCs w:val="24"/>
        </w:rPr>
      </w:pPr>
      <w:r>
        <w:rPr>
          <w:rFonts w:ascii="Arial" w:hAnsi="Arial"/>
          <w:sz w:val="24"/>
          <w:szCs w:val="24"/>
          <w:rtl w:val="0"/>
          <w:lang w:val="en-US"/>
        </w:rPr>
        <w:t xml:space="preserve">Introduction                                                                                               3-5                                                                                                         </w:t>
      </w:r>
    </w:p>
    <w:p>
      <w:pPr>
        <w:pStyle w:val="Body A"/>
        <w:rPr>
          <w:rFonts w:ascii="Arial" w:cs="Arial" w:hAnsi="Arial" w:eastAsia="Arial"/>
          <w:sz w:val="24"/>
          <w:szCs w:val="24"/>
        </w:rPr>
      </w:pPr>
      <w:r>
        <w:rPr>
          <w:rFonts w:ascii="Arial" w:hAnsi="Arial"/>
          <w:sz w:val="24"/>
          <w:szCs w:val="24"/>
          <w:rtl w:val="0"/>
          <w:lang w:val="en-US"/>
        </w:rPr>
        <w:t xml:space="preserve">Aims of the Report                                                                                      5                                                                                               </w:t>
      </w:r>
    </w:p>
    <w:p>
      <w:pPr>
        <w:pStyle w:val="Body A"/>
        <w:rPr>
          <w:rFonts w:ascii="Arial" w:cs="Arial" w:hAnsi="Arial" w:eastAsia="Arial"/>
          <w:sz w:val="24"/>
          <w:szCs w:val="24"/>
        </w:rPr>
      </w:pPr>
      <w:r>
        <w:rPr>
          <w:rFonts w:ascii="Arial" w:hAnsi="Arial"/>
          <w:sz w:val="24"/>
          <w:szCs w:val="24"/>
          <w:rtl w:val="0"/>
          <w:lang w:val="en-US"/>
        </w:rPr>
        <w:t xml:space="preserve">Literature Review                                                                                     6-8                                                                                                   </w:t>
      </w:r>
    </w:p>
    <w:p>
      <w:pPr>
        <w:pStyle w:val="Body A"/>
        <w:rPr>
          <w:rFonts w:ascii="Arial" w:cs="Arial" w:hAnsi="Arial" w:eastAsia="Arial"/>
          <w:sz w:val="24"/>
          <w:szCs w:val="24"/>
        </w:rPr>
      </w:pPr>
      <w:r>
        <w:rPr>
          <w:rFonts w:ascii="Arial" w:hAnsi="Arial"/>
          <w:sz w:val="24"/>
          <w:szCs w:val="24"/>
          <w:rtl w:val="0"/>
          <w:lang w:val="en-US"/>
        </w:rPr>
        <w:t xml:space="preserve">Theories of ER                                                                                        8-11                                                                                                    </w:t>
      </w:r>
    </w:p>
    <w:p>
      <w:pPr>
        <w:pStyle w:val="Body A"/>
        <w:rPr>
          <w:rFonts w:ascii="Arial" w:cs="Arial" w:hAnsi="Arial" w:eastAsia="Arial"/>
          <w:sz w:val="24"/>
          <w:szCs w:val="24"/>
        </w:rPr>
      </w:pPr>
      <w:r>
        <w:rPr>
          <w:rFonts w:ascii="Arial" w:hAnsi="Arial"/>
          <w:sz w:val="24"/>
          <w:szCs w:val="24"/>
          <w:rtl w:val="0"/>
          <w:lang w:val="en-US"/>
        </w:rPr>
        <w:t xml:space="preserve">Impact of Megatrends-  COVID-19 Technology impact on ER                12-13                                                </w:t>
      </w:r>
    </w:p>
    <w:p>
      <w:pPr>
        <w:pStyle w:val="Body A"/>
        <w:rPr>
          <w:rFonts w:ascii="Arial" w:cs="Arial" w:hAnsi="Arial" w:eastAsia="Arial"/>
          <w:sz w:val="24"/>
          <w:szCs w:val="24"/>
        </w:rPr>
      </w:pPr>
      <w:r>
        <w:rPr>
          <w:rFonts w:ascii="Arial" w:hAnsi="Arial"/>
          <w:sz w:val="24"/>
          <w:szCs w:val="24"/>
          <w:rtl w:val="0"/>
          <w:lang w:val="en-US"/>
        </w:rPr>
        <w:t xml:space="preserve">Health and Wellbeing, COVID-19 and ER                                                   14                                                    </w:t>
      </w:r>
    </w:p>
    <w:p>
      <w:pPr>
        <w:pStyle w:val="Body A"/>
        <w:rPr>
          <w:rFonts w:ascii="Arial" w:cs="Arial" w:hAnsi="Arial" w:eastAsia="Arial"/>
          <w:sz w:val="24"/>
          <w:szCs w:val="24"/>
        </w:rPr>
      </w:pPr>
      <w:r>
        <w:rPr>
          <w:rFonts w:ascii="Arial" w:hAnsi="Arial"/>
          <w:sz w:val="24"/>
          <w:szCs w:val="24"/>
          <w:rtl w:val="0"/>
          <w:lang w:val="en-US"/>
        </w:rPr>
        <w:t xml:space="preserve">The role of Leadership, Leadership Trust in ER and COVID-19                15                     </w:t>
      </w:r>
    </w:p>
    <w:p>
      <w:pPr>
        <w:pStyle w:val="Body A"/>
        <w:rPr>
          <w:rFonts w:ascii="Arial" w:cs="Arial" w:hAnsi="Arial" w:eastAsia="Arial"/>
          <w:sz w:val="24"/>
          <w:szCs w:val="24"/>
        </w:rPr>
      </w:pPr>
      <w:r>
        <w:rPr>
          <w:rFonts w:ascii="Arial" w:hAnsi="Arial"/>
          <w:sz w:val="24"/>
          <w:szCs w:val="24"/>
          <w:rtl w:val="0"/>
          <w:lang w:val="en-US"/>
        </w:rPr>
        <w:t xml:space="preserve">Impact of COVID-19 on ER and Social factors                                         16-17                                                </w:t>
      </w:r>
    </w:p>
    <w:p>
      <w:pPr>
        <w:pStyle w:val="Body A"/>
        <w:rPr>
          <w:rFonts w:ascii="Arial" w:cs="Arial" w:hAnsi="Arial" w:eastAsia="Arial"/>
          <w:sz w:val="24"/>
          <w:szCs w:val="24"/>
        </w:rPr>
      </w:pPr>
      <w:r>
        <w:rPr>
          <w:rFonts w:ascii="Arial" w:hAnsi="Arial"/>
          <w:sz w:val="24"/>
          <w:szCs w:val="24"/>
          <w:rtl w:val="0"/>
          <w:lang w:val="en-US"/>
        </w:rPr>
        <w:t xml:space="preserve">Employee Engagement, ER and COVID-19                                             18-19                                                      </w:t>
      </w:r>
    </w:p>
    <w:p>
      <w:pPr>
        <w:pStyle w:val="Body A"/>
        <w:rPr>
          <w:rFonts w:ascii="Arial" w:cs="Arial" w:hAnsi="Arial" w:eastAsia="Arial"/>
          <w:sz w:val="24"/>
          <w:szCs w:val="24"/>
        </w:rPr>
      </w:pPr>
      <w:r>
        <w:rPr>
          <w:rFonts w:ascii="Arial" w:hAnsi="Arial"/>
          <w:sz w:val="24"/>
          <w:szCs w:val="24"/>
          <w:rtl w:val="0"/>
          <w:lang w:val="en-US"/>
        </w:rPr>
        <w:t xml:space="preserve">COVID-19, polital factors and ER                                                               20                                                                   </w:t>
      </w:r>
    </w:p>
    <w:p>
      <w:pPr>
        <w:pStyle w:val="Body A"/>
        <w:rPr>
          <w:rFonts w:ascii="Arial" w:cs="Arial" w:hAnsi="Arial" w:eastAsia="Arial"/>
          <w:sz w:val="24"/>
          <w:szCs w:val="24"/>
        </w:rPr>
      </w:pPr>
      <w:r>
        <w:rPr>
          <w:rFonts w:ascii="Arial" w:hAnsi="Arial"/>
          <w:sz w:val="24"/>
          <w:szCs w:val="24"/>
          <w:rtl w:val="0"/>
          <w:lang w:val="en-US"/>
        </w:rPr>
        <w:t xml:space="preserve">Current ER climate and impact of COVID-19                                              21                                                 </w:t>
      </w:r>
    </w:p>
    <w:p>
      <w:pPr>
        <w:pStyle w:val="Body A"/>
        <w:rPr>
          <w:rFonts w:ascii="Arial" w:cs="Arial" w:hAnsi="Arial" w:eastAsia="Arial"/>
          <w:sz w:val="24"/>
          <w:szCs w:val="24"/>
        </w:rPr>
      </w:pPr>
      <w:r>
        <w:rPr>
          <w:rFonts w:ascii="Arial" w:hAnsi="Arial"/>
          <w:sz w:val="24"/>
          <w:szCs w:val="24"/>
          <w:rtl w:val="0"/>
          <w:lang w:val="en-US"/>
        </w:rPr>
        <w:t xml:space="preserve">Financial Impact of COVID-19 in terms of ER                                           22-23                                             </w:t>
      </w:r>
    </w:p>
    <w:p>
      <w:pPr>
        <w:pStyle w:val="Body A"/>
        <w:rPr>
          <w:rFonts w:ascii="Arial" w:cs="Arial" w:hAnsi="Arial" w:eastAsia="Arial"/>
          <w:sz w:val="24"/>
          <w:szCs w:val="24"/>
        </w:rPr>
      </w:pPr>
      <w:r>
        <w:rPr>
          <w:rFonts w:ascii="Arial" w:hAnsi="Arial"/>
          <w:sz w:val="24"/>
          <w:szCs w:val="24"/>
          <w:rtl w:val="0"/>
          <w:lang w:val="en-US"/>
        </w:rPr>
        <w:t xml:space="preserve">Roles of Parties in ER                                                                                24                                                                                      </w:t>
      </w:r>
    </w:p>
    <w:p>
      <w:pPr>
        <w:pStyle w:val="Body A"/>
        <w:rPr>
          <w:rFonts w:ascii="Arial" w:cs="Arial" w:hAnsi="Arial" w:eastAsia="Arial"/>
          <w:sz w:val="24"/>
          <w:szCs w:val="24"/>
        </w:rPr>
      </w:pPr>
      <w:r>
        <w:rPr>
          <w:rFonts w:ascii="Arial" w:hAnsi="Arial"/>
          <w:sz w:val="24"/>
          <w:szCs w:val="24"/>
          <w:rtl w:val="0"/>
          <w:lang w:val="en-US"/>
        </w:rPr>
        <w:t xml:space="preserve">Findings                                                                                                      25                                                                                                                </w:t>
      </w:r>
    </w:p>
    <w:p>
      <w:pPr>
        <w:pStyle w:val="Body A"/>
        <w:rPr>
          <w:rFonts w:ascii="Arial" w:cs="Arial" w:hAnsi="Arial" w:eastAsia="Arial"/>
          <w:sz w:val="24"/>
          <w:szCs w:val="24"/>
        </w:rPr>
      </w:pPr>
      <w:r>
        <w:rPr>
          <w:rFonts w:ascii="Arial" w:hAnsi="Arial"/>
          <w:sz w:val="24"/>
          <w:szCs w:val="24"/>
          <w:rtl w:val="0"/>
          <w:lang w:val="en-US"/>
        </w:rPr>
        <w:t xml:space="preserve">Conclusion                                                                                                 26               </w:t>
      </w:r>
    </w:p>
    <w:p>
      <w:pPr>
        <w:pStyle w:val="Body A"/>
        <w:rPr>
          <w:rFonts w:ascii="Arial" w:cs="Arial" w:hAnsi="Arial" w:eastAsia="Arial"/>
          <w:sz w:val="24"/>
          <w:szCs w:val="24"/>
        </w:rPr>
      </w:pPr>
      <w:r>
        <w:rPr>
          <w:rFonts w:ascii="Arial" w:hAnsi="Arial"/>
          <w:sz w:val="24"/>
          <w:szCs w:val="24"/>
          <w:rtl w:val="0"/>
          <w:lang w:val="en-US"/>
        </w:rPr>
        <w:t xml:space="preserve">Annex 1-SWOT of DWP ER and COVID-19                                              28                                                        </w:t>
      </w:r>
    </w:p>
    <w:p>
      <w:pPr>
        <w:pStyle w:val="Body A"/>
        <w:rPr>
          <w:rFonts w:ascii="Arial" w:cs="Arial" w:hAnsi="Arial" w:eastAsia="Arial"/>
          <w:sz w:val="24"/>
          <w:szCs w:val="24"/>
        </w:rPr>
      </w:pPr>
      <w:r>
        <w:rPr>
          <w:rFonts w:ascii="Arial" w:hAnsi="Arial"/>
          <w:sz w:val="24"/>
          <w:szCs w:val="24"/>
          <w:rtl w:val="0"/>
          <w:lang w:val="en-US"/>
        </w:rPr>
        <w:t xml:space="preserve">Glossary of Terms                                                                                       29                                                                                      </w:t>
      </w:r>
    </w:p>
    <w:p>
      <w:pPr>
        <w:pStyle w:val="Body A"/>
        <w:rPr>
          <w:rFonts w:ascii="Arial" w:cs="Arial" w:hAnsi="Arial" w:eastAsia="Arial"/>
          <w:sz w:val="20"/>
          <w:szCs w:val="20"/>
        </w:rPr>
      </w:pPr>
      <w:r>
        <w:rPr>
          <w:rFonts w:ascii="Arial" w:hAnsi="Arial"/>
          <w:sz w:val="24"/>
          <w:szCs w:val="24"/>
          <w:rtl w:val="0"/>
          <w:lang w:val="en-US"/>
        </w:rPr>
        <w:t xml:space="preserve">Reference List                                                                                             30      </w:t>
      </w:r>
      <w:r>
        <w:rPr>
          <w:rFonts w:ascii="Arial" w:hAnsi="Arial"/>
          <w:sz w:val="20"/>
          <w:szCs w:val="20"/>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pPr>
    </w:p>
    <w:p>
      <w:pPr>
        <w:pStyle w:val="Body A"/>
      </w:pPr>
    </w:p>
    <w:p>
      <w:pPr>
        <w:pStyle w:val="Body A"/>
      </w:pPr>
    </w:p>
    <w:p>
      <w:pPr>
        <w:pStyle w:val="Body A"/>
      </w:pPr>
    </w:p>
    <w:p>
      <w:pPr>
        <w:pStyle w:val="Body A"/>
      </w:pPr>
    </w:p>
    <w:p>
      <w:pPr>
        <w:pStyle w:val="Body A"/>
        <w:rPr>
          <w:rFonts w:ascii="Arial" w:cs="Arial" w:hAnsi="Arial" w:eastAsia="Arial"/>
          <w:sz w:val="28"/>
          <w:szCs w:val="28"/>
          <w:lang w:val="fr-FR"/>
        </w:rPr>
      </w:pPr>
      <w:r>
        <w:rPr>
          <w:rFonts w:ascii="Arial" w:hAnsi="Arial"/>
          <w:b w:val="1"/>
          <w:bCs w:val="1"/>
          <w:sz w:val="28"/>
          <w:szCs w:val="28"/>
          <w:rtl w:val="0"/>
          <w:lang w:val="fr-FR"/>
        </w:rPr>
        <w:t>Introduction</w:t>
      </w:r>
    </w:p>
    <w:p>
      <w:pPr>
        <w:pStyle w:val="Body A"/>
        <w:rPr>
          <w:rFonts w:ascii="Arial" w:cs="Arial" w:hAnsi="Arial" w:eastAsia="Arial"/>
          <w:sz w:val="28"/>
          <w:szCs w:val="28"/>
        </w:rPr>
      </w:pPr>
      <w:r>
        <w:rPr>
          <w:rFonts w:ascii="Arial" w:hAnsi="Arial"/>
          <w:sz w:val="28"/>
          <w:szCs w:val="28"/>
          <w:rtl w:val="0"/>
          <w:lang w:val="en-US"/>
        </w:rPr>
        <w:t>Employment relations is concerned with establishing and preserving effective working relationships within the workplace and is characterised by designing and implementing effective people practices, that subsequently encourage positive behaviours</w:t>
      </w:r>
      <w:r>
        <w:rPr>
          <w:rFonts w:ascii="Arial" w:hAnsi="Arial"/>
          <w:sz w:val="28"/>
          <w:szCs w:val="28"/>
          <w:rtl w:val="0"/>
          <w:lang w:val="de-DE"/>
        </w:rPr>
        <w:t>. (Kaufman, 2014, CIPD, 2020)</w:t>
      </w:r>
    </w:p>
    <w:p>
      <w:pPr>
        <w:pStyle w:val="Body A"/>
        <w:rPr>
          <w:rFonts w:ascii="Arial" w:cs="Arial" w:hAnsi="Arial" w:eastAsia="Arial"/>
          <w:sz w:val="28"/>
          <w:szCs w:val="28"/>
        </w:rPr>
      </w:pPr>
      <w:r>
        <w:rPr>
          <w:rFonts w:ascii="Arial" w:hAnsi="Arial"/>
          <w:sz w:val="28"/>
          <w:szCs w:val="28"/>
          <w:rtl w:val="0"/>
          <w:lang w:val="en-US"/>
        </w:rPr>
        <w:t xml:space="preserve">Moreover, ER play a critical role in fostering several positive workplace outcomes, such as employee engagement and commitment, being defined as the </w:t>
      </w:r>
      <w:r>
        <w:rPr>
          <w:rFonts w:ascii="Arial" w:hAnsi="Arial" w:hint="default"/>
          <w:sz w:val="28"/>
          <w:szCs w:val="28"/>
          <w:rtl w:val="0"/>
          <w:lang w:val="en-US"/>
        </w:rPr>
        <w:t>“</w:t>
      </w:r>
      <w:r>
        <w:rPr>
          <w:rFonts w:ascii="Arial" w:hAnsi="Arial"/>
          <w:sz w:val="28"/>
          <w:szCs w:val="28"/>
          <w:rtl w:val="0"/>
          <w:lang w:val="en-US"/>
        </w:rPr>
        <w:t>the set of conditions of conditions determining the use, and reproduction of labour force.</w:t>
      </w:r>
      <w:r>
        <w:rPr>
          <w:rFonts w:ascii="Arial" w:hAnsi="Arial" w:hint="default"/>
          <w:sz w:val="28"/>
          <w:szCs w:val="28"/>
          <w:rtl w:val="0"/>
          <w:lang w:val="en-US"/>
        </w:rPr>
        <w:t xml:space="preserve">”  </w:t>
      </w:r>
      <w:r>
        <w:rPr>
          <w:rFonts w:ascii="Arial" w:hAnsi="Arial"/>
          <w:sz w:val="28"/>
          <w:szCs w:val="28"/>
          <w:rtl w:val="0"/>
          <w:lang w:val="en-US"/>
        </w:rPr>
        <w:t>(Meyer and Allen, 1997, Hodder, 2015)</w:t>
      </w:r>
    </w:p>
    <w:p>
      <w:pPr>
        <w:pStyle w:val="Body A"/>
        <w:rPr>
          <w:rFonts w:ascii="Arial" w:cs="Arial" w:hAnsi="Arial" w:eastAsia="Arial"/>
          <w:sz w:val="28"/>
          <w:szCs w:val="28"/>
        </w:rPr>
      </w:pPr>
      <w:r>
        <w:rPr>
          <w:rFonts w:ascii="Arial" w:hAnsi="Arial"/>
          <w:sz w:val="28"/>
          <w:szCs w:val="28"/>
          <w:rtl w:val="0"/>
          <w:lang w:val="en-US"/>
        </w:rPr>
        <w:t>Early research by Barnard (1938) proposed that ER comprises of two elements, offered inducements and expected contributions, in an effect a bargaining process. (Neville, 2018)</w:t>
      </w:r>
    </w:p>
    <w:p>
      <w:pPr>
        <w:pStyle w:val="Body A"/>
        <w:rPr>
          <w:rFonts w:ascii="Arial" w:cs="Arial" w:hAnsi="Arial" w:eastAsia="Arial"/>
          <w:sz w:val="28"/>
          <w:szCs w:val="28"/>
        </w:rPr>
      </w:pPr>
      <w:r>
        <w:rPr>
          <w:rFonts w:ascii="Arial" w:hAnsi="Arial"/>
          <w:sz w:val="28"/>
          <w:szCs w:val="28"/>
          <w:rtl w:val="0"/>
          <w:lang w:val="en-US"/>
        </w:rPr>
        <w:t>Trade unionism in Britain, jugged by aggregate membership organisational coherence and extent of representational rights, bargaining power and political influence, maybe on the decline but still dominates DWP</w:t>
      </w:r>
      <w:r>
        <w:rPr>
          <w:rFonts w:ascii="Arial" w:hAnsi="Arial" w:hint="default"/>
          <w:sz w:val="28"/>
          <w:szCs w:val="28"/>
          <w:rtl w:val="0"/>
          <w:lang w:val="en-US"/>
        </w:rPr>
        <w:t>’</w:t>
      </w:r>
      <w:r>
        <w:rPr>
          <w:rFonts w:ascii="Arial" w:hAnsi="Arial"/>
          <w:sz w:val="28"/>
          <w:szCs w:val="28"/>
          <w:rtl w:val="0"/>
          <w:lang w:val="en-US"/>
        </w:rPr>
        <w:t xml:space="preserve">s ER culture. (Brown, Lucio and Meardi, 2019) Unionism is defined as </w:t>
      </w:r>
      <w:r>
        <w:rPr>
          <w:rFonts w:ascii="Arial" w:hAnsi="Arial" w:hint="default"/>
          <w:sz w:val="28"/>
          <w:szCs w:val="28"/>
          <w:rtl w:val="0"/>
          <w:lang w:val="en-US"/>
        </w:rPr>
        <w:t>“</w:t>
      </w:r>
      <w:r>
        <w:rPr>
          <w:rFonts w:ascii="Arial" w:hAnsi="Arial"/>
          <w:sz w:val="28"/>
          <w:szCs w:val="28"/>
          <w:rtl w:val="0"/>
          <w:lang w:val="en-US"/>
        </w:rPr>
        <w:t>the support for the political aims of the trade union.</w:t>
      </w:r>
      <w:r>
        <w:rPr>
          <w:rFonts w:ascii="Arial" w:hAnsi="Arial" w:hint="default"/>
          <w:sz w:val="28"/>
          <w:szCs w:val="28"/>
          <w:rtl w:val="0"/>
          <w:lang w:val="en-US"/>
        </w:rPr>
        <w:t xml:space="preserve">”  </w:t>
      </w:r>
      <w:r>
        <w:rPr>
          <w:rFonts w:ascii="Arial" w:hAnsi="Arial"/>
          <w:sz w:val="28"/>
          <w:szCs w:val="28"/>
          <w:rtl w:val="0"/>
          <w:lang w:val="en-US"/>
        </w:rPr>
        <w:t xml:space="preserve">(Rose and Busby, 2017) Economic dissatisfaction, slow wage growth and widespread inequality, the use of trade unions in DWP are strong with over 60,000 DWP employees are members of the union and has been presented as a tool to facilitate employee voice. (Loouche, 2020, Foster and Rasmussen, 2017) </w:t>
      </w:r>
    </w:p>
    <w:p>
      <w:pPr>
        <w:pStyle w:val="Body A"/>
        <w:rPr>
          <w:rFonts w:ascii="Arial" w:cs="Arial" w:hAnsi="Arial" w:eastAsia="Arial"/>
          <w:sz w:val="28"/>
          <w:szCs w:val="28"/>
        </w:rPr>
      </w:pPr>
      <w:r>
        <w:rPr>
          <w:rFonts w:ascii="Arial" w:hAnsi="Arial"/>
          <w:sz w:val="28"/>
          <w:szCs w:val="28"/>
          <w:rtl w:val="0"/>
          <w:lang w:val="en-US"/>
        </w:rPr>
        <w:t>Thus unionism in DWP has fostered a strong militant culture across offices and regular proactive picketing and strikes most recently involving disagreements around pensions. (Brown, 2018, Gill-Mclure and Thornqvuist, 2018) Which in turn is by low trust and high process organisational culture led by an autocratic leadership structure. (Budd, 2020,)</w:t>
      </w:r>
    </w:p>
    <w:p>
      <w:pPr>
        <w:pStyle w:val="Body A"/>
        <w:rPr>
          <w:rFonts w:ascii="Arial" w:cs="Arial" w:hAnsi="Arial" w:eastAsia="Arial"/>
          <w:sz w:val="28"/>
          <w:szCs w:val="28"/>
        </w:rPr>
      </w:pPr>
      <w:r>
        <w:rPr>
          <w:rFonts w:ascii="Arial" w:hAnsi="Arial"/>
          <w:sz w:val="28"/>
          <w:szCs w:val="28"/>
          <w:rtl w:val="0"/>
          <w:lang w:val="en-US"/>
        </w:rPr>
        <w:t xml:space="preserve">Autocratic leadership is known as a </w:t>
      </w:r>
      <w:r>
        <w:rPr>
          <w:rFonts w:ascii="Arial" w:hAnsi="Arial" w:hint="default"/>
          <w:sz w:val="28"/>
          <w:szCs w:val="28"/>
          <w:rtl w:val="0"/>
          <w:lang w:val="en-US"/>
        </w:rPr>
        <w:t>“</w:t>
      </w:r>
      <w:r>
        <w:rPr>
          <w:rFonts w:ascii="Arial" w:hAnsi="Arial"/>
          <w:sz w:val="28"/>
          <w:szCs w:val="28"/>
          <w:rtl w:val="0"/>
          <w:lang w:val="en-US"/>
        </w:rPr>
        <w:t>series of practices used by leaders to centralize power.</w:t>
      </w:r>
      <w:r>
        <w:rPr>
          <w:rFonts w:ascii="Arial" w:hAnsi="Arial" w:hint="default"/>
          <w:sz w:val="28"/>
          <w:szCs w:val="28"/>
          <w:rtl w:val="0"/>
          <w:lang w:val="en-US"/>
        </w:rPr>
        <w:t xml:space="preserve">” </w:t>
      </w:r>
      <w:r>
        <w:rPr>
          <w:rFonts w:ascii="Arial" w:hAnsi="Arial"/>
          <w:sz w:val="28"/>
          <w:szCs w:val="28"/>
          <w:rtl w:val="0"/>
          <w:lang w:val="en-US"/>
        </w:rPr>
        <w:t xml:space="preserve">(Briker, Walter and Michael, 2020) In contrast, democratic leadership represented by leaders distributing authority, empowering subordinates and include them in the decision making process. (Callier, 2020, Jamison, Rosenbaum and Carter, 2017) </w:t>
      </w:r>
    </w:p>
    <w:p>
      <w:pPr>
        <w:pStyle w:val="Body A"/>
        <w:rPr>
          <w:rFonts w:ascii="Arial" w:cs="Arial" w:hAnsi="Arial" w:eastAsia="Arial"/>
          <w:sz w:val="28"/>
          <w:szCs w:val="28"/>
        </w:rPr>
      </w:pPr>
      <w:r>
        <w:rPr>
          <w:rFonts w:ascii="Arial" w:hAnsi="Arial"/>
          <w:sz w:val="28"/>
          <w:szCs w:val="28"/>
          <w:rtl w:val="0"/>
          <w:lang w:val="en-US"/>
        </w:rPr>
        <w:t xml:space="preserve">When considering the ER, it is imperative to consider the environments in which they occur. (Becker-Ritterspach, et al, 2019) DWP as the largest government employer operates within a highly complex and demanding environment comprising of 86,000 employees, has driven the response to COVID-19 with passion and focused their ER upon the familiar notion of civil governance. (Johnson, Rubery and Grimshaw, 2019) </w:t>
      </w:r>
    </w:p>
    <w:p>
      <w:pPr>
        <w:pStyle w:val="Body A"/>
        <w:rPr>
          <w:rFonts w:ascii="Arial" w:cs="Arial" w:hAnsi="Arial" w:eastAsia="Arial"/>
          <w:sz w:val="28"/>
          <w:szCs w:val="28"/>
        </w:rPr>
      </w:pPr>
      <w:r>
        <w:rPr>
          <w:rFonts w:ascii="Arial" w:hAnsi="Arial"/>
          <w:sz w:val="28"/>
          <w:szCs w:val="28"/>
          <w:rtl w:val="0"/>
          <w:lang w:val="en-US"/>
        </w:rPr>
        <w:t xml:space="preserve">Significantly ER is affected by the macro and microenvironment. Public organisations such as DWP, have been historically subjected to several macro-level changes, including the transition from traditional public administration to new public management and more recently to new public governance. (Audenaert, George and Adelian, 2017, Fudge, 2017) </w:t>
      </w:r>
    </w:p>
    <w:p>
      <w:pPr>
        <w:pStyle w:val="Body A"/>
        <w:rPr>
          <w:rFonts w:ascii="Arial" w:cs="Arial" w:hAnsi="Arial" w:eastAsia="Arial"/>
          <w:sz w:val="28"/>
          <w:szCs w:val="28"/>
        </w:rPr>
      </w:pPr>
      <w:r>
        <w:rPr>
          <w:rFonts w:ascii="Arial" w:hAnsi="Arial"/>
          <w:sz w:val="28"/>
          <w:szCs w:val="28"/>
          <w:rtl w:val="0"/>
          <w:lang w:val="en-US"/>
        </w:rPr>
        <w:t xml:space="preserve">These emerging changes have induced diverse demands on Civil Servants ER, ranging from regulated job roles, rules and lifetime employment of Weberian bureaucracy. (Bakker, 2015) To productive, accountability, inter-organisational governance which is driven by public demands at the front end, to stakeholder satisfaction at the other. (Hammerschid et al, 2016) Consequently, these macro-level changes have resulted in a positive ER in terms of a lifelong career with reciprocal allegiance between employee and employer. (Brandl and Ibsen, 2019, Kaufman, 2014) </w:t>
      </w:r>
    </w:p>
    <w:p>
      <w:pPr>
        <w:pStyle w:val="Body A"/>
        <w:rPr>
          <w:rFonts w:ascii="Arial" w:cs="Arial" w:hAnsi="Arial" w:eastAsia="Arial"/>
          <w:sz w:val="28"/>
          <w:szCs w:val="28"/>
        </w:rPr>
      </w:pPr>
      <w:r>
        <w:rPr>
          <w:rFonts w:ascii="Arial" w:hAnsi="Arial"/>
          <w:sz w:val="28"/>
          <w:szCs w:val="28"/>
          <w:rtl w:val="0"/>
          <w:lang w:val="en-US"/>
        </w:rPr>
        <w:t>On the 31</w:t>
      </w:r>
      <w:r>
        <w:rPr>
          <w:rFonts w:ascii="Arial" w:hAnsi="Arial"/>
          <w:sz w:val="28"/>
          <w:szCs w:val="28"/>
          <w:vertAlign w:val="superscript"/>
          <w:rtl w:val="0"/>
          <w:lang w:val="en-US"/>
        </w:rPr>
        <w:t>st</w:t>
      </w:r>
      <w:r>
        <w:rPr>
          <w:rFonts w:ascii="Arial" w:hAnsi="Arial"/>
          <w:sz w:val="28"/>
          <w:szCs w:val="28"/>
          <w:rtl w:val="0"/>
          <w:lang w:val="en-US"/>
        </w:rPr>
        <w:t xml:space="preserve"> of December 2019, a collection of pneumonia occurrences of unspecified anatomy was identified in Wuhan City, China. (O</w:t>
      </w:r>
      <w:r>
        <w:rPr>
          <w:rFonts w:ascii="Arial" w:hAnsi="Arial" w:hint="default"/>
          <w:sz w:val="28"/>
          <w:szCs w:val="28"/>
          <w:rtl w:val="0"/>
          <w:lang w:val="en-US"/>
        </w:rPr>
        <w:t>’</w:t>
      </w:r>
      <w:r>
        <w:rPr>
          <w:rFonts w:ascii="Arial" w:hAnsi="Arial"/>
          <w:sz w:val="28"/>
          <w:szCs w:val="28"/>
          <w:rtl w:val="0"/>
          <w:lang w:val="en-US"/>
        </w:rPr>
        <w:t>Donell and Begg, 2020) Considering the serious nature of the disease, the World Health Organisation affirmed the outbreak as a Public Health Emergency of International Concern, on the 30</w:t>
      </w:r>
      <w:r>
        <w:rPr>
          <w:rFonts w:ascii="Arial" w:hAnsi="Arial"/>
          <w:sz w:val="28"/>
          <w:szCs w:val="28"/>
          <w:vertAlign w:val="superscript"/>
          <w:rtl w:val="0"/>
          <w:lang w:val="en-US"/>
        </w:rPr>
        <w:t>th</w:t>
      </w:r>
      <w:r>
        <w:rPr>
          <w:rFonts w:ascii="Arial" w:hAnsi="Arial"/>
          <w:sz w:val="28"/>
          <w:szCs w:val="28"/>
          <w:rtl w:val="0"/>
          <w:lang w:val="en-US"/>
        </w:rPr>
        <w:t xml:space="preserve"> of January 2020. (Touma, 2020) The disease evolved rapidly, and within 3 months more than 4.3 million cases were identified, which triggered an announcement on the 11</w:t>
      </w:r>
      <w:r>
        <w:rPr>
          <w:rFonts w:ascii="Arial" w:hAnsi="Arial"/>
          <w:sz w:val="28"/>
          <w:szCs w:val="28"/>
          <w:vertAlign w:val="superscript"/>
          <w:rtl w:val="0"/>
          <w:lang w:val="en-US"/>
        </w:rPr>
        <w:t>th</w:t>
      </w:r>
      <w:r>
        <w:rPr>
          <w:rFonts w:ascii="Arial" w:hAnsi="Arial"/>
          <w:sz w:val="28"/>
          <w:szCs w:val="28"/>
          <w:rtl w:val="0"/>
          <w:lang w:val="en-US"/>
        </w:rPr>
        <w:t xml:space="preserve"> of March 2020, declaring the eruption classification as a global pandemic. (Elsevier 2020, ONS, 2020)</w:t>
      </w:r>
    </w:p>
    <w:p>
      <w:pPr>
        <w:pStyle w:val="Body A"/>
        <w:rPr>
          <w:rFonts w:ascii="Arial" w:cs="Arial" w:hAnsi="Arial" w:eastAsia="Arial"/>
          <w:sz w:val="28"/>
          <w:szCs w:val="28"/>
        </w:rPr>
      </w:pPr>
      <w:r>
        <w:rPr>
          <w:rFonts w:ascii="Arial" w:hAnsi="Arial"/>
          <w:sz w:val="28"/>
          <w:szCs w:val="28"/>
          <w:rtl w:val="0"/>
          <w:lang w:val="en-US"/>
        </w:rPr>
        <w:t>The COVID-19 pandemic is one of the greatest challenges to face society in generations, possessing the greatest threat to people, with the virus spreading rapidly worldwide, affecting the lives and livelihoods of billions of people. (Bouey, 2020) It is therefore important to critically evaluate the impact that the recent pandemic has had on DWP</w:t>
      </w:r>
      <w:r>
        <w:rPr>
          <w:rFonts w:ascii="Arial" w:hAnsi="Arial" w:hint="default"/>
          <w:sz w:val="28"/>
          <w:szCs w:val="28"/>
          <w:rtl w:val="0"/>
          <w:lang w:val="en-US"/>
        </w:rPr>
        <w:t>’</w:t>
      </w:r>
      <w:r>
        <w:rPr>
          <w:rFonts w:ascii="Arial" w:hAnsi="Arial"/>
          <w:sz w:val="28"/>
          <w:szCs w:val="28"/>
          <w:rtl w:val="0"/>
          <w:lang w:val="fr-FR"/>
        </w:rPr>
        <w:t>s employ</w:t>
      </w:r>
      <w:r>
        <w:rPr>
          <w:rFonts w:ascii="Arial" w:hAnsi="Arial" w:hint="default"/>
          <w:sz w:val="28"/>
          <w:szCs w:val="28"/>
          <w:rtl w:val="0"/>
          <w:lang w:val="fr-FR"/>
        </w:rPr>
        <w:t>é</w:t>
      </w:r>
      <w:r>
        <w:rPr>
          <w:rFonts w:ascii="Arial" w:hAnsi="Arial"/>
          <w:sz w:val="28"/>
          <w:szCs w:val="28"/>
          <w:rtl w:val="0"/>
          <w:lang w:val="fr-FR"/>
        </w:rPr>
        <w:t>e relations climate. (Wang et al, 2020)</w:t>
      </w: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Aims of the Report</w:t>
      </w:r>
    </w:p>
    <w:p>
      <w:pPr>
        <w:pStyle w:val="Body A"/>
        <w:rPr>
          <w:rFonts w:ascii="Arial" w:cs="Arial" w:hAnsi="Arial" w:eastAsia="Arial"/>
          <w:sz w:val="28"/>
          <w:szCs w:val="28"/>
        </w:rPr>
      </w:pPr>
      <w:r>
        <w:rPr>
          <w:rFonts w:ascii="Arial" w:hAnsi="Arial"/>
          <w:sz w:val="28"/>
          <w:szCs w:val="28"/>
          <w:rtl w:val="0"/>
          <w:lang w:val="en-US"/>
        </w:rPr>
        <w:t xml:space="preserve">This report aims to firstly to examine and critically evaluate the impact of COVID-19 on the ER climate in DWP and other organisations </w:t>
      </w:r>
    </w:p>
    <w:p>
      <w:pPr>
        <w:pStyle w:val="Body A"/>
        <w:rPr>
          <w:rFonts w:ascii="Arial" w:cs="Arial" w:hAnsi="Arial" w:eastAsia="Arial"/>
          <w:sz w:val="28"/>
          <w:szCs w:val="28"/>
        </w:rPr>
      </w:pPr>
      <w:r>
        <w:rPr>
          <w:rFonts w:ascii="Arial" w:hAnsi="Arial"/>
          <w:sz w:val="28"/>
          <w:szCs w:val="28"/>
          <w:rtl w:val="0"/>
          <w:lang w:val="en-US"/>
        </w:rPr>
        <w:t>Secondly, to critically evaluate the theoretical understanding of ER concerning the organisational context</w:t>
      </w:r>
    </w:p>
    <w:p>
      <w:pPr>
        <w:pStyle w:val="Body A"/>
        <w:rPr>
          <w:rFonts w:ascii="Arial" w:cs="Arial" w:hAnsi="Arial" w:eastAsia="Arial"/>
          <w:sz w:val="28"/>
          <w:szCs w:val="28"/>
        </w:rPr>
      </w:pPr>
      <w:r>
        <w:rPr>
          <w:rFonts w:ascii="Arial" w:hAnsi="Arial"/>
          <w:sz w:val="28"/>
          <w:szCs w:val="28"/>
          <w:rtl w:val="0"/>
          <w:lang w:val="en-US"/>
        </w:rPr>
        <w:t>Thirdly to examine the impact of COVID-19 and ER climate on terms of political, social, technological, economic/financial factors.</w:t>
      </w:r>
    </w:p>
    <w:p>
      <w:pPr>
        <w:pStyle w:val="Body A"/>
        <w:rPr>
          <w:rFonts w:ascii="Arial" w:cs="Arial" w:hAnsi="Arial" w:eastAsia="Arial"/>
          <w:sz w:val="28"/>
          <w:szCs w:val="28"/>
        </w:rPr>
      </w:pPr>
      <w:r>
        <w:rPr>
          <w:rFonts w:ascii="Arial" w:hAnsi="Arial"/>
          <w:sz w:val="28"/>
          <w:szCs w:val="28"/>
          <w:rtl w:val="0"/>
          <w:lang w:val="en-US"/>
        </w:rPr>
        <w:t>To critically highlight the role in which Leaders play in establishing and maintain a strong ER climate</w:t>
      </w:r>
    </w:p>
    <w:p>
      <w:pPr>
        <w:pStyle w:val="Body A"/>
        <w:rPr>
          <w:rFonts w:ascii="Arial" w:cs="Arial" w:hAnsi="Arial" w:eastAsia="Arial"/>
          <w:sz w:val="28"/>
          <w:szCs w:val="28"/>
        </w:rPr>
      </w:pPr>
      <w:r>
        <w:rPr>
          <w:rFonts w:ascii="Arial" w:hAnsi="Arial"/>
          <w:sz w:val="28"/>
          <w:szCs w:val="28"/>
          <w:rtl w:val="0"/>
          <w:lang w:val="en-US"/>
        </w:rPr>
        <w:t>Critically evaluate the role of health and wellbeing concerning the ER climate.</w:t>
      </w:r>
    </w:p>
    <w:p>
      <w:pPr>
        <w:pStyle w:val="Body A"/>
        <w:rPr>
          <w:rFonts w:ascii="Arial" w:cs="Arial" w:hAnsi="Arial" w:eastAsia="Arial"/>
          <w:sz w:val="28"/>
          <w:szCs w:val="28"/>
        </w:rPr>
      </w:pPr>
      <w:r>
        <w:rPr>
          <w:rFonts w:ascii="Arial" w:hAnsi="Arial"/>
          <w:sz w:val="28"/>
          <w:szCs w:val="28"/>
          <w:rtl w:val="0"/>
          <w:lang w:val="en-US"/>
        </w:rPr>
        <w:t>Finally, to provide recommendations on how to improve DWP</w:t>
      </w:r>
      <w:r>
        <w:rPr>
          <w:rFonts w:ascii="Arial" w:hAnsi="Arial" w:hint="default"/>
          <w:sz w:val="28"/>
          <w:szCs w:val="28"/>
          <w:rtl w:val="0"/>
          <w:lang w:val="en-US"/>
        </w:rPr>
        <w:t>’</w:t>
      </w:r>
      <w:r>
        <w:rPr>
          <w:rFonts w:ascii="Arial" w:hAnsi="Arial"/>
          <w:sz w:val="28"/>
          <w:szCs w:val="28"/>
          <w:rtl w:val="0"/>
          <w:lang w:val="en-US"/>
        </w:rPr>
        <w:t xml:space="preserve">s ER climate. </w:t>
      </w:r>
      <w:r>
        <w:rPr>
          <w:rFonts w:ascii="Arial" w:hAnsi="Arial"/>
          <w:outline w:val="0"/>
          <w:color w:val="ffffff"/>
          <w:sz w:val="20"/>
          <w:szCs w:val="20"/>
          <w:u w:color="ffffff"/>
          <w:rtl w:val="0"/>
          <w:lang w:val="en-US"/>
          <w14:textFill>
            <w14:solidFill>
              <w14:srgbClr w14:val="FFFFFF"/>
            </w14:solidFill>
          </w14:textFill>
        </w:rPr>
        <w:t xml:space="preserve">Objective 1-Examine and critically impact of COVID-19 on DWP's Employee </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Literature Review</w:t>
      </w:r>
    </w:p>
    <w:p>
      <w:pPr>
        <w:pStyle w:val="Body A"/>
        <w:rPr>
          <w:rFonts w:ascii="Arial" w:cs="Arial" w:hAnsi="Arial" w:eastAsia="Arial"/>
          <w:b w:val="1"/>
          <w:bCs w:val="1"/>
          <w:sz w:val="28"/>
          <w:szCs w:val="28"/>
          <w:lang w:val="de-DE"/>
        </w:rPr>
      </w:pPr>
      <w:r>
        <w:rPr>
          <w:rFonts w:ascii="Arial" w:hAnsi="Arial"/>
          <w:b w:val="1"/>
          <w:bCs w:val="1"/>
          <w:sz w:val="28"/>
          <w:szCs w:val="28"/>
          <w:rtl w:val="0"/>
          <w:lang w:val="de-DE"/>
        </w:rPr>
        <w:t>COVID-19 an Overview and impact on ER</w:t>
      </w:r>
    </w:p>
    <w:p>
      <w:pPr>
        <w:pStyle w:val="Body A"/>
        <w:rPr>
          <w:rFonts w:ascii="Arial" w:cs="Arial" w:hAnsi="Arial" w:eastAsia="Arial"/>
          <w:sz w:val="28"/>
          <w:szCs w:val="28"/>
        </w:rPr>
      </w:pPr>
      <w:r>
        <w:rPr>
          <w:rFonts w:ascii="Arial" w:hAnsi="Arial"/>
          <w:sz w:val="28"/>
          <w:szCs w:val="28"/>
          <w:rtl w:val="0"/>
          <w:lang w:val="en-US"/>
        </w:rPr>
        <w:t>The impact of COVID-19 on the UK population, health system and economy has substantially impacted ER and has been referred to as the greatest demand humanity has faced since World War 2. It has swiftly spread around the world, bringing health, political, economic, environmental and social challenges. (Chakraborty and Maity, 2020, Sarkar, Debnath and Reang, 2021, Lui et al, 2020, Anser et al, 2020, Lal et al, 2020)</w:t>
      </w:r>
    </w:p>
    <w:p>
      <w:pPr>
        <w:pStyle w:val="Body A"/>
        <w:rPr>
          <w:rFonts w:ascii="Arial" w:cs="Arial" w:hAnsi="Arial" w:eastAsia="Arial"/>
          <w:sz w:val="28"/>
          <w:szCs w:val="28"/>
        </w:rPr>
      </w:pPr>
      <w:r>
        <w:rPr>
          <w:rFonts w:ascii="Arial" w:hAnsi="Arial"/>
          <w:sz w:val="28"/>
          <w:szCs w:val="28"/>
          <w:rtl w:val="0"/>
          <w:lang w:val="en-US"/>
        </w:rPr>
        <w:t xml:space="preserve">The first identified cases of COVID-19, in the United Kingdom, was reported in late January 2020. (Almad et al, 2020) With person to person transference within the country confirmed by late February, directly impacting the ER within organisations. International and regional local travel restrictions were imposed, which immediately implicated ER within the hospitality, international travel and tourism employment sectors, causing redundancies and furlough. (Gossling, Scott and Hall, 2020, Oyarzun, 2020) </w:t>
      </w:r>
    </w:p>
    <w:p>
      <w:pPr>
        <w:pStyle w:val="Body A"/>
        <w:rPr>
          <w:rFonts w:ascii="Arial" w:cs="Arial" w:hAnsi="Arial" w:eastAsia="Arial"/>
          <w:sz w:val="28"/>
          <w:szCs w:val="28"/>
        </w:rPr>
      </w:pPr>
      <w:r>
        <w:rPr>
          <w:rFonts w:ascii="Arial" w:hAnsi="Arial"/>
          <w:sz w:val="28"/>
          <w:szCs w:val="28"/>
          <w:rtl w:val="0"/>
          <w:lang w:val="en-US"/>
        </w:rPr>
        <w:t>The novel disease struck the entire world, through widespread human transmission. (Bukari and Jameel, 2020) Resulting in 41,908, 988 confirmed cases, 1141,130 deaths and 31, 100, 678 recovered cases as of December. (ONS, 2020) Latest figures show a positive testing in Wales has decreased, equating to 44,1000 or 1.45% of the population. However local stats of positive cases have shown Swiss Valley a local village showing a worryingly 700/100,000 cases positive.  COVID-19 has affirmed how remarkably unprepared the world is for a pandemic and how freely viruses advance in our linked-up world. (Kavanagh et al, 2020)</w:t>
      </w:r>
    </w:p>
    <w:p>
      <w:pPr>
        <w:pStyle w:val="Body A"/>
        <w:rPr>
          <w:rFonts w:ascii="Arial" w:cs="Arial" w:hAnsi="Arial" w:eastAsia="Arial"/>
          <w:sz w:val="28"/>
          <w:szCs w:val="28"/>
        </w:rPr>
      </w:pPr>
      <w:r>
        <w:rPr>
          <w:rFonts w:ascii="Arial" w:hAnsi="Arial"/>
          <w:sz w:val="28"/>
          <w:szCs w:val="28"/>
          <w:rtl w:val="0"/>
          <w:lang w:val="en-US"/>
        </w:rPr>
        <w:t>COVID-19 has induced the ER world to react with agility and change their work, social and home life practices drastically. (Glandra et al, 2020) These Including impacts on DWP</w:t>
      </w:r>
      <w:r>
        <w:rPr>
          <w:rFonts w:ascii="Arial" w:hAnsi="Arial" w:hint="default"/>
          <w:sz w:val="28"/>
          <w:szCs w:val="28"/>
          <w:rtl w:val="0"/>
          <w:lang w:val="en-US"/>
        </w:rPr>
        <w:t>’</w:t>
      </w:r>
      <w:r>
        <w:rPr>
          <w:rFonts w:ascii="Arial" w:hAnsi="Arial"/>
          <w:sz w:val="28"/>
          <w:szCs w:val="28"/>
          <w:rtl w:val="0"/>
          <w:lang w:val="en-US"/>
        </w:rPr>
        <w:t xml:space="preserve">s working arrangements, which has forced 85% of businesses to work remotely at home. </w:t>
      </w:r>
    </w:p>
    <w:p>
      <w:pPr>
        <w:pStyle w:val="Body A"/>
        <w:rPr>
          <w:rFonts w:ascii="Arial" w:cs="Arial" w:hAnsi="Arial" w:eastAsia="Arial"/>
          <w:sz w:val="28"/>
          <w:szCs w:val="28"/>
        </w:rPr>
      </w:pPr>
      <w:r>
        <w:rPr>
          <w:rFonts w:ascii="Arial" w:hAnsi="Arial"/>
          <w:sz w:val="28"/>
          <w:szCs w:val="28"/>
          <w:rtl w:val="0"/>
          <w:lang w:val="en-US"/>
        </w:rPr>
        <w:t>Significantly, numerous attempts have been hastily made to mitigate the proliferation of COVID-19, including national lockdowns implicating the whole of the country, together with regional lockdown that has effected Wales only and social distancing strategies.  (Sismondo, 2020) Which have subsequently implicated ER negatively in terms of health and wellbeing, Evidenced by a study by people reporting to feel socially isolated and suffering from psychological problems, such as anxiety. (Montak et al, 2020)</w:t>
      </w:r>
    </w:p>
    <w:p>
      <w:pPr>
        <w:pStyle w:val="Body A"/>
        <w:rPr>
          <w:rFonts w:ascii="Arial" w:cs="Arial" w:hAnsi="Arial" w:eastAsia="Arial"/>
          <w:sz w:val="28"/>
          <w:szCs w:val="28"/>
        </w:rPr>
      </w:pPr>
      <w:r>
        <w:rPr>
          <w:rFonts w:ascii="Arial" w:hAnsi="Arial"/>
          <w:sz w:val="28"/>
          <w:szCs w:val="28"/>
          <w:rtl w:val="0"/>
          <w:lang w:val="en-US"/>
        </w:rPr>
        <w:t>It is important to recognise that however devastating the impact of COVID-19 has been on society, and the negative psychological aspects resulting from quarantine and the economy, it is pivotal for the public to comprehend the positive effects to ER.  Such as improvements effective technological advancements including Microsoft teams and zoom in DWP, that have developed ER and brought people together whilst working remotely. (Kumaravel et al, 2020)</w:t>
      </w:r>
    </w:p>
    <w:p>
      <w:pPr>
        <w:pStyle w:val="Body A"/>
        <w:rPr>
          <w:rFonts w:ascii="Arial" w:cs="Arial" w:hAnsi="Arial" w:eastAsia="Arial"/>
          <w:sz w:val="28"/>
          <w:szCs w:val="28"/>
        </w:rPr>
      </w:pPr>
      <w:r>
        <w:rPr>
          <w:rFonts w:ascii="Arial" w:hAnsi="Arial"/>
          <w:sz w:val="28"/>
          <w:szCs w:val="28"/>
          <w:rtl w:val="0"/>
          <w:lang w:val="en-US"/>
        </w:rPr>
        <w:t>The impact on DWP has been and signified by a staggeringly agile, collaborative approach to helping the UK. For example, DWP has produced policy legislation development, including the Coronavirus Act (2020) and administering additional Universal Credit welfare benefits to citizens. (GOV.UK 2020)</w:t>
      </w:r>
    </w:p>
    <w:p>
      <w:pPr>
        <w:pStyle w:val="Body A"/>
        <w:rPr>
          <w:rFonts w:ascii="Arial" w:cs="Arial" w:hAnsi="Arial" w:eastAsia="Arial"/>
          <w:sz w:val="28"/>
          <w:szCs w:val="28"/>
        </w:rPr>
      </w:pPr>
      <w:r>
        <w:rPr>
          <w:rFonts w:ascii="Arial" w:hAnsi="Arial"/>
          <w:sz w:val="28"/>
          <w:szCs w:val="28"/>
          <w:rtl w:val="0"/>
          <w:lang w:val="en-US"/>
        </w:rPr>
        <w:t>The pandemic has had a positive effect of DWP</w:t>
      </w:r>
      <w:r>
        <w:rPr>
          <w:rFonts w:ascii="Arial" w:hAnsi="Arial" w:hint="default"/>
          <w:sz w:val="28"/>
          <w:szCs w:val="28"/>
          <w:rtl w:val="0"/>
          <w:lang w:val="en-US"/>
        </w:rPr>
        <w:t>’</w:t>
      </w:r>
      <w:r>
        <w:rPr>
          <w:rFonts w:ascii="Arial" w:hAnsi="Arial"/>
          <w:sz w:val="28"/>
          <w:szCs w:val="28"/>
          <w:rtl w:val="0"/>
          <w:lang w:val="en-US"/>
        </w:rPr>
        <w:t xml:space="preserve">s ER climate in areas such as job satisfaction, commitment and engagement. This is due to DWP taking the lead in responding, mitigating and resolving the crisis which has resulted in an increased passion and commitment to work. (DWP, 2020) </w:t>
      </w:r>
    </w:p>
    <w:p>
      <w:pPr>
        <w:pStyle w:val="Body A"/>
        <w:rPr>
          <w:rFonts w:ascii="Arial" w:cs="Arial" w:hAnsi="Arial" w:eastAsia="Arial"/>
          <w:sz w:val="28"/>
          <w:szCs w:val="28"/>
        </w:rPr>
      </w:pPr>
      <w:r>
        <w:rPr>
          <w:rFonts w:ascii="Arial" w:hAnsi="Arial"/>
          <w:sz w:val="28"/>
          <w:szCs w:val="28"/>
          <w:rtl w:val="0"/>
          <w:lang w:val="en-US"/>
        </w:rPr>
        <w:t xml:space="preserve"> DWP</w:t>
      </w:r>
      <w:r>
        <w:rPr>
          <w:rFonts w:ascii="Arial" w:hAnsi="Arial" w:hint="default"/>
          <w:sz w:val="28"/>
          <w:szCs w:val="28"/>
          <w:rtl w:val="0"/>
          <w:lang w:val="en-US"/>
        </w:rPr>
        <w:t>’</w:t>
      </w:r>
      <w:r>
        <w:rPr>
          <w:rFonts w:ascii="Arial" w:hAnsi="Arial"/>
          <w:sz w:val="28"/>
          <w:szCs w:val="28"/>
          <w:rtl w:val="0"/>
          <w:lang w:val="en-US"/>
        </w:rPr>
        <w:t>s effective ER has driven the commitment and enthusiasm shown by colleagues to help the UK</w:t>
      </w:r>
      <w:r>
        <w:rPr>
          <w:rFonts w:ascii="Arial" w:hAnsi="Arial" w:hint="default"/>
          <w:sz w:val="28"/>
          <w:szCs w:val="28"/>
          <w:rtl w:val="0"/>
          <w:lang w:val="en-US"/>
        </w:rPr>
        <w:t>’</w:t>
      </w:r>
      <w:r>
        <w:rPr>
          <w:rFonts w:ascii="Arial" w:hAnsi="Arial"/>
          <w:sz w:val="28"/>
          <w:szCs w:val="28"/>
          <w:rtl w:val="0"/>
          <w:lang w:val="en-US"/>
        </w:rPr>
        <w:t>s vulnerable people at the time of the crisis. (DWP, 2020, GOV.UK, 2020) These positive behaviours have been evidenced by Colleagues who have flexed their working hours, job roles, and worked overtime to ensure the country has been able to cope with the pandemic. (GOV. The UK)</w:t>
      </w:r>
    </w:p>
    <w:p>
      <w:pPr>
        <w:pStyle w:val="Body A"/>
        <w:rPr>
          <w:rFonts w:ascii="Arial" w:cs="Arial" w:hAnsi="Arial" w:eastAsia="Arial"/>
          <w:sz w:val="28"/>
          <w:szCs w:val="28"/>
        </w:rPr>
      </w:pPr>
      <w:r>
        <w:rPr>
          <w:rFonts w:ascii="Arial" w:hAnsi="Arial"/>
          <w:sz w:val="28"/>
          <w:szCs w:val="28"/>
          <w:rtl w:val="0"/>
          <w:lang w:val="en-US"/>
        </w:rPr>
        <w:t xml:space="preserve">For DWP during COVID-19 ER has been robust, despite for many employees, their location of work, their work tasks, line management and demands of work have drastically altered. (DWP, 2020) Research suggests that these supplementary demands create unique provocations place a momentous burden on public sector working, resulting in sick leave, burnout, demotivation and lower performance. (Kornelakis, Veliziotis and Voskertsian, 2016, Budd, 2020, Conway et al, 2016, Ognonnaya and Messersmith, 2018) </w:t>
      </w:r>
    </w:p>
    <w:p>
      <w:pPr>
        <w:pStyle w:val="Body A"/>
        <w:rPr>
          <w:rFonts w:ascii="Arial" w:cs="Arial" w:hAnsi="Arial" w:eastAsia="Arial"/>
          <w:sz w:val="28"/>
          <w:szCs w:val="28"/>
        </w:rPr>
      </w:pPr>
      <w:r>
        <w:rPr>
          <w:rFonts w:ascii="Arial" w:hAnsi="Arial"/>
          <w:sz w:val="28"/>
          <w:szCs w:val="28"/>
          <w:rtl w:val="0"/>
          <w:lang w:val="en-US"/>
        </w:rPr>
        <w:t>Contrastingly, according to September 2020</w:t>
      </w:r>
      <w:r>
        <w:rPr>
          <w:rFonts w:ascii="Arial" w:hAnsi="Arial" w:hint="default"/>
          <w:sz w:val="28"/>
          <w:szCs w:val="28"/>
          <w:rtl w:val="0"/>
          <w:lang w:val="en-US"/>
        </w:rPr>
        <w:t>’</w:t>
      </w:r>
      <w:r>
        <w:rPr>
          <w:rFonts w:ascii="Arial" w:hAnsi="Arial"/>
          <w:sz w:val="28"/>
          <w:szCs w:val="28"/>
          <w:rtl w:val="0"/>
          <w:lang w:val="en-US"/>
        </w:rPr>
        <w:t>s DWP People survey, engagement has increased to the highest point in 15 years 82%, with leadership and managing change achieving record highs of 86%. Signifying a thriving positive ER climate and positive shift in DWP employee engagement, trust and commitment. (Trump, 2020, Townsand, Wilkinson and Burgess, 2014) However, DWP</w:t>
      </w:r>
      <w:r>
        <w:rPr>
          <w:rFonts w:ascii="Arial" w:hAnsi="Arial" w:hint="default"/>
          <w:sz w:val="28"/>
          <w:szCs w:val="28"/>
          <w:rtl w:val="0"/>
          <w:lang w:val="en-US"/>
        </w:rPr>
        <w:t>’</w:t>
      </w:r>
      <w:r>
        <w:rPr>
          <w:rFonts w:ascii="Arial" w:hAnsi="Arial"/>
          <w:sz w:val="28"/>
          <w:szCs w:val="28"/>
          <w:rtl w:val="0"/>
          <w:lang w:val="en-US"/>
        </w:rPr>
        <w:t>s 2021</w:t>
      </w:r>
      <w:r>
        <w:rPr>
          <w:rFonts w:ascii="Arial" w:hAnsi="Arial" w:hint="default"/>
          <w:sz w:val="28"/>
          <w:szCs w:val="28"/>
          <w:rtl w:val="0"/>
          <w:lang w:val="en-US"/>
        </w:rPr>
        <w:t xml:space="preserve">’ </w:t>
      </w:r>
      <w:r>
        <w:rPr>
          <w:rFonts w:ascii="Arial" w:hAnsi="Arial"/>
          <w:sz w:val="28"/>
          <w:szCs w:val="28"/>
          <w:rtl w:val="0"/>
          <w:lang w:val="en-US"/>
        </w:rPr>
        <w:t>pulse survey has highlighted that the health and wellbeing of the staff were neglected, with 68% of staff feeling that their health and wellbeing could be improved. (DWP, 2020)</w:t>
      </w: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Theories of ER</w:t>
      </w:r>
    </w:p>
    <w:p>
      <w:pPr>
        <w:pStyle w:val="Body A"/>
        <w:rPr>
          <w:rFonts w:ascii="Arial" w:cs="Arial" w:hAnsi="Arial" w:eastAsia="Arial"/>
          <w:sz w:val="28"/>
          <w:szCs w:val="28"/>
        </w:rPr>
      </w:pPr>
      <w:r>
        <w:rPr>
          <w:rFonts w:ascii="Arial" w:hAnsi="Arial"/>
          <w:sz w:val="28"/>
          <w:szCs w:val="28"/>
          <w:rtl w:val="0"/>
          <w:lang w:val="en-US"/>
        </w:rPr>
        <w:t xml:space="preserve">Several theories of ER have shaped the workplace and have evolved through history. ER was traditionally focused on the institutions of trade unions and collective bargaining using a descriptive static systems approach. (Dunlop 1958) He argued that the major output of the industrial relations system is a body of rules created to govern the actors at the workplace and work community. (Rubery, 2018) These rules are a product of interactions between three key actors, management labour and the government, who are tied together by a common ideology. </w:t>
      </w:r>
    </w:p>
    <w:p>
      <w:pPr>
        <w:pStyle w:val="Body A"/>
        <w:rPr>
          <w:rFonts w:ascii="Arial" w:cs="Arial" w:hAnsi="Arial" w:eastAsia="Arial"/>
          <w:sz w:val="28"/>
          <w:szCs w:val="28"/>
        </w:rPr>
      </w:pPr>
      <w:r>
        <w:rPr>
          <w:rFonts w:ascii="Arial" w:hAnsi="Arial"/>
          <w:sz w:val="28"/>
          <w:szCs w:val="28"/>
          <w:rtl w:val="0"/>
          <w:lang w:val="en-US"/>
        </w:rPr>
        <w:t>This systematic view of the employment relationship contributed to our understanding of the interdependences between actors. (Inversi, Buckly and Dundon, 2017) However, this theory has been criticised for being too static, failing to specify how change occurs in industrial</w:t>
      </w:r>
      <w:r>
        <w:rPr>
          <w:rFonts w:ascii="Arial" w:hAnsi="Arial"/>
          <w:sz w:val="28"/>
          <w:szCs w:val="28"/>
          <w:rtl w:val="0"/>
          <w:lang w:val="fr-FR"/>
        </w:rPr>
        <w:t xml:space="preserve"> relations</w:t>
      </w:r>
      <w:r>
        <w:rPr>
          <w:rFonts w:ascii="Arial" w:hAnsi="Arial"/>
          <w:sz w:val="28"/>
          <w:szCs w:val="28"/>
          <w:rtl w:val="0"/>
          <w:lang w:val="en-US"/>
        </w:rPr>
        <w:t xml:space="preserve"> and a theory which has since widened.</w:t>
      </w:r>
    </w:p>
    <w:p>
      <w:pPr>
        <w:pStyle w:val="Body A"/>
        <w:rPr>
          <w:rFonts w:ascii="Arial" w:cs="Arial" w:hAnsi="Arial" w:eastAsia="Arial"/>
          <w:sz w:val="28"/>
          <w:szCs w:val="28"/>
        </w:rPr>
      </w:pPr>
      <w:r>
        <w:rPr>
          <w:rFonts w:ascii="Arial" w:hAnsi="Arial"/>
          <w:sz w:val="28"/>
          <w:szCs w:val="28"/>
          <w:rtl w:val="0"/>
          <w:lang w:val="en-US"/>
        </w:rPr>
        <w:t>Furthermore, Hyman (1975) was the early frontrunner of the Marxist perspective of ER. He held profound viewpoints on ER, contributing a structure constructed around the concepts of totality, change, contradiction and practice. Hyman followed the injected Marxist method, which asserts that all social phenomenon is connected. Such as, the alleged self-governing industrial relations system of Dunlop</w:t>
      </w:r>
      <w:r>
        <w:rPr>
          <w:rFonts w:ascii="Arial" w:hAnsi="Arial" w:hint="default"/>
          <w:sz w:val="28"/>
          <w:szCs w:val="28"/>
          <w:rtl w:val="0"/>
          <w:lang w:val="en-US"/>
        </w:rPr>
        <w:t>’</w:t>
      </w:r>
      <w:r>
        <w:rPr>
          <w:rFonts w:ascii="Arial" w:hAnsi="Arial"/>
          <w:sz w:val="28"/>
          <w:szCs w:val="28"/>
          <w:rtl w:val="0"/>
          <w:lang w:val="en-US"/>
        </w:rPr>
        <w:t xml:space="preserve">s pluralist theory, which has been criticised for being analysed independently. (Moumoutzis and Zartaloudis, 2016) </w:t>
      </w:r>
    </w:p>
    <w:p>
      <w:pPr>
        <w:pStyle w:val="Body A"/>
        <w:rPr>
          <w:rFonts w:ascii="Arial" w:cs="Arial" w:hAnsi="Arial" w:eastAsia="Arial"/>
          <w:sz w:val="28"/>
          <w:szCs w:val="28"/>
        </w:rPr>
      </w:pPr>
      <w:r>
        <w:rPr>
          <w:rFonts w:ascii="Arial" w:hAnsi="Arial"/>
          <w:sz w:val="28"/>
          <w:szCs w:val="28"/>
          <w:rtl w:val="0"/>
          <w:lang w:val="en-US"/>
        </w:rPr>
        <w:t>However, Parkin (1975) criticized Hyman</w:t>
      </w:r>
      <w:r>
        <w:rPr>
          <w:rFonts w:ascii="Arial" w:hAnsi="Arial" w:hint="default"/>
          <w:sz w:val="28"/>
          <w:szCs w:val="28"/>
          <w:rtl w:val="0"/>
          <w:lang w:val="en-US"/>
        </w:rPr>
        <w:t>’</w:t>
      </w:r>
      <w:r>
        <w:rPr>
          <w:rFonts w:ascii="Arial" w:hAnsi="Arial"/>
          <w:sz w:val="28"/>
          <w:szCs w:val="28"/>
          <w:rtl w:val="0"/>
          <w:lang w:val="en-US"/>
        </w:rPr>
        <w:t>s work which focused on the social class, namely identifying other variations of social division within the labour market such as ethnicity and gender, cannot be easily explained through a Marxist framework. (Rubery, Hebson and Chris 2018)</w:t>
      </w:r>
    </w:p>
    <w:p>
      <w:pPr>
        <w:pStyle w:val="Body A"/>
        <w:rPr>
          <w:rFonts w:ascii="Arial" w:cs="Arial" w:hAnsi="Arial" w:eastAsia="Arial"/>
          <w:sz w:val="28"/>
          <w:szCs w:val="28"/>
        </w:rPr>
      </w:pPr>
      <w:r>
        <w:rPr>
          <w:rFonts w:ascii="Arial" w:hAnsi="Arial"/>
          <w:sz w:val="28"/>
          <w:szCs w:val="28"/>
          <w:rtl w:val="0"/>
          <w:lang w:val="en-US"/>
        </w:rPr>
        <w:t xml:space="preserve">Accordingly, several other theories exist in the field of ER, including the French regulation theories. Although they argue the decline of collective bargaining, which has been chastised as being too complex and cannot be easily quantified. (Inversi, Buckly and Dundon, 2017) </w:t>
      </w:r>
    </w:p>
    <w:p>
      <w:pPr>
        <w:pStyle w:val="Body A"/>
        <w:rPr>
          <w:rFonts w:ascii="Arial" w:cs="Arial" w:hAnsi="Arial" w:eastAsia="Arial"/>
          <w:sz w:val="28"/>
          <w:szCs w:val="28"/>
        </w:rPr>
      </w:pPr>
      <w:r>
        <w:rPr>
          <w:rFonts w:ascii="Arial" w:hAnsi="Arial"/>
          <w:sz w:val="28"/>
          <w:szCs w:val="28"/>
          <w:rtl w:val="0"/>
          <w:lang w:val="en-US"/>
        </w:rPr>
        <w:t>Contrastingly, Wajcman, and Kirton (2000) and Kirton and Healy</w:t>
      </w:r>
      <w:r>
        <w:rPr>
          <w:rFonts w:ascii="Arial" w:hAnsi="Arial" w:hint="default"/>
          <w:sz w:val="28"/>
          <w:szCs w:val="28"/>
          <w:rtl w:val="0"/>
          <w:lang w:val="en-US"/>
        </w:rPr>
        <w:t>’</w:t>
      </w:r>
      <w:r>
        <w:rPr>
          <w:rFonts w:ascii="Arial" w:hAnsi="Arial"/>
          <w:sz w:val="28"/>
          <w:szCs w:val="28"/>
          <w:rtl w:val="0"/>
          <w:lang w:val="en-US"/>
        </w:rPr>
        <w:t>s (2013) Marxist feminist approach accentuates that fluctuations in the organisation of production are critical for equality between the sexes.  Which significantly contrasts to the classical enlightened tradition of free wage labour, as the unified transaction of non-exploited labour-power between equivalents in acknowledgement to labour forces. (Conagan, 2017)</w:t>
      </w:r>
    </w:p>
    <w:p>
      <w:pPr>
        <w:pStyle w:val="Body A"/>
        <w:rPr>
          <w:rFonts w:ascii="Arial" w:cs="Arial" w:hAnsi="Arial" w:eastAsia="Arial"/>
          <w:sz w:val="28"/>
          <w:szCs w:val="28"/>
        </w:rPr>
      </w:pPr>
      <w:r>
        <w:rPr>
          <w:rFonts w:ascii="Arial" w:hAnsi="Arial"/>
          <w:sz w:val="28"/>
          <w:szCs w:val="28"/>
          <w:rtl w:val="0"/>
          <w:lang w:val="en-US"/>
        </w:rPr>
        <w:t>More frequently it is the relationship between the division of labour and the position of women in society, that is considered more complicated for ER.  Moreover, the capitalist mode of production relies on both productive and socially reproductive labour. (Cook, Wang and Wang, 2017) The sexual division of labour existed in feudal times, but within the home and community women performed domestic labour. Relevantly for COVID-19, the disease has implicated females more intensively with 79% of UK</w:t>
      </w:r>
      <w:r>
        <w:rPr>
          <w:rFonts w:ascii="Arial" w:hAnsi="Arial" w:hint="default"/>
          <w:sz w:val="28"/>
          <w:szCs w:val="28"/>
          <w:rtl w:val="0"/>
          <w:lang w:val="en-US"/>
        </w:rPr>
        <w:t>’</w:t>
      </w:r>
      <w:r>
        <w:rPr>
          <w:rFonts w:ascii="Arial" w:hAnsi="Arial"/>
          <w:sz w:val="28"/>
          <w:szCs w:val="28"/>
          <w:rtl w:val="0"/>
          <w:lang w:val="en-US"/>
        </w:rPr>
        <w:t xml:space="preserve">s jobs in the health and social work sectors being women, yet the feminist theory is considered outdated. (Means, 2017) </w:t>
      </w:r>
    </w:p>
    <w:p>
      <w:pPr>
        <w:pStyle w:val="Body A"/>
        <w:rPr>
          <w:rFonts w:ascii="Arial" w:cs="Arial" w:hAnsi="Arial" w:eastAsia="Arial"/>
          <w:sz w:val="28"/>
          <w:szCs w:val="28"/>
        </w:rPr>
      </w:pPr>
      <w:r>
        <w:rPr>
          <w:rFonts w:ascii="Arial" w:hAnsi="Arial"/>
          <w:sz w:val="28"/>
          <w:szCs w:val="28"/>
          <w:rtl w:val="0"/>
          <w:lang w:val="en-US"/>
        </w:rPr>
        <w:t xml:space="preserve">Nerveless, Marx has been chastised as unable to relate his analysis to the forms of labour process with an analysis of the sexual division of labour within the ER.  Socially, reproductive labour can be defined as </w:t>
      </w:r>
      <w:r>
        <w:rPr>
          <w:rFonts w:ascii="Arial" w:hAnsi="Arial" w:hint="default"/>
          <w:sz w:val="28"/>
          <w:szCs w:val="28"/>
          <w:rtl w:val="0"/>
          <w:lang w:val="en-US"/>
        </w:rPr>
        <w:t>“</w:t>
      </w:r>
      <w:r>
        <w:rPr>
          <w:rFonts w:ascii="Arial" w:hAnsi="Arial"/>
          <w:sz w:val="28"/>
          <w:szCs w:val="28"/>
          <w:rtl w:val="0"/>
          <w:lang w:val="en-US"/>
        </w:rPr>
        <w:t>the labour of individuals to sustain, care for and attend to the survival of well-being and reposition of themselves and each other. (Hardy, 2016) The Marxist feminist insight and insistence then are to focus on the connections and contradictions between productive and socially productive labour.</w:t>
      </w:r>
    </w:p>
    <w:p>
      <w:pPr>
        <w:pStyle w:val="Body A"/>
        <w:rPr>
          <w:rFonts w:ascii="Arial" w:cs="Arial" w:hAnsi="Arial" w:eastAsia="Arial"/>
          <w:sz w:val="28"/>
          <w:szCs w:val="28"/>
        </w:rPr>
      </w:pPr>
      <w:r>
        <w:rPr>
          <w:rFonts w:ascii="Arial" w:hAnsi="Arial"/>
          <w:sz w:val="28"/>
          <w:szCs w:val="28"/>
          <w:rtl w:val="0"/>
          <w:lang w:val="en-US"/>
        </w:rPr>
        <w:t>Women</w:t>
      </w:r>
      <w:r>
        <w:rPr>
          <w:rFonts w:ascii="Arial" w:hAnsi="Arial" w:hint="default"/>
          <w:sz w:val="28"/>
          <w:szCs w:val="28"/>
          <w:rtl w:val="0"/>
          <w:lang w:val="en-US"/>
        </w:rPr>
        <w:t>’</w:t>
      </w:r>
      <w:r>
        <w:rPr>
          <w:rFonts w:ascii="Arial" w:hAnsi="Arial"/>
          <w:sz w:val="28"/>
          <w:szCs w:val="28"/>
          <w:rtl w:val="0"/>
          <w:lang w:val="en-US"/>
        </w:rPr>
        <w:t xml:space="preserve">s labour equality in the Civil Service workplace has transformed over the last decades. (Fitzpatrick and Richards, 2019) The public sphere of employment can no longer be considered </w:t>
      </w:r>
      <w:r>
        <w:rPr>
          <w:rFonts w:ascii="Arial" w:hAnsi="Arial"/>
          <w:sz w:val="28"/>
          <w:szCs w:val="28"/>
          <w:rtl w:val="0"/>
          <w:lang w:val="es-ES_tradnl"/>
        </w:rPr>
        <w:t>primarily male</w:t>
      </w:r>
      <w:r>
        <w:rPr>
          <w:rFonts w:ascii="Arial" w:hAnsi="Arial"/>
          <w:sz w:val="28"/>
          <w:szCs w:val="28"/>
          <w:rtl w:val="0"/>
          <w:lang w:val="en-US"/>
        </w:rPr>
        <w:t>-dominated, with women accounting for 68% of DWP</w:t>
      </w:r>
      <w:r>
        <w:rPr>
          <w:rFonts w:ascii="Arial" w:hAnsi="Arial" w:hint="default"/>
          <w:sz w:val="28"/>
          <w:szCs w:val="28"/>
          <w:rtl w:val="0"/>
          <w:lang w:val="en-US"/>
        </w:rPr>
        <w:t>’</w:t>
      </w:r>
      <w:r>
        <w:rPr>
          <w:rFonts w:ascii="Arial" w:hAnsi="Arial"/>
          <w:sz w:val="28"/>
          <w:szCs w:val="28"/>
          <w:rtl w:val="0"/>
          <w:lang w:val="en-US"/>
        </w:rPr>
        <w:t>s workforce. (DWP, 2020)   Women currently play crucial leadership actor roles in the DWP, with 80% of DWP leaders and 93% of the director-general being women. (DWP, 2020)   Accordingly, women are driving the gender equality and diversity agenda in the rest of the Civil Service. (Paltasingh and Lingam, 2015)</w:t>
      </w:r>
    </w:p>
    <w:p>
      <w:pPr>
        <w:pStyle w:val="Body A"/>
        <w:rPr>
          <w:rFonts w:ascii="Arial" w:cs="Arial" w:hAnsi="Arial" w:eastAsia="Arial"/>
          <w:sz w:val="28"/>
          <w:szCs w:val="28"/>
        </w:rPr>
      </w:pPr>
      <w:r>
        <w:rPr>
          <w:rFonts w:ascii="Arial" w:hAnsi="Arial"/>
          <w:sz w:val="28"/>
          <w:szCs w:val="28"/>
          <w:rtl w:val="0"/>
          <w:lang w:val="en-US"/>
        </w:rPr>
        <w:t>Furthermore, Braveman</w:t>
      </w:r>
      <w:r>
        <w:rPr>
          <w:rFonts w:ascii="Arial" w:hAnsi="Arial" w:hint="default"/>
          <w:sz w:val="28"/>
          <w:szCs w:val="28"/>
          <w:rtl w:val="0"/>
          <w:lang w:val="en-US"/>
        </w:rPr>
        <w:t>’</w:t>
      </w:r>
      <w:r>
        <w:rPr>
          <w:rFonts w:ascii="Arial" w:hAnsi="Arial"/>
          <w:sz w:val="28"/>
          <w:szCs w:val="28"/>
          <w:rtl w:val="0"/>
          <w:lang w:val="en-US"/>
        </w:rPr>
        <w:t>s (1974) Labor Process Theory, inspired by Marx (1977), proposes that the key to understanding work organisations are positioned in the framework of the wider society, within it is ingrained. Instead of, human psychology or the fluctuation of social interaction. (Guiamet, 2019) He believed the two identified elements of dexterity namely complexity and autonomy were utilised to safeguard increased control and reduced costs.  Subsequently, the theory focused on the labour process which defines the exchange between the employer who owns the means of production and the worker as the possession of power. (Kabwe et al, 2020)</w:t>
      </w:r>
    </w:p>
    <w:p>
      <w:pPr>
        <w:pStyle w:val="Body A"/>
        <w:rPr>
          <w:rFonts w:ascii="Arial" w:cs="Arial" w:hAnsi="Arial" w:eastAsia="Arial"/>
          <w:sz w:val="28"/>
          <w:szCs w:val="28"/>
        </w:rPr>
      </w:pPr>
      <w:r>
        <w:rPr>
          <w:rFonts w:ascii="Arial" w:hAnsi="Arial"/>
          <w:sz w:val="28"/>
          <w:szCs w:val="28"/>
          <w:rtl w:val="0"/>
          <w:lang w:val="en-US"/>
        </w:rPr>
        <w:t xml:space="preserve">Braveman championed a capitalist approach to the social structure which has vigorous connotations for the organisations of work. (Reddy, Sharma and Jha, 2019) However, scholars believed the theory was too simplistic and had been scientifically transcended. (Jonna and Berry, 2015) </w:t>
      </w:r>
    </w:p>
    <w:p>
      <w:pPr>
        <w:pStyle w:val="Body A"/>
        <w:rPr>
          <w:rFonts w:ascii="Arial" w:cs="Arial" w:hAnsi="Arial" w:eastAsia="Arial"/>
          <w:sz w:val="28"/>
          <w:szCs w:val="28"/>
        </w:rPr>
      </w:pPr>
      <w:r>
        <w:rPr>
          <w:rFonts w:ascii="Arial" w:hAnsi="Arial"/>
          <w:sz w:val="28"/>
          <w:szCs w:val="28"/>
          <w:rtl w:val="0"/>
          <w:lang w:val="en-US"/>
        </w:rPr>
        <w:t>Nevertheless, LPT for ER has lost momentum, facilitating post-structured strands of theorising, due to its inability to deal with the increasingly complex demands of today</w:t>
      </w:r>
      <w:r>
        <w:rPr>
          <w:rFonts w:ascii="Arial" w:hAnsi="Arial" w:hint="default"/>
          <w:sz w:val="28"/>
          <w:szCs w:val="28"/>
          <w:rtl w:val="0"/>
          <w:lang w:val="en-US"/>
        </w:rPr>
        <w:t>’</w:t>
      </w:r>
      <w:r>
        <w:rPr>
          <w:rFonts w:ascii="Arial" w:hAnsi="Arial"/>
          <w:sz w:val="28"/>
          <w:szCs w:val="28"/>
          <w:rtl w:val="0"/>
          <w:lang w:val="en-US"/>
        </w:rPr>
        <w:t>s workplace. (O</w:t>
      </w:r>
      <w:r>
        <w:rPr>
          <w:rFonts w:ascii="Arial" w:hAnsi="Arial" w:hint="default"/>
          <w:sz w:val="28"/>
          <w:szCs w:val="28"/>
          <w:rtl w:val="0"/>
          <w:lang w:val="en-US"/>
        </w:rPr>
        <w:t>’</w:t>
      </w:r>
      <w:r>
        <w:rPr>
          <w:rFonts w:ascii="Arial" w:hAnsi="Arial"/>
          <w:sz w:val="28"/>
          <w:szCs w:val="28"/>
          <w:rtl w:val="0"/>
          <w:lang w:val="en-US"/>
        </w:rPr>
        <w:t>Dohery and Willmott, 2016) Coupled with the fact the work autonomy has declined for most occupations, should be highlighted as a progressive change, had has a resulted in LPT</w:t>
      </w:r>
      <w:r>
        <w:rPr>
          <w:rFonts w:ascii="Arial" w:hAnsi="Arial" w:hint="default"/>
          <w:sz w:val="28"/>
          <w:szCs w:val="28"/>
          <w:rtl w:val="0"/>
          <w:lang w:val="en-US"/>
        </w:rPr>
        <w:t>’</w:t>
      </w:r>
      <w:r>
        <w:rPr>
          <w:rFonts w:ascii="Arial" w:hAnsi="Arial"/>
          <w:sz w:val="28"/>
          <w:szCs w:val="28"/>
          <w:rtl w:val="0"/>
          <w:lang w:val="en-US"/>
        </w:rPr>
        <w:t>s one-sided view of Marx</w:t>
      </w:r>
      <w:r>
        <w:rPr>
          <w:rFonts w:ascii="Arial" w:hAnsi="Arial" w:hint="default"/>
          <w:sz w:val="28"/>
          <w:szCs w:val="28"/>
          <w:rtl w:val="0"/>
          <w:lang w:val="en-US"/>
        </w:rPr>
        <w:t>’</w:t>
      </w:r>
      <w:r>
        <w:rPr>
          <w:rFonts w:ascii="Arial" w:hAnsi="Arial"/>
          <w:sz w:val="28"/>
          <w:szCs w:val="28"/>
          <w:rtl w:val="0"/>
          <w:lang w:val="en-US"/>
        </w:rPr>
        <w:t>s research. (Quinlan Robertson and Gerrars, 2019) In contrast, non-Marxist theories, provide a fundamental part to technological change as a driver of social change, deemed prevalent today with the onset of COVID-19 forcing % of the working population to rely on technologies working from home. (Adler, 2007, Chai et al, 2017, Perez and Cifuentas, 2020 Martin, 2017, Davis, 2016 and Frenken and Schor, 2017, Gandini, 2018)</w:t>
      </w:r>
    </w:p>
    <w:p>
      <w:pPr>
        <w:pStyle w:val="Body A"/>
        <w:rPr>
          <w:rFonts w:ascii="Arial" w:cs="Arial" w:hAnsi="Arial" w:eastAsia="Arial"/>
          <w:sz w:val="28"/>
          <w:szCs w:val="28"/>
        </w:rPr>
      </w:pPr>
      <w:r>
        <w:rPr>
          <w:rFonts w:ascii="Arial" w:hAnsi="Arial"/>
          <w:sz w:val="28"/>
          <w:szCs w:val="28"/>
          <w:rtl w:val="0"/>
          <w:lang w:val="en-US"/>
        </w:rPr>
        <w:t xml:space="preserve">The deep effects of globalisation and the recent COVID-19 have called into the question the adequacy of current theoretical frameworks for understanding and critiquing ER. (Wang, 2020, Fudge and Chris, 2017) In terms of the ER climate in the UK, the emergence of COVID-19 has drastically impacted the physical, mental, social, well-being and finances of the whole population. (Prosser et al, 2020) </w:t>
      </w:r>
    </w:p>
    <w:p>
      <w:pPr>
        <w:pStyle w:val="Body A"/>
        <w:rPr>
          <w:rFonts w:ascii="Arial" w:cs="Arial" w:hAnsi="Arial" w:eastAsia="Arial"/>
          <w:sz w:val="28"/>
          <w:szCs w:val="28"/>
        </w:rPr>
      </w:pPr>
      <w:r>
        <w:rPr>
          <w:rFonts w:ascii="Arial" w:hAnsi="Arial"/>
          <w:sz w:val="28"/>
          <w:szCs w:val="28"/>
          <w:rtl w:val="0"/>
          <w:lang w:val="en-US"/>
        </w:rPr>
        <w:t xml:space="preserve">  </w:t>
      </w:r>
    </w:p>
    <w:p>
      <w:pPr>
        <w:pStyle w:val="Body A"/>
        <w:rPr>
          <w:rFonts w:ascii="Arial" w:cs="Arial" w:hAnsi="Arial" w:eastAsia="Arial"/>
          <w:sz w:val="28"/>
          <w:szCs w:val="28"/>
        </w:rPr>
      </w:pPr>
      <w:r>
        <w:rPr>
          <w:rFonts w:ascii="Arial" w:hAnsi="Arial"/>
          <w:sz w:val="28"/>
          <w:szCs w:val="28"/>
          <w:rtl w:val="0"/>
          <w:lang w:val="en-US"/>
        </w:rPr>
        <w:t xml:space="preserve">  </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The Impact of the COVID-19 pandemic on Megatrends</w:t>
      </w:r>
    </w:p>
    <w:p>
      <w:pPr>
        <w:pStyle w:val="Body A"/>
        <w:rPr>
          <w:rFonts w:ascii="Arial" w:cs="Arial" w:hAnsi="Arial" w:eastAsia="Arial"/>
          <w:b w:val="1"/>
          <w:bCs w:val="1"/>
          <w:sz w:val="28"/>
          <w:szCs w:val="28"/>
        </w:rPr>
      </w:pPr>
      <w:r>
        <w:rPr>
          <w:rFonts w:ascii="Arial" w:hAnsi="Arial"/>
          <w:b w:val="1"/>
          <w:bCs w:val="1"/>
          <w:sz w:val="28"/>
          <w:szCs w:val="28"/>
          <w:rtl w:val="0"/>
          <w:lang w:val="en-US"/>
        </w:rPr>
        <w:t>Technological</w:t>
      </w:r>
    </w:p>
    <w:p>
      <w:pPr>
        <w:pStyle w:val="List Bullet"/>
        <w:rPr>
          <w:rFonts w:ascii="Arial" w:cs="Arial" w:hAnsi="Arial" w:eastAsia="Arial"/>
          <w:sz w:val="28"/>
          <w:szCs w:val="28"/>
        </w:rPr>
      </w:pPr>
      <w:r>
        <w:rPr>
          <w:rFonts w:ascii="Arial" w:hAnsi="Arial"/>
          <w:sz w:val="28"/>
          <w:szCs w:val="28"/>
          <w:rtl w:val="0"/>
          <w:lang w:val="en-US"/>
        </w:rPr>
        <w:t xml:space="preserve">The impact of the COVID-19 pandemic has challenged the technological agility, the resilience of ER within organisations. (Crews, 2020) It has forced businesses globally to resort to technological concepts by default, to manage their business and employee relationships. (Kumar, Gupta and Srivastava, 2020, Shkodina and Serdyuk, 2020) </w:t>
      </w:r>
    </w:p>
    <w:p>
      <w:pPr>
        <w:pStyle w:val="List Bullet"/>
        <w:rPr>
          <w:rFonts w:ascii="Arial" w:cs="Arial" w:hAnsi="Arial" w:eastAsia="Arial"/>
          <w:b w:val="1"/>
          <w:bCs w:val="1"/>
          <w:sz w:val="28"/>
          <w:szCs w:val="28"/>
        </w:rPr>
      </w:pPr>
      <w:r>
        <w:rPr>
          <w:rFonts w:ascii="Arial" w:hAnsi="Arial"/>
          <w:sz w:val="28"/>
          <w:szCs w:val="28"/>
          <w:rtl w:val="0"/>
          <w:lang w:val="en-US"/>
        </w:rPr>
        <w:t>However, these enforced changes have placed considerable strain on organisational ER climate, with colleagues faced with technological ability challenges, trust issues from leaders and technological learning challenges (Singhal, 2020) Padula et al, 2020, Castka, Searcy and Fischer, 2020, Franco, 2020, Yamani, Long and Itoh, 2020)</w:t>
      </w:r>
    </w:p>
    <w:p>
      <w:pPr>
        <w:pStyle w:val="Body A"/>
        <w:rPr>
          <w:rFonts w:ascii="Arial" w:cs="Arial" w:hAnsi="Arial" w:eastAsia="Arial"/>
          <w:sz w:val="28"/>
          <w:szCs w:val="28"/>
        </w:rPr>
      </w:pPr>
      <w:r>
        <w:rPr>
          <w:rFonts w:ascii="Arial" w:hAnsi="Arial"/>
          <w:sz w:val="28"/>
          <w:szCs w:val="28"/>
          <w:rtl w:val="0"/>
          <w:lang w:val="en-US"/>
        </w:rPr>
        <w:t>Although remote working using technologies, has been a feature of some DWP directorates and certain multinational organisations, the pandemic has forced home working on a mass scale simultaneously in all employment sectors except for public sector frontline workers, such as police and medical staff, creating a mixture of implications for ER.</w:t>
      </w:r>
    </w:p>
    <w:p>
      <w:pPr>
        <w:pStyle w:val="Body A"/>
        <w:rPr>
          <w:rFonts w:ascii="Arial" w:cs="Arial" w:hAnsi="Arial" w:eastAsia="Arial"/>
          <w:sz w:val="28"/>
          <w:szCs w:val="28"/>
        </w:rPr>
      </w:pPr>
      <w:r>
        <w:rPr>
          <w:rFonts w:ascii="Arial" w:hAnsi="Arial"/>
          <w:sz w:val="28"/>
          <w:szCs w:val="28"/>
          <w:rtl w:val="0"/>
          <w:lang w:val="en-US"/>
        </w:rPr>
        <w:t>Home-working has harmed ER causing social isolation, mental health and psychological impacts such as increased anxiety. (Floures and O</w:t>
      </w:r>
      <w:r>
        <w:rPr>
          <w:rFonts w:ascii="Arial" w:hAnsi="Arial" w:hint="default"/>
          <w:sz w:val="28"/>
          <w:szCs w:val="28"/>
          <w:rtl w:val="0"/>
          <w:lang w:val="en-US"/>
        </w:rPr>
        <w:t>’</w:t>
      </w:r>
      <w:r>
        <w:rPr>
          <w:rFonts w:ascii="Arial" w:hAnsi="Arial"/>
          <w:sz w:val="28"/>
          <w:szCs w:val="28"/>
          <w:rtl w:val="0"/>
          <w:lang w:val="en-US"/>
        </w:rPr>
        <w:t>Brien, 2020) This fact, together with leaders not physically located with their people to witness the visual deterioration of their staff</w:t>
      </w:r>
      <w:r>
        <w:rPr>
          <w:rFonts w:ascii="Arial" w:hAnsi="Arial" w:hint="default"/>
          <w:sz w:val="28"/>
          <w:szCs w:val="28"/>
          <w:rtl w:val="0"/>
          <w:lang w:val="en-US"/>
        </w:rPr>
        <w:t>’</w:t>
      </w:r>
      <w:r>
        <w:rPr>
          <w:rFonts w:ascii="Arial" w:hAnsi="Arial"/>
          <w:sz w:val="28"/>
          <w:szCs w:val="28"/>
          <w:rtl w:val="0"/>
          <w:lang w:val="en-US"/>
        </w:rPr>
        <w:t>s wellbeing.  Requiring leaders to increase communication with colleagues regarding their health and wellbeing, which has not been consistently achieved in DWP.</w:t>
      </w:r>
    </w:p>
    <w:p>
      <w:pPr>
        <w:pStyle w:val="Body A"/>
        <w:rPr>
          <w:rFonts w:ascii="Arial" w:cs="Arial" w:hAnsi="Arial" w:eastAsia="Arial"/>
          <w:sz w:val="28"/>
          <w:szCs w:val="28"/>
        </w:rPr>
      </w:pPr>
      <w:r>
        <w:rPr>
          <w:rFonts w:ascii="Arial" w:hAnsi="Arial"/>
          <w:sz w:val="28"/>
          <w:szCs w:val="28"/>
          <w:rtl w:val="0"/>
          <w:lang w:val="en-US"/>
        </w:rPr>
        <w:t xml:space="preserve">A study by Mathias et al (2020) demonstrated that people were overwhelmed and bewildered with the pandemic and the new technologies posed to them. (Carlaw, 2020, Saltzman et al, 2020) (Elsevier, 2020, Crews, 2020, Kumararvel et al, 2020) A juxtaposed impact on ER has occurred for millions of people who have reported to feel geographically restricted at home, distressed and despairing as a result, yet connected globally via technology. </w:t>
      </w:r>
    </w:p>
    <w:p>
      <w:pPr>
        <w:pStyle w:val="Body A"/>
        <w:rPr>
          <w:rFonts w:ascii="Arial" w:cs="Arial" w:hAnsi="Arial" w:eastAsia="Arial"/>
          <w:sz w:val="28"/>
          <w:szCs w:val="28"/>
        </w:rPr>
      </w:pPr>
      <w:r>
        <w:rPr>
          <w:rFonts w:ascii="Arial" w:hAnsi="Arial"/>
          <w:sz w:val="28"/>
          <w:szCs w:val="28"/>
          <w:rtl w:val="0"/>
          <w:lang w:val="en-US"/>
        </w:rPr>
        <w:t>It is therefore considered imperative to strengthen the ER climate for DWP and other organisations, for HR and Leaders to priorities colleague</w:t>
      </w:r>
      <w:r>
        <w:rPr>
          <w:rFonts w:ascii="Arial" w:hAnsi="Arial" w:hint="default"/>
          <w:sz w:val="28"/>
          <w:szCs w:val="28"/>
          <w:rtl w:val="0"/>
          <w:lang w:val="en-US"/>
        </w:rPr>
        <w:t>’</w:t>
      </w:r>
      <w:r>
        <w:rPr>
          <w:rFonts w:ascii="Arial" w:hAnsi="Arial"/>
          <w:sz w:val="28"/>
          <w:szCs w:val="28"/>
          <w:rtl w:val="0"/>
          <w:lang w:val="en-US"/>
        </w:rPr>
        <w:t>s health and wellbeing throughout the crisis and for leaders to keep connected with their people in terms of well-being. (Mathias et al, 2020)</w:t>
      </w:r>
    </w:p>
    <w:p>
      <w:pPr>
        <w:pStyle w:val="Body A"/>
        <w:rPr>
          <w:rFonts w:ascii="Arial" w:cs="Arial" w:hAnsi="Arial" w:eastAsia="Arial"/>
          <w:sz w:val="28"/>
          <w:szCs w:val="28"/>
        </w:rPr>
      </w:pPr>
      <w:r>
        <w:rPr>
          <w:rFonts w:ascii="Arial" w:hAnsi="Arial"/>
          <w:sz w:val="28"/>
          <w:szCs w:val="28"/>
          <w:rtl w:val="0"/>
          <w:lang w:val="en-US"/>
        </w:rPr>
        <w:t>DWP</w:t>
      </w:r>
      <w:r>
        <w:rPr>
          <w:rFonts w:ascii="Arial" w:hAnsi="Arial" w:hint="default"/>
          <w:sz w:val="28"/>
          <w:szCs w:val="28"/>
          <w:rtl w:val="0"/>
          <w:lang w:val="en-US"/>
        </w:rPr>
        <w:t>’</w:t>
      </w:r>
      <w:r>
        <w:rPr>
          <w:rFonts w:ascii="Arial" w:hAnsi="Arial"/>
          <w:sz w:val="28"/>
          <w:szCs w:val="28"/>
          <w:rtl w:val="0"/>
          <w:lang w:val="en-US"/>
        </w:rPr>
        <w:t>s ER climate has improved by successfully implementing</w:t>
      </w:r>
      <w:r>
        <w:rPr>
          <w:rFonts w:ascii="Arial" w:hAnsi="Arial"/>
          <w:sz w:val="28"/>
          <w:szCs w:val="28"/>
          <w:rtl w:val="0"/>
          <w:lang w:val="pt-PT"/>
        </w:rPr>
        <w:t xml:space="preserve"> an innovative technology-driven virtual Universal Centre,</w:t>
      </w:r>
      <w:r>
        <w:rPr>
          <w:rFonts w:ascii="Arial" w:hAnsi="Arial"/>
          <w:sz w:val="28"/>
          <w:szCs w:val="28"/>
          <w:rtl w:val="0"/>
          <w:lang w:val="en-US"/>
        </w:rPr>
        <w:t xml:space="preserve"> which has supported over a million citizen to make new claims to UC during the pandemic. (GOV.UK,2020) This change has implicated ER is opposing ways, increasing the ER relationship in terms of colleagues achieving greater job satisfaction. </w:t>
      </w:r>
    </w:p>
    <w:p>
      <w:pPr>
        <w:pStyle w:val="Body A"/>
        <w:rPr>
          <w:rFonts w:ascii="Arial" w:cs="Arial" w:hAnsi="Arial" w:eastAsia="Arial"/>
          <w:sz w:val="28"/>
          <w:szCs w:val="28"/>
        </w:rPr>
      </w:pPr>
      <w:r>
        <w:rPr>
          <w:rFonts w:ascii="Arial" w:hAnsi="Arial"/>
          <w:sz w:val="28"/>
          <w:szCs w:val="28"/>
          <w:rtl w:val="0"/>
          <w:lang w:val="en-US"/>
        </w:rPr>
        <w:t xml:space="preserve">Contrastingly, it has caused some DWP colleagues to feel de-motivated within a new role, ill-equipped technically and lacking confidence in delivering a new service with limited training. </w:t>
      </w:r>
    </w:p>
    <w:p>
      <w:pPr>
        <w:pStyle w:val="Body A"/>
        <w:rPr>
          <w:rFonts w:ascii="Arial" w:cs="Arial" w:hAnsi="Arial" w:eastAsia="Arial"/>
          <w:sz w:val="28"/>
          <w:szCs w:val="28"/>
        </w:rPr>
      </w:pPr>
      <w:r>
        <w:rPr>
          <w:rFonts w:ascii="Arial" w:hAnsi="Arial"/>
          <w:sz w:val="28"/>
          <w:szCs w:val="28"/>
          <w:rtl w:val="0"/>
          <w:lang w:val="en-US"/>
        </w:rPr>
        <w:t xml:space="preserve">Likewise, some DWP colleagues who were thrust into home working as a result of COVID-19 were lacking in technical knowledge, feeling isolated, and without IT equipment. This has seriously implicated ER, with Leaders having to utilise special leave with pay, whilst awaiting IT. Resulting in employees feeling disengaged from their colleagues, workplace and excluded from team unity. </w:t>
      </w:r>
    </w:p>
    <w:p>
      <w:pPr>
        <w:pStyle w:val="Body A"/>
        <w:rPr>
          <w:rFonts w:ascii="Arial" w:cs="Arial" w:hAnsi="Arial" w:eastAsia="Arial"/>
          <w:sz w:val="28"/>
          <w:szCs w:val="28"/>
        </w:rPr>
      </w:pPr>
      <w:r>
        <w:rPr>
          <w:rFonts w:ascii="Arial" w:hAnsi="Arial"/>
          <w:sz w:val="28"/>
          <w:szCs w:val="28"/>
          <w:rtl w:val="0"/>
          <w:lang w:val="en-US"/>
        </w:rPr>
        <w:t xml:space="preserve">People are considered the most important asset to organisations. According to Kang and Sung, (2017) effective communication is a dominant symbol of developing effective ER. ER in DWP would have improved in terms of colleague engagement and health and wellbeing. If through this period of special leave, Line managers would have engaged and communicated with staff more often and checked in on their health and wellbeing. </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 xml:space="preserve">Health and Wellbeing </w:t>
      </w:r>
    </w:p>
    <w:p>
      <w:pPr>
        <w:pStyle w:val="Body A"/>
        <w:rPr>
          <w:rFonts w:ascii="Arial" w:cs="Arial" w:hAnsi="Arial" w:eastAsia="Arial"/>
          <w:sz w:val="28"/>
          <w:szCs w:val="28"/>
        </w:rPr>
      </w:pPr>
      <w:r>
        <w:rPr>
          <w:rFonts w:ascii="Arial" w:hAnsi="Arial"/>
          <w:sz w:val="28"/>
          <w:szCs w:val="28"/>
          <w:rtl w:val="0"/>
          <w:lang w:val="en-US"/>
        </w:rPr>
        <w:t>The Work-Life Balance element of ER within DWP and other organisations has been implicated by COVID-19. WLB is an issue of focus for organisations because individuals benefit from having better health and well- being when they have WLB and this in turn impacts of organisational productivity and performance. (Kelliher, Richardson and Boiarintseva, 2019)</w:t>
      </w:r>
    </w:p>
    <w:p>
      <w:pPr>
        <w:pStyle w:val="Body A"/>
        <w:rPr>
          <w:rFonts w:ascii="Arial" w:cs="Arial" w:hAnsi="Arial" w:eastAsia="Arial"/>
          <w:sz w:val="28"/>
          <w:szCs w:val="28"/>
        </w:rPr>
      </w:pPr>
      <w:r>
        <w:rPr>
          <w:rFonts w:ascii="Arial" w:hAnsi="Arial"/>
          <w:sz w:val="28"/>
          <w:szCs w:val="28"/>
          <w:rtl w:val="0"/>
          <w:lang w:val="en-US"/>
        </w:rPr>
        <w:t xml:space="preserve">The central argument is if employees can able to manage work and family conflict and achieve WLB, they would like to be healthy and well at the workplace. WLB has certainly shuddered under the impact of COVID-19 with DWP employees asked to work overtime, long and different hours, to meet the demand of the additional benefit claimants. (Zheng et al, 2015) DWP arguably have done not done enough to ensure the wellbeing of their people. </w:t>
      </w:r>
    </w:p>
    <w:p>
      <w:pPr>
        <w:pStyle w:val="Body A"/>
        <w:rPr>
          <w:rFonts w:ascii="Arial" w:cs="Arial" w:hAnsi="Arial" w:eastAsia="Arial"/>
          <w:sz w:val="28"/>
          <w:szCs w:val="28"/>
        </w:rPr>
      </w:pPr>
      <w:r>
        <w:rPr>
          <w:rFonts w:ascii="Arial" w:hAnsi="Arial"/>
          <w:sz w:val="28"/>
          <w:szCs w:val="28"/>
          <w:rtl w:val="0"/>
          <w:lang w:val="en-US"/>
        </w:rPr>
        <w:t xml:space="preserve">Moreover, for DWP it is important to maintain health and well -being of employers for positive ER and to build resilience to deal with public sectors organisational challenges, such as technological advances, changes in government policy and more recently COVID-19 (Hellerstein and Neumark, 2020)  </w:t>
      </w:r>
    </w:p>
    <w:p>
      <w:pPr>
        <w:pStyle w:val="Body A"/>
        <w:rPr>
          <w:rFonts w:ascii="Arial" w:cs="Arial" w:hAnsi="Arial" w:eastAsia="Arial"/>
          <w:sz w:val="28"/>
          <w:szCs w:val="28"/>
        </w:rPr>
      </w:pPr>
      <w:r>
        <w:rPr>
          <w:rFonts w:ascii="Arial" w:hAnsi="Arial"/>
          <w:sz w:val="28"/>
          <w:szCs w:val="28"/>
          <w:rtl w:val="0"/>
          <w:lang w:val="en-US"/>
        </w:rPr>
        <w:t xml:space="preserve">Gofrey-Wood and Flower, (2018) argue that resilient colleagues recover quicker and better from disruptions than non-resilient employees. Likewise, Tonkin et al, (2018) argue that it is simply not enough to hire resilient employees, but it is essential to implement health and wellbeing practices such as in -house wellbeing exercises or training such as the Wellbeing game a free online tool developed by the Mental Health Foundation of New Zealand. As these type of activities can increase positive mood, behaviour, which leads to increased wellbeing. </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sz w:val="28"/>
          <w:szCs w:val="28"/>
          <w:rtl w:val="0"/>
          <w:lang w:val="en-US"/>
        </w:rPr>
        <w:t>Leadership, Leadership Trust, ER and COVID-19</w:t>
      </w:r>
    </w:p>
    <w:p>
      <w:pPr>
        <w:pStyle w:val="Body A"/>
        <w:rPr>
          <w:rFonts w:ascii="Arial" w:cs="Arial" w:hAnsi="Arial" w:eastAsia="Arial"/>
          <w:sz w:val="28"/>
          <w:szCs w:val="28"/>
        </w:rPr>
      </w:pPr>
      <w:r>
        <w:rPr>
          <w:rFonts w:ascii="Arial" w:hAnsi="Arial"/>
          <w:sz w:val="28"/>
          <w:szCs w:val="28"/>
          <w:rtl w:val="0"/>
          <w:lang w:val="en-US"/>
        </w:rPr>
        <w:t>Research has shown that effective leadership is critical in managing ER during the COVID-19 crisis and otherwise. (Farh, Chen and Gilad, 2018) Leaders have used technology as a tool to increase their ER and employee engagement.   Interestingly, DWP colleagues, who were face to face in an office have reported feeling more connected to their leaders and colleagues. Through daily buzz meetings, video calls, interactive team building sessions, collaborative working across the multifunctioning team, which has subsequently improved job satisfaction and commitment which has been evident in pulse surveys. (DWP, 2021)</w:t>
      </w:r>
    </w:p>
    <w:p>
      <w:pPr>
        <w:pStyle w:val="Body A"/>
        <w:rPr>
          <w:rFonts w:ascii="Arial" w:cs="Arial" w:hAnsi="Arial" w:eastAsia="Arial"/>
          <w:sz w:val="28"/>
          <w:szCs w:val="28"/>
        </w:rPr>
      </w:pPr>
      <w:r>
        <w:rPr>
          <w:rFonts w:ascii="Arial" w:hAnsi="Arial"/>
          <w:sz w:val="28"/>
          <w:szCs w:val="28"/>
          <w:rtl w:val="0"/>
          <w:lang w:val="en-US"/>
        </w:rPr>
        <w:t>Trust is considered a dominant success factor to organisational; employment and stakeholder relationships, such as those in DWP. (Koohang, Paliszkiewicz and Jerzy, 2017) Accordingly, for DWP</w:t>
      </w:r>
      <w:r>
        <w:rPr>
          <w:rFonts w:ascii="Arial" w:hAnsi="Arial" w:hint="default"/>
          <w:sz w:val="28"/>
          <w:szCs w:val="28"/>
          <w:rtl w:val="0"/>
          <w:lang w:val="en-US"/>
        </w:rPr>
        <w:t>’</w:t>
      </w:r>
      <w:r>
        <w:rPr>
          <w:rFonts w:ascii="Arial" w:hAnsi="Arial"/>
          <w:sz w:val="28"/>
          <w:szCs w:val="28"/>
          <w:rtl w:val="0"/>
          <w:lang w:val="en-US"/>
        </w:rPr>
        <w:t>s ER climate, trust has shown to develop positive behaviours such as loyalty, honesty and engagement.  (Monzani, Ripoll and Jose, 2015) The leadership trust stigma associated with home working has now been eradicated with 70,000 employees working from home which has subsequently strengthened trust and ER between leader and colleagues.  (Uddin et al, 2020, Du Plessis, Wakelin and Nel, 2015)</w:t>
      </w:r>
    </w:p>
    <w:p>
      <w:pPr>
        <w:pStyle w:val="Body A"/>
        <w:rPr>
          <w:rFonts w:ascii="Arial" w:cs="Arial" w:hAnsi="Arial" w:eastAsia="Arial"/>
          <w:sz w:val="28"/>
          <w:szCs w:val="28"/>
        </w:rPr>
      </w:pPr>
      <w:r>
        <w:rPr>
          <w:rFonts w:ascii="Arial" w:hAnsi="Arial"/>
          <w:sz w:val="28"/>
          <w:szCs w:val="28"/>
          <w:rtl w:val="0"/>
          <w:lang w:val="en-US"/>
        </w:rPr>
        <w:t>Research has suggested that Emotional Intelligence is strongly associated with trust, employee engagement performance and developing effective employee relations (Krog and Givender, 2015) Yet the DWP People Survey has highlighted that leader</w:t>
      </w:r>
      <w:r>
        <w:rPr>
          <w:rFonts w:ascii="Arial" w:hAnsi="Arial" w:hint="default"/>
          <w:sz w:val="28"/>
          <w:szCs w:val="28"/>
          <w:rtl w:val="0"/>
          <w:lang w:val="en-US"/>
        </w:rPr>
        <w:t>’</w:t>
      </w:r>
      <w:r>
        <w:rPr>
          <w:rFonts w:ascii="Arial" w:hAnsi="Arial"/>
          <w:sz w:val="28"/>
          <w:szCs w:val="28"/>
          <w:rtl w:val="0"/>
          <w:lang w:val="en-US"/>
        </w:rPr>
        <w:t>s emotional intelligence needs to be developed, a critical skill which would enhance ER further within DWP. (Jon, Dirks and Gillespie, 2016)</w:t>
      </w: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hAnsi="Arial"/>
          <w:sz w:val="28"/>
          <w:szCs w:val="28"/>
          <w:rtl w:val="0"/>
          <w:lang w:val="en-US"/>
        </w:rPr>
        <w:t xml:space="preserve"> </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Impact of COVID-19 on Social factors</w:t>
      </w:r>
    </w:p>
    <w:p>
      <w:pPr>
        <w:pStyle w:val="Body A"/>
        <w:rPr>
          <w:rFonts w:ascii="Arial" w:cs="Arial" w:hAnsi="Arial" w:eastAsia="Arial"/>
          <w:sz w:val="28"/>
          <w:szCs w:val="28"/>
        </w:rPr>
      </w:pPr>
      <w:r>
        <w:rPr>
          <w:rFonts w:ascii="Arial" w:hAnsi="Arial"/>
          <w:sz w:val="28"/>
          <w:szCs w:val="28"/>
          <w:rtl w:val="0"/>
          <w:lang w:val="en-US"/>
        </w:rPr>
        <w:t>COVID-19 has presented the ER climate with profound public health, psychological and social effects.  (Valeria, Davide and Vincenzo, 2020) The emotional impact of the pandemic on UK</w:t>
      </w:r>
      <w:r>
        <w:rPr>
          <w:rFonts w:ascii="Arial" w:hAnsi="Arial" w:hint="default"/>
          <w:sz w:val="28"/>
          <w:szCs w:val="28"/>
          <w:rtl w:val="0"/>
          <w:lang w:val="en-US"/>
        </w:rPr>
        <w:t>’</w:t>
      </w:r>
      <w:r>
        <w:rPr>
          <w:rFonts w:ascii="Arial" w:hAnsi="Arial"/>
          <w:sz w:val="28"/>
          <w:szCs w:val="28"/>
          <w:rtl w:val="0"/>
          <w:lang w:val="en-US"/>
        </w:rPr>
        <w:t>s ER climate has been significant.</w:t>
      </w:r>
    </w:p>
    <w:p>
      <w:pPr>
        <w:pStyle w:val="Body A"/>
        <w:rPr>
          <w:rFonts w:ascii="Arial" w:cs="Arial" w:hAnsi="Arial" w:eastAsia="Arial"/>
          <w:sz w:val="28"/>
          <w:szCs w:val="28"/>
        </w:rPr>
      </w:pPr>
      <w:r>
        <w:rPr>
          <w:rFonts w:ascii="Arial" w:hAnsi="Arial"/>
          <w:sz w:val="28"/>
          <w:szCs w:val="28"/>
          <w:rtl w:val="0"/>
          <w:lang w:val="en-US"/>
        </w:rPr>
        <w:t>Social-psychological implications of COVID-19 have been reported, such as social isolation, increased mental health problems, stress, loneliness, a deterioration of symptoms of preexisting psychiatric illness, an increase in depression, anxiety, post-traumatic stress disorder and domestic violence on women reported which has implicated the ER in organisations globally.  (Osofsky et al, 2020, Bierman and Schieman, 2020, Stogner, Miller and Mclean, 2020, Valeria, Davide and Vincenzo, 2020, Banerjee, and Rai, 2020)</w:t>
      </w:r>
    </w:p>
    <w:p>
      <w:pPr>
        <w:pStyle w:val="Body A"/>
        <w:rPr>
          <w:rFonts w:ascii="Arial" w:cs="Arial" w:hAnsi="Arial" w:eastAsia="Arial"/>
          <w:sz w:val="28"/>
          <w:szCs w:val="28"/>
        </w:rPr>
      </w:pPr>
      <w:r>
        <w:rPr>
          <w:rFonts w:ascii="Arial" w:hAnsi="Arial"/>
          <w:sz w:val="28"/>
          <w:szCs w:val="28"/>
          <w:rtl w:val="0"/>
          <w:lang w:val="en-US"/>
        </w:rPr>
        <w:t>Emotions play a significant role in the work of DWP employees, with colleagues dealing directly with customer</w:t>
      </w:r>
      <w:r>
        <w:rPr>
          <w:rFonts w:ascii="Arial" w:hAnsi="Arial" w:hint="default"/>
          <w:sz w:val="28"/>
          <w:szCs w:val="28"/>
          <w:rtl w:val="0"/>
          <w:lang w:val="en-US"/>
        </w:rPr>
        <w:t>’</w:t>
      </w:r>
      <w:r>
        <w:rPr>
          <w:rFonts w:ascii="Arial" w:hAnsi="Arial"/>
          <w:sz w:val="28"/>
          <w:szCs w:val="28"/>
          <w:rtl w:val="0"/>
          <w:lang w:val="en-US"/>
        </w:rPr>
        <w:t xml:space="preserve">s emotions, at emotionally charged life events. (Digas and Papouti, 2019) This is because customers contact DWP during emotionally challenging circumstances, such as claiming benefit as a single parent following a relationship breakdown or a bereavement of a loved one.  (Arfara et al, 2018) </w:t>
      </w:r>
    </w:p>
    <w:p>
      <w:pPr>
        <w:pStyle w:val="Body A"/>
        <w:rPr>
          <w:rFonts w:ascii="Arial" w:cs="Arial" w:hAnsi="Arial" w:eastAsia="Arial"/>
          <w:sz w:val="28"/>
          <w:szCs w:val="28"/>
        </w:rPr>
      </w:pPr>
      <w:r>
        <w:rPr>
          <w:rFonts w:ascii="Arial" w:hAnsi="Arial"/>
          <w:sz w:val="28"/>
          <w:szCs w:val="28"/>
          <w:rtl w:val="0"/>
          <w:lang w:val="en-US"/>
        </w:rPr>
        <w:t>COVID-19 has triggered a requirement for compassionate and effective leadership to support the ER.  Emotions play an integral leadership role because leadership is essentially an emotional execution. COVID-19 requires leaders to react with agility, use their intuition, compassion and EI to ensure that the additional pressures of the pandemic have not affected the health and wellbeing of their people. (Mitha, 2020)</w:t>
      </w:r>
    </w:p>
    <w:p>
      <w:pPr>
        <w:pStyle w:val="Body A"/>
        <w:rPr>
          <w:rFonts w:ascii="Arial" w:cs="Arial" w:hAnsi="Arial" w:eastAsia="Arial"/>
          <w:sz w:val="28"/>
          <w:szCs w:val="28"/>
        </w:rPr>
      </w:pPr>
      <w:r>
        <w:rPr>
          <w:rFonts w:ascii="Arial" w:hAnsi="Arial"/>
          <w:sz w:val="28"/>
          <w:szCs w:val="28"/>
          <w:rtl w:val="0"/>
          <w:lang w:val="en-US"/>
        </w:rPr>
        <w:t>Relevantly, previous research has illuminated the fundamental role that emotions play in our professional and private lives, with academia highlighting the critical role that leadership and emotions play in the performance and well-being of colleagues (Goleman, 1998, Du Plessis and Wakelin, 2015)</w:t>
      </w:r>
    </w:p>
    <w:p>
      <w:pPr>
        <w:pStyle w:val="Body A"/>
        <w:rPr>
          <w:rFonts w:ascii="Arial" w:cs="Arial" w:hAnsi="Arial" w:eastAsia="Arial"/>
          <w:sz w:val="28"/>
          <w:szCs w:val="28"/>
        </w:rPr>
      </w:pPr>
      <w:r>
        <w:rPr>
          <w:rFonts w:ascii="Arial" w:hAnsi="Arial"/>
          <w:sz w:val="28"/>
          <w:szCs w:val="28"/>
          <w:rtl w:val="0"/>
          <w:lang w:val="en-US"/>
        </w:rPr>
        <w:t xml:space="preserve">Furthermore, according to White et al (2019) individuals with higher levels of EI can regulate their emotions to reduce work stress, such as that caused by COVID-19. Accordingly, for DWP research has identified EI to be a fundamental characteristic of effective leadership. EI assists leaders to handle conclusively their own emotions, together with the emotions of their employees, which is of paramount importance for leaders in the management of ER during COVID-19. (Dartey-Baah and Mekpor, 2017) </w:t>
      </w:r>
    </w:p>
    <w:p>
      <w:pPr>
        <w:pStyle w:val="Body A"/>
        <w:rPr>
          <w:rFonts w:ascii="Arial" w:cs="Arial" w:hAnsi="Arial" w:eastAsia="Arial"/>
          <w:sz w:val="28"/>
          <w:szCs w:val="28"/>
        </w:rPr>
      </w:pPr>
      <w:r>
        <w:rPr>
          <w:rFonts w:ascii="Arial" w:hAnsi="Arial"/>
          <w:sz w:val="28"/>
          <w:szCs w:val="28"/>
          <w:rtl w:val="0"/>
          <w:lang w:val="en-US"/>
        </w:rPr>
        <w:t>Relevantly for DWP</w:t>
      </w:r>
      <w:r>
        <w:rPr>
          <w:rFonts w:ascii="Arial" w:hAnsi="Arial" w:hint="default"/>
          <w:sz w:val="28"/>
          <w:szCs w:val="28"/>
          <w:rtl w:val="0"/>
          <w:lang w:val="en-US"/>
        </w:rPr>
        <w:t>’</w:t>
      </w:r>
      <w:r>
        <w:rPr>
          <w:rFonts w:ascii="Arial" w:hAnsi="Arial"/>
          <w:sz w:val="28"/>
          <w:szCs w:val="28"/>
          <w:rtl w:val="0"/>
          <w:lang w:val="en-US"/>
        </w:rPr>
        <w:t xml:space="preserve">s management of ER during COVID, EI has been positively associated with an array of public sector traits. Such as quality customer service, job satisfaction, health and well-being and job satisfaction. (Redmond Knight et al, 2015) </w:t>
      </w:r>
      <w:r>
        <w:rPr>
          <w:rFonts w:ascii="Arial" w:cs="Arial" w:hAnsi="Arial" w:eastAsia="Arial"/>
          <w:sz w:val="28"/>
          <w:szCs w:val="28"/>
        </w:rPr>
        <w:fldChar w:fldCharType="begin" w:fldLock="0"/>
      </w:r>
      <w:r>
        <w:rPr>
          <w:rFonts w:ascii="Arial" w:cs="Arial" w:hAnsi="Arial" w:eastAsia="Arial"/>
          <w:sz w:val="28"/>
          <w:szCs w:val="28"/>
        </w:rPr>
        <w:instrText xml:space="preserve"> ADDIN EN.CITE &lt;EndNote&gt;&lt;Cite  &gt;&lt;Author&gt;Redmond-Knight al&lt;/Author&gt;&lt;Year&gt;2015&lt;/Year&gt;&lt;Prefix&gt;&lt;/Prefix&gt;&lt;Suffix&gt;&lt;/Suffix&gt;&lt;Pages&gt;&lt;/Pages&gt;&lt;DisplayText&gt;(al, 2015)&lt;/DisplayText&gt;&lt;record&gt;&lt;ref-type name="Journal Article"&gt;17&lt;/ref-type&gt;&lt;contributors&gt;&lt;authors&gt;&lt;author&gt;Redmond-Knight al&lt;/author&gt;&lt;/authors&gt;&lt;/contributors&gt;&lt;titles/&gt;&lt;title&gt;The impact of Emotional Intelligence on Conditions of Trusy Amoung Leaders&lt;/title&gt;&lt;periodical/&gt;&lt;dates&gt;&lt;year&gt;2015&lt;/year&gt;&lt;pub-dates/&gt;&lt;/dates&gt;&lt;/record&gt;&lt;/Cite&gt;&lt;/EndNote&gt;</w:instrText>
      </w:r>
      <w:r>
        <w:rPr>
          <w:rFonts w:ascii="Arial" w:cs="Arial" w:hAnsi="Arial" w:eastAsia="Arial"/>
          <w:sz w:val="28"/>
          <w:szCs w:val="28"/>
        </w:rPr>
        <w:fldChar w:fldCharType="separate" w:fldLock="0"/>
      </w:r>
      <w:r>
        <w:rPr>
          <w:rFonts w:ascii="Arial" w:hAnsi="Arial"/>
          <w:sz w:val="28"/>
          <w:szCs w:val="28"/>
          <w:rtl w:val="0"/>
          <w:lang w:val="en-US"/>
        </w:rPr>
        <w:t>(al, 2015)</w:t>
      </w:r>
      <w:r>
        <w:rPr>
          <w:rFonts w:ascii="Arial" w:cs="Arial" w:hAnsi="Arial" w:eastAsia="Arial"/>
          <w:sz w:val="28"/>
          <w:szCs w:val="28"/>
        </w:rPr>
        <w:fldChar w:fldCharType="end" w:fldLock="0"/>
      </w:r>
      <w:r>
        <w:rPr>
          <w:rFonts w:ascii="Arial" w:hAnsi="Arial"/>
          <w:sz w:val="28"/>
          <w:szCs w:val="28"/>
          <w:rtl w:val="0"/>
          <w:lang w:val="en-US"/>
        </w:rPr>
        <w:t>DWP</w:t>
      </w:r>
      <w:r>
        <w:rPr>
          <w:rFonts w:ascii="Arial" w:hAnsi="Arial" w:hint="default"/>
          <w:sz w:val="28"/>
          <w:szCs w:val="28"/>
          <w:rtl w:val="0"/>
          <w:lang w:val="en-US"/>
        </w:rPr>
        <w:t>’</w:t>
      </w:r>
      <w:r>
        <w:rPr>
          <w:rFonts w:ascii="Arial" w:hAnsi="Arial"/>
          <w:sz w:val="28"/>
          <w:szCs w:val="28"/>
          <w:rtl w:val="0"/>
          <w:lang w:val="en-US"/>
        </w:rPr>
        <w:t>s employees already support customers on an emotional and financial level, when they lose a loved one. However, a significant 40% increase in deaths was reported to DWP in 2020 rising to 849,000. (DWP, 2020) This has placed additional emotional demands on colleague</w:t>
      </w:r>
      <w:r>
        <w:rPr>
          <w:rFonts w:ascii="Arial" w:hAnsi="Arial" w:hint="default"/>
          <w:sz w:val="28"/>
          <w:szCs w:val="28"/>
          <w:rtl w:val="0"/>
          <w:lang w:val="en-US"/>
        </w:rPr>
        <w:t>’</w:t>
      </w:r>
      <w:r>
        <w:rPr>
          <w:rFonts w:ascii="Arial" w:hAnsi="Arial"/>
          <w:sz w:val="28"/>
          <w:szCs w:val="28"/>
          <w:rtl w:val="0"/>
          <w:lang w:val="en-US"/>
        </w:rPr>
        <w:t xml:space="preserve">s work caseloads and relevantly placed increased pressure on employment relations. </w:t>
      </w:r>
    </w:p>
    <w:p>
      <w:pPr>
        <w:pStyle w:val="Body A"/>
        <w:rPr>
          <w:rFonts w:ascii="Arial" w:cs="Arial" w:hAnsi="Arial" w:eastAsia="Arial"/>
          <w:sz w:val="28"/>
          <w:szCs w:val="28"/>
        </w:rPr>
      </w:pPr>
      <w:r>
        <w:rPr>
          <w:rFonts w:ascii="Arial" w:hAnsi="Arial"/>
          <w:sz w:val="28"/>
          <w:szCs w:val="28"/>
          <w:rtl w:val="0"/>
          <w:lang w:val="en-US"/>
        </w:rPr>
        <w:t>EI is considered a pivotal skill for DWP leaders who are faced with a demand to develop their ER during COVID-19.   This has been intensified by, an enhanced departmental demand to deal with the increased citizen fatalities and more customers who possess demanding emotional requirements as a result of the global pandemic. (Chicaiza et al, 2020 Ali and Alharbi, 2020, Yum, 2020, Banerjee and Rai, 2020)</w:t>
      </w:r>
    </w:p>
    <w:p>
      <w:pPr>
        <w:pStyle w:val="Body A"/>
        <w:rPr>
          <w:rFonts w:ascii="Arial" w:cs="Arial" w:hAnsi="Arial" w:eastAsia="Arial"/>
          <w:sz w:val="28"/>
          <w:szCs w:val="28"/>
        </w:rPr>
      </w:pPr>
    </w:p>
    <w:p>
      <w:pPr>
        <w:pStyle w:val="Body A"/>
        <w:rPr>
          <w:rFonts w:ascii="Arial" w:cs="Arial" w:hAnsi="Arial" w:eastAsia="Arial"/>
          <w:sz w:val="28"/>
          <w:szCs w:val="28"/>
          <w:lang w:val="de-DE"/>
        </w:rPr>
      </w:pPr>
      <w:r>
        <w:rPr>
          <w:rFonts w:ascii="Arial" w:hAnsi="Arial"/>
          <w:sz w:val="28"/>
          <w:szCs w:val="28"/>
          <w:rtl w:val="0"/>
          <w:lang w:val="de-DE"/>
        </w:rPr>
        <w:t xml:space="preserve"> </w:t>
      </w:r>
    </w:p>
    <w:p>
      <w:pPr>
        <w:pStyle w:val="Body A"/>
        <w:rPr>
          <w:rFonts w:ascii="Arial" w:cs="Arial" w:hAnsi="Arial" w:eastAsia="Arial"/>
          <w:sz w:val="28"/>
          <w:szCs w:val="28"/>
          <w:lang w:val="de-DE"/>
        </w:rPr>
      </w:pPr>
    </w:p>
    <w:p>
      <w:pPr>
        <w:pStyle w:val="Body A"/>
        <w:rPr>
          <w:rFonts w:ascii="Arial" w:cs="Arial" w:hAnsi="Arial" w:eastAsia="Arial"/>
          <w:sz w:val="28"/>
          <w:szCs w:val="28"/>
          <w:lang w:val="de-DE"/>
        </w:rPr>
      </w:pPr>
    </w:p>
    <w:p>
      <w:pPr>
        <w:pStyle w:val="Body A"/>
        <w:rPr>
          <w:rFonts w:ascii="Arial" w:cs="Arial" w:hAnsi="Arial" w:eastAsia="Arial"/>
          <w:sz w:val="28"/>
          <w:szCs w:val="28"/>
          <w:lang w:val="de-DE"/>
        </w:rPr>
      </w:pPr>
    </w:p>
    <w:p>
      <w:pPr>
        <w:pStyle w:val="Body A"/>
        <w:rPr>
          <w:rFonts w:ascii="Arial" w:cs="Arial" w:hAnsi="Arial" w:eastAsia="Arial"/>
          <w:sz w:val="28"/>
          <w:szCs w:val="28"/>
          <w:lang w:val="de-DE"/>
        </w:rPr>
      </w:pPr>
    </w:p>
    <w:p>
      <w:pPr>
        <w:pStyle w:val="Body A"/>
        <w:rPr>
          <w:rFonts w:ascii="Arial" w:cs="Arial" w:hAnsi="Arial" w:eastAsia="Arial"/>
          <w:sz w:val="28"/>
          <w:szCs w:val="28"/>
          <w:lang w:val="de-DE"/>
        </w:rPr>
      </w:pPr>
    </w:p>
    <w:p>
      <w:pPr>
        <w:pStyle w:val="Body A"/>
        <w:rPr>
          <w:rFonts w:ascii="Arial" w:cs="Arial" w:hAnsi="Arial" w:eastAsia="Arial"/>
          <w:sz w:val="28"/>
          <w:szCs w:val="28"/>
          <w:lang w:val="de-DE"/>
        </w:rPr>
      </w:pP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hAnsi="Arial"/>
          <w:sz w:val="28"/>
          <w:szCs w:val="28"/>
          <w:rtl w:val="0"/>
          <w:lang w:val="en-US"/>
        </w:rPr>
        <w:t xml:space="preserve">  </w:t>
      </w:r>
    </w:p>
    <w:p>
      <w:pPr>
        <w:pStyle w:val="Body A"/>
        <w:rPr>
          <w:rFonts w:ascii="Arial" w:cs="Arial" w:hAnsi="Arial" w:eastAsia="Arial"/>
          <w:b w:val="1"/>
          <w:bCs w:val="1"/>
          <w:sz w:val="28"/>
          <w:szCs w:val="28"/>
        </w:rPr>
      </w:pPr>
      <w:r>
        <w:rPr>
          <w:rFonts w:ascii="Arial" w:hAnsi="Arial"/>
          <w:b w:val="1"/>
          <w:bCs w:val="1"/>
          <w:sz w:val="28"/>
          <w:szCs w:val="28"/>
          <w:rtl w:val="0"/>
          <w:lang w:val="en-US"/>
        </w:rPr>
        <w:t>Employee Engagement, Employment Relationship and COVID-19</w:t>
      </w:r>
    </w:p>
    <w:p>
      <w:pPr>
        <w:pStyle w:val="Body A"/>
        <w:rPr>
          <w:rFonts w:ascii="Arial" w:cs="Arial" w:hAnsi="Arial" w:eastAsia="Arial"/>
          <w:sz w:val="28"/>
          <w:szCs w:val="28"/>
        </w:rPr>
      </w:pPr>
      <w:r>
        <w:rPr>
          <w:rFonts w:ascii="Arial" w:hAnsi="Arial"/>
          <w:sz w:val="28"/>
          <w:szCs w:val="28"/>
          <w:rtl w:val="0"/>
          <w:lang w:val="en-US"/>
        </w:rPr>
        <w:t xml:space="preserve">For organisations such as DWP, Leaders must foster increased employee engagement throughout the pandemic. Although research has portrayed that Civil Servants are engaged and feel involved in business decisions, like the rest of the UK, they lack faith in the Prime Ministers decisions during COVID-19. The pandemic has shown that employees disempowered and lack information about the COVID-19 issues that implicate them.  </w:t>
      </w:r>
    </w:p>
    <w:p>
      <w:pPr>
        <w:pStyle w:val="Body A"/>
        <w:rPr>
          <w:rFonts w:ascii="Arial" w:cs="Arial" w:hAnsi="Arial" w:eastAsia="Arial"/>
          <w:sz w:val="28"/>
          <w:szCs w:val="28"/>
        </w:rPr>
      </w:pPr>
      <w:r>
        <w:rPr>
          <w:rFonts w:ascii="Arial" w:hAnsi="Arial"/>
          <w:sz w:val="28"/>
          <w:szCs w:val="28"/>
          <w:rtl w:val="0"/>
          <w:lang w:val="en-US"/>
        </w:rPr>
        <w:t xml:space="preserve">Employee engagement is defined by the CIPD (2020) as focusing on </w:t>
      </w:r>
      <w:r>
        <w:rPr>
          <w:rFonts w:ascii="Arial" w:hAnsi="Arial" w:hint="default"/>
          <w:sz w:val="28"/>
          <w:szCs w:val="28"/>
          <w:rtl w:val="0"/>
          <w:lang w:val="en-US"/>
        </w:rPr>
        <w:t>“</w:t>
      </w:r>
      <w:r>
        <w:rPr>
          <w:rFonts w:ascii="Arial" w:hAnsi="Arial"/>
          <w:sz w:val="28"/>
          <w:szCs w:val="28"/>
          <w:rtl w:val="0"/>
          <w:lang w:val="en-US"/>
        </w:rPr>
        <w:t>mutual gains in employment relationships, seeing the good of employees and the good of the organisations they work for.</w:t>
      </w:r>
      <w:r>
        <w:rPr>
          <w:rFonts w:ascii="Arial" w:hAnsi="Arial" w:hint="default"/>
          <w:sz w:val="28"/>
          <w:szCs w:val="28"/>
          <w:rtl w:val="0"/>
          <w:lang w:val="en-US"/>
        </w:rPr>
        <w:t xml:space="preserve">”  </w:t>
      </w:r>
      <w:r>
        <w:rPr>
          <w:rFonts w:ascii="Arial" w:hAnsi="Arial"/>
          <w:sz w:val="28"/>
          <w:szCs w:val="28"/>
          <w:rtl w:val="0"/>
          <w:lang w:val="en-US"/>
        </w:rPr>
        <w:t xml:space="preserve">Research on engagement has illuminated that engaged colleagues are more likely to invest energy into their work, a concept considered prevalent during the pandemic. (Conway et al, 2016) </w:t>
      </w:r>
    </w:p>
    <w:p>
      <w:pPr>
        <w:pStyle w:val="Body A"/>
        <w:rPr>
          <w:rFonts w:ascii="Arial" w:cs="Arial" w:hAnsi="Arial" w:eastAsia="Arial"/>
          <w:sz w:val="28"/>
          <w:szCs w:val="28"/>
        </w:rPr>
      </w:pPr>
      <w:r>
        <w:rPr>
          <w:rFonts w:ascii="Arial" w:hAnsi="Arial"/>
          <w:sz w:val="28"/>
          <w:szCs w:val="28"/>
          <w:rtl w:val="0"/>
          <w:lang w:val="en-US"/>
        </w:rPr>
        <w:t>Furthermore, employee voice is critical for organisations not just during COVID-19 but for the overall business recovery and organisations must implement strategies to build stronger relationships with their people. (Kunle, 2020, Benerjee and Rai, 2020)</w:t>
      </w:r>
    </w:p>
    <w:p>
      <w:pPr>
        <w:pStyle w:val="Body A"/>
        <w:rPr>
          <w:rFonts w:ascii="Arial" w:cs="Arial" w:hAnsi="Arial" w:eastAsia="Arial"/>
          <w:sz w:val="28"/>
          <w:szCs w:val="28"/>
        </w:rPr>
      </w:pPr>
      <w:r>
        <w:rPr>
          <w:rFonts w:ascii="Arial" w:hAnsi="Arial"/>
          <w:sz w:val="28"/>
          <w:szCs w:val="28"/>
          <w:rtl w:val="0"/>
          <w:lang w:val="en-US"/>
        </w:rPr>
        <w:t>Accordingly,</w:t>
      </w:r>
      <w:r>
        <w:rPr>
          <w:rFonts w:ascii="Arial" w:hAnsi="Arial"/>
          <w:sz w:val="28"/>
          <w:szCs w:val="28"/>
          <w:rtl w:val="0"/>
          <w:lang w:val="fr-FR"/>
        </w:rPr>
        <w:t xml:space="preserve"> Netflix ha</w:t>
      </w:r>
      <w:r>
        <w:rPr>
          <w:rFonts w:ascii="Arial" w:hAnsi="Arial"/>
          <w:sz w:val="28"/>
          <w:szCs w:val="28"/>
          <w:rtl w:val="0"/>
          <w:lang w:val="en-US"/>
        </w:rPr>
        <w:t>s implemented a radical approach to developing effective ER, employee engagement and organisational culture. This is evidenced by removing policies and procedures, adopting a new revolutionary coaching approach, showing their people what good looks like and role modelling effective leadership behaviour. (McCord, 2019)</w:t>
      </w:r>
    </w:p>
    <w:p>
      <w:pPr>
        <w:pStyle w:val="Body A"/>
        <w:rPr>
          <w:rFonts w:ascii="Arial" w:cs="Arial" w:hAnsi="Arial" w:eastAsia="Arial"/>
          <w:sz w:val="28"/>
          <w:szCs w:val="28"/>
        </w:rPr>
      </w:pPr>
      <w:r>
        <w:rPr>
          <w:rFonts w:ascii="Arial" w:hAnsi="Arial"/>
          <w:sz w:val="28"/>
          <w:szCs w:val="28"/>
          <w:rtl w:val="0"/>
          <w:lang w:val="en-US"/>
        </w:rPr>
        <w:t xml:space="preserve">For DWP it means leaders developing stronger ER with their teams, and increasing their communications and duty of care, to ensure that their colleagues have not been affected by the many social-psychological implications of COVID-19. </w:t>
      </w:r>
    </w:p>
    <w:p>
      <w:pPr>
        <w:pStyle w:val="Body A"/>
        <w:rPr>
          <w:rFonts w:ascii="Arial" w:cs="Arial" w:hAnsi="Arial" w:eastAsia="Arial"/>
          <w:sz w:val="28"/>
          <w:szCs w:val="28"/>
        </w:rPr>
      </w:pPr>
      <w:r>
        <w:rPr>
          <w:rFonts w:ascii="Arial" w:hAnsi="Arial"/>
          <w:sz w:val="28"/>
          <w:szCs w:val="28"/>
          <w:rtl w:val="0"/>
          <w:lang w:val="en-US"/>
        </w:rPr>
        <w:t>For DWP. At this current time with 8.9 million customers claiming UC, concentration should be placed on Colleagues who are doing over and above to serve the UK</w:t>
      </w:r>
      <w:r>
        <w:rPr>
          <w:rFonts w:ascii="Arial" w:hAnsi="Arial" w:hint="default"/>
          <w:sz w:val="28"/>
          <w:szCs w:val="28"/>
          <w:rtl w:val="0"/>
          <w:lang w:val="en-US"/>
        </w:rPr>
        <w:t>’</w:t>
      </w:r>
      <w:r>
        <w:rPr>
          <w:rFonts w:ascii="Arial" w:hAnsi="Arial"/>
          <w:sz w:val="28"/>
          <w:szCs w:val="28"/>
          <w:rtl w:val="0"/>
          <w:lang w:val="en-US"/>
        </w:rPr>
        <w:t>s citizens. Financial rewards such as reward and recognition should be more readily used. (GOV.UK, 2020, DWP, 2020, ONS, 2020)</w:t>
      </w:r>
    </w:p>
    <w:p>
      <w:pPr>
        <w:pStyle w:val="Body A"/>
        <w:rPr>
          <w:rFonts w:ascii="Arial" w:cs="Arial" w:hAnsi="Arial" w:eastAsia="Arial"/>
          <w:sz w:val="28"/>
          <w:szCs w:val="28"/>
        </w:rPr>
      </w:pPr>
      <w:r>
        <w:rPr>
          <w:rFonts w:ascii="Arial" w:hAnsi="Arial"/>
          <w:sz w:val="28"/>
          <w:szCs w:val="28"/>
          <w:rtl w:val="0"/>
          <w:lang w:val="en-US"/>
        </w:rPr>
        <w:t>The International Labor Organisation has projected that the pandemic will destroy 195 million jobs worldwide. (ILO, 2020) The high rate of employment in the UK has subsequently placed added pressure on DWP ER, as they administer the UK</w:t>
      </w:r>
      <w:r>
        <w:rPr>
          <w:rFonts w:ascii="Arial" w:hAnsi="Arial" w:hint="default"/>
          <w:sz w:val="28"/>
          <w:szCs w:val="28"/>
          <w:rtl w:val="0"/>
          <w:lang w:val="en-US"/>
        </w:rPr>
        <w:t>’</w:t>
      </w:r>
      <w:r>
        <w:rPr>
          <w:rFonts w:ascii="Arial" w:hAnsi="Arial"/>
          <w:sz w:val="28"/>
          <w:szCs w:val="28"/>
          <w:rtl w:val="0"/>
          <w:lang w:val="en-US"/>
        </w:rPr>
        <w:t xml:space="preserve">s welfare benefits.  </w:t>
      </w:r>
    </w:p>
    <w:p>
      <w:pPr>
        <w:pStyle w:val="Body A"/>
        <w:rPr>
          <w:rFonts w:ascii="Arial" w:cs="Arial" w:hAnsi="Arial" w:eastAsia="Arial"/>
          <w:sz w:val="28"/>
          <w:szCs w:val="28"/>
        </w:rPr>
      </w:pPr>
      <w:r>
        <w:rPr>
          <w:rFonts w:ascii="Arial" w:hAnsi="Arial"/>
          <w:sz w:val="28"/>
          <w:szCs w:val="28"/>
          <w:rtl w:val="0"/>
          <w:lang w:val="en-US"/>
        </w:rPr>
        <w:t>This additional pressure requires leaders to demonstrate genuine care towards their people to ensure the health and wellbeing of their colleagues. (Austin et al, 2020) Google has also applied an effective approach to ER, engagement and organisational culture. Encouraging their people to break the rules and think outside the box, which has in turn built on a platform of trust between leader and employee, a fundamental element of an effective relationship between leader and follower. (Bock, 2015)</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Political Factors and COVID-19</w:t>
      </w:r>
      <w:r>
        <w:rPr>
          <w:rFonts w:ascii="Arial" w:hAnsi="Arial" w:hint="default"/>
          <w:b w:val="1"/>
          <w:bCs w:val="1"/>
          <w:sz w:val="28"/>
          <w:szCs w:val="28"/>
          <w:rtl w:val="0"/>
          <w:lang w:val="en-US"/>
        </w:rPr>
        <w:t>’</w:t>
      </w:r>
      <w:r>
        <w:rPr>
          <w:rFonts w:ascii="Arial" w:hAnsi="Arial"/>
          <w:b w:val="1"/>
          <w:bCs w:val="1"/>
          <w:sz w:val="28"/>
          <w:szCs w:val="28"/>
          <w:rtl w:val="0"/>
          <w:lang w:val="en-US"/>
        </w:rPr>
        <w:t>s impact on DWP</w:t>
      </w:r>
    </w:p>
    <w:p>
      <w:pPr>
        <w:pStyle w:val="Body A"/>
        <w:rPr>
          <w:rFonts w:ascii="Arial" w:cs="Arial" w:hAnsi="Arial" w:eastAsia="Arial"/>
          <w:sz w:val="28"/>
          <w:szCs w:val="28"/>
        </w:rPr>
      </w:pPr>
      <w:r>
        <w:rPr>
          <w:rFonts w:ascii="Arial" w:hAnsi="Arial"/>
          <w:sz w:val="28"/>
          <w:szCs w:val="28"/>
          <w:rtl w:val="0"/>
          <w:lang w:val="en-US"/>
        </w:rPr>
        <w:t>Another prevalent factor implicating DWP</w:t>
      </w:r>
      <w:r>
        <w:rPr>
          <w:rFonts w:ascii="Arial" w:hAnsi="Arial" w:hint="default"/>
          <w:sz w:val="28"/>
          <w:szCs w:val="28"/>
          <w:rtl w:val="0"/>
          <w:lang w:val="en-US"/>
        </w:rPr>
        <w:t>’</w:t>
      </w:r>
      <w:r>
        <w:rPr>
          <w:rFonts w:ascii="Arial" w:hAnsi="Arial"/>
          <w:sz w:val="28"/>
          <w:szCs w:val="28"/>
          <w:rtl w:val="0"/>
          <w:lang w:val="en-US"/>
        </w:rPr>
        <w:t xml:space="preserve">s ER as a result of the pandemic is political. (Stahl and MacEachen, 2020) How the government has communicated and what they have communicated has played a fundamental role in effecting ER negatively. Some of the information communicated by the prime minister was vague, unclear and contradictory, which has implicated a lack of trust from citizens. </w:t>
      </w:r>
      <w:r>
        <w:rPr>
          <w:rFonts w:ascii="Arial" w:hAnsi="Arial"/>
          <w:sz w:val="28"/>
          <w:szCs w:val="28"/>
          <w:rtl w:val="0"/>
          <w:lang w:val="nl-NL"/>
        </w:rPr>
        <w:t xml:space="preserve">(Petterway, 2020) </w:t>
      </w:r>
    </w:p>
    <w:p>
      <w:pPr>
        <w:pStyle w:val="Body A"/>
        <w:rPr>
          <w:rFonts w:ascii="Arial" w:cs="Arial" w:hAnsi="Arial" w:eastAsia="Arial"/>
          <w:sz w:val="28"/>
          <w:szCs w:val="28"/>
        </w:rPr>
      </w:pPr>
      <w:r>
        <w:rPr>
          <w:rFonts w:ascii="Arial" w:hAnsi="Arial"/>
          <w:sz w:val="28"/>
          <w:szCs w:val="28"/>
          <w:rtl w:val="0"/>
          <w:lang w:val="en-US"/>
        </w:rPr>
        <w:t>Borris Johnson was criticized for under responded to the pandemic. (Newton, 2020) Accordingly, this highlights the concept of leadership and leadership trust for the UK and DWP and the critical role that leadership plays in the ER. (Fancourt, Steptoe and Wright, 2020) Research has demonstrated that colleagues are more likely to trust their leaders if they show genuine care and emotional intelligence towards them. This notion was evidenced by the remarkable difference of the PM</w:t>
      </w:r>
      <w:r>
        <w:rPr>
          <w:rFonts w:ascii="Arial" w:hAnsi="Arial" w:hint="default"/>
          <w:sz w:val="28"/>
          <w:szCs w:val="28"/>
          <w:rtl w:val="0"/>
          <w:lang w:val="en-US"/>
        </w:rPr>
        <w:t>’</w:t>
      </w:r>
      <w:r>
        <w:rPr>
          <w:rFonts w:ascii="Arial" w:hAnsi="Arial"/>
          <w:sz w:val="28"/>
          <w:szCs w:val="28"/>
          <w:rtl w:val="0"/>
          <w:lang w:val="en-US"/>
        </w:rPr>
        <w:t>s stay at a home speech in March which lacked compassion and was confusing. To that of the 4/01/2020, which was driven by empathy, compassion and understanding of the needs of citizens.</w:t>
      </w:r>
    </w:p>
    <w:p>
      <w:pPr>
        <w:pStyle w:val="Body A"/>
        <w:rPr>
          <w:rFonts w:ascii="Arial" w:cs="Arial" w:hAnsi="Arial" w:eastAsia="Arial"/>
          <w:sz w:val="28"/>
          <w:szCs w:val="28"/>
        </w:rPr>
      </w:pPr>
      <w:r>
        <w:rPr>
          <w:rFonts w:ascii="Arial" w:hAnsi="Arial"/>
          <w:sz w:val="28"/>
          <w:szCs w:val="28"/>
          <w:rtl w:val="0"/>
          <w:lang w:val="en-US"/>
        </w:rPr>
        <w:t>Finally, the intensified lens of the crisis has made organisations recognise the importance of power and politics in organisational processes such as ER. For instance, the pandemic forced DWP to reevaluate the collective agreement and amend it in line with the Coronavirus act 2020 and social distancing strategies required for their 800</w:t>
      </w:r>
      <w:r>
        <w:rPr>
          <w:rFonts w:ascii="Arial" w:hAnsi="Arial" w:hint="default"/>
          <w:sz w:val="28"/>
          <w:szCs w:val="28"/>
          <w:rtl w:val="0"/>
          <w:lang w:val="en-US"/>
        </w:rPr>
        <w:t>’</w:t>
      </w:r>
      <w:r>
        <w:rPr>
          <w:rFonts w:ascii="Arial" w:hAnsi="Arial"/>
          <w:sz w:val="28"/>
          <w:szCs w:val="28"/>
          <w:rtl w:val="0"/>
          <w:lang w:val="en-US"/>
        </w:rPr>
        <w:t>s sites. (Clibborn et al, 2020) Moreover, effective leadership behaviours play a pivotal role in ER when negotiating policies and their ability to negotiate with the trade unions. (Fleckenstein and Soohyn, 2017)</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The current ER climate</w:t>
      </w:r>
    </w:p>
    <w:p>
      <w:pPr>
        <w:pStyle w:val="Body A"/>
        <w:rPr>
          <w:rFonts w:ascii="Arial" w:cs="Arial" w:hAnsi="Arial" w:eastAsia="Arial"/>
          <w:sz w:val="28"/>
          <w:szCs w:val="28"/>
        </w:rPr>
      </w:pPr>
      <w:r>
        <w:rPr>
          <w:rFonts w:ascii="Arial" w:hAnsi="Arial"/>
          <w:sz w:val="28"/>
          <w:szCs w:val="28"/>
          <w:rtl w:val="0"/>
          <w:lang w:val="en-US"/>
        </w:rPr>
        <w:t>The work environment is so challenging and complex, with the added pressure of COVID-19, a variety of diverse multidisciplinary approaches to managing ER must be sought. (Budd, 2020)</w:t>
      </w:r>
    </w:p>
    <w:p>
      <w:pPr>
        <w:pStyle w:val="Body A"/>
        <w:rPr>
          <w:rFonts w:ascii="Arial" w:cs="Arial" w:hAnsi="Arial" w:eastAsia="Arial"/>
          <w:sz w:val="28"/>
          <w:szCs w:val="28"/>
        </w:rPr>
      </w:pPr>
      <w:r>
        <w:rPr>
          <w:rFonts w:ascii="Arial" w:hAnsi="Arial"/>
          <w:sz w:val="28"/>
          <w:szCs w:val="28"/>
          <w:rtl w:val="0"/>
          <w:lang w:val="en-US"/>
        </w:rPr>
        <w:t>Figure x Elements of Employment Relations (Kaufman, 2016 and Budd and Bhave, 2019)</w:t>
      </w:r>
    </w:p>
    <w:p>
      <w:pPr>
        <w:pStyle w:val="Body A"/>
        <w:rPr>
          <w:rFonts w:ascii="Arial" w:cs="Arial" w:hAnsi="Arial" w:eastAsia="Arial"/>
          <w:sz w:val="28"/>
          <w:szCs w:val="28"/>
        </w:rPr>
      </w:pPr>
      <w:r>
        <w:rPr>
          <w:rFonts w:ascii="Arial" w:cs="Arial" w:hAnsi="Arial" w:eastAsia="Arial"/>
          <w:outline w:val="0"/>
          <w:color w:val="000000"/>
          <w:sz w:val="28"/>
          <w:szCs w:val="28"/>
          <w:u w:color="000000"/>
          <w14:textFill>
            <w14:solidFill>
              <w14:srgbClr w14:val="000000"/>
            </w14:solidFill>
          </w14:textFill>
        </w:rPr>
        <mc:AlternateContent>
          <mc:Choice Requires="wpg">
            <w:drawing xmlns:a="http://schemas.openxmlformats.org/drawingml/2006/main">
              <wp:inline distT="0" distB="0" distL="0" distR="0">
                <wp:extent cx="5479430" cy="5734052"/>
                <wp:effectExtent l="0" t="0" r="0" b="0"/>
                <wp:docPr id="1073741841" name="officeArt object" descr="officeArt object"/>
                <wp:cNvGraphicFramePr/>
                <a:graphic xmlns:a="http://schemas.openxmlformats.org/drawingml/2006/main">
                  <a:graphicData uri="http://schemas.microsoft.com/office/word/2010/wordprocessingGroup">
                    <wpg:wgp>
                      <wpg:cNvGrpSpPr/>
                      <wpg:grpSpPr>
                        <a:xfrm>
                          <a:off x="0" y="0"/>
                          <a:ext cx="5479430" cy="5734052"/>
                          <a:chOff x="0" y="0"/>
                          <a:chExt cx="5479429" cy="5734051"/>
                        </a:xfrm>
                      </wpg:grpSpPr>
                      <wpg:grpSp>
                        <wpg:cNvPr id="1073741828" name="Group 34"/>
                        <wpg:cNvGrpSpPr/>
                        <wpg:grpSpPr>
                          <a:xfrm>
                            <a:off x="1913103" y="2379599"/>
                            <a:ext cx="1582298" cy="1582298"/>
                            <a:chOff x="0" y="0"/>
                            <a:chExt cx="1582297" cy="1582297"/>
                          </a:xfrm>
                        </wpg:grpSpPr>
                        <wps:wsp>
                          <wps:cNvPr id="1073741826" name="Shape 1073741872"/>
                          <wps:cNvSpPr/>
                          <wps:spPr>
                            <a:xfrm>
                              <a:off x="0" y="0"/>
                              <a:ext cx="1582298" cy="1582298"/>
                            </a:xfrm>
                            <a:prstGeom prst="roundRect">
                              <a:avLst>
                                <a:gd name="adj" fmla="val 16667"/>
                              </a:avLst>
                            </a:prstGeom>
                            <a:solidFill>
                              <a:schemeClr val="accent1"/>
                            </a:solidFill>
                            <a:ln w="25400" cap="flat">
                              <a:solidFill>
                                <a:srgbClr val="FFFFFF"/>
                              </a:solidFill>
                              <a:prstDash val="solid"/>
                              <a:round/>
                            </a:ln>
                            <a:effectLst/>
                          </wps:spPr>
                          <wps:bodyPr/>
                        </wps:wsp>
                        <wps:wsp>
                          <wps:cNvPr id="1073741827" name="Shape 1073741873"/>
                          <wps:cNvSpPr txBox="1"/>
                          <wps:spPr>
                            <a:xfrm>
                              <a:off x="77241" y="77241"/>
                              <a:ext cx="1427817" cy="1427817"/>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rPr>
                                    <w:rFonts w:ascii="Arial" w:cs="Arial" w:hAnsi="Arial" w:eastAsia="Arial"/>
                                    <w:outline w:val="0"/>
                                    <w:color w:val="ffffff"/>
                                    <w:sz w:val="22"/>
                                    <w:szCs w:val="22"/>
                                    <w:u w:color="ffffff"/>
                                    <w14:textFill>
                                      <w14:solidFill>
                                        <w14:srgbClr w14:val="FFFFFF"/>
                                      </w14:solidFill>
                                    </w14:textFill>
                                  </w:rPr>
                                </w:pPr>
                                <w:r>
                                  <w:rPr>
                                    <w:rFonts w:ascii="Arial" w:hAnsi="Arial"/>
                                    <w:outline w:val="0"/>
                                    <w:color w:val="ffffff"/>
                                    <w:sz w:val="22"/>
                                    <w:szCs w:val="22"/>
                                    <w:u w:color="ffffff"/>
                                    <w:rtl w:val="0"/>
                                    <w:lang w:val="en-US"/>
                                    <w14:textFill>
                                      <w14:solidFill>
                                        <w14:srgbClr w14:val="FFFFFF"/>
                                      </w14:solidFill>
                                    </w14:textFill>
                                  </w:rPr>
                                  <w:t>Neoliberal egoist</w:t>
                                </w:r>
                              </w:p>
                              <w:p>
                                <w:pPr>
                                  <w:pStyle w:val="caption"/>
                                  <w:tabs>
                                    <w:tab w:val="left" w:pos="770"/>
                                    <w:tab w:val="left" w:pos="1540"/>
                                  </w:tabs>
                                  <w:spacing w:after="92" w:line="216" w:lineRule="auto"/>
                                  <w:jc w:val="center"/>
                                  <w:rPr>
                                    <w:rFonts w:ascii="Arial" w:cs="Arial" w:hAnsi="Arial" w:eastAsia="Arial"/>
                                    <w:outline w:val="0"/>
                                    <w:color w:val="ffffff"/>
                                    <w:sz w:val="22"/>
                                    <w:szCs w:val="22"/>
                                    <w:u w:color="ffffff"/>
                                    <w14:textFill>
                                      <w14:solidFill>
                                        <w14:srgbClr w14:val="FFFFFF"/>
                                      </w14:solidFill>
                                    </w14:textFill>
                                  </w:rPr>
                                </w:pPr>
                                <w:r>
                                  <w:rPr>
                                    <w:rFonts w:ascii="Arial" w:hAnsi="Arial"/>
                                    <w:outline w:val="0"/>
                                    <w:color w:val="ffffff"/>
                                    <w:sz w:val="22"/>
                                    <w:szCs w:val="22"/>
                                    <w:u w:color="ffffff"/>
                                    <w:rtl w:val="0"/>
                                    <w:lang w:val="en-US"/>
                                    <w14:textFill>
                                      <w14:solidFill>
                                        <w14:srgbClr w14:val="FFFFFF"/>
                                      </w14:solidFill>
                                    </w14:textFill>
                                  </w:rPr>
                                  <w:t>Pros-focused on self interest, voluntary</w:t>
                                </w:r>
                              </w:p>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Cons-focused on power in market based terms-One dimensional</w:t>
                                </w:r>
                              </w:p>
                            </w:txbxContent>
                          </wps:txbx>
                          <wps:bodyPr wrap="square" lIns="27940" tIns="27940" rIns="27940" bIns="27940" numCol="1" anchor="ctr">
                            <a:noAutofit/>
                          </wps:bodyPr>
                        </wps:wsp>
                      </wpg:grpSp>
                      <wps:wsp>
                        <wps:cNvPr id="1073741829" name="Shape 1073741875"/>
                        <wps:cNvSpPr/>
                        <wps:spPr>
                          <a:xfrm flipV="1">
                            <a:off x="2703615" y="1270321"/>
                            <a:ext cx="3" cy="1109915"/>
                          </a:xfrm>
                          <a:prstGeom prst="line">
                            <a:avLst/>
                          </a:prstGeom>
                          <a:noFill/>
                          <a:ln w="25400" cap="flat">
                            <a:solidFill>
                              <a:srgbClr val="007F92"/>
                            </a:solidFill>
                            <a:prstDash val="solid"/>
                            <a:round/>
                          </a:ln>
                          <a:effectLst/>
                        </wps:spPr>
                        <wps:bodyPr/>
                      </wps:wsp>
                      <wpg:grpSp>
                        <wpg:cNvPr id="1073741832" name="Group 38"/>
                        <wpg:cNvGrpSpPr/>
                        <wpg:grpSpPr>
                          <a:xfrm>
                            <a:off x="2174181" y="-1"/>
                            <a:ext cx="1060142" cy="1514478"/>
                            <a:chOff x="0" y="0"/>
                            <a:chExt cx="1060141" cy="1514476"/>
                          </a:xfrm>
                        </wpg:grpSpPr>
                        <wps:wsp>
                          <wps:cNvPr id="1073741830" name="Shape 1073741876"/>
                          <wps:cNvSpPr/>
                          <wps:spPr>
                            <a:xfrm>
                              <a:off x="0" y="209549"/>
                              <a:ext cx="1060142" cy="1060141"/>
                            </a:xfrm>
                            <a:prstGeom prst="roundRect">
                              <a:avLst>
                                <a:gd name="adj" fmla="val 16667"/>
                              </a:avLst>
                            </a:prstGeom>
                            <a:solidFill>
                              <a:schemeClr val="accent1"/>
                            </a:solidFill>
                            <a:ln w="25400" cap="flat">
                              <a:solidFill>
                                <a:srgbClr val="FFFFFF"/>
                              </a:solidFill>
                              <a:prstDash val="solid"/>
                              <a:round/>
                            </a:ln>
                            <a:effectLst/>
                          </wps:spPr>
                          <wps:bodyPr/>
                        </wps:wsp>
                        <wps:wsp>
                          <wps:cNvPr id="1073741831" name="Shape 1073741877"/>
                          <wps:cNvSpPr txBox="1"/>
                          <wps:spPr>
                            <a:xfrm>
                              <a:off x="51742" y="-1"/>
                              <a:ext cx="956637" cy="1514478"/>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rPr>
                                    <w:rFonts w:ascii="Arial" w:cs="Arial" w:hAnsi="Arial" w:eastAsia="Arial"/>
                                    <w:outline w:val="0"/>
                                    <w:color w:val="ffffff"/>
                                    <w:sz w:val="18"/>
                                    <w:szCs w:val="18"/>
                                    <w:u w:color="ffffff"/>
                                    <w14:textFill>
                                      <w14:solidFill>
                                        <w14:srgbClr w14:val="FFFFFF"/>
                                      </w14:solidFill>
                                    </w14:textFill>
                                  </w:rPr>
                                </w:pPr>
                                <w:r>
                                  <w:rPr>
                                    <w:rFonts w:ascii="Arial" w:hAnsi="Arial"/>
                                    <w:outline w:val="0"/>
                                    <w:color w:val="ffffff"/>
                                    <w:sz w:val="18"/>
                                    <w:szCs w:val="18"/>
                                    <w:u w:color="ffffff"/>
                                    <w:rtl w:val="0"/>
                                    <w:lang w:val="en-US"/>
                                    <w14:textFill>
                                      <w14:solidFill>
                                        <w14:srgbClr w14:val="FFFFFF"/>
                                      </w14:solidFill>
                                    </w14:textFill>
                                  </w:rPr>
                                  <w:t>Unitarist</w:t>
                                </w:r>
                              </w:p>
                              <w:p>
                                <w:pPr>
                                  <w:pStyle w:val="caption"/>
                                  <w:tabs>
                                    <w:tab w:val="left" w:pos="630"/>
                                    <w:tab w:val="left" w:pos="1260"/>
                                  </w:tabs>
                                  <w:spacing w:after="76" w:line="216" w:lineRule="auto"/>
                                  <w:jc w:val="center"/>
                                  <w:rPr>
                                    <w:rFonts w:ascii="Arial" w:cs="Arial" w:hAnsi="Arial" w:eastAsia="Arial"/>
                                    <w:outline w:val="0"/>
                                    <w:color w:val="ffffff"/>
                                    <w:sz w:val="18"/>
                                    <w:szCs w:val="18"/>
                                    <w:u w:color="ffffff"/>
                                    <w14:textFill>
                                      <w14:solidFill>
                                        <w14:srgbClr w14:val="FFFFFF"/>
                                      </w14:solidFill>
                                    </w14:textFill>
                                  </w:rPr>
                                </w:pPr>
                                <w:r>
                                  <w:rPr>
                                    <w:rFonts w:ascii="Arial" w:hAnsi="Arial"/>
                                    <w:outline w:val="0"/>
                                    <w:color w:val="ffffff"/>
                                    <w:sz w:val="18"/>
                                    <w:szCs w:val="18"/>
                                    <w:u w:color="ffffff"/>
                                    <w:rtl w:val="0"/>
                                    <w:lang w:val="en-US"/>
                                    <w14:textFill>
                                      <w14:solidFill>
                                        <w14:srgbClr w14:val="FFFFFF"/>
                                      </w14:solidFill>
                                    </w14:textFill>
                                  </w:rPr>
                                  <w:t xml:space="preserve">Pros-Employers and employees share a unity of all interests </w:t>
                                </w:r>
                              </w:p>
                              <w:p>
                                <w:pPr>
                                  <w:pStyle w:val="caption"/>
                                  <w:tabs>
                                    <w:tab w:val="left" w:pos="630"/>
                                    <w:tab w:val="left" w:pos="1260"/>
                                  </w:tabs>
                                  <w:spacing w:after="76" w:line="216" w:lineRule="auto"/>
                                  <w:jc w:val="center"/>
                                </w:pPr>
                                <w:r>
                                  <w:rPr>
                                    <w:rFonts w:ascii="Arial" w:hAnsi="Arial"/>
                                    <w:outline w:val="0"/>
                                    <w:color w:val="ffffff"/>
                                    <w:sz w:val="18"/>
                                    <w:szCs w:val="18"/>
                                    <w:u w:color="ffffff"/>
                                    <w:rtl w:val="0"/>
                                    <w:lang w:val="en-US"/>
                                    <w14:textFill>
                                      <w14:solidFill>
                                        <w14:srgbClr w14:val="FFFFFF"/>
                                      </w14:solidFill>
                                    </w14:textFill>
                                  </w:rPr>
                                  <w:t>(Boxall, 2013)</w:t>
                                </w:r>
                              </w:p>
                            </w:txbxContent>
                          </wps:txbx>
                          <wps:bodyPr wrap="square" lIns="22859" tIns="22859" rIns="22859" bIns="22859" numCol="1" anchor="ctr">
                            <a:noAutofit/>
                          </wps:bodyPr>
                        </wps:wsp>
                      </wpg:grpSp>
                      <wps:wsp>
                        <wps:cNvPr id="1073741833" name="Shape 1073741879"/>
                        <wps:cNvSpPr/>
                        <wps:spPr>
                          <a:xfrm>
                            <a:off x="3495714" y="3627599"/>
                            <a:ext cx="644321" cy="372000"/>
                          </a:xfrm>
                          <a:prstGeom prst="line">
                            <a:avLst/>
                          </a:prstGeom>
                          <a:noFill/>
                          <a:ln w="25400" cap="flat">
                            <a:solidFill>
                              <a:srgbClr val="007F92"/>
                            </a:solidFill>
                            <a:prstDash val="solid"/>
                            <a:round/>
                          </a:ln>
                          <a:effectLst/>
                        </wps:spPr>
                        <wps:bodyPr/>
                      </wps:wsp>
                      <wpg:grpSp>
                        <wpg:cNvPr id="1073741836" name="Group 42"/>
                        <wpg:cNvGrpSpPr/>
                        <wpg:grpSpPr>
                          <a:xfrm>
                            <a:off x="4139518" y="3363007"/>
                            <a:ext cx="1339911" cy="2323419"/>
                            <a:chOff x="0" y="0"/>
                            <a:chExt cx="1339910" cy="2323418"/>
                          </a:xfrm>
                        </wpg:grpSpPr>
                        <wps:wsp>
                          <wps:cNvPr id="1073741834" name="Shape 1073741880"/>
                          <wps:cNvSpPr/>
                          <wps:spPr>
                            <a:xfrm>
                              <a:off x="0" y="0"/>
                              <a:ext cx="1339911" cy="2313896"/>
                            </a:xfrm>
                            <a:prstGeom prst="roundRect">
                              <a:avLst>
                                <a:gd name="adj" fmla="val 16667"/>
                              </a:avLst>
                            </a:prstGeom>
                            <a:solidFill>
                              <a:schemeClr val="accent1"/>
                            </a:solidFill>
                            <a:ln w="25400" cap="flat">
                              <a:solidFill>
                                <a:srgbClr val="FFFFFF"/>
                              </a:solidFill>
                              <a:prstDash val="solid"/>
                              <a:round/>
                            </a:ln>
                            <a:effectLst/>
                          </wps:spPr>
                          <wps:bodyPr/>
                        </wps:wsp>
                        <wps:wsp>
                          <wps:cNvPr id="1073741835" name="Shape 1073741881"/>
                          <wps:cNvSpPr txBox="1"/>
                          <wps:spPr>
                            <a:xfrm>
                              <a:off x="65446" y="65865"/>
                              <a:ext cx="1209093" cy="2257554"/>
                            </a:xfrm>
                            <a:prstGeom prst="rect">
                              <a:avLst/>
                            </a:prstGeom>
                            <a:noFill/>
                            <a:ln w="12700" cap="flat">
                              <a:noFill/>
                              <a:miter lim="400000"/>
                            </a:ln>
                            <a:effectLst/>
                          </wps:spPr>
                          <wps:txbx>
                            <w:txbxContent>
                              <w:p>
                                <w:pPr>
                                  <w:pStyle w:val="caption"/>
                                  <w:tabs>
                                    <w:tab w:val="left" w:pos="910"/>
                                    <w:tab w:val="left" w:pos="1820"/>
                                  </w:tabs>
                                  <w:spacing w:after="109"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Pluralist</w:t>
                                </w:r>
                              </w:p>
                              <w:p>
                                <w:pPr>
                                  <w:pStyle w:val="caption"/>
                                  <w:tabs>
                                    <w:tab w:val="left" w:pos="910"/>
                                    <w:tab w:val="left" w:pos="1820"/>
                                  </w:tabs>
                                  <w:spacing w:after="109"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Pros-common ground between employee and employer, equal power</w:t>
                                </w:r>
                              </w:p>
                              <w:p>
                                <w:pPr>
                                  <w:pStyle w:val="caption"/>
                                  <w:tabs>
                                    <w:tab w:val="left" w:pos="910"/>
                                    <w:tab w:val="left" w:pos="1820"/>
                                  </w:tabs>
                                  <w:spacing w:after="109" w:line="216" w:lineRule="auto"/>
                                  <w:jc w:val="center"/>
                                </w:pPr>
                                <w:r>
                                  <w:rPr>
                                    <w:rFonts w:ascii="Arial" w:hAnsi="Arial"/>
                                    <w:outline w:val="0"/>
                                    <w:color w:val="ffffff"/>
                                    <w:sz w:val="20"/>
                                    <w:szCs w:val="20"/>
                                    <w:u w:color="ffffff"/>
                                    <w:rtl w:val="0"/>
                                    <w:lang w:val="en-US"/>
                                    <w14:textFill>
                                      <w14:solidFill>
                                        <w14:srgbClr w14:val="FFFFFF"/>
                                      </w14:solidFill>
                                    </w14:textFill>
                                  </w:rPr>
                                  <w:t>Cons-unable to see strategic wider  picture Heery (2016)</w:t>
                                </w:r>
                              </w:p>
                            </w:txbxContent>
                          </wps:txbx>
                          <wps:bodyPr wrap="square" lIns="33018" tIns="33018" rIns="33018" bIns="33018" numCol="1" anchor="ctr">
                            <a:noAutofit/>
                          </wps:bodyPr>
                        </wps:wsp>
                      </wpg:grpSp>
                      <wps:wsp>
                        <wps:cNvPr id="1073741837" name="Shape 1073741883"/>
                        <wps:cNvSpPr/>
                        <wps:spPr>
                          <a:xfrm flipH="1">
                            <a:off x="1197984" y="3628698"/>
                            <a:ext cx="715441" cy="413061"/>
                          </a:xfrm>
                          <a:prstGeom prst="line">
                            <a:avLst/>
                          </a:prstGeom>
                          <a:noFill/>
                          <a:ln w="25400" cap="flat">
                            <a:solidFill>
                              <a:srgbClr val="007F92"/>
                            </a:solidFill>
                            <a:prstDash val="solid"/>
                            <a:round/>
                          </a:ln>
                          <a:effectLst/>
                        </wps:spPr>
                        <wps:bodyPr/>
                      </wps:wsp>
                      <wpg:grpSp>
                        <wpg:cNvPr id="1073741840" name="Group 46"/>
                        <wpg:cNvGrpSpPr/>
                        <wpg:grpSpPr>
                          <a:xfrm>
                            <a:off x="-1" y="3279420"/>
                            <a:ext cx="1197673" cy="2454632"/>
                            <a:chOff x="0" y="-1"/>
                            <a:chExt cx="1197671" cy="2454631"/>
                          </a:xfrm>
                        </wpg:grpSpPr>
                        <wps:wsp>
                          <wps:cNvPr id="1073741838" name="Shape 1073741884"/>
                          <wps:cNvSpPr/>
                          <wps:spPr>
                            <a:xfrm>
                              <a:off x="-1" y="-2"/>
                              <a:ext cx="1197673" cy="2213783"/>
                            </a:xfrm>
                            <a:prstGeom prst="roundRect">
                              <a:avLst>
                                <a:gd name="adj" fmla="val 16667"/>
                              </a:avLst>
                            </a:prstGeom>
                            <a:solidFill>
                              <a:schemeClr val="accent1"/>
                            </a:solidFill>
                            <a:ln w="25400" cap="flat">
                              <a:solidFill>
                                <a:srgbClr val="FFFFFF"/>
                              </a:solidFill>
                              <a:prstDash val="solid"/>
                              <a:round/>
                            </a:ln>
                            <a:effectLst/>
                          </wps:spPr>
                          <wps:bodyPr/>
                        </wps:wsp>
                        <wps:wsp>
                          <wps:cNvPr id="1073741839" name="Shape 1073741885"/>
                          <wps:cNvSpPr txBox="1"/>
                          <wps:spPr>
                            <a:xfrm>
                              <a:off x="58464" y="58102"/>
                              <a:ext cx="1080743" cy="2396529"/>
                            </a:xfrm>
                            <a:prstGeom prst="rect">
                              <a:avLst/>
                            </a:prstGeom>
                            <a:noFill/>
                            <a:ln w="12700" cap="flat">
                              <a:noFill/>
                              <a:miter lim="400000"/>
                            </a:ln>
                            <a:effectLst/>
                          </wps:spPr>
                          <wps:txbx>
                            <w:txbxContent>
                              <w:p>
                                <w:pPr>
                                  <w:pStyle w:val="caption"/>
                                  <w:tabs>
                                    <w:tab w:val="left" w:pos="980"/>
                                  </w:tabs>
                                  <w:spacing w:after="118"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Critical</w:t>
                                </w:r>
                              </w:p>
                              <w:p>
                                <w:pPr>
                                  <w:pStyle w:val="caption"/>
                                  <w:tabs>
                                    <w:tab w:val="left" w:pos="980"/>
                                  </w:tabs>
                                  <w:spacing w:after="118"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 xml:space="preserve">Pros-conflict of interests </w:t>
                                </w:r>
                              </w:p>
                              <w:p>
                                <w:pPr>
                                  <w:pStyle w:val="caption"/>
                                  <w:tabs>
                                    <w:tab w:val="left" w:pos="980"/>
                                  </w:tabs>
                                  <w:spacing w:after="118" w:line="216" w:lineRule="auto"/>
                                  <w:jc w:val="center"/>
                                </w:pPr>
                                <w:r>
                                  <w:rPr>
                                    <w:rFonts w:ascii="Arial" w:hAnsi="Arial"/>
                                    <w:outline w:val="0"/>
                                    <w:color w:val="ffffff"/>
                                    <w:sz w:val="20"/>
                                    <w:szCs w:val="20"/>
                                    <w:u w:color="ffffff"/>
                                    <w:rtl w:val="0"/>
                                    <w:lang w:val="en-US"/>
                                    <w14:textFill>
                                      <w14:solidFill>
                                        <w14:srgbClr w14:val="FFFFFF"/>
                                      </w14:solidFill>
                                    </w14:textFill>
                                  </w:rPr>
                                  <w:t>Cons-associated with Marxist which is outdated</w:t>
                                </w:r>
                              </w:p>
                            </w:txbxContent>
                          </wps:txbx>
                          <wps:bodyPr wrap="square" lIns="35559" tIns="35559" rIns="35559" bIns="35559" numCol="1" anchor="ctr">
                            <a:noAutofit/>
                          </wps:bodyPr>
                        </wps:wsp>
                      </wpg:grpSp>
                    </wpg:wgp>
                  </a:graphicData>
                </a:graphic>
              </wp:inline>
            </w:drawing>
          </mc:Choice>
          <mc:Fallback>
            <w:pict>
              <v:group id="_x0000_s1026" style="visibility:visible;width:431.5pt;height:451.5pt;" coordorigin="0,0" coordsize="5479429,5734052">
                <v:group id="_x0000_s1027" style="position:absolute;left:1913103;top:2379600;width:1582297;height:1582297;" coordorigin="0,0" coordsize="1582297,1582297">
                  <v:roundrect id="_x0000_s1028" style="position:absolute;left:0;top:0;width:1582297;height:1582297;"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29" type="#_x0000_t202" style="position:absolute;left:77241;top:77241;width:1427816;height:14278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rPr>
                              <w:rFonts w:ascii="Arial" w:cs="Arial" w:hAnsi="Arial" w:eastAsia="Arial"/>
                              <w:outline w:val="0"/>
                              <w:color w:val="ffffff"/>
                              <w:sz w:val="22"/>
                              <w:szCs w:val="22"/>
                              <w:u w:color="ffffff"/>
                              <w14:textFill>
                                <w14:solidFill>
                                  <w14:srgbClr w14:val="FFFFFF"/>
                                </w14:solidFill>
                              </w14:textFill>
                            </w:rPr>
                          </w:pPr>
                          <w:r>
                            <w:rPr>
                              <w:rFonts w:ascii="Arial" w:hAnsi="Arial"/>
                              <w:outline w:val="0"/>
                              <w:color w:val="ffffff"/>
                              <w:sz w:val="22"/>
                              <w:szCs w:val="22"/>
                              <w:u w:color="ffffff"/>
                              <w:rtl w:val="0"/>
                              <w:lang w:val="en-US"/>
                              <w14:textFill>
                                <w14:solidFill>
                                  <w14:srgbClr w14:val="FFFFFF"/>
                                </w14:solidFill>
                              </w14:textFill>
                            </w:rPr>
                            <w:t>Neoliberal egoist</w:t>
                          </w:r>
                        </w:p>
                        <w:p>
                          <w:pPr>
                            <w:pStyle w:val="caption"/>
                            <w:tabs>
                              <w:tab w:val="left" w:pos="770"/>
                              <w:tab w:val="left" w:pos="1540"/>
                            </w:tabs>
                            <w:spacing w:after="92" w:line="216" w:lineRule="auto"/>
                            <w:jc w:val="center"/>
                            <w:rPr>
                              <w:rFonts w:ascii="Arial" w:cs="Arial" w:hAnsi="Arial" w:eastAsia="Arial"/>
                              <w:outline w:val="0"/>
                              <w:color w:val="ffffff"/>
                              <w:sz w:val="22"/>
                              <w:szCs w:val="22"/>
                              <w:u w:color="ffffff"/>
                              <w14:textFill>
                                <w14:solidFill>
                                  <w14:srgbClr w14:val="FFFFFF"/>
                                </w14:solidFill>
                              </w14:textFill>
                            </w:rPr>
                          </w:pPr>
                          <w:r>
                            <w:rPr>
                              <w:rFonts w:ascii="Arial" w:hAnsi="Arial"/>
                              <w:outline w:val="0"/>
                              <w:color w:val="ffffff"/>
                              <w:sz w:val="22"/>
                              <w:szCs w:val="22"/>
                              <w:u w:color="ffffff"/>
                              <w:rtl w:val="0"/>
                              <w:lang w:val="en-US"/>
                              <w14:textFill>
                                <w14:solidFill>
                                  <w14:srgbClr w14:val="FFFFFF"/>
                                </w14:solidFill>
                              </w14:textFill>
                            </w:rPr>
                            <w:t>Pros-focused on self interest, voluntary</w:t>
                          </w:r>
                        </w:p>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Cons-focused on power in market based terms-One dimensional</w:t>
                          </w:r>
                        </w:p>
                      </w:txbxContent>
                    </v:textbox>
                  </v:shape>
                </v:group>
                <v:line id="_x0000_s1030" style="position:absolute;left:2703616;top:1270321;width:2;height:1109914;flip:y;">
                  <v:fill on="f"/>
                  <v:stroke filltype="solid" color="#007F92" opacity="100.0%" weight="2.0pt" dashstyle="solid" endcap="flat" joinstyle="round" linestyle="single" startarrow="none" startarrowwidth="medium" startarrowlength="medium" endarrow="none" endarrowwidth="medium" endarrowlength="medium"/>
                </v:line>
                <v:group id="_x0000_s1031" style="position:absolute;left:2174181;top:0;width:1060141;height:1514476;" coordorigin="0,0" coordsize="1060141,1514476">
                  <v:roundrect id="_x0000_s1032" style="position:absolute;left:0;top:209549;width:1060141;height:1060140;"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33" type="#_x0000_t202" style="position:absolute;left:51742;top:0;width:956636;height:151447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rPr>
                              <w:rFonts w:ascii="Arial" w:cs="Arial" w:hAnsi="Arial" w:eastAsia="Arial"/>
                              <w:outline w:val="0"/>
                              <w:color w:val="ffffff"/>
                              <w:sz w:val="18"/>
                              <w:szCs w:val="18"/>
                              <w:u w:color="ffffff"/>
                              <w14:textFill>
                                <w14:solidFill>
                                  <w14:srgbClr w14:val="FFFFFF"/>
                                </w14:solidFill>
                              </w14:textFill>
                            </w:rPr>
                          </w:pPr>
                          <w:r>
                            <w:rPr>
                              <w:rFonts w:ascii="Arial" w:hAnsi="Arial"/>
                              <w:outline w:val="0"/>
                              <w:color w:val="ffffff"/>
                              <w:sz w:val="18"/>
                              <w:szCs w:val="18"/>
                              <w:u w:color="ffffff"/>
                              <w:rtl w:val="0"/>
                              <w:lang w:val="en-US"/>
                              <w14:textFill>
                                <w14:solidFill>
                                  <w14:srgbClr w14:val="FFFFFF"/>
                                </w14:solidFill>
                              </w14:textFill>
                            </w:rPr>
                            <w:t>Unitarist</w:t>
                          </w:r>
                        </w:p>
                        <w:p>
                          <w:pPr>
                            <w:pStyle w:val="caption"/>
                            <w:tabs>
                              <w:tab w:val="left" w:pos="630"/>
                              <w:tab w:val="left" w:pos="1260"/>
                            </w:tabs>
                            <w:spacing w:after="76" w:line="216" w:lineRule="auto"/>
                            <w:jc w:val="center"/>
                            <w:rPr>
                              <w:rFonts w:ascii="Arial" w:cs="Arial" w:hAnsi="Arial" w:eastAsia="Arial"/>
                              <w:outline w:val="0"/>
                              <w:color w:val="ffffff"/>
                              <w:sz w:val="18"/>
                              <w:szCs w:val="18"/>
                              <w:u w:color="ffffff"/>
                              <w14:textFill>
                                <w14:solidFill>
                                  <w14:srgbClr w14:val="FFFFFF"/>
                                </w14:solidFill>
                              </w14:textFill>
                            </w:rPr>
                          </w:pPr>
                          <w:r>
                            <w:rPr>
                              <w:rFonts w:ascii="Arial" w:hAnsi="Arial"/>
                              <w:outline w:val="0"/>
                              <w:color w:val="ffffff"/>
                              <w:sz w:val="18"/>
                              <w:szCs w:val="18"/>
                              <w:u w:color="ffffff"/>
                              <w:rtl w:val="0"/>
                              <w:lang w:val="en-US"/>
                              <w14:textFill>
                                <w14:solidFill>
                                  <w14:srgbClr w14:val="FFFFFF"/>
                                </w14:solidFill>
                              </w14:textFill>
                            </w:rPr>
                            <w:t xml:space="preserve">Pros-Employers and employees share a unity of all interests </w:t>
                          </w:r>
                        </w:p>
                        <w:p>
                          <w:pPr>
                            <w:pStyle w:val="caption"/>
                            <w:tabs>
                              <w:tab w:val="left" w:pos="630"/>
                              <w:tab w:val="left" w:pos="1260"/>
                            </w:tabs>
                            <w:spacing w:after="76" w:line="216" w:lineRule="auto"/>
                            <w:jc w:val="center"/>
                          </w:pPr>
                          <w:r>
                            <w:rPr>
                              <w:rFonts w:ascii="Arial" w:hAnsi="Arial"/>
                              <w:outline w:val="0"/>
                              <w:color w:val="ffffff"/>
                              <w:sz w:val="18"/>
                              <w:szCs w:val="18"/>
                              <w:u w:color="ffffff"/>
                              <w:rtl w:val="0"/>
                              <w:lang w:val="en-US"/>
                              <w14:textFill>
                                <w14:solidFill>
                                  <w14:srgbClr w14:val="FFFFFF"/>
                                </w14:solidFill>
                              </w14:textFill>
                            </w:rPr>
                            <w:t>(Boxall, 2013)</w:t>
                          </w:r>
                        </w:p>
                      </w:txbxContent>
                    </v:textbox>
                  </v:shape>
                </v:group>
                <v:line id="_x0000_s1034" style="position:absolute;left:3495715;top:3627600;width:644320;height:371999;">
                  <v:fill on="f"/>
                  <v:stroke filltype="solid" color="#007F92" opacity="100.0%" weight="2.0pt" dashstyle="solid" endcap="flat" joinstyle="round" linestyle="single" startarrow="none" startarrowwidth="medium" startarrowlength="medium" endarrow="none" endarrowwidth="medium" endarrowlength="medium"/>
                </v:line>
                <v:group id="_x0000_s1035" style="position:absolute;left:4139519;top:3363008;width:1339910;height:2323418;" coordorigin="0,0" coordsize="1339910,2323418">
                  <v:roundrect id="_x0000_s1036" style="position:absolute;left:0;top:0;width:1339910;height:2313895;"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37" type="#_x0000_t202" style="position:absolute;left:65446;top:65865;width:1209092;height:22575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s>
                            <w:spacing w:after="109"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Pluralist</w:t>
                          </w:r>
                        </w:p>
                        <w:p>
                          <w:pPr>
                            <w:pStyle w:val="caption"/>
                            <w:tabs>
                              <w:tab w:val="left" w:pos="910"/>
                              <w:tab w:val="left" w:pos="1820"/>
                            </w:tabs>
                            <w:spacing w:after="109"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Pros-common ground between employee and employer, equal power</w:t>
                          </w:r>
                        </w:p>
                        <w:p>
                          <w:pPr>
                            <w:pStyle w:val="caption"/>
                            <w:tabs>
                              <w:tab w:val="left" w:pos="910"/>
                              <w:tab w:val="left" w:pos="1820"/>
                            </w:tabs>
                            <w:spacing w:after="109" w:line="216" w:lineRule="auto"/>
                            <w:jc w:val="center"/>
                          </w:pPr>
                          <w:r>
                            <w:rPr>
                              <w:rFonts w:ascii="Arial" w:hAnsi="Arial"/>
                              <w:outline w:val="0"/>
                              <w:color w:val="ffffff"/>
                              <w:sz w:val="20"/>
                              <w:szCs w:val="20"/>
                              <w:u w:color="ffffff"/>
                              <w:rtl w:val="0"/>
                              <w:lang w:val="en-US"/>
                              <w14:textFill>
                                <w14:solidFill>
                                  <w14:srgbClr w14:val="FFFFFF"/>
                                </w14:solidFill>
                              </w14:textFill>
                            </w:rPr>
                            <w:t>Cons-unable to see strategic wider  picture Heery (2016)</w:t>
                          </w:r>
                        </w:p>
                      </w:txbxContent>
                    </v:textbox>
                  </v:shape>
                </v:group>
                <v:line id="_x0000_s1038" style="position:absolute;left:1197984;top:3628699;width:715440;height:413060;flip:x;">
                  <v:fill on="f"/>
                  <v:stroke filltype="solid" color="#007F92" opacity="100.0%" weight="2.0pt" dashstyle="solid" endcap="flat" joinstyle="round" linestyle="single" startarrow="none" startarrowwidth="medium" startarrowlength="medium" endarrow="none" endarrowwidth="medium" endarrowlength="medium"/>
                </v:line>
                <v:group id="_x0000_s1039" style="position:absolute;left:0;top:3279421;width:1197671;height:2454631;" coordorigin="0,-1" coordsize="1197671,2454631">
                  <v:roundrect id="_x0000_s1040" style="position:absolute;left:0;top:-1;width:1197671;height:2213781;"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41" type="#_x0000_t202" style="position:absolute;left:58464;top:58102;width:1080742;height:23965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s>
                            <w:spacing w:after="118"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Critical</w:t>
                          </w:r>
                        </w:p>
                        <w:p>
                          <w:pPr>
                            <w:pStyle w:val="caption"/>
                            <w:tabs>
                              <w:tab w:val="left" w:pos="980"/>
                            </w:tabs>
                            <w:spacing w:after="118" w:line="216" w:lineRule="auto"/>
                            <w:jc w:val="center"/>
                            <w:rPr>
                              <w:rFonts w:ascii="Arial" w:cs="Arial" w:hAnsi="Arial" w:eastAsia="Arial"/>
                              <w:outline w:val="0"/>
                              <w:color w:val="ffffff"/>
                              <w:sz w:val="20"/>
                              <w:szCs w:val="20"/>
                              <w:u w:color="ffffff"/>
                              <w14:textFill>
                                <w14:solidFill>
                                  <w14:srgbClr w14:val="FFFFFF"/>
                                </w14:solidFill>
                              </w14:textFill>
                            </w:rPr>
                          </w:pPr>
                          <w:r>
                            <w:rPr>
                              <w:rFonts w:ascii="Arial" w:hAnsi="Arial"/>
                              <w:outline w:val="0"/>
                              <w:color w:val="ffffff"/>
                              <w:sz w:val="20"/>
                              <w:szCs w:val="20"/>
                              <w:u w:color="ffffff"/>
                              <w:rtl w:val="0"/>
                              <w:lang w:val="en-US"/>
                              <w14:textFill>
                                <w14:solidFill>
                                  <w14:srgbClr w14:val="FFFFFF"/>
                                </w14:solidFill>
                              </w14:textFill>
                            </w:rPr>
                            <w:t xml:space="preserve">Pros-conflict of interests </w:t>
                          </w:r>
                        </w:p>
                        <w:p>
                          <w:pPr>
                            <w:pStyle w:val="caption"/>
                            <w:tabs>
                              <w:tab w:val="left" w:pos="980"/>
                            </w:tabs>
                            <w:spacing w:after="118" w:line="216" w:lineRule="auto"/>
                            <w:jc w:val="center"/>
                          </w:pPr>
                          <w:r>
                            <w:rPr>
                              <w:rFonts w:ascii="Arial" w:hAnsi="Arial"/>
                              <w:outline w:val="0"/>
                              <w:color w:val="ffffff"/>
                              <w:sz w:val="20"/>
                              <w:szCs w:val="20"/>
                              <w:u w:color="ffffff"/>
                              <w:rtl w:val="0"/>
                              <w:lang w:val="en-US"/>
                              <w14:textFill>
                                <w14:solidFill>
                                  <w14:srgbClr w14:val="FFFFFF"/>
                                </w14:solidFill>
                              </w14:textFill>
                            </w:rPr>
                            <w:t>Cons-associated with Marxist which is outdated</w:t>
                          </w:r>
                        </w:p>
                      </w:txbxContent>
                    </v:textbox>
                  </v:shape>
                </v:group>
              </v:group>
            </w:pict>
          </mc:Fallback>
        </mc:AlternateConten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The financial impact of COVID-19</w:t>
      </w:r>
    </w:p>
    <w:p>
      <w:pPr>
        <w:pStyle w:val="Body A"/>
        <w:rPr>
          <w:rFonts w:ascii="Arial" w:cs="Arial" w:hAnsi="Arial" w:eastAsia="Arial"/>
          <w:sz w:val="28"/>
          <w:szCs w:val="28"/>
        </w:rPr>
      </w:pPr>
      <w:r>
        <w:rPr>
          <w:rFonts w:ascii="Arial" w:hAnsi="Arial"/>
          <w:sz w:val="28"/>
          <w:szCs w:val="28"/>
          <w:rtl w:val="0"/>
          <w:lang w:val="en-US"/>
        </w:rPr>
        <w:t xml:space="preserve">The impact of COVID-19 has had a tremendous effect on ER, considering the UK are on the brink of the deepest recession they have experienced since the transition to market-orientated economies in the 1990s. </w:t>
      </w:r>
    </w:p>
    <w:p>
      <w:pPr>
        <w:pStyle w:val="Body A"/>
        <w:rPr>
          <w:rFonts w:ascii="Arial" w:cs="Arial" w:hAnsi="Arial" w:eastAsia="Arial"/>
          <w:sz w:val="28"/>
          <w:szCs w:val="28"/>
        </w:rPr>
      </w:pPr>
      <w:r>
        <w:rPr>
          <w:rFonts w:ascii="Arial" w:hAnsi="Arial"/>
          <w:sz w:val="28"/>
          <w:szCs w:val="28"/>
          <w:rtl w:val="0"/>
          <w:lang w:val="en-US"/>
        </w:rPr>
        <w:t>In the face of the epidemic and financial crisis, the role of the government and fiscal policy should be considered crucial. (Czech, Wielechowski and Benesova, 2020)</w:t>
      </w:r>
    </w:p>
    <w:p>
      <w:pPr>
        <w:pStyle w:val="Body A"/>
        <w:rPr>
          <w:rFonts w:ascii="Arial" w:cs="Arial" w:hAnsi="Arial" w:eastAsia="Arial"/>
          <w:sz w:val="28"/>
          <w:szCs w:val="28"/>
        </w:rPr>
      </w:pPr>
      <w:r>
        <w:rPr>
          <w:rFonts w:ascii="Arial" w:hAnsi="Arial"/>
          <w:sz w:val="28"/>
          <w:szCs w:val="28"/>
          <w:rtl w:val="0"/>
          <w:lang w:val="en-US"/>
        </w:rPr>
        <w:t>For the DWP who have been at the front line dealing with the financial impact of the impact of COVID-19, are accustomed to political governance, impacting their ER climate, less significant than the private sectors. The UK now stands in a frightening economic state, which is potentially going to worsen, due to stricter restrictions announced by the PM. (GOV. The UK)</w:t>
      </w:r>
    </w:p>
    <w:p>
      <w:pPr>
        <w:pStyle w:val="Body A"/>
        <w:rPr>
          <w:rFonts w:ascii="Arial" w:cs="Arial" w:hAnsi="Arial" w:eastAsia="Arial"/>
          <w:sz w:val="28"/>
          <w:szCs w:val="28"/>
        </w:rPr>
      </w:pPr>
      <w:r>
        <w:rPr>
          <w:rFonts w:ascii="Arial" w:hAnsi="Arial"/>
          <w:sz w:val="28"/>
          <w:szCs w:val="28"/>
          <w:rtl w:val="0"/>
          <w:lang w:val="en-US"/>
        </w:rPr>
        <w:t>Since February 2020, the number of payroll employees has fallen by 819,000. The number of redundancies reaches din august to October 2020 was a record high, the financial crisis portrayed in the figure below.</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hAnsi="Arial"/>
          <w:sz w:val="28"/>
          <w:szCs w:val="28"/>
          <w:rtl w:val="0"/>
          <w:lang w:val="en-US"/>
        </w:rPr>
        <w:t>Figure 2 UK employment and unemployment rates (ONS, 2020)</w:t>
      </w: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cs="Arial" w:hAnsi="Arial" w:eastAsia="Arial"/>
          <w:outline w:val="0"/>
          <w:color w:val="000000"/>
          <w:sz w:val="28"/>
          <w:szCs w:val="28"/>
          <w:u w:color="000000"/>
          <w14:textFill>
            <w14:solidFill>
              <w14:srgbClr w14:val="000000"/>
            </w14:solidFill>
          </w14:textFill>
        </w:rPr>
        <mc:AlternateContent>
          <mc:Choice Requires="wpg">
            <w:drawing xmlns:a="http://schemas.openxmlformats.org/drawingml/2006/main">
              <wp:inline distT="0" distB="0" distL="0" distR="0">
                <wp:extent cx="5274317" cy="3073575"/>
                <wp:effectExtent l="0" t="0" r="0" b="0"/>
                <wp:docPr id="1073741860" name="officeArt object" descr="officeArt object"/>
                <wp:cNvGraphicFramePr/>
                <a:graphic xmlns:a="http://schemas.openxmlformats.org/drawingml/2006/main">
                  <a:graphicData uri="http://schemas.microsoft.com/office/word/2010/wordprocessingGroup">
                    <wpg:wgp>
                      <wpg:cNvGrpSpPr/>
                      <wpg:grpSpPr>
                        <a:xfrm>
                          <a:off x="0" y="0"/>
                          <a:ext cx="5274317" cy="3073575"/>
                          <a:chOff x="-3" y="0"/>
                          <a:chExt cx="5274316" cy="3073574"/>
                        </a:xfrm>
                      </wpg:grpSpPr>
                      <wpg:grpSp>
                        <wpg:cNvPr id="1073741844" name="Group 50"/>
                        <wpg:cNvGrpSpPr/>
                        <wpg:grpSpPr>
                          <a:xfrm>
                            <a:off x="1898748" y="99146"/>
                            <a:ext cx="3375566" cy="793184"/>
                            <a:chOff x="-1" y="0"/>
                            <a:chExt cx="3375564" cy="793183"/>
                          </a:xfrm>
                        </wpg:grpSpPr>
                        <wps:wsp>
                          <wps:cNvPr id="1073741842" name="Shape 1073741901"/>
                          <wps:cNvSpPr/>
                          <wps:spPr>
                            <a:xfrm rot="5400000">
                              <a:off x="1291189" y="-1291192"/>
                              <a:ext cx="793184" cy="337556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379"/>
                                    <a:pt x="21600" y="846"/>
                                  </a:cubicBezTo>
                                  <a:lnTo>
                                    <a:pt x="21600" y="21600"/>
                                  </a:lnTo>
                                  <a:lnTo>
                                    <a:pt x="0" y="21600"/>
                                  </a:lnTo>
                                  <a:lnTo>
                                    <a:pt x="0" y="846"/>
                                  </a:lnTo>
                                  <a:cubicBezTo>
                                    <a:pt x="0" y="379"/>
                                    <a:pt x="1612" y="0"/>
                                    <a:pt x="3600" y="0"/>
                                  </a:cubicBezTo>
                                  <a:close/>
                                </a:path>
                              </a:pathLst>
                            </a:custGeom>
                            <a:solidFill>
                              <a:srgbClr val="CADFE6">
                                <a:alpha val="90000"/>
                              </a:srgbClr>
                            </a:solidFill>
                            <a:ln w="25400" cap="flat">
                              <a:solidFill>
                                <a:srgbClr val="CADFE6">
                                  <a:alpha val="90000"/>
                                </a:srgbClr>
                              </a:solidFill>
                              <a:prstDash val="solid"/>
                              <a:round/>
                            </a:ln>
                            <a:effectLst/>
                          </wps:spPr>
                          <wps:bodyPr/>
                        </wps:wsp>
                        <wps:wsp>
                          <wps:cNvPr id="1073741843" name="Shape 1073741902"/>
                          <wps:cNvSpPr txBox="1"/>
                          <wps:spPr>
                            <a:xfrm>
                              <a:off x="20954" y="38719"/>
                              <a:ext cx="3294935" cy="715744"/>
                            </a:xfrm>
                            <a:prstGeom prst="rect">
                              <a:avLst/>
                            </a:prstGeom>
                            <a:noFill/>
                            <a:ln w="12700" cap="flat">
                              <a:noFill/>
                              <a:miter lim="400000"/>
                            </a:ln>
                            <a:effectLst/>
                          </wps:spPr>
                          <wps:txbx>
                            <w:txbxContent>
                              <w:p>
                                <w:pPr>
                                  <w:pStyle w:val="caption"/>
                                  <w:numPr>
                                    <w:ilvl w:val="1"/>
                                    <w:numId w:val="1"/>
                                  </w:numPr>
                                  <w:bidi w:val="0"/>
                                  <w:spacing w:after="40" w:line="216" w:lineRule="auto"/>
                                  <w:ind w:right="0"/>
                                  <w:jc w:val="left"/>
                                  <w:outlineLvl w:val="1"/>
                                  <w:rPr>
                                    <w:sz w:val="22"/>
                                    <w:szCs w:val="22"/>
                                    <w:rtl w:val="0"/>
                                    <w:lang w:val="en-US"/>
                                  </w:rPr>
                                </w:pPr>
                                <w:r>
                                  <w:rPr>
                                    <w:sz w:val="22"/>
                                    <w:szCs w:val="22"/>
                                    <w:rtl w:val="0"/>
                                    <w:lang w:val="en-US"/>
                                  </w:rPr>
                                  <w:t>October 75.2%. 0.9% lower than a year earlier</w:t>
                                </w:r>
                              </w:p>
                            </w:txbxContent>
                          </wps:txbx>
                          <wps:bodyPr wrap="square" lIns="20954" tIns="20954" rIns="20954" bIns="20954" numCol="1" anchor="ctr">
                            <a:noAutofit/>
                          </wps:bodyPr>
                        </wps:wsp>
                      </wpg:grpSp>
                      <wpg:grpSp>
                        <wpg:cNvPr id="1073741847" name="Group 53"/>
                        <wpg:cNvGrpSpPr/>
                        <wpg:grpSpPr>
                          <a:xfrm>
                            <a:off x="-4" y="-1"/>
                            <a:ext cx="1898758" cy="991479"/>
                            <a:chOff x="-2" y="0"/>
                            <a:chExt cx="1898756" cy="991477"/>
                          </a:xfrm>
                        </wpg:grpSpPr>
                        <wps:wsp>
                          <wps:cNvPr id="1073741845" name="Shape 1073741904"/>
                          <wps:cNvSpPr/>
                          <wps:spPr>
                            <a:xfrm>
                              <a:off x="-3" y="-1"/>
                              <a:ext cx="1898758" cy="991479"/>
                            </a:xfrm>
                            <a:prstGeom prst="roundRect">
                              <a:avLst>
                                <a:gd name="adj" fmla="val 16667"/>
                              </a:avLst>
                            </a:prstGeom>
                            <a:solidFill>
                              <a:schemeClr val="accent1"/>
                            </a:solidFill>
                            <a:ln w="25400" cap="flat">
                              <a:solidFill>
                                <a:srgbClr val="FFFFFF"/>
                              </a:solidFill>
                              <a:prstDash val="solid"/>
                              <a:round/>
                            </a:ln>
                            <a:effectLst/>
                          </wps:spPr>
                          <wps:bodyPr/>
                        </wps:wsp>
                        <wps:wsp>
                          <wps:cNvPr id="1073741846" name="Shape 1073741905"/>
                          <wps:cNvSpPr txBox="1"/>
                          <wps:spPr>
                            <a:xfrm>
                              <a:off x="82686" y="48398"/>
                              <a:ext cx="1733378" cy="894680"/>
                            </a:xfrm>
                            <a:prstGeom prst="rect">
                              <a:avLst/>
                            </a:prstGeom>
                            <a:noFill/>
                            <a:ln w="12700" cap="flat">
                              <a:noFill/>
                              <a:miter lim="400000"/>
                            </a:ln>
                            <a:effectLst/>
                          </wps:spPr>
                          <wps:txbx>
                            <w:txbxContent>
                              <w:p>
                                <w:pPr>
                                  <w:pStyle w:val="caption"/>
                                  <w:tabs>
                                    <w:tab w:val="left" w:pos="1260"/>
                                    <w:tab w:val="left" w:pos="2520"/>
                                  </w:tabs>
                                  <w:spacing w:after="151" w:line="216" w:lineRule="auto"/>
                                  <w:jc w:val="center"/>
                                </w:pPr>
                                <w:r>
                                  <w:rPr>
                                    <w:rFonts w:ascii="Arial" w:hAnsi="Arial"/>
                                    <w:outline w:val="0"/>
                                    <w:color w:val="ffffff"/>
                                    <w:u w:color="ffffff"/>
                                    <w:rtl w:val="0"/>
                                    <w:lang w:val="en-US"/>
                                    <w14:textFill>
                                      <w14:solidFill>
                                        <w14:srgbClr w14:val="FFFFFF"/>
                                      </w14:solidFill>
                                    </w14:textFill>
                                  </w:rPr>
                                  <w:t>UK employment rate</w:t>
                                </w:r>
                              </w:p>
                            </w:txbxContent>
                          </wps:txbx>
                          <wps:bodyPr wrap="square" lIns="34290" tIns="34290" rIns="34290" bIns="34290" numCol="1" anchor="ctr">
                            <a:noAutofit/>
                          </wps:bodyPr>
                        </wps:wsp>
                      </wpg:grpSp>
                      <wpg:grpSp>
                        <wpg:cNvPr id="1073741850" name="Group 56"/>
                        <wpg:cNvGrpSpPr/>
                        <wpg:grpSpPr>
                          <a:xfrm>
                            <a:off x="1898748" y="1140194"/>
                            <a:ext cx="3375566" cy="793186"/>
                            <a:chOff x="-1" y="0"/>
                            <a:chExt cx="3375564" cy="793184"/>
                          </a:xfrm>
                        </wpg:grpSpPr>
                        <wps:wsp>
                          <wps:cNvPr id="1073741848" name="Shape 1073741907"/>
                          <wps:cNvSpPr/>
                          <wps:spPr>
                            <a:xfrm rot="5400000">
                              <a:off x="1291188" y="-1291191"/>
                              <a:ext cx="793185" cy="33755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379"/>
                                    <a:pt x="21600" y="846"/>
                                  </a:cubicBezTo>
                                  <a:lnTo>
                                    <a:pt x="21600" y="21600"/>
                                  </a:lnTo>
                                  <a:lnTo>
                                    <a:pt x="0" y="21600"/>
                                  </a:lnTo>
                                  <a:lnTo>
                                    <a:pt x="0" y="846"/>
                                  </a:lnTo>
                                  <a:cubicBezTo>
                                    <a:pt x="0" y="379"/>
                                    <a:pt x="1612" y="0"/>
                                    <a:pt x="3600" y="0"/>
                                  </a:cubicBezTo>
                                  <a:close/>
                                </a:path>
                              </a:pathLst>
                            </a:custGeom>
                            <a:solidFill>
                              <a:srgbClr val="CADFE6">
                                <a:alpha val="90000"/>
                              </a:srgbClr>
                            </a:solidFill>
                            <a:ln w="25400" cap="flat">
                              <a:solidFill>
                                <a:srgbClr val="CADFE6">
                                  <a:alpha val="90000"/>
                                </a:srgbClr>
                              </a:solidFill>
                              <a:prstDash val="solid"/>
                              <a:round/>
                            </a:ln>
                            <a:effectLst/>
                          </wps:spPr>
                          <wps:bodyPr/>
                        </wps:wsp>
                        <wps:wsp>
                          <wps:cNvPr id="1073741849" name="Shape 1073741908"/>
                          <wps:cNvSpPr txBox="1"/>
                          <wps:spPr>
                            <a:xfrm>
                              <a:off x="20954" y="38719"/>
                              <a:ext cx="3294935" cy="715745"/>
                            </a:xfrm>
                            <a:prstGeom prst="rect">
                              <a:avLst/>
                            </a:prstGeom>
                            <a:noFill/>
                            <a:ln w="12700" cap="flat">
                              <a:noFill/>
                              <a:miter lim="400000"/>
                            </a:ln>
                            <a:effectLst/>
                          </wps:spPr>
                          <wps:txbx>
                            <w:txbxContent>
                              <w:p>
                                <w:pPr>
                                  <w:pStyle w:val="caption"/>
                                  <w:numPr>
                                    <w:ilvl w:val="1"/>
                                    <w:numId w:val="2"/>
                                  </w:numPr>
                                  <w:bidi w:val="0"/>
                                  <w:spacing w:after="40" w:line="216" w:lineRule="auto"/>
                                  <w:ind w:right="0"/>
                                  <w:jc w:val="left"/>
                                  <w:outlineLvl w:val="1"/>
                                  <w:rPr>
                                    <w:sz w:val="22"/>
                                    <w:szCs w:val="22"/>
                                    <w:rtl w:val="0"/>
                                    <w:lang w:val="en-US"/>
                                  </w:rPr>
                                </w:pPr>
                                <w:r>
                                  <w:rPr>
                                    <w:sz w:val="22"/>
                                    <w:szCs w:val="22"/>
                                    <w:rtl w:val="0"/>
                                    <w:lang w:val="en-US"/>
                                  </w:rPr>
                                  <w:t>October 4.9%</w:t>
                                </w:r>
                              </w:p>
                              <w:p>
                                <w:pPr>
                                  <w:pStyle w:val="caption"/>
                                  <w:numPr>
                                    <w:ilvl w:val="1"/>
                                    <w:numId w:val="2"/>
                                  </w:numPr>
                                  <w:bidi w:val="0"/>
                                  <w:spacing w:after="40" w:line="216" w:lineRule="auto"/>
                                  <w:ind w:right="0"/>
                                  <w:jc w:val="left"/>
                                  <w:outlineLvl w:val="1"/>
                                  <w:rPr>
                                    <w:sz w:val="22"/>
                                    <w:szCs w:val="22"/>
                                    <w:rtl w:val="0"/>
                                    <w:lang w:val="en-US"/>
                                  </w:rPr>
                                </w:pPr>
                                <w:r>
                                  <w:rPr>
                                    <w:sz w:val="22"/>
                                    <w:szCs w:val="22"/>
                                    <w:rtl w:val="0"/>
                                    <w:lang w:val="en-US"/>
                                  </w:rPr>
                                  <w:t>1.2% higher than a year earlier</w:t>
                                </w:r>
                              </w:p>
                            </w:txbxContent>
                          </wps:txbx>
                          <wps:bodyPr wrap="square" lIns="20954" tIns="20954" rIns="20954" bIns="20954" numCol="1" anchor="ctr">
                            <a:noAutofit/>
                          </wps:bodyPr>
                        </wps:wsp>
                      </wpg:grpSp>
                      <wpg:grpSp>
                        <wpg:cNvPr id="1073741853" name="Group 59"/>
                        <wpg:cNvGrpSpPr/>
                        <wpg:grpSpPr>
                          <a:xfrm>
                            <a:off x="-3" y="1041047"/>
                            <a:ext cx="1898758" cy="991479"/>
                            <a:chOff x="0" y="0"/>
                            <a:chExt cx="1898756" cy="991478"/>
                          </a:xfrm>
                        </wpg:grpSpPr>
                        <wps:wsp>
                          <wps:cNvPr id="1073741851" name="Shape 1073741910"/>
                          <wps:cNvSpPr/>
                          <wps:spPr>
                            <a:xfrm>
                              <a:off x="-1" y="-1"/>
                              <a:ext cx="1898757" cy="991480"/>
                            </a:xfrm>
                            <a:prstGeom prst="roundRect">
                              <a:avLst>
                                <a:gd name="adj" fmla="val 16667"/>
                              </a:avLst>
                            </a:prstGeom>
                            <a:solidFill>
                              <a:schemeClr val="accent1"/>
                            </a:solidFill>
                            <a:ln w="25400" cap="flat">
                              <a:solidFill>
                                <a:srgbClr val="FFFFFF"/>
                              </a:solidFill>
                              <a:prstDash val="solid"/>
                              <a:round/>
                            </a:ln>
                            <a:effectLst/>
                          </wps:spPr>
                          <wps:bodyPr/>
                        </wps:wsp>
                        <wps:wsp>
                          <wps:cNvPr id="1073741852" name="Shape 1073741911"/>
                          <wps:cNvSpPr txBox="1"/>
                          <wps:spPr>
                            <a:xfrm>
                              <a:off x="82689" y="48399"/>
                              <a:ext cx="1733378" cy="894680"/>
                            </a:xfrm>
                            <a:prstGeom prst="rect">
                              <a:avLst/>
                            </a:prstGeom>
                            <a:noFill/>
                            <a:ln w="12700" cap="flat">
                              <a:noFill/>
                              <a:miter lim="400000"/>
                            </a:ln>
                            <a:effectLst/>
                          </wps:spPr>
                          <wps:txbx>
                            <w:txbxContent>
                              <w:p>
                                <w:pPr>
                                  <w:pStyle w:val="caption"/>
                                  <w:tabs>
                                    <w:tab w:val="left" w:pos="1260"/>
                                    <w:tab w:val="left" w:pos="2520"/>
                                  </w:tabs>
                                  <w:spacing w:after="151" w:line="216" w:lineRule="auto"/>
                                  <w:jc w:val="center"/>
                                </w:pPr>
                                <w:r>
                                  <w:rPr>
                                    <w:rFonts w:ascii="Arial" w:hAnsi="Arial"/>
                                    <w:outline w:val="0"/>
                                    <w:color w:val="ffffff"/>
                                    <w:u w:color="ffffff"/>
                                    <w:rtl w:val="0"/>
                                    <w:lang w:val="en-US"/>
                                    <w14:textFill>
                                      <w14:solidFill>
                                        <w14:srgbClr w14:val="FFFFFF"/>
                                      </w14:solidFill>
                                    </w14:textFill>
                                  </w:rPr>
                                  <w:t>Unemployment rate</w:t>
                                </w:r>
                              </w:p>
                            </w:txbxContent>
                          </wps:txbx>
                          <wps:bodyPr wrap="square" lIns="34290" tIns="34290" rIns="34290" bIns="34290" numCol="1" anchor="ctr">
                            <a:noAutofit/>
                          </wps:bodyPr>
                        </wps:wsp>
                      </wpg:grpSp>
                      <wpg:grpSp>
                        <wpg:cNvPr id="1073741856" name="Group 62"/>
                        <wpg:cNvGrpSpPr/>
                        <wpg:grpSpPr>
                          <a:xfrm>
                            <a:off x="1898748" y="2181243"/>
                            <a:ext cx="3375566" cy="793184"/>
                            <a:chOff x="-1" y="0"/>
                            <a:chExt cx="3375564" cy="793183"/>
                          </a:xfrm>
                        </wpg:grpSpPr>
                        <wps:wsp>
                          <wps:cNvPr id="1073741854" name="Shape 1073741913"/>
                          <wps:cNvSpPr/>
                          <wps:spPr>
                            <a:xfrm rot="5400000">
                              <a:off x="1291189" y="-1291192"/>
                              <a:ext cx="793184" cy="337556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379"/>
                                    <a:pt x="21600" y="846"/>
                                  </a:cubicBezTo>
                                  <a:lnTo>
                                    <a:pt x="21600" y="21600"/>
                                  </a:lnTo>
                                  <a:lnTo>
                                    <a:pt x="0" y="21600"/>
                                  </a:lnTo>
                                  <a:lnTo>
                                    <a:pt x="0" y="846"/>
                                  </a:lnTo>
                                  <a:cubicBezTo>
                                    <a:pt x="0" y="379"/>
                                    <a:pt x="1612" y="0"/>
                                    <a:pt x="3600" y="0"/>
                                  </a:cubicBezTo>
                                  <a:close/>
                                </a:path>
                              </a:pathLst>
                            </a:custGeom>
                            <a:solidFill>
                              <a:srgbClr val="CADFE6">
                                <a:alpha val="90000"/>
                              </a:srgbClr>
                            </a:solidFill>
                            <a:ln w="25400" cap="flat">
                              <a:solidFill>
                                <a:srgbClr val="CADFE6">
                                  <a:alpha val="90000"/>
                                </a:srgbClr>
                              </a:solidFill>
                              <a:prstDash val="solid"/>
                              <a:round/>
                            </a:ln>
                            <a:effectLst/>
                          </wps:spPr>
                          <wps:bodyPr/>
                        </wps:wsp>
                        <wps:wsp>
                          <wps:cNvPr id="1073741855" name="Shape 1073741914"/>
                          <wps:cNvSpPr txBox="1"/>
                          <wps:spPr>
                            <a:xfrm>
                              <a:off x="20954" y="38719"/>
                              <a:ext cx="3294935" cy="715744"/>
                            </a:xfrm>
                            <a:prstGeom prst="rect">
                              <a:avLst/>
                            </a:prstGeom>
                            <a:noFill/>
                            <a:ln w="12700" cap="flat">
                              <a:noFill/>
                              <a:miter lim="400000"/>
                            </a:ln>
                            <a:effectLst/>
                          </wps:spPr>
                          <wps:txbx>
                            <w:txbxContent>
                              <w:p>
                                <w:pPr>
                                  <w:pStyle w:val="caption"/>
                                  <w:numPr>
                                    <w:ilvl w:val="1"/>
                                    <w:numId w:val="3"/>
                                  </w:numPr>
                                  <w:bidi w:val="0"/>
                                  <w:spacing w:after="40" w:line="216" w:lineRule="auto"/>
                                  <w:ind w:right="0"/>
                                  <w:jc w:val="left"/>
                                  <w:outlineLvl w:val="1"/>
                                  <w:rPr>
                                    <w:sz w:val="22"/>
                                    <w:szCs w:val="22"/>
                                    <w:rtl w:val="0"/>
                                    <w:lang w:val="en-US"/>
                                  </w:rPr>
                                </w:pPr>
                                <w:r>
                                  <w:rPr>
                                    <w:sz w:val="22"/>
                                    <w:szCs w:val="22"/>
                                    <w:rtl w:val="0"/>
                                    <w:lang w:val="en-US"/>
                                  </w:rPr>
                                  <w:t>Reached a record high of 370,000 in October 2020</w:t>
                                </w:r>
                              </w:p>
                              <w:p>
                                <w:pPr>
                                  <w:pStyle w:val="caption"/>
                                  <w:numPr>
                                    <w:ilvl w:val="1"/>
                                    <w:numId w:val="3"/>
                                  </w:numPr>
                                  <w:bidi w:val="0"/>
                                  <w:spacing w:after="40" w:line="216" w:lineRule="auto"/>
                                  <w:ind w:right="0"/>
                                  <w:jc w:val="left"/>
                                  <w:outlineLvl w:val="1"/>
                                  <w:rPr>
                                    <w:sz w:val="22"/>
                                    <w:szCs w:val="22"/>
                                    <w:rtl w:val="0"/>
                                    <w:lang w:val="en-US"/>
                                  </w:rPr>
                                </w:pPr>
                                <w:r>
                                  <w:rPr>
                                    <w:sz w:val="22"/>
                                    <w:szCs w:val="22"/>
                                    <w:rtl w:val="0"/>
                                    <w:lang w:val="en-US"/>
                                  </w:rPr>
                                  <w:t>An increase of a record of 217,000 on the quarter</w:t>
                                </w:r>
                              </w:p>
                            </w:txbxContent>
                          </wps:txbx>
                          <wps:bodyPr wrap="square" lIns="20954" tIns="20954" rIns="20954" bIns="20954" numCol="1" anchor="ctr">
                            <a:noAutofit/>
                          </wps:bodyPr>
                        </wps:wsp>
                      </wpg:grpSp>
                      <wpg:grpSp>
                        <wpg:cNvPr id="1073741859" name="Group 1073741920"/>
                        <wpg:cNvGrpSpPr/>
                        <wpg:grpSpPr>
                          <a:xfrm>
                            <a:off x="-3" y="2082095"/>
                            <a:ext cx="1898758" cy="991480"/>
                            <a:chOff x="0" y="0"/>
                            <a:chExt cx="1898756" cy="991478"/>
                          </a:xfrm>
                        </wpg:grpSpPr>
                        <wps:wsp>
                          <wps:cNvPr id="1073741857" name="Shape 1073741916"/>
                          <wps:cNvSpPr/>
                          <wps:spPr>
                            <a:xfrm>
                              <a:off x="-1" y="-1"/>
                              <a:ext cx="1898757" cy="991480"/>
                            </a:xfrm>
                            <a:prstGeom prst="roundRect">
                              <a:avLst>
                                <a:gd name="adj" fmla="val 16667"/>
                              </a:avLst>
                            </a:prstGeom>
                            <a:solidFill>
                              <a:schemeClr val="accent1"/>
                            </a:solidFill>
                            <a:ln w="25400" cap="flat">
                              <a:solidFill>
                                <a:srgbClr val="FFFFFF"/>
                              </a:solidFill>
                              <a:prstDash val="solid"/>
                              <a:round/>
                            </a:ln>
                            <a:effectLst/>
                          </wps:spPr>
                          <wps:bodyPr/>
                        </wps:wsp>
                        <wps:wsp>
                          <wps:cNvPr id="1073741858" name="Shape 1073741917"/>
                          <wps:cNvSpPr txBox="1"/>
                          <wps:spPr>
                            <a:xfrm>
                              <a:off x="82689" y="48399"/>
                              <a:ext cx="1733378" cy="894680"/>
                            </a:xfrm>
                            <a:prstGeom prst="rect">
                              <a:avLst/>
                            </a:prstGeom>
                            <a:noFill/>
                            <a:ln w="12700" cap="flat">
                              <a:noFill/>
                              <a:miter lim="400000"/>
                            </a:ln>
                            <a:effectLst/>
                          </wps:spPr>
                          <wps:txbx>
                            <w:txbxContent>
                              <w:p>
                                <w:pPr>
                                  <w:pStyle w:val="caption"/>
                                  <w:tabs>
                                    <w:tab w:val="left" w:pos="1260"/>
                                    <w:tab w:val="left" w:pos="2520"/>
                                  </w:tabs>
                                  <w:spacing w:after="151" w:line="216" w:lineRule="auto"/>
                                  <w:jc w:val="center"/>
                                </w:pPr>
                                <w:r>
                                  <w:rPr>
                                    <w:outline w:val="0"/>
                                    <w:color w:val="ffffff"/>
                                    <w:u w:color="ffffff"/>
                                    <w:rtl w:val="0"/>
                                    <w:lang w:val="en-US"/>
                                    <w14:textFill>
                                      <w14:solidFill>
                                        <w14:srgbClr w14:val="FFFFFF"/>
                                      </w14:solidFill>
                                    </w14:textFill>
                                  </w:rPr>
                                  <w:t>Redundancies</w:t>
                                </w:r>
                              </w:p>
                            </w:txbxContent>
                          </wps:txbx>
                          <wps:bodyPr wrap="square" lIns="34290" tIns="34290" rIns="34290" bIns="34290" numCol="1" anchor="ctr">
                            <a:noAutofit/>
                          </wps:bodyPr>
                        </wps:wsp>
                      </wpg:grpSp>
                    </wpg:wgp>
                  </a:graphicData>
                </a:graphic>
              </wp:inline>
            </w:drawing>
          </mc:Choice>
          <mc:Fallback>
            <w:pict>
              <v:group id="_x0000_s1042" style="visibility:visible;width:415.3pt;height:242.0pt;" coordorigin="-3,0" coordsize="5274316,3073574">
                <v:group id="_x0000_s1043" style="position:absolute;left:1898749;top:99146;width:3375565;height:793184;" coordorigin="-1,-1" coordsize="3375564,793184">
                  <v:shape id="_x0000_s1044" style="position:absolute;left:1291189;top:-1291191;width:793183;height:3375565;rotation:5898240fd;" coordorigin="0,0" coordsize="21600,21600" path="M 3600,0 L 18000,0 C 19988,0 21600,379 21600,846 L 21600,21600 L 0,21600 L 0,846 C 0,379 1612,0 3600,0 X E">
                    <v:fill color="#CADFE6" opacity="90.0%" type="solid"/>
                    <v:stroke filltype="solid" color="#CADFE6" opacity="90.0%" weight="2.0pt" dashstyle="solid" endcap="flat" joinstyle="round" linestyle="single" startarrow="none" startarrowwidth="medium" startarrowlength="medium" endarrow="none" endarrowwidth="medium" endarrowlength="medium"/>
                  </v:shape>
                  <v:shape id="_x0000_s1045" type="#_x0000_t202" style="position:absolute;left:20954;top:38719;width:3294934;height:715743;">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1"/>
                            </w:numPr>
                            <w:bidi w:val="0"/>
                            <w:spacing w:after="40" w:line="216" w:lineRule="auto"/>
                            <w:ind w:right="0"/>
                            <w:jc w:val="left"/>
                            <w:outlineLvl w:val="1"/>
                            <w:rPr>
                              <w:sz w:val="22"/>
                              <w:szCs w:val="22"/>
                              <w:rtl w:val="0"/>
                              <w:lang w:val="en-US"/>
                            </w:rPr>
                          </w:pPr>
                          <w:r>
                            <w:rPr>
                              <w:sz w:val="22"/>
                              <w:szCs w:val="22"/>
                              <w:rtl w:val="0"/>
                              <w:lang w:val="en-US"/>
                            </w:rPr>
                            <w:t>October 75.2%. 0.9% lower than a year earlier</w:t>
                          </w:r>
                        </w:p>
                      </w:txbxContent>
                    </v:textbox>
                  </v:shape>
                </v:group>
                <v:group id="_x0000_s1046" style="position:absolute;left:-3;top:0;width:1898756;height:991477;" coordorigin="-2,0" coordsize="1898756,991477">
                  <v:roundrect id="_x0000_s1047" style="position:absolute;left:-2;top:0;width:1898756;height:991477;"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48" type="#_x0000_t202" style="position:absolute;left:82687;top:48399;width:1733377;height:89467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260"/>
                              <w:tab w:val="left" w:pos="2520"/>
                            </w:tabs>
                            <w:spacing w:after="151" w:line="216" w:lineRule="auto"/>
                            <w:jc w:val="center"/>
                          </w:pPr>
                          <w:r>
                            <w:rPr>
                              <w:rFonts w:ascii="Arial" w:hAnsi="Arial"/>
                              <w:outline w:val="0"/>
                              <w:color w:val="ffffff"/>
                              <w:u w:color="ffffff"/>
                              <w:rtl w:val="0"/>
                              <w:lang w:val="en-US"/>
                              <w14:textFill>
                                <w14:solidFill>
                                  <w14:srgbClr w14:val="FFFFFF"/>
                                </w14:solidFill>
                              </w14:textFill>
                            </w:rPr>
                            <w:t>UK employment rate</w:t>
                          </w:r>
                        </w:p>
                      </w:txbxContent>
                    </v:textbox>
                  </v:shape>
                </v:group>
                <v:group id="_x0000_s1049" style="position:absolute;left:1898749;top:1140195;width:3375565;height:793184;" coordorigin="-1,-1" coordsize="3375564,793185">
                  <v:shape id="_x0000_s1050" style="position:absolute;left:1291189;top:-1291191;width:793184;height:3375565;rotation:5898240fd;" coordorigin="0,0" coordsize="21600,21600" path="M 3600,0 L 18000,0 C 19988,0 21600,379 21600,846 L 21600,21600 L 0,21600 L 0,846 C 0,379 1612,0 3600,0 X E">
                    <v:fill color="#CADFE6" opacity="90.0%" type="solid"/>
                    <v:stroke filltype="solid" color="#CADFE6" opacity="90.0%" weight="2.0pt" dashstyle="solid" endcap="flat" joinstyle="round" linestyle="single" startarrow="none" startarrowwidth="medium" startarrowlength="medium" endarrow="none" endarrowwidth="medium" endarrowlength="medium"/>
                  </v:shape>
                  <v:shape id="_x0000_s1051" type="#_x0000_t202" style="position:absolute;left:20954;top:38719;width:3294934;height:71574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
                            </w:numPr>
                            <w:bidi w:val="0"/>
                            <w:spacing w:after="40" w:line="216" w:lineRule="auto"/>
                            <w:ind w:right="0"/>
                            <w:jc w:val="left"/>
                            <w:outlineLvl w:val="1"/>
                            <w:rPr>
                              <w:sz w:val="22"/>
                              <w:szCs w:val="22"/>
                              <w:rtl w:val="0"/>
                              <w:lang w:val="en-US"/>
                            </w:rPr>
                          </w:pPr>
                          <w:r>
                            <w:rPr>
                              <w:sz w:val="22"/>
                              <w:szCs w:val="22"/>
                              <w:rtl w:val="0"/>
                              <w:lang w:val="en-US"/>
                            </w:rPr>
                            <w:t>October 4.9%</w:t>
                          </w:r>
                        </w:p>
                        <w:p>
                          <w:pPr>
                            <w:pStyle w:val="caption"/>
                            <w:numPr>
                              <w:ilvl w:val="1"/>
                              <w:numId w:val="2"/>
                            </w:numPr>
                            <w:bidi w:val="0"/>
                            <w:spacing w:after="40" w:line="216" w:lineRule="auto"/>
                            <w:ind w:right="0"/>
                            <w:jc w:val="left"/>
                            <w:outlineLvl w:val="1"/>
                            <w:rPr>
                              <w:sz w:val="22"/>
                              <w:szCs w:val="22"/>
                              <w:rtl w:val="0"/>
                              <w:lang w:val="en-US"/>
                            </w:rPr>
                          </w:pPr>
                          <w:r>
                            <w:rPr>
                              <w:sz w:val="22"/>
                              <w:szCs w:val="22"/>
                              <w:rtl w:val="0"/>
                              <w:lang w:val="en-US"/>
                            </w:rPr>
                            <w:t>1.2% higher than a year earlier</w:t>
                          </w:r>
                        </w:p>
                      </w:txbxContent>
                    </v:textbox>
                  </v:shape>
                </v:group>
                <v:group id="_x0000_s1052" style="position:absolute;left:-2;top:1041047;width:1898756;height:991478;" coordorigin="-1,0" coordsize="1898756,991478">
                  <v:roundrect id="_x0000_s1053" style="position:absolute;left:-1;top:0;width:1898756;height:991478;"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54" type="#_x0000_t202" style="position:absolute;left:82689;top:48399;width:1733377;height:8946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260"/>
                              <w:tab w:val="left" w:pos="2520"/>
                            </w:tabs>
                            <w:spacing w:after="151" w:line="216" w:lineRule="auto"/>
                            <w:jc w:val="center"/>
                          </w:pPr>
                          <w:r>
                            <w:rPr>
                              <w:rFonts w:ascii="Arial" w:hAnsi="Arial"/>
                              <w:outline w:val="0"/>
                              <w:color w:val="ffffff"/>
                              <w:u w:color="ffffff"/>
                              <w:rtl w:val="0"/>
                              <w:lang w:val="en-US"/>
                              <w14:textFill>
                                <w14:solidFill>
                                  <w14:srgbClr w14:val="FFFFFF"/>
                                </w14:solidFill>
                              </w14:textFill>
                            </w:rPr>
                            <w:t>Unemployment rate</w:t>
                          </w:r>
                        </w:p>
                      </w:txbxContent>
                    </v:textbox>
                  </v:shape>
                </v:group>
                <v:group id="_x0000_s1055" style="position:absolute;left:1898749;top:2181243;width:3375565;height:793184;" coordorigin="-1,-1" coordsize="3375564,793184">
                  <v:shape id="_x0000_s1056" style="position:absolute;left:1291189;top:-1291191;width:793183;height:3375565;rotation:5898240fd;" coordorigin="0,0" coordsize="21600,21600" path="M 3600,0 L 18000,0 C 19988,0 21600,379 21600,846 L 21600,21600 L 0,21600 L 0,846 C 0,379 1612,0 3600,0 X E">
                    <v:fill color="#CADFE6" opacity="90.0%" type="solid"/>
                    <v:stroke filltype="solid" color="#CADFE6" opacity="90.0%" weight="2.0pt" dashstyle="solid" endcap="flat" joinstyle="round" linestyle="single" startarrow="none" startarrowwidth="medium" startarrowlength="medium" endarrow="none" endarrowwidth="medium" endarrowlength="medium"/>
                  </v:shape>
                  <v:shape id="_x0000_s1057" type="#_x0000_t202" style="position:absolute;left:20954;top:38719;width:3294934;height:715743;">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3"/>
                            </w:numPr>
                            <w:bidi w:val="0"/>
                            <w:spacing w:after="40" w:line="216" w:lineRule="auto"/>
                            <w:ind w:right="0"/>
                            <w:jc w:val="left"/>
                            <w:outlineLvl w:val="1"/>
                            <w:rPr>
                              <w:sz w:val="22"/>
                              <w:szCs w:val="22"/>
                              <w:rtl w:val="0"/>
                              <w:lang w:val="en-US"/>
                            </w:rPr>
                          </w:pPr>
                          <w:r>
                            <w:rPr>
                              <w:sz w:val="22"/>
                              <w:szCs w:val="22"/>
                              <w:rtl w:val="0"/>
                              <w:lang w:val="en-US"/>
                            </w:rPr>
                            <w:t>Reached a record high of 370,000 in October 2020</w:t>
                          </w:r>
                        </w:p>
                        <w:p>
                          <w:pPr>
                            <w:pStyle w:val="caption"/>
                            <w:numPr>
                              <w:ilvl w:val="1"/>
                              <w:numId w:val="3"/>
                            </w:numPr>
                            <w:bidi w:val="0"/>
                            <w:spacing w:after="40" w:line="216" w:lineRule="auto"/>
                            <w:ind w:right="0"/>
                            <w:jc w:val="left"/>
                            <w:outlineLvl w:val="1"/>
                            <w:rPr>
                              <w:sz w:val="22"/>
                              <w:szCs w:val="22"/>
                              <w:rtl w:val="0"/>
                              <w:lang w:val="en-US"/>
                            </w:rPr>
                          </w:pPr>
                          <w:r>
                            <w:rPr>
                              <w:sz w:val="22"/>
                              <w:szCs w:val="22"/>
                              <w:rtl w:val="0"/>
                              <w:lang w:val="en-US"/>
                            </w:rPr>
                            <w:t>An increase of a record of 217,000 on the quarter</w:t>
                          </w:r>
                        </w:p>
                      </w:txbxContent>
                    </v:textbox>
                  </v:shape>
                </v:group>
                <v:group id="_x0000_s1058" style="position:absolute;left:-2;top:2082096;width:1898756;height:991478;" coordorigin="-1,0" coordsize="1898756,991478">
                  <v:roundrect id="_x0000_s1059" style="position:absolute;left:-1;top:0;width:1898756;height:991478;"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60" type="#_x0000_t202" style="position:absolute;left:82689;top:48399;width:1733377;height:8946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260"/>
                              <w:tab w:val="left" w:pos="2520"/>
                            </w:tabs>
                            <w:spacing w:after="151" w:line="216" w:lineRule="auto"/>
                            <w:jc w:val="center"/>
                          </w:pPr>
                          <w:r>
                            <w:rPr>
                              <w:outline w:val="0"/>
                              <w:color w:val="ffffff"/>
                              <w:u w:color="ffffff"/>
                              <w:rtl w:val="0"/>
                              <w:lang w:val="en-US"/>
                              <w14:textFill>
                                <w14:solidFill>
                                  <w14:srgbClr w14:val="FFFFFF"/>
                                </w14:solidFill>
                              </w14:textFill>
                            </w:rPr>
                            <w:t>Redundancies</w:t>
                          </w:r>
                        </w:p>
                      </w:txbxContent>
                    </v:textbox>
                  </v:shape>
                </v:group>
              </v:group>
            </w:pict>
          </mc:Fallback>
        </mc:AlternateConten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Roles of Parties in ER</w:t>
      </w:r>
    </w:p>
    <w:p>
      <w:pPr>
        <w:pStyle w:val="Body A"/>
        <w:rPr>
          <w:rFonts w:ascii="Arial" w:cs="Arial" w:hAnsi="Arial" w:eastAsia="Arial"/>
          <w:sz w:val="28"/>
          <w:szCs w:val="28"/>
        </w:rPr>
      </w:pPr>
      <w:r>
        <w:rPr>
          <w:rFonts w:ascii="Arial" w:hAnsi="Arial"/>
          <w:sz w:val="28"/>
          <w:szCs w:val="28"/>
          <w:rtl w:val="0"/>
          <w:lang w:val="en-US"/>
        </w:rPr>
        <w:t xml:space="preserve">Interactions between line managers and employees are fundamental to the employment relationships.  (Townsend, Hutchinson and Townsend, 2020) Nevertheless, a strong and maintained relationship between leader and employee is essential for effective ER.  </w:t>
      </w:r>
    </w:p>
    <w:p>
      <w:pPr>
        <w:pStyle w:val="Body A"/>
        <w:rPr>
          <w:rFonts w:ascii="Arial" w:cs="Arial" w:hAnsi="Arial" w:eastAsia="Arial"/>
          <w:sz w:val="28"/>
          <w:szCs w:val="28"/>
        </w:rPr>
      </w:pPr>
      <w:r>
        <w:rPr>
          <w:rFonts w:ascii="Arial" w:hAnsi="Arial"/>
          <w:sz w:val="28"/>
          <w:szCs w:val="28"/>
          <w:rtl w:val="0"/>
          <w:lang w:val="en-US"/>
        </w:rPr>
        <w:t>Moreover, Managers are integral to attracting and developing human capital, also significant for ER. It is noted that organisational factors such as COVID-19 can affect the leader</w:t>
      </w:r>
      <w:r>
        <w:rPr>
          <w:rFonts w:ascii="Arial" w:hAnsi="Arial" w:hint="default"/>
          <w:sz w:val="28"/>
          <w:szCs w:val="28"/>
          <w:rtl w:val="0"/>
          <w:lang w:val="en-US"/>
        </w:rPr>
        <w:t>’</w:t>
      </w:r>
      <w:r>
        <w:rPr>
          <w:rFonts w:ascii="Arial" w:hAnsi="Arial"/>
          <w:sz w:val="28"/>
          <w:szCs w:val="28"/>
          <w:rtl w:val="0"/>
          <w:lang w:val="en-US"/>
        </w:rPr>
        <w:t>s ER relationship with the employee.</w:t>
      </w:r>
    </w:p>
    <w:p>
      <w:pPr>
        <w:pStyle w:val="Body A"/>
        <w:rPr>
          <w:rFonts w:ascii="Arial" w:cs="Arial" w:hAnsi="Arial" w:eastAsia="Arial"/>
          <w:sz w:val="28"/>
          <w:szCs w:val="28"/>
        </w:rPr>
      </w:pPr>
      <w:r>
        <w:rPr>
          <w:rFonts w:ascii="Arial" w:hAnsi="Arial"/>
          <w:sz w:val="28"/>
          <w:szCs w:val="28"/>
          <w:rtl w:val="0"/>
          <w:lang w:val="en-US"/>
        </w:rPr>
        <w:t xml:space="preserve"> DWP leaders need to morph their management styles drastically to adapt to the new challenges of COVID-19 and will need to continue to do so. (Metx et al, 2020) They should consider changing from autocratic leadership styles to democratic and even transformational leadership, to develop their ER.</w:t>
      </w:r>
    </w:p>
    <w:p>
      <w:pPr>
        <w:pStyle w:val="Body A"/>
        <w:rPr>
          <w:rFonts w:ascii="Arial" w:cs="Arial" w:hAnsi="Arial" w:eastAsia="Arial"/>
          <w:sz w:val="28"/>
          <w:szCs w:val="28"/>
        </w:rPr>
      </w:pPr>
      <w:r>
        <w:rPr>
          <w:rFonts w:ascii="Arial" w:hAnsi="Arial"/>
          <w:sz w:val="28"/>
          <w:szCs w:val="28"/>
          <w:rtl w:val="0"/>
          <w:lang w:val="en-US"/>
        </w:rPr>
        <w:t>This requirement for leadership flexibility should be considered vital for ER, to ensure DWP</w:t>
      </w:r>
      <w:r>
        <w:rPr>
          <w:rFonts w:ascii="Arial" w:hAnsi="Arial" w:hint="default"/>
          <w:sz w:val="28"/>
          <w:szCs w:val="28"/>
          <w:rtl w:val="0"/>
          <w:lang w:val="en-US"/>
        </w:rPr>
        <w:t>’</w:t>
      </w:r>
      <w:r>
        <w:rPr>
          <w:rFonts w:ascii="Arial" w:hAnsi="Arial"/>
          <w:sz w:val="28"/>
          <w:szCs w:val="28"/>
          <w:rtl w:val="0"/>
          <w:lang w:val="en-US"/>
        </w:rPr>
        <w:t>s employees, health and wellbeing are supported throughout the global pandemic.</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Findings</w:t>
      </w:r>
    </w:p>
    <w:p>
      <w:pPr>
        <w:pStyle w:val="Body A"/>
        <w:rPr>
          <w:rFonts w:ascii="Arial" w:cs="Arial" w:hAnsi="Arial" w:eastAsia="Arial"/>
          <w:sz w:val="28"/>
          <w:szCs w:val="28"/>
        </w:rPr>
      </w:pPr>
      <w:r>
        <w:rPr>
          <w:rFonts w:ascii="Arial" w:hAnsi="Arial"/>
          <w:sz w:val="28"/>
          <w:szCs w:val="28"/>
          <w:rtl w:val="0"/>
          <w:lang w:val="en-US"/>
        </w:rPr>
        <w:t>The whole world is facing the propounded public health and economic crisis of all time. (Lal et al, 2020) The pandemic has had a pervasive effect on ER in terms of social, political, environmental, technological and legal factors and multifaceted ways. Transforming people and workplaces into forced changes and uncertainly which has negatively impacted ER.  Implicating health and wellbeing, psychological and social implications for millions of people.  (Beech and Anseel, 2020) Limited scholarly research can be found on COVID-19 impact on public sector organisations specifically and this paper has aimed to fill that gap</w:t>
      </w:r>
    </w:p>
    <w:p>
      <w:pPr>
        <w:pStyle w:val="Body A"/>
        <w:rPr>
          <w:rFonts w:ascii="Arial" w:cs="Arial" w:hAnsi="Arial" w:eastAsia="Arial"/>
          <w:sz w:val="28"/>
          <w:szCs w:val="28"/>
        </w:rPr>
      </w:pPr>
      <w:r>
        <w:rPr>
          <w:rFonts w:ascii="Arial" w:hAnsi="Arial"/>
          <w:sz w:val="28"/>
          <w:szCs w:val="28"/>
          <w:rtl w:val="0"/>
          <w:lang w:val="en-US"/>
        </w:rPr>
        <w:t>Amidst the global pandemic effective leadership is a common theme identified at the forefront of managing effective ER. Whether it be the political leader of the UK or the leaders within DWP.  Leaders play an influential role within organisations and are at the heart of the ER. (Jatinder and Manjari, 2019) There is one thing that is abundantly clear ER and HR is currently being underutilised during this time of crisis. Every element of COVID-19</w:t>
      </w:r>
      <w:r>
        <w:rPr>
          <w:rFonts w:ascii="Arial" w:hAnsi="Arial" w:hint="default"/>
          <w:sz w:val="28"/>
          <w:szCs w:val="28"/>
          <w:rtl w:val="0"/>
          <w:lang w:val="en-US"/>
        </w:rPr>
        <w:t>’</w:t>
      </w:r>
      <w:r>
        <w:rPr>
          <w:rFonts w:ascii="Arial" w:hAnsi="Arial"/>
          <w:sz w:val="28"/>
          <w:szCs w:val="28"/>
          <w:rtl w:val="0"/>
          <w:lang w:val="en-US"/>
        </w:rPr>
        <w:t xml:space="preserve">s impact directly affects ER Yet HR does not appear to be leading through the crisis. </w:t>
      </w:r>
    </w:p>
    <w:p>
      <w:pPr>
        <w:pStyle w:val="Body A"/>
        <w:rPr>
          <w:rFonts w:ascii="Arial" w:cs="Arial" w:hAnsi="Arial" w:eastAsia="Arial"/>
          <w:sz w:val="28"/>
          <w:szCs w:val="28"/>
        </w:rPr>
      </w:pPr>
      <w:r>
        <w:rPr>
          <w:rFonts w:ascii="Arial" w:hAnsi="Arial"/>
          <w:sz w:val="28"/>
          <w:szCs w:val="28"/>
          <w:rtl w:val="0"/>
          <w:lang w:val="en-US"/>
        </w:rPr>
        <w:t>DWP</w:t>
      </w:r>
      <w:r>
        <w:rPr>
          <w:rFonts w:ascii="Arial" w:hAnsi="Arial" w:hint="default"/>
          <w:sz w:val="28"/>
          <w:szCs w:val="28"/>
          <w:rtl w:val="0"/>
          <w:lang w:val="en-US"/>
        </w:rPr>
        <w:t>’</w:t>
      </w:r>
      <w:r>
        <w:rPr>
          <w:rFonts w:ascii="Arial" w:hAnsi="Arial"/>
          <w:sz w:val="28"/>
          <w:szCs w:val="28"/>
          <w:rtl w:val="0"/>
          <w:lang w:val="en-US"/>
        </w:rPr>
        <w:t>s Colleagues have superseded expectations with their reactive, agile approach to the crisis. With colleague roles, responsibilities, work expectations flexed and many faced with homeschooling together with work demands. Technology has been the main driver of DWP</w:t>
      </w:r>
      <w:r>
        <w:rPr>
          <w:rFonts w:ascii="Arial" w:hAnsi="Arial" w:hint="default"/>
          <w:sz w:val="28"/>
          <w:szCs w:val="28"/>
          <w:rtl w:val="0"/>
          <w:lang w:val="en-US"/>
        </w:rPr>
        <w:t>’</w:t>
      </w:r>
      <w:r>
        <w:rPr>
          <w:rFonts w:ascii="Arial" w:hAnsi="Arial"/>
          <w:sz w:val="28"/>
          <w:szCs w:val="28"/>
          <w:rtl w:val="0"/>
          <w:lang w:val="en-US"/>
        </w:rPr>
        <w:t xml:space="preserve">s response to COVID-19, with the implementation of the Universal Credit Virtual Service Centre, meeting the need of millions of new claims and with 65,0000 colleagues working from home with new IT devices. (Wiwanitkit, 2020) </w:t>
      </w:r>
    </w:p>
    <w:p>
      <w:pPr>
        <w:pStyle w:val="Body A"/>
        <w:rPr>
          <w:rFonts w:ascii="Arial" w:cs="Arial" w:hAnsi="Arial" w:eastAsia="Arial"/>
          <w:sz w:val="28"/>
          <w:szCs w:val="28"/>
        </w:rPr>
      </w:pPr>
      <w:r>
        <w:rPr>
          <w:rFonts w:ascii="Arial" w:hAnsi="Arial"/>
          <w:sz w:val="28"/>
          <w:szCs w:val="28"/>
          <w:rtl w:val="0"/>
          <w:lang w:val="en-US"/>
        </w:rPr>
        <w:t>Coupled with the evident political forces that DWP are already accustomed. The global pandemic has tested DWP</w:t>
      </w:r>
      <w:r>
        <w:rPr>
          <w:rFonts w:ascii="Arial" w:hAnsi="Arial" w:hint="default"/>
          <w:sz w:val="28"/>
          <w:szCs w:val="28"/>
          <w:rtl w:val="0"/>
          <w:lang w:val="en-US"/>
        </w:rPr>
        <w:t>’</w:t>
      </w:r>
      <w:r>
        <w:rPr>
          <w:rFonts w:ascii="Arial" w:hAnsi="Arial"/>
          <w:sz w:val="28"/>
          <w:szCs w:val="28"/>
          <w:rtl w:val="0"/>
          <w:lang w:val="en-US"/>
        </w:rPr>
        <w:t>s ER resilience in delivering their overall strategic objective of serving the UK citizen, which they have achieved.</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Conclusion</w:t>
      </w:r>
    </w:p>
    <w:p>
      <w:pPr>
        <w:pStyle w:val="Body A"/>
        <w:rPr>
          <w:rFonts w:ascii="Arial" w:cs="Arial" w:hAnsi="Arial" w:eastAsia="Arial"/>
          <w:sz w:val="28"/>
          <w:szCs w:val="28"/>
        </w:rPr>
      </w:pPr>
      <w:r>
        <w:rPr>
          <w:rFonts w:ascii="Arial" w:hAnsi="Arial"/>
          <w:sz w:val="28"/>
          <w:szCs w:val="28"/>
          <w:rtl w:val="0"/>
          <w:lang w:val="en-US"/>
        </w:rPr>
        <w:t>The ER climate has faced a variety of challenges as a result of COVID-19. For DWP, the ER climate is robust but has areas for improvements.</w:t>
      </w:r>
    </w:p>
    <w:p>
      <w:pPr>
        <w:pStyle w:val="Body A"/>
        <w:rPr>
          <w:rFonts w:ascii="Arial" w:cs="Arial" w:hAnsi="Arial" w:eastAsia="Arial"/>
          <w:sz w:val="28"/>
          <w:szCs w:val="28"/>
        </w:rPr>
      </w:pPr>
      <w:r>
        <w:rPr>
          <w:rFonts w:ascii="Arial" w:hAnsi="Arial"/>
          <w:sz w:val="28"/>
          <w:szCs w:val="28"/>
          <w:rtl w:val="0"/>
          <w:lang w:val="en-US"/>
        </w:rPr>
        <w:t>Leaders are considered one of the most effective elements of the workplace and have the potential for the most impact. (Ashkan, 2017) Similarly, leaders in DWP need to take more of a pivotal role in the ER. Research has demonstrated that leaders who possess emotional intelligence are considered more effective and are more likely to develop and maintain strong relationships with employees. It is therefore critical for DWP that Leader should develop their EI. (Lone and Lone, 2018)</w:t>
      </w:r>
    </w:p>
    <w:p>
      <w:pPr>
        <w:pStyle w:val="Body A"/>
        <w:rPr>
          <w:rFonts w:ascii="Arial" w:cs="Arial" w:hAnsi="Arial" w:eastAsia="Arial"/>
          <w:sz w:val="28"/>
          <w:szCs w:val="28"/>
        </w:rPr>
      </w:pPr>
      <w:r>
        <w:rPr>
          <w:rFonts w:ascii="Arial" w:hAnsi="Arial"/>
          <w:sz w:val="28"/>
          <w:szCs w:val="28"/>
          <w:rtl w:val="0"/>
          <w:lang w:val="en-US"/>
        </w:rPr>
        <w:t>DWP</w:t>
      </w:r>
      <w:r>
        <w:rPr>
          <w:rFonts w:ascii="Arial" w:hAnsi="Arial" w:hint="default"/>
          <w:sz w:val="28"/>
          <w:szCs w:val="28"/>
          <w:rtl w:val="0"/>
          <w:lang w:val="en-US"/>
        </w:rPr>
        <w:t>’</w:t>
      </w:r>
      <w:r>
        <w:rPr>
          <w:rFonts w:ascii="Arial" w:hAnsi="Arial"/>
          <w:sz w:val="28"/>
          <w:szCs w:val="28"/>
          <w:rtl w:val="0"/>
          <w:lang w:val="en-US"/>
        </w:rPr>
        <w:t>s (2020) People Survey has shown that employee engagement and leadership managing change has improved during the crisis. However, DWP does need to focus on maintaining the momentum of positive organisational behaviours that have been demonstrated by colleagues at the time of the crisis and consider greater use of reward and recognition.</w:t>
      </w:r>
    </w:p>
    <w:p>
      <w:pPr>
        <w:pStyle w:val="Body A"/>
        <w:rPr>
          <w:rFonts w:ascii="Arial" w:cs="Arial" w:hAnsi="Arial" w:eastAsia="Arial"/>
          <w:sz w:val="28"/>
          <w:szCs w:val="28"/>
        </w:rPr>
      </w:pPr>
      <w:r>
        <w:rPr>
          <w:rFonts w:ascii="Arial" w:hAnsi="Arial"/>
          <w:sz w:val="28"/>
          <w:szCs w:val="28"/>
          <w:rtl w:val="0"/>
          <w:lang w:val="en-US"/>
        </w:rPr>
        <w:t>These include increased job satisfaction, commitment and workplace agility. Furthermore, health and wellbeing have been an area of ER that DWP has neglected.  DWP could strengthen their already strong ER climate utilising HR to take the lead in designing health and wellbeing practices.  In conjunction with Leaders who will facilitate and implement regular check-ins, to ensure the health and wellbeing of their people during the ongoing crisis. (Fewen et al, 2018)</w: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b w:val="1"/>
          <w:bCs w:val="1"/>
          <w:sz w:val="28"/>
          <w:szCs w:val="28"/>
        </w:rPr>
      </w:pPr>
      <w:r>
        <w:rPr>
          <w:rFonts w:ascii="Arial" w:hAnsi="Arial"/>
          <w:b w:val="1"/>
          <w:bCs w:val="1"/>
          <w:sz w:val="28"/>
          <w:szCs w:val="28"/>
          <w:rtl w:val="0"/>
          <w:lang w:val="en-US"/>
        </w:rPr>
        <w:t>Recommendations</w:t>
      </w: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cs="Arial" w:hAnsi="Arial" w:eastAsia="Arial"/>
          <w:outline w:val="0"/>
          <w:color w:val="000000"/>
          <w:sz w:val="28"/>
          <w:szCs w:val="28"/>
          <w:u w:color="000000"/>
          <w14:textFill>
            <w14:solidFill>
              <w14:srgbClr w14:val="000000"/>
            </w14:solidFill>
          </w14:textFill>
        </w:rPr>
        <mc:AlternateContent>
          <mc:Choice Requires="wpg">
            <w:drawing xmlns:a="http://schemas.openxmlformats.org/drawingml/2006/main">
              <wp:inline distT="0" distB="0" distL="0" distR="0">
                <wp:extent cx="5910265" cy="6948172"/>
                <wp:effectExtent l="0" t="0" r="0" b="0"/>
                <wp:docPr id="1073741873" name="officeArt object" descr="officeArt object"/>
                <wp:cNvGraphicFramePr/>
                <a:graphic xmlns:a="http://schemas.openxmlformats.org/drawingml/2006/main">
                  <a:graphicData uri="http://schemas.microsoft.com/office/word/2010/wordprocessingGroup">
                    <wpg:wgp>
                      <wpg:cNvGrpSpPr/>
                      <wpg:grpSpPr>
                        <a:xfrm>
                          <a:off x="0" y="0"/>
                          <a:ext cx="5910265" cy="6948172"/>
                          <a:chOff x="0" y="0"/>
                          <a:chExt cx="5910264" cy="6948171"/>
                        </a:xfrm>
                      </wpg:grpSpPr>
                      <wpg:grpSp>
                        <wpg:cNvPr id="1073741863" name="Group 1073741863"/>
                        <wpg:cNvGrpSpPr/>
                        <wpg:grpSpPr>
                          <a:xfrm>
                            <a:off x="0" y="-1"/>
                            <a:ext cx="5910265" cy="2171305"/>
                            <a:chOff x="0" y="0"/>
                            <a:chExt cx="5910264" cy="2171304"/>
                          </a:xfrm>
                        </wpg:grpSpPr>
                        <wps:wsp>
                          <wps:cNvPr id="1073741861" name="Shape 1073741861"/>
                          <wps:cNvSpPr/>
                          <wps:spPr>
                            <a:xfrm>
                              <a:off x="0" y="-1"/>
                              <a:ext cx="5910265" cy="2171305"/>
                            </a:xfrm>
                            <a:prstGeom prst="roundRect">
                              <a:avLst>
                                <a:gd name="adj" fmla="val 10000"/>
                              </a:avLst>
                            </a:prstGeom>
                            <a:solidFill>
                              <a:schemeClr val="accent1"/>
                            </a:solidFill>
                            <a:ln w="25400" cap="flat">
                              <a:solidFill>
                                <a:srgbClr val="FFFFFF"/>
                              </a:solidFill>
                              <a:prstDash val="solid"/>
                              <a:round/>
                            </a:ln>
                            <a:effectLst/>
                          </wps:spPr>
                          <wps:bodyPr/>
                        </wps:wsp>
                        <wps:wsp>
                          <wps:cNvPr id="1073741862" name="Shape 1073741862"/>
                          <wps:cNvSpPr txBox="1"/>
                          <wps:spPr>
                            <a:xfrm>
                              <a:off x="1399182" y="-1"/>
                              <a:ext cx="4511083" cy="2171305"/>
                            </a:xfrm>
                            <a:prstGeom prst="rect">
                              <a:avLst/>
                            </a:prstGeom>
                            <a:noFill/>
                            <a:ln w="12700" cap="flat">
                              <a:noFill/>
                              <a:miter lim="400000"/>
                            </a:ln>
                            <a:effectLst/>
                          </wps:spPr>
                          <wps:txb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4"/>
                                    <w:szCs w:val="24"/>
                                    <w:u w:color="ffffff"/>
                                    <w14:textFill>
                                      <w14:solidFill>
                                        <w14:srgbClr w14:val="FFFFFF"/>
                                      </w14:solidFill>
                                    </w14:textFill>
                                  </w:rPr>
                                </w:pPr>
                                <w:r>
                                  <w:rPr>
                                    <w:rFonts w:ascii="Arial" w:hAnsi="Arial"/>
                                    <w:sz w:val="24"/>
                                    <w:szCs w:val="24"/>
                                    <w:rtl w:val="0"/>
                                    <w:lang w:val="en-US"/>
                                  </w:rPr>
                                  <w:t xml:space="preserve">Recommendation 1. Health and Wellbeing Activities Implemented Regularly </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Innovative Virtual meditation/yoga classes, morphed to suit desk work.</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Interactive health and wellbeing virtual quiz</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Steps to improve wellbeing discussed regularly at team meetings, or delivered via text/e-mail</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Healthy Body Healthy Mind initiative, ongoing health advice. </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Virtual walks/runs(Dooris Farrier and Forggert, 2018)</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Virtual Reality Health and Wellbeing, hypothetically taking Colleagues to a safe relaxing space. (Frewen et al, 2020)</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Proposed to Senior Leadership Team, led by HR</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Cost only resource, as can utilisie current yoga instructor expertise. I Leader a anticipated to take up 30% of her time equating to </w:t>
                                </w:r>
                                <w:r>
                                  <w:rPr>
                                    <w:rFonts w:ascii="Arial" w:hAnsi="Arial" w:hint="default"/>
                                    <w:sz w:val="18"/>
                                    <w:szCs w:val="18"/>
                                    <w:rtl w:val="0"/>
                                    <w:lang w:val="en-US"/>
                                  </w:rPr>
                                  <w:t>£</w:t>
                                </w:r>
                                <w:r>
                                  <w:rPr>
                                    <w:rFonts w:ascii="Arial" w:hAnsi="Arial"/>
                                    <w:sz w:val="18"/>
                                    <w:szCs w:val="18"/>
                                    <w:rtl w:val="0"/>
                                    <w:lang w:val="en-US"/>
                                  </w:rPr>
                                  <w:t>50,000</w:t>
                                </w:r>
                              </w:p>
                            </w:txbxContent>
                          </wps:txbx>
                          <wps:bodyPr wrap="square" lIns="45718" tIns="45718" rIns="45718" bIns="45718" numCol="1" anchor="t">
                            <a:noAutofit/>
                          </wps:bodyPr>
                        </wps:wsp>
                      </wpg:grpSp>
                      <wps:wsp>
                        <wps:cNvPr id="1073741864" name="Shape 1073741864"/>
                        <wps:cNvSpPr/>
                        <wps:spPr>
                          <a:xfrm rot="10800000">
                            <a:off x="641237" y="966783"/>
                            <a:ext cx="333837" cy="237733"/>
                          </a:xfrm>
                          <a:prstGeom prst="roundRect">
                            <a:avLst>
                              <a:gd name="adj" fmla="val 10000"/>
                            </a:avLst>
                          </a:prstGeom>
                          <a:solidFill>
                            <a:srgbClr val="BAD6DF"/>
                          </a:solidFill>
                          <a:ln w="25400" cap="flat">
                            <a:solidFill>
                              <a:srgbClr val="FFFFFF"/>
                            </a:solidFill>
                            <a:prstDash val="solid"/>
                            <a:round/>
                          </a:ln>
                          <a:effectLst/>
                        </wps:spPr>
                        <wps:bodyPr/>
                      </wps:wsp>
                      <wpg:grpSp>
                        <wpg:cNvPr id="1073741867" name="Group 1073741867"/>
                        <wpg:cNvGrpSpPr/>
                        <wpg:grpSpPr>
                          <a:xfrm>
                            <a:off x="0" y="2388432"/>
                            <a:ext cx="5910265" cy="2171306"/>
                            <a:chOff x="0" y="0"/>
                            <a:chExt cx="5910264" cy="2171305"/>
                          </a:xfrm>
                        </wpg:grpSpPr>
                        <wps:wsp>
                          <wps:cNvPr id="1073741865" name="Shape 1073741865"/>
                          <wps:cNvSpPr/>
                          <wps:spPr>
                            <a:xfrm>
                              <a:off x="-1" y="0"/>
                              <a:ext cx="5910266" cy="2171306"/>
                            </a:xfrm>
                            <a:prstGeom prst="roundRect">
                              <a:avLst>
                                <a:gd name="adj" fmla="val 10000"/>
                              </a:avLst>
                            </a:prstGeom>
                            <a:solidFill>
                              <a:schemeClr val="accent1"/>
                            </a:solidFill>
                            <a:ln w="25400" cap="flat">
                              <a:solidFill>
                                <a:srgbClr val="FFFFFF"/>
                              </a:solidFill>
                              <a:prstDash val="solid"/>
                              <a:round/>
                            </a:ln>
                            <a:effectLst/>
                          </wps:spPr>
                          <wps:bodyPr/>
                        </wps:wsp>
                        <wps:wsp>
                          <wps:cNvPr id="1073741866" name="Shape 1073741866"/>
                          <wps:cNvSpPr txBox="1"/>
                          <wps:spPr>
                            <a:xfrm>
                              <a:off x="1399182" y="-1"/>
                              <a:ext cx="4511083" cy="2171307"/>
                            </a:xfrm>
                            <a:prstGeom prst="rect">
                              <a:avLst/>
                            </a:prstGeom>
                            <a:noFill/>
                            <a:ln w="12700" cap="flat">
                              <a:noFill/>
                              <a:miter lim="400000"/>
                            </a:ln>
                            <a:effectLst/>
                          </wps:spPr>
                          <wps:txb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4"/>
                                    <w:szCs w:val="24"/>
                                    <w:u w:color="ffffff"/>
                                    <w14:textFill>
                                      <w14:solidFill>
                                        <w14:srgbClr w14:val="FFFFFF"/>
                                      </w14:solidFill>
                                    </w14:textFill>
                                  </w:rPr>
                                </w:pPr>
                                <w:r>
                                  <w:rPr>
                                    <w:rFonts w:ascii="Arial" w:hAnsi="Arial"/>
                                    <w:sz w:val="24"/>
                                    <w:szCs w:val="24"/>
                                    <w:rtl w:val="0"/>
                                    <w:lang w:val="en-US"/>
                                  </w:rPr>
                                  <w:t>Recommendation 2. Emotional Intelligence Training for DWP Leaders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Emotional Intelligence Leadership Development Programme, focused on improving employment relations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As a longer term proposal it is suggested this recommendation is in included in the 5 year spending bid.</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Offered to all leadership grades, in an attempt to improve leadership effectiveness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HR to lead, together with a pool of DWP Leaders, in order to build capability.</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Cost implication to involve 3 HR leaders and a pool of line managers who will facilitate.</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Equating to </w:t>
                                </w:r>
                                <w:r>
                                  <w:rPr>
                                    <w:rFonts w:ascii="Arial" w:hAnsi="Arial" w:hint="default"/>
                                    <w:sz w:val="18"/>
                                    <w:szCs w:val="18"/>
                                    <w:rtl w:val="0"/>
                                    <w:lang w:val="en-US"/>
                                  </w:rPr>
                                  <w:t>£</w:t>
                                </w:r>
                                <w:r>
                                  <w:rPr>
                                    <w:rFonts w:ascii="Arial" w:hAnsi="Arial"/>
                                    <w:sz w:val="18"/>
                                    <w:szCs w:val="18"/>
                                    <w:rtl w:val="0"/>
                                    <w:lang w:val="en-US"/>
                                  </w:rPr>
                                  <w:t>80,000 (Cote and Miners, 2016)</w:t>
                                </w:r>
                              </w:p>
                            </w:txbxContent>
                          </wps:txbx>
                          <wps:bodyPr wrap="square" lIns="45718" tIns="45718" rIns="45718" bIns="45718" numCol="1" anchor="t">
                            <a:noAutofit/>
                          </wps:bodyPr>
                        </wps:wsp>
                      </wpg:grpSp>
                      <wps:wsp>
                        <wps:cNvPr id="1073741868" name="Shape 1073741868"/>
                        <wps:cNvSpPr/>
                        <wps:spPr>
                          <a:xfrm>
                            <a:off x="638602" y="3352481"/>
                            <a:ext cx="339108" cy="243205"/>
                          </a:xfrm>
                          <a:prstGeom prst="roundRect">
                            <a:avLst>
                              <a:gd name="adj" fmla="val 10000"/>
                            </a:avLst>
                          </a:prstGeom>
                          <a:solidFill>
                            <a:srgbClr val="BAD6DF"/>
                          </a:solidFill>
                          <a:ln w="25400" cap="flat">
                            <a:solidFill>
                              <a:srgbClr val="FFFFFF"/>
                            </a:solidFill>
                            <a:prstDash val="solid"/>
                            <a:round/>
                          </a:ln>
                          <a:effectLst/>
                        </wps:spPr>
                        <wps:bodyPr/>
                      </wps:wsp>
                      <wpg:grpSp>
                        <wpg:cNvPr id="1073741871" name="Group 1073741871"/>
                        <wpg:cNvGrpSpPr/>
                        <wpg:grpSpPr>
                          <a:xfrm>
                            <a:off x="0" y="4776865"/>
                            <a:ext cx="5910265" cy="2171306"/>
                            <a:chOff x="0" y="0"/>
                            <a:chExt cx="5910264" cy="2171305"/>
                          </a:xfrm>
                        </wpg:grpSpPr>
                        <wps:wsp>
                          <wps:cNvPr id="1073741869" name="Shape 1073741869"/>
                          <wps:cNvSpPr/>
                          <wps:spPr>
                            <a:xfrm>
                              <a:off x="-1" y="0"/>
                              <a:ext cx="5910266" cy="2171306"/>
                            </a:xfrm>
                            <a:prstGeom prst="roundRect">
                              <a:avLst>
                                <a:gd name="adj" fmla="val 10000"/>
                              </a:avLst>
                            </a:prstGeom>
                            <a:solidFill>
                              <a:schemeClr val="accent1"/>
                            </a:solidFill>
                            <a:ln w="25400" cap="flat">
                              <a:solidFill>
                                <a:srgbClr val="FFFFFF"/>
                              </a:solidFill>
                              <a:prstDash val="solid"/>
                              <a:round/>
                            </a:ln>
                            <a:effectLst/>
                          </wps:spPr>
                          <wps:bodyPr/>
                        </wps:wsp>
                        <wps:wsp>
                          <wps:cNvPr id="1073741870" name="Shape 1073741870"/>
                          <wps:cNvSpPr txBox="1"/>
                          <wps:spPr>
                            <a:xfrm>
                              <a:off x="1399182" y="-1"/>
                              <a:ext cx="4511083" cy="2171307"/>
                            </a:xfrm>
                            <a:prstGeom prst="rect">
                              <a:avLst/>
                            </a:prstGeom>
                            <a:noFill/>
                            <a:ln w="12700" cap="flat">
                              <a:noFill/>
                              <a:miter lim="400000"/>
                            </a:ln>
                            <a:effectLst/>
                          </wps:spPr>
                          <wps:txb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0"/>
                                    <w:szCs w:val="20"/>
                                    <w:u w:color="ffffff"/>
                                    <w14:textFill>
                                      <w14:solidFill>
                                        <w14:srgbClr w14:val="FFFFFF"/>
                                      </w14:solidFill>
                                    </w14:textFill>
                                  </w:rPr>
                                </w:pPr>
                                <w:r>
                                  <w:rPr>
                                    <w:rFonts w:ascii="Arial" w:hAnsi="Arial"/>
                                    <w:sz w:val="20"/>
                                    <w:szCs w:val="20"/>
                                    <w:rtl w:val="0"/>
                                    <w:lang w:val="en-US"/>
                                  </w:rPr>
                                  <w:t>Recommendation 3 : Health and Wellbeing Interactive Application</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Weekly Health and Wellbeing 1-1 check ins</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Monthly Health and Wellbeing virtual focus groups about particular subjects, ie food, alcohol, exercise, sport.</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Health and Wellbeing app for all Colleagues. Interactive app which  everyone has and monitors heart rate, provides an interactive communication platform between line manager and colleague, which is driven by the effective employment relationship</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No work related content.</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HR to lead and colloborative with DWP Digital</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Provides staff with an immediate platform to voice well-being issues, similar to that of a social media platform.</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Cost 1 ,million  pounds to come out of DWP Digital  strategic improvement budget</w:t>
                                </w:r>
                              </w:p>
                            </w:txbxContent>
                          </wps:txbx>
                          <wps:bodyPr wrap="square" lIns="45718" tIns="45718" rIns="45718" bIns="45718" numCol="1" anchor="t">
                            <a:noAutofit/>
                          </wps:bodyPr>
                        </wps:wsp>
                      </wpg:grpSp>
                      <wps:wsp>
                        <wps:cNvPr id="1073741872" name="Shape 1073741872"/>
                        <wps:cNvSpPr/>
                        <wps:spPr>
                          <a:xfrm flipH="1">
                            <a:off x="704885" y="5743009"/>
                            <a:ext cx="206543" cy="239019"/>
                          </a:xfrm>
                          <a:prstGeom prst="roundRect">
                            <a:avLst>
                              <a:gd name="adj" fmla="val 10000"/>
                            </a:avLst>
                          </a:prstGeom>
                          <a:solidFill>
                            <a:srgbClr val="BAD6DF"/>
                          </a:solidFill>
                          <a:ln w="25400" cap="flat">
                            <a:solidFill>
                              <a:srgbClr val="FFFFFF"/>
                            </a:solidFill>
                            <a:prstDash val="solid"/>
                            <a:round/>
                          </a:ln>
                          <a:effectLst/>
                        </wps:spPr>
                        <wps:bodyPr/>
                      </wps:wsp>
                    </wpg:wgp>
                  </a:graphicData>
                </a:graphic>
              </wp:inline>
            </w:drawing>
          </mc:Choice>
          <mc:Fallback>
            <w:pict>
              <v:group id="_x0000_s1061" style="visibility:visible;width:465.4pt;height:547.1pt;" coordorigin="0,0" coordsize="5910265,6948171">
                <v:group id="_x0000_s1062" style="position:absolute;left:0;top:0;width:5910265;height:2171304;" coordorigin="0,0" coordsize="5910265,2171304">
                  <v:roundrect id="_x0000_s1063" style="position:absolute;left:0;top:0;width:5910265;height:2171304;" adj="216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64" type="#_x0000_t202" style="position:absolute;left:1399182;top:0;width:4511082;height:217130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4"/>
                              <w:szCs w:val="24"/>
                              <w:u w:color="ffffff"/>
                              <w14:textFill>
                                <w14:solidFill>
                                  <w14:srgbClr w14:val="FFFFFF"/>
                                </w14:solidFill>
                              </w14:textFill>
                            </w:rPr>
                          </w:pPr>
                          <w:r>
                            <w:rPr>
                              <w:rFonts w:ascii="Arial" w:hAnsi="Arial"/>
                              <w:sz w:val="24"/>
                              <w:szCs w:val="24"/>
                              <w:rtl w:val="0"/>
                              <w:lang w:val="en-US"/>
                            </w:rPr>
                            <w:t xml:space="preserve">Recommendation 1. Health and Wellbeing Activities Implemented Regularly </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Innovative Virtual meditation/yoga classes, morphed to suit desk work.</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Interactive health and wellbeing virtual quiz</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Steps to improve wellbeing discussed regularly at team meetings, or delivered via text/e-mail</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Healthy Body Healthy Mind initiative, ongoing health advice. </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Virtual walks/runs(Dooris Farrier and Forggert, 2018)</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Virtual Reality Health and Wellbeing, hypothetically taking Colleagues to a safe relaxing space. (Frewen et al, 2020)</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Proposed to Senior Leadership Team, led by HR</w:t>
                          </w:r>
                        </w:p>
                        <w:p>
                          <w:pPr>
                            <w:pStyle w:val="caption"/>
                            <w:numPr>
                              <w:ilvl w:val="1"/>
                              <w:numId w:val="4"/>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Cost only resource, as can utilisie current yoga instructor expertise. I Leader a anticipated to take up 30% of her time equating to </w:t>
                          </w:r>
                          <w:r>
                            <w:rPr>
                              <w:rFonts w:ascii="Arial" w:hAnsi="Arial" w:hint="default"/>
                              <w:sz w:val="18"/>
                              <w:szCs w:val="18"/>
                              <w:rtl w:val="0"/>
                              <w:lang w:val="en-US"/>
                            </w:rPr>
                            <w:t>£</w:t>
                          </w:r>
                          <w:r>
                            <w:rPr>
                              <w:rFonts w:ascii="Arial" w:hAnsi="Arial"/>
                              <w:sz w:val="18"/>
                              <w:szCs w:val="18"/>
                              <w:rtl w:val="0"/>
                              <w:lang w:val="en-US"/>
                            </w:rPr>
                            <w:t>50,000</w:t>
                          </w:r>
                        </w:p>
                      </w:txbxContent>
                    </v:textbox>
                  </v:shape>
                </v:group>
                <v:roundrect id="_x0000_s1065" style="position:absolute;left:641237;top:966784;width:333836;height:237732;rotation:11796480fd;" adj="2160">
                  <v:fill color="#BAD6DF" opacity="100.0%" type="solid"/>
                  <v:stroke filltype="solid" color="#FFFFFF" opacity="100.0%" weight="2.0pt" dashstyle="solid" endcap="flat" joinstyle="round" linestyle="single" startarrow="none" startarrowwidth="medium" startarrowlength="medium" endarrow="none" endarrowwidth="medium" endarrowlength="medium"/>
                </v:roundrect>
                <v:group id="_x0000_s1066" style="position:absolute;left:0;top:2388433;width:5910265;height:2171305;" coordorigin="0,0" coordsize="5910265,2171305">
                  <v:roundrect id="_x0000_s1067" style="position:absolute;left:0;top:0;width:5910265;height:2171305;" adj="216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68" type="#_x0000_t202" style="position:absolute;left:1399182;top:0;width:4511082;height:21713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4"/>
                              <w:szCs w:val="24"/>
                              <w:u w:color="ffffff"/>
                              <w14:textFill>
                                <w14:solidFill>
                                  <w14:srgbClr w14:val="FFFFFF"/>
                                </w14:solidFill>
                              </w14:textFill>
                            </w:rPr>
                          </w:pPr>
                          <w:r>
                            <w:rPr>
                              <w:rFonts w:ascii="Arial" w:hAnsi="Arial"/>
                              <w:sz w:val="24"/>
                              <w:szCs w:val="24"/>
                              <w:rtl w:val="0"/>
                              <w:lang w:val="en-US"/>
                            </w:rPr>
                            <w:t>Recommendation 2. Emotional Intelligence Training for DWP Leaders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Emotional Intelligence Leadership Development Programme, focused on improving employment relations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As a longer term proposal it is suggested this recommendation is in included in the 5 year spending bid.</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Offered to all leadership grades, in an attempt to improve leadership effectiveness</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HR to lead, together with a pool of DWP Leaders, in order to build capability.</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Cost implication to involve 3 HR leaders and a pool of line managers who will facilitate.</w:t>
                          </w:r>
                        </w:p>
                        <w:p>
                          <w:pPr>
                            <w:pStyle w:val="caption"/>
                            <w:numPr>
                              <w:ilvl w:val="1"/>
                              <w:numId w:val="5"/>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 xml:space="preserve">Equating to </w:t>
                          </w:r>
                          <w:r>
                            <w:rPr>
                              <w:rFonts w:ascii="Arial" w:hAnsi="Arial" w:hint="default"/>
                              <w:sz w:val="18"/>
                              <w:szCs w:val="18"/>
                              <w:rtl w:val="0"/>
                              <w:lang w:val="en-US"/>
                            </w:rPr>
                            <w:t>£</w:t>
                          </w:r>
                          <w:r>
                            <w:rPr>
                              <w:rFonts w:ascii="Arial" w:hAnsi="Arial"/>
                              <w:sz w:val="18"/>
                              <w:szCs w:val="18"/>
                              <w:rtl w:val="0"/>
                              <w:lang w:val="en-US"/>
                            </w:rPr>
                            <w:t>80,000 (Cote and Miners, 2016)</w:t>
                          </w:r>
                        </w:p>
                      </w:txbxContent>
                    </v:textbox>
                  </v:shape>
                </v:group>
                <v:roundrect id="_x0000_s1069" style="position:absolute;left:638602;top:3352482;width:339107;height:243204;" adj="2160">
                  <v:fill color="#BAD6DF" opacity="100.0%" type="solid"/>
                  <v:stroke filltype="solid" color="#FFFFFF" opacity="100.0%" weight="2.0pt" dashstyle="solid" endcap="flat" joinstyle="round" linestyle="single" startarrow="none" startarrowwidth="medium" startarrowlength="medium" endarrow="none" endarrowwidth="medium" endarrowlength="medium"/>
                </v:roundrect>
                <v:group id="_x0000_s1070" style="position:absolute;left:0;top:4776866;width:5910265;height:2171305;" coordorigin="0,0" coordsize="5910265,2171305">
                  <v:roundrect id="_x0000_s1071" style="position:absolute;left:0;top:0;width:5910265;height:2171305;" adj="216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072" type="#_x0000_t202" style="position:absolute;left:1399182;top:0;width:4511082;height:21713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 w:val="left" w:pos="3360"/>
                              <w:tab w:val="left" w:pos="4200"/>
                              <w:tab w:val="left" w:pos="5040"/>
                              <w:tab w:val="left" w:pos="5880"/>
                              <w:tab w:val="left" w:pos="6720"/>
                            </w:tabs>
                            <w:spacing w:after="101" w:line="216" w:lineRule="auto"/>
                            <w:rPr>
                              <w:rFonts w:ascii="Arial" w:cs="Arial" w:hAnsi="Arial" w:eastAsia="Arial"/>
                              <w:outline w:val="0"/>
                              <w:color w:val="ffffff"/>
                              <w:sz w:val="20"/>
                              <w:szCs w:val="20"/>
                              <w:u w:color="ffffff"/>
                              <w14:textFill>
                                <w14:solidFill>
                                  <w14:srgbClr w14:val="FFFFFF"/>
                                </w14:solidFill>
                              </w14:textFill>
                            </w:rPr>
                          </w:pPr>
                          <w:r>
                            <w:rPr>
                              <w:rFonts w:ascii="Arial" w:hAnsi="Arial"/>
                              <w:sz w:val="20"/>
                              <w:szCs w:val="20"/>
                              <w:rtl w:val="0"/>
                              <w:lang w:val="en-US"/>
                            </w:rPr>
                            <w:t>Recommendation 3 : Health and Wellbeing Interactive Application</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Weekly Health and Wellbeing 1-1 check ins</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Monthly Health and Wellbeing virtual focus groups about particular subjects, ie food, alcohol, exercise, sport.</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Health and Wellbeing app for all Colleagues. Interactive app which  everyone has and monitors heart rate, provides an interactive communication platform between line manager and colleague, which is driven by the effective employment relationship</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No work related content.</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HR to lead and colloborative with DWP Digital</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Provides staff with an immediate platform to voice well-being issues, similar to that of a social media platform.</w:t>
                          </w:r>
                        </w:p>
                        <w:p>
                          <w:pPr>
                            <w:pStyle w:val="caption"/>
                            <w:numPr>
                              <w:ilvl w:val="1"/>
                              <w:numId w:val="6"/>
                            </w:numPr>
                            <w:bidi w:val="0"/>
                            <w:spacing w:after="32" w:line="216" w:lineRule="auto"/>
                            <w:ind w:right="0"/>
                            <w:jc w:val="left"/>
                            <w:outlineLvl w:val="1"/>
                            <w:rPr>
                              <w:rFonts w:ascii="Arial" w:hAnsi="Arial"/>
                              <w:sz w:val="20"/>
                              <w:szCs w:val="20"/>
                              <w:rtl w:val="0"/>
                              <w:lang w:val="en-US"/>
                            </w:rPr>
                          </w:pPr>
                          <w:r>
                            <w:rPr>
                              <w:rFonts w:ascii="Arial" w:hAnsi="Arial"/>
                              <w:sz w:val="20"/>
                              <w:szCs w:val="20"/>
                              <w:rtl w:val="0"/>
                              <w:lang w:val="en-US"/>
                            </w:rPr>
                            <w:t>Cost 1 ,million  pounds to come out of DWP Digital  strategic improvement budget</w:t>
                          </w:r>
                        </w:p>
                      </w:txbxContent>
                    </v:textbox>
                  </v:shape>
                </v:group>
                <v:roundrect id="_x0000_s1073" style="position:absolute;left:704885;top:5743009;width:206542;height:239018;flip:x;" adj="2160">
                  <v:fill color="#BAD6DF" opacity="100.0%" type="solid"/>
                  <v:stroke filltype="solid" color="#FFFFFF" opacity="100.0%" weight="2.0pt" dashstyle="solid" endcap="flat" joinstyle="round" linestyle="single" startarrow="none" startarrowwidth="medium" startarrowlength="medium" endarrow="none" endarrowwidth="medium" endarrowlength="medium"/>
                </v:roundrect>
              </v:group>
            </w:pict>
          </mc:Fallback>
        </mc:AlternateContent>
      </w: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r>
        <w:rPr>
          <w:rFonts w:ascii="Arial" w:hAnsi="Arial"/>
          <w:sz w:val="28"/>
          <w:szCs w:val="28"/>
          <w:rtl w:val="0"/>
          <w:lang w:val="en-US"/>
        </w:rPr>
        <w:t>Appendix 1. SWOT of COVID-19 impact on the ER climate in DWP</w:t>
      </w:r>
    </w:p>
    <w:p>
      <w:pPr>
        <w:pStyle w:val="Body B"/>
        <w:rPr>
          <w:rFonts w:ascii="Arial" w:cs="Arial" w:hAnsi="Arial" w:eastAsia="Arial"/>
          <w:sz w:val="28"/>
          <w:szCs w:val="28"/>
        </w:rPr>
      </w:pPr>
    </w:p>
    <w:p>
      <w:pPr>
        <w:pStyle w:val="Body B"/>
        <w:rPr>
          <w:rFonts w:ascii="Arial" w:cs="Arial" w:hAnsi="Arial" w:eastAsia="Arial"/>
          <w:sz w:val="28"/>
          <w:szCs w:val="28"/>
        </w:rPr>
      </w:pPr>
    </w:p>
    <w:p>
      <w:pPr>
        <w:pStyle w:val="Body B"/>
        <w:rPr>
          <w:rFonts w:ascii="Arial" w:cs="Arial" w:hAnsi="Arial" w:eastAsia="Arial"/>
          <w:sz w:val="28"/>
          <w:szCs w:val="28"/>
        </w:rPr>
      </w:pPr>
      <w:r>
        <w:rPr>
          <w:rFonts w:ascii="Arial" w:cs="Arial" w:hAnsi="Arial" w:eastAsia="Arial"/>
          <w:sz w:val="28"/>
          <w:szCs w:val="28"/>
        </w:rPr>
        <mc:AlternateContent>
          <mc:Choice Requires="wpg">
            <w:drawing xmlns:a="http://schemas.openxmlformats.org/drawingml/2006/main">
              <wp:inline distT="0" distB="0" distL="0" distR="0">
                <wp:extent cx="5265516" cy="6042868"/>
                <wp:effectExtent l="0" t="0" r="0" b="0"/>
                <wp:docPr id="1073741893" name="officeArt object" descr="officeArt object"/>
                <wp:cNvGraphicFramePr/>
                <a:graphic xmlns:a="http://schemas.openxmlformats.org/drawingml/2006/main">
                  <a:graphicData uri="http://schemas.microsoft.com/office/word/2010/wordprocessingGroup">
                    <wpg:wgp>
                      <wpg:cNvGrpSpPr/>
                      <wpg:grpSpPr>
                        <a:xfrm>
                          <a:off x="0" y="0"/>
                          <a:ext cx="5265516" cy="6042868"/>
                          <a:chOff x="-1" y="0"/>
                          <a:chExt cx="5265514" cy="6042867"/>
                        </a:xfrm>
                      </wpg:grpSpPr>
                      <wps:wsp>
                        <wps:cNvPr id="1073741874" name="Shape 1073741874"/>
                        <wps:cNvSpPr/>
                        <wps:spPr>
                          <a:xfrm>
                            <a:off x="606003" y="941632"/>
                            <a:ext cx="2026756" cy="20267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004"/>
                                </a:lnTo>
                                <a:cubicBezTo>
                                  <a:pt x="10778" y="2004"/>
                                  <a:pt x="2004" y="10778"/>
                                  <a:pt x="2004" y="21600"/>
                                </a:cubicBezTo>
                                <a:close/>
                              </a:path>
                            </a:pathLst>
                          </a:custGeom>
                          <a:solidFill>
                            <a:srgbClr val="A8CCD8"/>
                          </a:solidFill>
                          <a:ln w="12700" cap="flat">
                            <a:noFill/>
                            <a:miter lim="400000"/>
                          </a:ln>
                          <a:effectLst/>
                        </wps:spPr>
                        <wps:bodyPr/>
                      </wps:wsp>
                      <wps:wsp>
                        <wps:cNvPr id="1073741875" name="Shape 1073741875"/>
                        <wps:cNvSpPr/>
                        <wps:spPr>
                          <a:xfrm>
                            <a:off x="606003" y="2968383"/>
                            <a:ext cx="2026756" cy="20267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004" y="0"/>
                                </a:lnTo>
                                <a:cubicBezTo>
                                  <a:pt x="2004" y="10822"/>
                                  <a:pt x="10778" y="19596"/>
                                  <a:pt x="21600" y="19596"/>
                                </a:cubicBezTo>
                                <a:close/>
                              </a:path>
                            </a:pathLst>
                          </a:custGeom>
                          <a:solidFill>
                            <a:srgbClr val="A8CCD8"/>
                          </a:solidFill>
                          <a:ln w="12700" cap="flat">
                            <a:noFill/>
                            <a:miter lim="400000"/>
                          </a:ln>
                          <a:effectLst/>
                        </wps:spPr>
                        <wps:bodyPr/>
                      </wps:wsp>
                      <wps:wsp>
                        <wps:cNvPr id="1073741876" name="Shape 1073741876"/>
                        <wps:cNvSpPr/>
                        <wps:spPr>
                          <a:xfrm>
                            <a:off x="2632754" y="2968383"/>
                            <a:ext cx="2026756" cy="202675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19596"/>
                                </a:lnTo>
                                <a:cubicBezTo>
                                  <a:pt x="10822" y="19596"/>
                                  <a:pt x="19596" y="10822"/>
                                  <a:pt x="19596" y="0"/>
                                </a:cubicBezTo>
                                <a:close/>
                              </a:path>
                            </a:pathLst>
                          </a:custGeom>
                          <a:solidFill>
                            <a:srgbClr val="A8CCD8"/>
                          </a:solidFill>
                          <a:ln w="12700" cap="flat">
                            <a:noFill/>
                            <a:miter lim="400000"/>
                          </a:ln>
                          <a:effectLst/>
                        </wps:spPr>
                        <wps:bodyPr/>
                      </wps:wsp>
                      <wps:wsp>
                        <wps:cNvPr id="1073741877" name="Shape 1073741877"/>
                        <wps:cNvSpPr/>
                        <wps:spPr>
                          <a:xfrm>
                            <a:off x="2632754" y="941632"/>
                            <a:ext cx="2026756" cy="20267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19596" y="21600"/>
                                </a:lnTo>
                                <a:cubicBezTo>
                                  <a:pt x="19596" y="10778"/>
                                  <a:pt x="10822" y="2004"/>
                                  <a:pt x="0" y="2004"/>
                                </a:cubicBezTo>
                                <a:close/>
                              </a:path>
                            </a:pathLst>
                          </a:custGeom>
                          <a:solidFill>
                            <a:srgbClr val="A8CCD8"/>
                          </a:solidFill>
                          <a:ln w="12700" cap="flat">
                            <a:noFill/>
                            <a:miter lim="400000"/>
                          </a:ln>
                          <a:effectLst/>
                        </wps:spPr>
                        <wps:bodyPr/>
                      </wps:wsp>
                      <wpg:grpSp>
                        <wpg:cNvPr id="1073741880" name="Group 1073741880"/>
                        <wpg:cNvGrpSpPr/>
                        <wpg:grpSpPr>
                          <a:xfrm>
                            <a:off x="1699866" y="2035494"/>
                            <a:ext cx="1865782" cy="1865781"/>
                            <a:chOff x="0" y="0"/>
                            <a:chExt cx="1865780" cy="1865780"/>
                          </a:xfrm>
                        </wpg:grpSpPr>
                        <wps:wsp>
                          <wps:cNvPr id="1073741878" name="Shape 1073741878"/>
                          <wps:cNvSpPr/>
                          <wps:spPr>
                            <a:xfrm>
                              <a:off x="-1" y="-1"/>
                              <a:ext cx="1865782" cy="1865782"/>
                            </a:xfrm>
                            <a:prstGeom prst="ellipse">
                              <a:avLst/>
                            </a:prstGeom>
                            <a:solidFill>
                              <a:schemeClr val="accent1"/>
                            </a:solidFill>
                            <a:ln w="25400" cap="flat">
                              <a:solidFill>
                                <a:srgbClr val="FFFFFF"/>
                              </a:solidFill>
                              <a:prstDash val="solid"/>
                              <a:round/>
                            </a:ln>
                            <a:effectLst/>
                          </wps:spPr>
                          <wps:bodyPr/>
                        </wps:wsp>
                        <wps:wsp>
                          <wps:cNvPr id="1073741879" name="Shape 1073741879"/>
                          <wps:cNvSpPr txBox="1"/>
                          <wps:spPr>
                            <a:xfrm>
                              <a:off x="273237" y="273237"/>
                              <a:ext cx="1319306" cy="1319306"/>
                            </a:xfrm>
                            <a:prstGeom prst="rect">
                              <a:avLst/>
                            </a:prstGeom>
                            <a:noFill/>
                            <a:ln w="12700" cap="flat">
                              <a:noFill/>
                              <a:miter lim="400000"/>
                            </a:ln>
                            <a:effectLst/>
                          </wps:spPr>
                          <wps:txbx>
                            <w:txbxContent>
                              <w:p>
                                <w:pPr>
                                  <w:pStyle w:val="caption"/>
                                  <w:tabs>
                                    <w:tab w:val="left" w:pos="2030"/>
                                  </w:tabs>
                                  <w:spacing w:after="244" w:line="216" w:lineRule="auto"/>
                                  <w:jc w:val="center"/>
                                </w:pPr>
                                <w:r>
                                  <w:rPr>
                                    <w:rFonts w:ascii="Arial" w:hAnsi="Arial"/>
                                    <w:sz w:val="58"/>
                                    <w:szCs w:val="58"/>
                                    <w:rtl w:val="0"/>
                                    <w:lang w:val="en-US"/>
                                  </w:rPr>
                                  <w:t>SWOT-DWP</w:t>
                                </w:r>
                              </w:p>
                            </w:txbxContent>
                          </wps:txbx>
                          <wps:bodyPr wrap="square" lIns="36830" tIns="36830" rIns="36830" bIns="36830" numCol="1" anchor="ctr">
                            <a:noAutofit/>
                          </wps:bodyPr>
                        </wps:wsp>
                      </wpg:grpSp>
                      <wpg:grpSp>
                        <wpg:cNvPr id="1073741883" name="Group 1073741883"/>
                        <wpg:cNvGrpSpPr/>
                        <wpg:grpSpPr>
                          <a:xfrm>
                            <a:off x="1979732" y="-1"/>
                            <a:ext cx="1306049" cy="1977303"/>
                            <a:chOff x="-1" y="-1"/>
                            <a:chExt cx="1306047" cy="1977301"/>
                          </a:xfrm>
                        </wpg:grpSpPr>
                        <wps:wsp>
                          <wps:cNvPr id="1073741881" name="Shape 1073741881"/>
                          <wps:cNvSpPr/>
                          <wps:spPr>
                            <a:xfrm>
                              <a:off x="-2" y="-2"/>
                              <a:ext cx="1306049" cy="1977303"/>
                            </a:xfrm>
                            <a:prstGeom prst="ellipse">
                              <a:avLst/>
                            </a:prstGeom>
                            <a:solidFill>
                              <a:schemeClr val="accent1"/>
                            </a:solidFill>
                            <a:ln w="25400" cap="flat">
                              <a:solidFill>
                                <a:srgbClr val="FFFFFF"/>
                              </a:solidFill>
                              <a:prstDash val="solid"/>
                              <a:round/>
                            </a:ln>
                            <a:effectLst/>
                          </wps:spPr>
                          <wps:bodyPr/>
                        </wps:wsp>
                        <wps:wsp>
                          <wps:cNvPr id="1073741882" name="Shape 1073741882"/>
                          <wps:cNvSpPr txBox="1"/>
                          <wps:spPr>
                            <a:xfrm>
                              <a:off x="191265" y="289568"/>
                              <a:ext cx="923515" cy="139816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sz w:val="18"/>
                                    <w:szCs w:val="18"/>
                                    <w:rtl w:val="0"/>
                                    <w:lang w:val="en-US"/>
                                  </w:rPr>
                                  <w:t>Strengths-Technological innovative opportunities such as the virtual service Centre for UC</w:t>
                                </w:r>
                              </w:p>
                            </w:txbxContent>
                          </wps:txbx>
                          <wps:bodyPr wrap="square" lIns="11428" tIns="11428" rIns="11428" bIns="11428" numCol="1" anchor="ctr">
                            <a:noAutofit/>
                          </wps:bodyPr>
                        </wps:wsp>
                      </wpg:grpSp>
                      <wpg:grpSp>
                        <wpg:cNvPr id="1073741886" name="Group 1073741886"/>
                        <wpg:cNvGrpSpPr/>
                        <wpg:grpSpPr>
                          <a:xfrm>
                            <a:off x="3959465" y="1722115"/>
                            <a:ext cx="1306049" cy="2492539"/>
                            <a:chOff x="-1" y="-1"/>
                            <a:chExt cx="1306047" cy="2492537"/>
                          </a:xfrm>
                        </wpg:grpSpPr>
                        <wps:wsp>
                          <wps:cNvPr id="1073741884" name="Shape 1073741884"/>
                          <wps:cNvSpPr/>
                          <wps:spPr>
                            <a:xfrm>
                              <a:off x="-2" y="-2"/>
                              <a:ext cx="1306049" cy="2492539"/>
                            </a:xfrm>
                            <a:prstGeom prst="ellipse">
                              <a:avLst/>
                            </a:prstGeom>
                            <a:solidFill>
                              <a:schemeClr val="accent1"/>
                            </a:solidFill>
                            <a:ln w="25400" cap="flat">
                              <a:solidFill>
                                <a:srgbClr val="FFFFFF"/>
                              </a:solidFill>
                              <a:prstDash val="solid"/>
                              <a:round/>
                            </a:ln>
                            <a:effectLst/>
                          </wps:spPr>
                          <wps:bodyPr/>
                        </wps:wsp>
                        <wps:wsp>
                          <wps:cNvPr id="1073741885" name="Shape 1073741885"/>
                          <wps:cNvSpPr txBox="1"/>
                          <wps:spPr>
                            <a:xfrm>
                              <a:off x="191266" y="365023"/>
                              <a:ext cx="923515" cy="176249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sz w:val="18"/>
                                    <w:szCs w:val="18"/>
                                    <w:rtl w:val="0"/>
                                    <w:lang w:val="en-US"/>
                                  </w:rPr>
                                  <w:t xml:space="preserve">Weaknesses-Some staff have felt isolated working from home, implicated anxiety </w:t>
                                </w:r>
                              </w:p>
                            </w:txbxContent>
                          </wps:txbx>
                          <wps:bodyPr wrap="square" lIns="11428" tIns="11428" rIns="11428" bIns="11428" numCol="1" anchor="ctr">
                            <a:noAutofit/>
                          </wps:bodyPr>
                        </wps:wsp>
                      </wpg:grpSp>
                      <wpg:grpSp>
                        <wpg:cNvPr id="1073741889" name="Group 1073741889"/>
                        <wpg:cNvGrpSpPr/>
                        <wpg:grpSpPr>
                          <a:xfrm>
                            <a:off x="1979732" y="3853372"/>
                            <a:ext cx="1306049" cy="2189495"/>
                            <a:chOff x="-1" y="0"/>
                            <a:chExt cx="1306047" cy="2189494"/>
                          </a:xfrm>
                        </wpg:grpSpPr>
                        <wps:wsp>
                          <wps:cNvPr id="1073741887" name="Shape 1073741887"/>
                          <wps:cNvSpPr/>
                          <wps:spPr>
                            <a:xfrm>
                              <a:off x="-2" y="-1"/>
                              <a:ext cx="1306049" cy="2189496"/>
                            </a:xfrm>
                            <a:prstGeom prst="ellipse">
                              <a:avLst/>
                            </a:prstGeom>
                            <a:solidFill>
                              <a:schemeClr val="accent1"/>
                            </a:solidFill>
                            <a:ln w="25400" cap="flat">
                              <a:solidFill>
                                <a:srgbClr val="FFFFFF"/>
                              </a:solidFill>
                              <a:prstDash val="solid"/>
                              <a:round/>
                            </a:ln>
                            <a:effectLst/>
                          </wps:spPr>
                          <wps:bodyPr/>
                        </wps:wsp>
                        <wps:wsp>
                          <wps:cNvPr id="1073741888" name="Shape 1073741888"/>
                          <wps:cNvSpPr txBox="1"/>
                          <wps:spPr>
                            <a:xfrm>
                              <a:off x="191265" y="320643"/>
                              <a:ext cx="923515" cy="1548206"/>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sz w:val="18"/>
                                    <w:szCs w:val="18"/>
                                    <w:rtl w:val="0"/>
                                    <w:lang w:val="en-US"/>
                                  </w:rPr>
                                  <w:t>Opportunities-Home working has increased health and wellbeing and helped colleagues to better manage their home/work life balance</w:t>
                                </w:r>
                              </w:p>
                            </w:txbxContent>
                          </wps:txbx>
                          <wps:bodyPr wrap="square" lIns="11428" tIns="11428" rIns="11428" bIns="11428" numCol="1" anchor="ctr">
                            <a:noAutofit/>
                          </wps:bodyPr>
                        </wps:wsp>
                      </wpg:grpSp>
                      <wpg:grpSp>
                        <wpg:cNvPr id="1073741892" name="Group 1073741892"/>
                        <wpg:cNvGrpSpPr/>
                        <wpg:grpSpPr>
                          <a:xfrm>
                            <a:off x="-2" y="1622099"/>
                            <a:ext cx="1306049" cy="2692573"/>
                            <a:chOff x="-1" y="-1"/>
                            <a:chExt cx="1306047" cy="2692572"/>
                          </a:xfrm>
                        </wpg:grpSpPr>
                        <wps:wsp>
                          <wps:cNvPr id="1073741890" name="Shape 1073741890"/>
                          <wps:cNvSpPr/>
                          <wps:spPr>
                            <a:xfrm>
                              <a:off x="-2" y="-2"/>
                              <a:ext cx="1306049" cy="2692574"/>
                            </a:xfrm>
                            <a:prstGeom prst="ellipse">
                              <a:avLst/>
                            </a:prstGeom>
                            <a:solidFill>
                              <a:schemeClr val="accent1"/>
                            </a:solidFill>
                            <a:ln w="25400" cap="flat">
                              <a:solidFill>
                                <a:srgbClr val="FFFFFF"/>
                              </a:solidFill>
                              <a:prstDash val="solid"/>
                              <a:round/>
                            </a:ln>
                            <a:effectLst/>
                          </wps:spPr>
                          <wps:bodyPr/>
                        </wps:wsp>
                        <wps:wsp>
                          <wps:cNvPr id="1073741891" name="Shape 1073741891"/>
                          <wps:cNvSpPr txBox="1"/>
                          <wps:spPr>
                            <a:xfrm>
                              <a:off x="191265" y="394317"/>
                              <a:ext cx="923515" cy="1903936"/>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sz w:val="16"/>
                                    <w:szCs w:val="16"/>
                                    <w:rtl w:val="0"/>
                                    <w:lang w:val="en-US"/>
                                  </w:rPr>
                                  <w:t>Threats-Increased workload for staff has placed additional pressures on an already challenged customer focused role.</w:t>
                                </w:r>
                              </w:p>
                            </w:txbxContent>
                          </wps:txbx>
                          <wps:bodyPr wrap="square" lIns="10160" tIns="10160" rIns="10160" bIns="10160" numCol="1" anchor="ctr">
                            <a:noAutofit/>
                          </wps:bodyPr>
                        </wps:wsp>
                      </wpg:grpSp>
                    </wpg:wgp>
                  </a:graphicData>
                </a:graphic>
              </wp:inline>
            </w:drawing>
          </mc:Choice>
          <mc:Fallback>
            <w:pict>
              <v:group id="_x0000_s1074" style="visibility:visible;width:414.6pt;height:475.8pt;" coordorigin="-1,-1" coordsize="5265515,6042868">
                <v:shape id="_x0000_s1075" style="position:absolute;left:606004;top:941632;width:2026754;height:2026753;" coordorigin="0,0" coordsize="21600,21600" path="M 0,21600 C 0,9671 9671,0 21600,0 L 21600,2004 C 10778,2004 2004,10778 2004,21600 X E">
                  <v:fill color="#A8CCD8" opacity="100.0%" type="solid"/>
                  <v:stroke on="f" weight="1.0pt" dashstyle="solid" endcap="flat" miterlimit="400.0%" joinstyle="miter" linestyle="single" startarrow="none" startarrowwidth="medium" startarrowlength="medium" endarrow="none" endarrowwidth="medium" endarrowlength="medium"/>
                </v:shape>
                <v:shape id="_x0000_s1076" style="position:absolute;left:606004;top:2968383;width:2026754;height:2026753;" coordorigin="0,0" coordsize="21600,21600" path="M 21600,21600 C 9671,21600 0,11929 0,0 L 2004,0 C 2004,10822 10778,19596 21600,19596 X E">
                  <v:fill color="#A8CCD8" opacity="100.0%" type="solid"/>
                  <v:stroke on="f" weight="1.0pt" dashstyle="solid" endcap="flat" miterlimit="400.0%" joinstyle="miter" linestyle="single" startarrow="none" startarrowwidth="medium" startarrowlength="medium" endarrow="none" endarrowwidth="medium" endarrowlength="medium"/>
                </v:shape>
                <v:shape id="_x0000_s1077" style="position:absolute;left:2632755;top:2968384;width:2026754;height:2026754;" coordorigin="0,0" coordsize="21600,21600" path="M 21600,0 C 21600,11929 11929,21600 0,21600 L 0,19596 C 10822,19596 19596,10822 19596,0 X E">
                  <v:fill color="#A8CCD8" opacity="100.0%" type="solid"/>
                  <v:stroke on="f" weight="1.0pt" dashstyle="solid" endcap="flat" miterlimit="400.0%" joinstyle="miter" linestyle="single" startarrow="none" startarrowwidth="medium" startarrowlength="medium" endarrow="none" endarrowwidth="medium" endarrowlength="medium"/>
                </v:shape>
                <v:shape id="_x0000_s1078" style="position:absolute;left:2632755;top:941632;width:2026754;height:2026753;" coordorigin="0,0" coordsize="21600,21600" path="M 0,0 C 11929,0 21600,9671 21600,21600 L 19596,21600 C 19596,10778 10822,2004 0,2004 X E">
                  <v:fill color="#A8CCD8" opacity="100.0%" type="solid"/>
                  <v:stroke on="f" weight="1.0pt" dashstyle="solid" endcap="flat" miterlimit="400.0%" joinstyle="miter" linestyle="single" startarrow="none" startarrowwidth="medium" startarrowlength="medium" endarrow="none" endarrowwidth="medium" endarrowlength="medium"/>
                </v:shape>
                <v:group id="_x0000_s1079" style="position:absolute;left:1699867;top:2035494;width:1865780;height:1865780;" coordorigin="0,0" coordsize="1865780,1865780">
                  <v:oval id="_x0000_s1080" style="position:absolute;left:0;top:0;width:1865780;height:1865780;">
                    <v:fill color="#00A0B8" opacity="100.0%" type="solid"/>
                    <v:stroke filltype="solid" color="#FFFFFF" opacity="100.0%" weight="2.0pt" dashstyle="solid" endcap="flat" joinstyle="round" linestyle="single" startarrow="none" startarrowwidth="medium" startarrowlength="medium" endarrow="none" endarrowwidth="medium" endarrowlength="medium"/>
                  </v:oval>
                  <v:shape id="_x0000_s1081" type="#_x0000_t202" style="position:absolute;left:273237;top:273237;width:1319305;height:13193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2030"/>
                            </w:tabs>
                            <w:spacing w:after="244" w:line="216" w:lineRule="auto"/>
                            <w:jc w:val="center"/>
                          </w:pPr>
                          <w:r>
                            <w:rPr>
                              <w:rFonts w:ascii="Arial" w:hAnsi="Arial"/>
                              <w:sz w:val="58"/>
                              <w:szCs w:val="58"/>
                              <w:rtl w:val="0"/>
                              <w:lang w:val="en-US"/>
                            </w:rPr>
                            <w:t>SWOT-DWP</w:t>
                          </w:r>
                        </w:p>
                      </w:txbxContent>
                    </v:textbox>
                  </v:shape>
                </v:group>
                <v:group id="_x0000_s1082" style="position:absolute;left:1979732;top:-1;width:1306048;height:1977302;" coordorigin="-1,-1" coordsize="1306048,1977302">
                  <v:oval id="_x0000_s1083" style="position:absolute;left:-1;top:-1;width:1306048;height:1977302;">
                    <v:fill color="#00A0B8" opacity="100.0%" type="solid"/>
                    <v:stroke filltype="solid" color="#FFFFFF" opacity="100.0%" weight="2.0pt" dashstyle="solid" endcap="flat" joinstyle="round" linestyle="single" startarrow="none" startarrowwidth="medium" startarrowlength="medium" endarrow="none" endarrowwidth="medium" endarrowlength="medium"/>
                  </v:oval>
                  <v:shape id="_x0000_s1084" type="#_x0000_t202" style="position:absolute;left:191265;top:289568;width:923514;height:139816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sz w:val="18"/>
                              <w:szCs w:val="18"/>
                              <w:rtl w:val="0"/>
                              <w:lang w:val="en-US"/>
                            </w:rPr>
                            <w:t>Strengths-Technological innovative opportunities such as the virtual service Centre for UC</w:t>
                          </w:r>
                        </w:p>
                      </w:txbxContent>
                    </v:textbox>
                  </v:shape>
                </v:group>
                <v:group id="_x0000_s1085" style="position:absolute;left:3959466;top:1722115;width:1306048;height:2492538;" coordorigin="-1,-1" coordsize="1306048,2492538">
                  <v:oval id="_x0000_s1086" style="position:absolute;left:-1;top:-1;width:1306048;height:2492538;">
                    <v:fill color="#00A0B8" opacity="100.0%" type="solid"/>
                    <v:stroke filltype="solid" color="#FFFFFF" opacity="100.0%" weight="2.0pt" dashstyle="solid" endcap="flat" joinstyle="round" linestyle="single" startarrow="none" startarrowwidth="medium" startarrowlength="medium" endarrow="none" endarrowwidth="medium" endarrowlength="medium"/>
                  </v:oval>
                  <v:shape id="_x0000_s1087" type="#_x0000_t202" style="position:absolute;left:191266;top:365023;width:923514;height:176248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sz w:val="18"/>
                              <w:szCs w:val="18"/>
                              <w:rtl w:val="0"/>
                              <w:lang w:val="en-US"/>
                            </w:rPr>
                            <w:t xml:space="preserve">Weaknesses-Some staff have felt isolated working from home, implicated anxiety </w:t>
                          </w:r>
                        </w:p>
                      </w:txbxContent>
                    </v:textbox>
                  </v:shape>
                </v:group>
                <v:group id="_x0000_s1088" style="position:absolute;left:1979732;top:3853373;width:1306048;height:2189494;" coordorigin="-1,0" coordsize="1306048,2189494">
                  <v:oval id="_x0000_s1089" style="position:absolute;left:-1;top:0;width:1306048;height:2189494;">
                    <v:fill color="#00A0B8" opacity="100.0%" type="solid"/>
                    <v:stroke filltype="solid" color="#FFFFFF" opacity="100.0%" weight="2.0pt" dashstyle="solid" endcap="flat" joinstyle="round" linestyle="single" startarrow="none" startarrowwidth="medium" startarrowlength="medium" endarrow="none" endarrowwidth="medium" endarrowlength="medium"/>
                  </v:oval>
                  <v:shape id="_x0000_s1090" type="#_x0000_t202" style="position:absolute;left:191265;top:320643;width:923514;height:15482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sz w:val="18"/>
                              <w:szCs w:val="18"/>
                              <w:rtl w:val="0"/>
                              <w:lang w:val="en-US"/>
                            </w:rPr>
                            <w:t>Opportunities-Home working has increased health and wellbeing and helped colleagues to better manage their home/work life balance</w:t>
                          </w:r>
                        </w:p>
                      </w:txbxContent>
                    </v:textbox>
                  </v:shape>
                </v:group>
                <v:group id="_x0000_s1091" style="position:absolute;left:-1;top:1622099;width:1306048;height:2692572;" coordorigin="-1,-1" coordsize="1306048,2692572">
                  <v:oval id="_x0000_s1092" style="position:absolute;left:-1;top:-1;width:1306048;height:2692572;">
                    <v:fill color="#00A0B8" opacity="100.0%" type="solid"/>
                    <v:stroke filltype="solid" color="#FFFFFF" opacity="100.0%" weight="2.0pt" dashstyle="solid" endcap="flat" joinstyle="round" linestyle="single" startarrow="none" startarrowwidth="medium" startarrowlength="medium" endarrow="none" endarrowwidth="medium" endarrowlength="medium"/>
                  </v:oval>
                  <v:shape id="_x0000_s1093" type="#_x0000_t202" style="position:absolute;left:191265;top:394317;width:923514;height:190393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sz w:val="16"/>
                              <w:szCs w:val="16"/>
                              <w:rtl w:val="0"/>
                              <w:lang w:val="en-US"/>
                            </w:rPr>
                            <w:t>Threats-Increased workload for staff has placed additional pressures on an already challenged customer focused role.</w:t>
                          </w:r>
                        </w:p>
                      </w:txbxContent>
                    </v:textbox>
                  </v:shape>
                </v:group>
              </v:group>
            </w:pict>
          </mc:Fallback>
        </mc:AlternateContent>
      </w:r>
    </w:p>
    <w:p>
      <w:pPr>
        <w:pStyle w:val="Body A"/>
        <w:rPr>
          <w:rFonts w:ascii="Arial" w:cs="Arial" w:hAnsi="Arial" w:eastAsia="Arial"/>
          <w:sz w:val="24"/>
          <w:szCs w:val="24"/>
          <w:lang w:val="fr-FR"/>
        </w:rPr>
      </w:pPr>
    </w:p>
    <w:p>
      <w:pPr>
        <w:pStyle w:val="Body A"/>
        <w:rPr>
          <w:rFonts w:ascii="Arial" w:cs="Arial" w:hAnsi="Arial" w:eastAsia="Arial"/>
          <w:outline w:val="0"/>
          <w:color w:val="000000"/>
          <w:sz w:val="28"/>
          <w:szCs w:val="28"/>
          <w:u w:color="000000"/>
          <w:lang w:val="fr-FR"/>
          <w14:textFill>
            <w14:solidFill>
              <w14:srgbClr w14:val="000000"/>
            </w14:solidFill>
          </w14:textFill>
        </w:rPr>
      </w:pPr>
    </w:p>
    <w:p>
      <w:pPr>
        <w:pStyle w:val="Body A"/>
        <w:rPr>
          <w:rFonts w:ascii="Arial" w:cs="Arial" w:hAnsi="Arial" w:eastAsia="Arial"/>
          <w:outline w:val="0"/>
          <w:color w:val="000000"/>
          <w:sz w:val="28"/>
          <w:szCs w:val="28"/>
          <w:u w:color="000000"/>
          <w:lang w:val="fr-FR"/>
          <w14:textFill>
            <w14:solidFill>
              <w14:srgbClr w14:val="000000"/>
            </w14:solidFill>
          </w14:textFill>
        </w:rPr>
      </w:pPr>
    </w:p>
    <w:p>
      <w:pPr>
        <w:pStyle w:val="Body A"/>
        <w:rPr>
          <w:rFonts w:ascii="Arial" w:cs="Arial" w:hAnsi="Arial" w:eastAsia="Arial"/>
          <w:outline w:val="0"/>
          <w:color w:val="000000"/>
          <w:sz w:val="28"/>
          <w:szCs w:val="28"/>
          <w:u w:color="000000"/>
          <w:lang w:val="fr-FR"/>
          <w14:textFill>
            <w14:solidFill>
              <w14:srgbClr w14:val="000000"/>
            </w14:solidFill>
          </w14:textFill>
        </w:rPr>
      </w:pPr>
    </w:p>
    <w:p>
      <w:pPr>
        <w:pStyle w:val="Body A"/>
        <w:rPr>
          <w:rFonts w:ascii="Arial" w:cs="Arial" w:hAnsi="Arial" w:eastAsia="Arial"/>
          <w:outline w:val="0"/>
          <w:color w:val="000000"/>
          <w:sz w:val="28"/>
          <w:szCs w:val="28"/>
          <w:u w:color="000000"/>
          <w:lang w:val="fr-FR"/>
          <w14:textFill>
            <w14:solidFill>
              <w14:srgbClr w14:val="000000"/>
            </w14:solidFill>
          </w14:textFill>
        </w:rPr>
      </w:pPr>
    </w:p>
    <w:p>
      <w:pPr>
        <w:pStyle w:val="Body A"/>
        <w:rPr>
          <w:rFonts w:ascii="Arial" w:cs="Arial" w:hAnsi="Arial" w:eastAsia="Arial"/>
          <w:outline w:val="0"/>
          <w:color w:val="000000"/>
          <w:sz w:val="28"/>
          <w:szCs w:val="28"/>
          <w:u w:color="000000"/>
          <w:lang w:val="fr-FR"/>
          <w14:textFill>
            <w14:solidFill>
              <w14:srgbClr w14:val="000000"/>
            </w14:solidFill>
          </w14:textFill>
        </w:rPr>
      </w:pPr>
      <w:r>
        <w:rPr>
          <w:rFonts w:ascii="Arial" w:hAnsi="Arial"/>
          <w:outline w:val="0"/>
          <w:color w:val="000000"/>
          <w:sz w:val="28"/>
          <w:szCs w:val="28"/>
          <w:u w:color="000000"/>
          <w:rtl w:val="0"/>
          <w:lang w:val="fr-FR"/>
          <w14:textFill>
            <w14:solidFill>
              <w14:srgbClr w14:val="000000"/>
            </w14:solidFill>
          </w14:textFill>
        </w:rPr>
        <w:t>Glossary of Terms</w:t>
      </w:r>
    </w:p>
    <w:p>
      <w:pPr>
        <w:pStyle w:val="Body A"/>
        <w:rPr>
          <w:rFonts w:ascii="Arial" w:cs="Arial" w:hAnsi="Arial" w:eastAsia="Arial"/>
          <w:outline w:val="0"/>
          <w:color w:val="000000"/>
          <w:sz w:val="28"/>
          <w:szCs w:val="28"/>
          <w:u w:color="000000"/>
          <w:lang w:val="fr-FR"/>
          <w14:textFill>
            <w14:solidFill>
              <w14:srgbClr w14:val="000000"/>
            </w14:solidFill>
          </w14:textFill>
        </w:rPr>
      </w:pPr>
    </w:p>
    <w:p>
      <w:pPr>
        <w:pStyle w:val="Body A"/>
        <w:rPr>
          <w:rFonts w:ascii="Arial" w:cs="Arial" w:hAnsi="Arial" w:eastAsia="Arial"/>
          <w:sz w:val="24"/>
          <w:szCs w:val="24"/>
          <w:lang w:val="fr-FR"/>
        </w:rPr>
      </w:pPr>
      <w:r>
        <w:rPr>
          <w:rFonts w:ascii="Arial" w:hAnsi="Arial"/>
          <w:sz w:val="24"/>
          <w:szCs w:val="24"/>
          <w:rtl w:val="0"/>
          <w:lang w:val="fr-FR"/>
        </w:rPr>
        <w:t>DWP-D</w:t>
      </w:r>
      <w:r>
        <w:rPr>
          <w:rFonts w:ascii="Arial" w:hAnsi="Arial" w:hint="default"/>
          <w:sz w:val="24"/>
          <w:szCs w:val="24"/>
          <w:rtl w:val="0"/>
          <w:lang w:val="fr-FR"/>
        </w:rPr>
        <w:t>é</w:t>
      </w:r>
      <w:r>
        <w:rPr>
          <w:rFonts w:ascii="Arial" w:hAnsi="Arial"/>
          <w:sz w:val="24"/>
          <w:szCs w:val="24"/>
          <w:rtl w:val="0"/>
          <w:lang w:val="fr-FR"/>
        </w:rPr>
        <w:t>partement for Work and Pensions</w:t>
      </w:r>
    </w:p>
    <w:p>
      <w:pPr>
        <w:pStyle w:val="Body A"/>
        <w:rPr>
          <w:rFonts w:ascii="Arial" w:cs="Arial" w:hAnsi="Arial" w:eastAsia="Arial"/>
          <w:sz w:val="24"/>
          <w:szCs w:val="24"/>
          <w:lang w:val="fr-FR"/>
        </w:rPr>
      </w:pPr>
      <w:r>
        <w:rPr>
          <w:rFonts w:ascii="Arial" w:hAnsi="Arial"/>
          <w:sz w:val="24"/>
          <w:szCs w:val="24"/>
          <w:rtl w:val="0"/>
          <w:lang w:val="fr-FR"/>
        </w:rPr>
        <w:t>ER-Employment Relations</w:t>
      </w:r>
    </w:p>
    <w:p>
      <w:pPr>
        <w:pStyle w:val="Body A"/>
        <w:rPr>
          <w:rFonts w:ascii="Arial" w:cs="Arial" w:hAnsi="Arial" w:eastAsia="Arial"/>
          <w:sz w:val="24"/>
          <w:szCs w:val="24"/>
          <w:lang w:val="fr-FR"/>
        </w:rPr>
      </w:pPr>
      <w:r>
        <w:rPr>
          <w:rFonts w:ascii="Arial" w:hAnsi="Arial"/>
          <w:sz w:val="24"/>
          <w:szCs w:val="24"/>
          <w:rtl w:val="0"/>
          <w:lang w:val="fr-FR"/>
        </w:rPr>
        <w:t>EI- Emotional Intelligence</w:t>
      </w:r>
    </w:p>
    <w:p>
      <w:pPr>
        <w:pStyle w:val="Body A"/>
        <w:rPr>
          <w:rFonts w:ascii="Arial" w:cs="Arial" w:hAnsi="Arial" w:eastAsia="Arial"/>
          <w:sz w:val="24"/>
          <w:szCs w:val="24"/>
          <w:lang w:val="fr-FR"/>
        </w:rPr>
      </w:pPr>
      <w:r>
        <w:rPr>
          <w:rFonts w:ascii="Arial" w:hAnsi="Arial"/>
          <w:sz w:val="24"/>
          <w:szCs w:val="24"/>
          <w:rtl w:val="0"/>
          <w:lang w:val="fr-FR"/>
        </w:rPr>
        <w:t>WLB-Work-Life Balance</w:t>
      </w: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B"/>
        <w:rPr>
          <w:rFonts w:ascii="Arial" w:cs="Arial" w:hAnsi="Arial" w:eastAsia="Arial"/>
          <w:sz w:val="28"/>
          <w:szCs w:val="28"/>
        </w:rPr>
      </w:pPr>
    </w:p>
    <w:p>
      <w:pPr>
        <w:pStyle w:val="Heading"/>
      </w:pPr>
      <w:r>
        <w:rPr>
          <w:rtl w:val="0"/>
          <w:lang w:val="en-US"/>
        </w:rPr>
        <w:t>References</w:t>
      </w:r>
    </w:p>
    <w:p>
      <w:pPr>
        <w:pStyle w:val="Body"/>
      </w:pPr>
    </w:p>
    <w:p>
      <w:pPr>
        <w:pStyle w:val="Bibliography"/>
      </w:pPr>
      <w:r>
        <w:rPr>
          <w:rtl w:val="0"/>
          <w:lang w:val="en-US"/>
        </w:rPr>
        <w:t>1.</w:t>
      </w:r>
      <w:r>
        <w:rPr>
          <w:rFonts w:ascii="Arial" w:cs="Arial" w:hAnsi="Arial" w:eastAsia="Arial"/>
        </w:rPr>
        <w:fldChar w:fldCharType="begin" w:fldLock="0"/>
      </w:r>
      <w:r>
        <w:rPr>
          <w:rFonts w:ascii="Arial" w:cs="Arial" w:hAnsi="Arial" w:eastAsia="Arial"/>
        </w:rPr>
        <w:instrText xml:space="preserve"> ADDIN EN.REFLIST </w:instrText>
      </w:r>
      <w:r>
        <w:rPr>
          <w:rFonts w:ascii="Arial" w:cs="Arial" w:hAnsi="Arial" w:eastAsia="Arial"/>
        </w:rPr>
        <w:fldChar w:fldCharType="separate" w:fldLock="0"/>
      </w:r>
    </w:p>
    <w:p>
      <w:pPr>
        <w:pStyle w:val="Bibliography"/>
        <w:rPr>
          <w:rFonts w:ascii="Arial" w:cs="Arial" w:hAnsi="Arial" w:eastAsia="Arial"/>
        </w:rPr>
      </w:pPr>
      <w:r>
        <w:rPr>
          <w:rFonts w:ascii="Arial" w:hAnsi="Arial"/>
          <w:rtl w:val="0"/>
          <w:lang w:val="en-US"/>
        </w:rPr>
        <w:t xml:space="preserve">Al Saidi, A. M. O. N. F. A. A.-M. A. S. &amp; El Rabbit, M. H. A. A. A., 20203. Decisive Leadership is a necessity in the COVID-19. </w:t>
      </w:r>
      <w:r>
        <w:rPr>
          <w:rFonts w:ascii="Arial" w:hAnsi="Arial"/>
          <w:i w:val="1"/>
          <w:iCs w:val="1"/>
          <w:rtl w:val="0"/>
          <w:lang w:val="en-US"/>
        </w:rPr>
        <w:t xml:space="preserve">The Lancet (British edition), </w:t>
      </w:r>
      <w:r>
        <w:rPr>
          <w:rFonts w:ascii="Arial" w:hAnsi="Arial"/>
          <w:rtl w:val="0"/>
          <w:lang w:val="en-US"/>
        </w:rPr>
        <w:t>396(10247), pp. 295-298.</w:t>
      </w:r>
    </w:p>
    <w:p>
      <w:pPr>
        <w:pStyle w:val="Body"/>
      </w:pPr>
    </w:p>
    <w:p>
      <w:pPr>
        <w:pStyle w:val="Bibliography"/>
        <w:rPr>
          <w:rFonts w:ascii="Arial" w:cs="Arial" w:hAnsi="Arial" w:eastAsia="Arial"/>
        </w:rPr>
      </w:pPr>
      <w:r>
        <w:rPr>
          <w:rFonts w:ascii="Arial" w:hAnsi="Arial"/>
          <w:rtl w:val="0"/>
          <w:lang w:val="en-US"/>
        </w:rPr>
        <w:t xml:space="preserve">2.Ali, I. A. O. M. L., 2020. COVID-19 Disease management treatment and social impact. </w:t>
      </w:r>
      <w:r>
        <w:rPr>
          <w:rFonts w:ascii="Arial" w:hAnsi="Arial"/>
          <w:i w:val="1"/>
          <w:iCs w:val="1"/>
          <w:rtl w:val="0"/>
          <w:lang w:val="en-US"/>
        </w:rPr>
        <w:t xml:space="preserve">The science of the total environment , </w:t>
      </w:r>
      <w:r>
        <w:rPr>
          <w:rFonts w:ascii="Arial" w:hAnsi="Arial"/>
          <w:rtl w:val="0"/>
          <w:lang w:val="en-US"/>
        </w:rPr>
        <w:t>728(1), pp. 138861-138861.</w:t>
      </w:r>
    </w:p>
    <w:p>
      <w:pPr>
        <w:pStyle w:val="Body"/>
      </w:pPr>
    </w:p>
    <w:p>
      <w:pPr>
        <w:pStyle w:val="Bibliography"/>
        <w:rPr>
          <w:rFonts w:ascii="Arial" w:cs="Arial" w:hAnsi="Arial" w:eastAsia="Arial"/>
        </w:rPr>
      </w:pPr>
      <w:r>
        <w:rPr>
          <w:rFonts w:ascii="Arial" w:hAnsi="Arial"/>
          <w:rtl w:val="0"/>
          <w:lang w:val="en-US"/>
        </w:rPr>
        <w:t xml:space="preserve">3.Alradhawi, M. S. N. S. J. A. Y., 2020. Effects of the COVID-19 pandemic on mental-health well-being amongst individuals in society. </w:t>
      </w:r>
      <w:r>
        <w:rPr>
          <w:rFonts w:ascii="Arial" w:hAnsi="Arial"/>
          <w:i w:val="1"/>
          <w:iCs w:val="1"/>
          <w:rtl w:val="0"/>
          <w:lang w:val="en-US"/>
        </w:rPr>
        <w:t xml:space="preserve">Internation journal of surgery, </w:t>
      </w:r>
      <w:r>
        <w:rPr>
          <w:rFonts w:ascii="Arial" w:hAnsi="Arial"/>
          <w:rtl w:val="0"/>
          <w:lang w:val="en-US"/>
        </w:rPr>
        <w:t>6(1), pp. 147-148.</w:t>
      </w:r>
    </w:p>
    <w:p>
      <w:pPr>
        <w:pStyle w:val="Body"/>
      </w:pPr>
    </w:p>
    <w:p>
      <w:pPr>
        <w:pStyle w:val="Bibliography"/>
        <w:rPr>
          <w:rFonts w:ascii="Arial" w:cs="Arial" w:hAnsi="Arial" w:eastAsia="Arial"/>
          <w:i w:val="1"/>
          <w:iCs w:val="1"/>
        </w:rPr>
      </w:pPr>
      <w:r>
        <w:rPr>
          <w:rFonts w:ascii="Arial" w:hAnsi="Arial"/>
          <w:rtl w:val="0"/>
          <w:lang w:val="en-US"/>
        </w:rPr>
        <w:t xml:space="preserve">4.al, R.-K. e., 2015. The impact of Emotional Intelligence on Conditions of Trusy Amoung Leaders. </w:t>
      </w:r>
      <w:r>
        <w:rPr>
          <w:rFonts w:ascii="Arial" w:hAnsi="Arial"/>
          <w:i w:val="1"/>
          <w:iCs w:val="1"/>
          <w:rtl w:val="0"/>
          <w:lang w:val="en-US"/>
        </w:rPr>
        <w:t>Frontiers in public health</w:t>
      </w:r>
    </w:p>
    <w:p>
      <w:pPr>
        <w:pStyle w:val="Bibliography"/>
        <w:rPr>
          <w:rFonts w:ascii="Arial" w:cs="Arial" w:hAnsi="Arial" w:eastAsia="Arial"/>
        </w:rPr>
      </w:pPr>
      <w:r>
        <w:rPr>
          <w:rFonts w:ascii="Arial" w:hAnsi="Arial"/>
          <w:i w:val="1"/>
          <w:iCs w:val="1"/>
          <w:rtl w:val="0"/>
          <w:lang w:val="en-US"/>
        </w:rPr>
        <w:t>.</w:t>
      </w:r>
    </w:p>
    <w:p>
      <w:pPr>
        <w:pStyle w:val="Bibliography"/>
        <w:rPr>
          <w:rFonts w:ascii="Arial" w:cs="Arial" w:hAnsi="Arial" w:eastAsia="Arial"/>
        </w:rPr>
      </w:pPr>
      <w:r>
        <w:rPr>
          <w:rFonts w:ascii="Arial" w:hAnsi="Arial"/>
          <w:rtl w:val="0"/>
          <w:lang w:val="en-US"/>
        </w:rPr>
        <w:t xml:space="preserve">5.Arkodie, S. A. O. P. A., 2020. Global Assessment of Environmen, health and economic impact of the novel cornoviru. </w:t>
      </w:r>
      <w:r>
        <w:rPr>
          <w:rFonts w:ascii="Arial" w:hAnsi="Arial"/>
          <w:i w:val="1"/>
          <w:iCs w:val="1"/>
          <w:rtl w:val="0"/>
          <w:lang w:val="en-US"/>
        </w:rPr>
        <w:t xml:space="preserve">Enviornment, development, and sustainability, </w:t>
      </w:r>
      <w:r>
        <w:rPr>
          <w:rFonts w:ascii="Arial" w:hAnsi="Arial"/>
          <w:rtl w:val="0"/>
          <w:lang w:val="en-US"/>
        </w:rPr>
        <w:t>2020(6), pp. 1-11.</w:t>
      </w:r>
    </w:p>
    <w:p>
      <w:pPr>
        <w:pStyle w:val="Body"/>
      </w:pPr>
    </w:p>
    <w:p>
      <w:pPr>
        <w:pStyle w:val="Bibliography"/>
        <w:rPr>
          <w:rFonts w:ascii="Arial" w:cs="Arial" w:hAnsi="Arial" w:eastAsia="Arial"/>
        </w:rPr>
      </w:pPr>
      <w:r>
        <w:rPr>
          <w:rFonts w:ascii="Arial" w:hAnsi="Arial"/>
          <w:rtl w:val="0"/>
          <w:lang w:val="en-US"/>
        </w:rPr>
        <w:t xml:space="preserve">6.Audenant, M. G. B. D. A., 2017. How a demanding employment relationship relates to affective commitment in public organisations: A multilevel analysis. </w:t>
      </w:r>
      <w:r>
        <w:rPr>
          <w:rFonts w:ascii="Arial" w:hAnsi="Arial"/>
          <w:i w:val="1"/>
          <w:iCs w:val="1"/>
          <w:rtl w:val="0"/>
          <w:lang w:val="en-US"/>
        </w:rPr>
        <w:t xml:space="preserve">Public administration , </w:t>
      </w:r>
      <w:r>
        <w:rPr>
          <w:rFonts w:ascii="Arial" w:hAnsi="Arial"/>
          <w:rtl w:val="0"/>
          <w:lang w:val="en-US"/>
        </w:rPr>
        <w:t>97(1), pp. 11-27.</w:t>
      </w:r>
    </w:p>
    <w:p>
      <w:pPr>
        <w:pStyle w:val="Body"/>
      </w:pPr>
    </w:p>
    <w:p>
      <w:pPr>
        <w:pStyle w:val="Bibliography"/>
        <w:rPr>
          <w:rFonts w:ascii="Arial" w:cs="Arial" w:hAnsi="Arial" w:eastAsia="Arial"/>
        </w:rPr>
      </w:pPr>
      <w:r>
        <w:rPr>
          <w:rFonts w:ascii="Arial" w:hAnsi="Arial"/>
          <w:rtl w:val="0"/>
          <w:lang w:val="en-US"/>
        </w:rPr>
        <w:t xml:space="preserve">7.Baird, M. E. B. A. M. P. B., 2014. Introduction-The future of employment relations. </w:t>
      </w:r>
      <w:r>
        <w:rPr>
          <w:rFonts w:ascii="Arial" w:hAnsi="Arial"/>
          <w:i w:val="1"/>
          <w:iCs w:val="1"/>
          <w:rtl w:val="0"/>
          <w:lang w:val="en-US"/>
        </w:rPr>
        <w:t xml:space="preserve">Journal of industrial relations, </w:t>
      </w:r>
      <w:r>
        <w:rPr>
          <w:rFonts w:ascii="Arial" w:hAnsi="Arial"/>
          <w:rtl w:val="0"/>
          <w:lang w:val="en-US"/>
        </w:rPr>
        <w:t>56(4), pp. 577-577.</w:t>
      </w:r>
    </w:p>
    <w:p>
      <w:pPr>
        <w:pStyle w:val="Body"/>
      </w:pPr>
    </w:p>
    <w:p>
      <w:pPr>
        <w:pStyle w:val="Bibliography"/>
        <w:rPr>
          <w:rFonts w:ascii="Arial" w:cs="Arial" w:hAnsi="Arial" w:eastAsia="Arial"/>
        </w:rPr>
      </w:pPr>
      <w:r>
        <w:rPr>
          <w:rFonts w:ascii="Arial" w:hAnsi="Arial"/>
          <w:rtl w:val="0"/>
          <w:lang w:val="en-US"/>
        </w:rPr>
        <w:t xml:space="preserve">8.Banerjee, D. R. M., 2020. Social Isolation in COVID-19: The impact of loneliness. </w:t>
      </w:r>
      <w:r>
        <w:rPr>
          <w:rFonts w:ascii="Arial" w:hAnsi="Arial"/>
          <w:i w:val="1"/>
          <w:iCs w:val="1"/>
          <w:rtl w:val="0"/>
          <w:lang w:val="en-US"/>
        </w:rPr>
        <w:t xml:space="preserve">International Journal of social psychiatry, </w:t>
      </w:r>
      <w:r>
        <w:rPr>
          <w:rFonts w:ascii="Arial" w:hAnsi="Arial"/>
          <w:rtl w:val="0"/>
          <w:lang w:val="en-US"/>
        </w:rPr>
        <w:t>66(6 ), pp. 525-527</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9.Behar-Zusman, V. C. J. V. G. K., 2020. Developing a Measure of the Impact of COVID-19 Social Distancing on HOUsehold Conflict and Cohesion. </w:t>
      </w:r>
      <w:r>
        <w:rPr>
          <w:rFonts w:ascii="Arial" w:hAnsi="Arial"/>
          <w:i w:val="1"/>
          <w:iCs w:val="1"/>
          <w:rtl w:val="0"/>
          <w:lang w:val="en-US"/>
        </w:rPr>
        <w:t xml:space="preserve">Family Process, </w:t>
      </w:r>
      <w:r>
        <w:rPr>
          <w:rFonts w:ascii="Arial" w:hAnsi="Arial"/>
          <w:rtl w:val="0"/>
          <w:lang w:val="en-US"/>
        </w:rPr>
        <w:t>59(3), pp. 1045-1059.</w:t>
      </w:r>
    </w:p>
    <w:p>
      <w:pPr>
        <w:pStyle w:val="Body"/>
      </w:pPr>
    </w:p>
    <w:p>
      <w:pPr>
        <w:pStyle w:val="Bibliography"/>
        <w:rPr>
          <w:rFonts w:ascii="Arial" w:cs="Arial" w:hAnsi="Arial" w:eastAsia="Arial"/>
        </w:rPr>
      </w:pPr>
      <w:r>
        <w:rPr>
          <w:rFonts w:ascii="Arial" w:hAnsi="Arial"/>
          <w:rtl w:val="0"/>
          <w:lang w:val="en-US"/>
        </w:rPr>
        <w:t xml:space="preserve">10.Belfanti, C., 2017. Emotional Capacity in the public secor-an austrailain. </w:t>
      </w:r>
      <w:r>
        <w:rPr>
          <w:rFonts w:ascii="Arial" w:hAnsi="Arial"/>
          <w:i w:val="1"/>
          <w:iCs w:val="1"/>
          <w:rtl w:val="0"/>
          <w:lang w:val="en-US"/>
        </w:rPr>
        <w:t xml:space="preserve">The international journal of ublic sectoe management, </w:t>
      </w:r>
      <w:r>
        <w:rPr>
          <w:rFonts w:ascii="Arial" w:hAnsi="Arial"/>
          <w:rtl w:val="0"/>
          <w:lang w:val="en-US"/>
        </w:rPr>
        <w:t>pp. 254-264.</w:t>
      </w:r>
    </w:p>
    <w:p>
      <w:pPr>
        <w:pStyle w:val="Bibliography"/>
        <w:rPr>
          <w:rFonts w:ascii="Arial" w:cs="Arial" w:hAnsi="Arial" w:eastAsia="Arial"/>
        </w:rPr>
      </w:pPr>
      <w:r>
        <w:rPr>
          <w:rFonts w:ascii="Arial" w:hAnsi="Arial"/>
          <w:rtl w:val="0"/>
          <w:lang w:val="en-US"/>
        </w:rPr>
        <w:t xml:space="preserve">Berkhout, S. G. R. L., 2020. Identity, politics and pandemic: Why is COVID-19 a disaster for feminsim. </w:t>
      </w:r>
      <w:r>
        <w:rPr>
          <w:rFonts w:ascii="Arial" w:hAnsi="Arial"/>
          <w:i w:val="1"/>
          <w:iCs w:val="1"/>
          <w:rtl w:val="0"/>
          <w:lang w:val="en-US"/>
        </w:rPr>
        <w:t xml:space="preserve">History and philisophy of the life sciences, </w:t>
      </w:r>
      <w:r>
        <w:rPr>
          <w:rFonts w:ascii="Arial" w:hAnsi="Arial"/>
          <w:rtl w:val="0"/>
          <w:lang w:val="en-US"/>
        </w:rPr>
        <w:t>42(4), pp. 49-49</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11.Bierman, A. S. S., 2020. Social Estrangement and Psychological Distress before and during the COVID-19 Pandemic: Patterns of Change in Canadian Workers. 61(4), pp. 398-417.</w:t>
      </w:r>
    </w:p>
    <w:p>
      <w:pPr>
        <w:pStyle w:val="Bibliography"/>
        <w:rPr>
          <w:rFonts w:ascii="Arial" w:cs="Arial" w:hAnsi="Arial" w:eastAsia="Arial"/>
          <w:i w:val="1"/>
          <w:iCs w:val="1"/>
        </w:rPr>
      </w:pPr>
      <w:r>
        <w:rPr>
          <w:rFonts w:ascii="Arial" w:hAnsi="Arial"/>
          <w:rtl w:val="0"/>
          <w:lang w:val="en-US"/>
        </w:rPr>
        <w:t xml:space="preserve">12.Brown, G. W. I. M. A. M., 2018. The concise oxford disctionary of politics and international relations. </w:t>
      </w:r>
      <w:r>
        <w:rPr>
          <w:rFonts w:ascii="Arial" w:hAnsi="Arial"/>
          <w:i w:val="1"/>
          <w:iCs w:val="1"/>
          <w:rtl w:val="0"/>
          <w:lang w:val="en-US"/>
        </w:rPr>
        <w:t>Oxford Press.</w:t>
      </w:r>
    </w:p>
    <w:p>
      <w:pPr>
        <w:pStyle w:val="Body"/>
      </w:pPr>
    </w:p>
    <w:p>
      <w:pPr>
        <w:pStyle w:val="Bibliography"/>
        <w:rPr>
          <w:rFonts w:ascii="Arial" w:cs="Arial" w:hAnsi="Arial" w:eastAsia="Arial"/>
        </w:rPr>
      </w:pPr>
      <w:r>
        <w:rPr>
          <w:rFonts w:ascii="Arial" w:hAnsi="Arial"/>
          <w:rtl w:val="0"/>
          <w:lang w:val="en-US"/>
        </w:rPr>
        <w:t xml:space="preserve">13.Budd, J. W., 2020. The psychologisation of employment relations, alternative models of employment relations. </w:t>
      </w:r>
      <w:r>
        <w:rPr>
          <w:rFonts w:ascii="Arial" w:hAnsi="Arial"/>
          <w:i w:val="1"/>
          <w:iCs w:val="1"/>
          <w:rtl w:val="0"/>
          <w:lang w:val="en-US"/>
        </w:rPr>
        <w:t xml:space="preserve">Human resource managemeht, </w:t>
      </w:r>
      <w:r>
        <w:rPr>
          <w:rFonts w:ascii="Arial" w:hAnsi="Arial"/>
          <w:rtl w:val="0"/>
          <w:lang w:val="en-US"/>
        </w:rPr>
        <w:t>pp. 73-83.</w:t>
      </w:r>
    </w:p>
    <w:p>
      <w:pPr>
        <w:pStyle w:val="Body"/>
      </w:pPr>
    </w:p>
    <w:p>
      <w:pPr>
        <w:pStyle w:val="Bibliography"/>
        <w:rPr>
          <w:rFonts w:ascii="Arial" w:cs="Arial" w:hAnsi="Arial" w:eastAsia="Arial"/>
        </w:rPr>
      </w:pPr>
      <w:r>
        <w:rPr>
          <w:rFonts w:ascii="Arial" w:hAnsi="Arial"/>
          <w:rtl w:val="0"/>
          <w:lang w:val="en-US"/>
        </w:rPr>
        <w:t xml:space="preserve">14.Carlaw, S., 2002. Impact on biometrics of COVID-19. </w:t>
      </w:r>
      <w:r>
        <w:rPr>
          <w:rFonts w:ascii="Arial" w:hAnsi="Arial"/>
          <w:i w:val="1"/>
          <w:iCs w:val="1"/>
          <w:rtl w:val="0"/>
          <w:lang w:val="en-US"/>
        </w:rPr>
        <w:t xml:space="preserve">Biometric technology today, </w:t>
      </w:r>
      <w:r>
        <w:rPr>
          <w:rFonts w:ascii="Arial" w:hAnsi="Arial"/>
          <w:rtl w:val="0"/>
          <w:lang w:val="en-US"/>
        </w:rPr>
        <w:t>2020(4), pp. 8-9.</w:t>
      </w:r>
    </w:p>
    <w:p>
      <w:pPr>
        <w:pStyle w:val="Body"/>
      </w:pPr>
    </w:p>
    <w:p>
      <w:pPr>
        <w:pStyle w:val="Bibliography"/>
        <w:rPr>
          <w:rFonts w:ascii="Arial" w:cs="Arial" w:hAnsi="Arial" w:eastAsia="Arial"/>
        </w:rPr>
      </w:pPr>
      <w:r>
        <w:rPr>
          <w:rFonts w:ascii="Arial" w:hAnsi="Arial"/>
          <w:rtl w:val="0"/>
          <w:lang w:val="en-US"/>
        </w:rPr>
        <w:t xml:space="preserve">15.Castka, P. S. C. F. ,. S., 2020. Technology-enhanced auditing in voluntary sustainability standards: The Impact of COVID-19. </w:t>
      </w:r>
      <w:r>
        <w:rPr>
          <w:rFonts w:ascii="Arial" w:hAnsi="Arial"/>
          <w:i w:val="1"/>
          <w:iCs w:val="1"/>
          <w:rtl w:val="0"/>
          <w:lang w:val="en-US"/>
        </w:rPr>
        <w:t xml:space="preserve">Sustainability, </w:t>
      </w:r>
      <w:r>
        <w:rPr>
          <w:rFonts w:ascii="Arial" w:hAnsi="Arial"/>
          <w:rtl w:val="0"/>
          <w:lang w:val="en-US"/>
        </w:rPr>
        <w:t>12(11), p. 4740</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16.Cews, C., 2020. Forseight and the COVID-19 Pandemic. </w:t>
      </w:r>
      <w:r>
        <w:rPr>
          <w:rFonts w:ascii="Arial" w:hAnsi="Arial"/>
          <w:i w:val="1"/>
          <w:iCs w:val="1"/>
          <w:rtl w:val="0"/>
          <w:lang w:val="en-US"/>
        </w:rPr>
        <w:t xml:space="preserve">Research Technology Management, </w:t>
      </w:r>
      <w:r>
        <w:rPr>
          <w:rFonts w:ascii="Arial" w:hAnsi="Arial"/>
          <w:rtl w:val="0"/>
          <w:lang w:val="en-US"/>
        </w:rPr>
        <w:t>63(4), pp. 55-57</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17.Change, T. F. a. S., 2020. An intelligent framework using disruptive technologies. </w:t>
      </w:r>
      <w:r>
        <w:rPr>
          <w:rFonts w:ascii="Arial" w:hAnsi="Arial"/>
          <w:i w:val="1"/>
          <w:iCs w:val="1"/>
          <w:rtl w:val="0"/>
          <w:lang w:val="en-US"/>
        </w:rPr>
        <w:t xml:space="preserve">Technological , </w:t>
      </w:r>
      <w:r>
        <w:rPr>
          <w:rFonts w:ascii="Arial" w:hAnsi="Arial"/>
          <w:rtl w:val="0"/>
          <w:lang w:val="en-US"/>
        </w:rPr>
        <w:t>1(1), pp. 120431-120431.</w:t>
      </w:r>
    </w:p>
    <w:p>
      <w:pPr>
        <w:pStyle w:val="Body"/>
      </w:pPr>
    </w:p>
    <w:p>
      <w:pPr>
        <w:pStyle w:val="Bibliography"/>
        <w:rPr>
          <w:rFonts w:ascii="Arial" w:cs="Arial" w:hAnsi="Arial" w:eastAsia="Arial"/>
        </w:rPr>
      </w:pPr>
      <w:r>
        <w:rPr>
          <w:rFonts w:ascii="Arial" w:hAnsi="Arial"/>
          <w:rtl w:val="0"/>
          <w:lang w:val="en-US"/>
        </w:rPr>
        <w:t xml:space="preserve">18.CIPD, 2020. </w:t>
      </w:r>
      <w:r>
        <w:rPr>
          <w:rFonts w:ascii="Arial" w:hAnsi="Arial"/>
          <w:i w:val="1"/>
          <w:iCs w:val="1"/>
          <w:rtl w:val="0"/>
          <w:lang w:val="en-US"/>
        </w:rPr>
        <w:t xml:space="preserve">Employee Engagement, </w:t>
      </w:r>
      <w:r>
        <w:rPr>
          <w:rFonts w:ascii="Arial" w:hAnsi="Arial"/>
          <w:rtl w:val="0"/>
          <w:lang w:val="en-US"/>
        </w:rPr>
        <w:t>UK: CIPD.</w:t>
      </w:r>
    </w:p>
    <w:p>
      <w:pPr>
        <w:pStyle w:val="Body"/>
      </w:pPr>
    </w:p>
    <w:p>
      <w:pPr>
        <w:pStyle w:val="Bibliography"/>
        <w:rPr>
          <w:rFonts w:ascii="Arial" w:cs="Arial" w:hAnsi="Arial" w:eastAsia="Arial"/>
        </w:rPr>
      </w:pPr>
      <w:r>
        <w:rPr>
          <w:rFonts w:ascii="Arial" w:hAnsi="Arial"/>
          <w:rtl w:val="0"/>
          <w:lang w:val="en-US"/>
        </w:rPr>
        <w:t xml:space="preserve">19.CIPD, 2020. </w:t>
      </w:r>
      <w:r>
        <w:rPr>
          <w:rFonts w:ascii="Arial" w:hAnsi="Arial"/>
          <w:i w:val="1"/>
          <w:iCs w:val="1"/>
          <w:rtl w:val="0"/>
          <w:lang w:val="en-US"/>
        </w:rPr>
        <w:t xml:space="preserve">Employee Relations Factsheet, </w:t>
      </w:r>
      <w:r>
        <w:rPr>
          <w:rFonts w:ascii="Arial" w:hAnsi="Arial"/>
          <w:rtl w:val="0"/>
          <w:lang w:val="en-US"/>
        </w:rPr>
        <w:t>UK: CIPD.</w:t>
      </w:r>
    </w:p>
    <w:p>
      <w:pPr>
        <w:pStyle w:val="Bibliography"/>
        <w:rPr>
          <w:rFonts w:ascii="Arial" w:cs="Arial" w:hAnsi="Arial" w:eastAsia="Arial"/>
        </w:rPr>
      </w:pPr>
      <w:r>
        <w:rPr>
          <w:rFonts w:ascii="Arial" w:hAnsi="Arial"/>
          <w:rtl w:val="0"/>
          <w:lang w:val="en-US"/>
        </w:rPr>
        <w:t xml:space="preserve">Connell, R., 2020. COVID 19-Sociology. </w:t>
      </w:r>
      <w:r>
        <w:rPr>
          <w:rFonts w:ascii="Arial" w:hAnsi="Arial"/>
          <w:i w:val="1"/>
          <w:iCs w:val="1"/>
          <w:rtl w:val="0"/>
          <w:lang w:val="en-US"/>
        </w:rPr>
        <w:t xml:space="preserve">SAGE Publications, </w:t>
      </w:r>
      <w:r>
        <w:rPr>
          <w:rFonts w:ascii="Arial" w:hAnsi="Arial"/>
          <w:rtl w:val="0"/>
          <w:lang w:val="en-US"/>
        </w:rPr>
        <w:t>56(4), pp. 745-751.</w:t>
      </w:r>
    </w:p>
    <w:p>
      <w:pPr>
        <w:pStyle w:val="Body"/>
      </w:pPr>
    </w:p>
    <w:p>
      <w:pPr>
        <w:pStyle w:val="Bibliography"/>
        <w:rPr>
          <w:rFonts w:ascii="Arial" w:cs="Arial" w:hAnsi="Arial" w:eastAsia="Arial"/>
        </w:rPr>
      </w:pPr>
      <w:r>
        <w:rPr>
          <w:rFonts w:ascii="Arial" w:hAnsi="Arial"/>
          <w:rtl w:val="0"/>
          <w:lang w:val="en-US"/>
        </w:rPr>
        <w:t xml:space="preserve">20.Conway, E. F. N. M. K. A. K. B. C., 2016. Demands or Resources? The relatiosnhp between HR practices , Employee engagemeht and emotional exhausted within a hybrid model of employment relations. </w:t>
      </w:r>
      <w:r>
        <w:rPr>
          <w:rFonts w:ascii="Arial" w:hAnsi="Arial"/>
          <w:i w:val="1"/>
          <w:iCs w:val="1"/>
          <w:rtl w:val="0"/>
          <w:lang w:val="en-US"/>
        </w:rPr>
        <w:t xml:space="preserve">Human Reource management, </w:t>
      </w:r>
      <w:r>
        <w:rPr>
          <w:rFonts w:ascii="Arial" w:hAnsi="Arial"/>
          <w:rtl w:val="0"/>
          <w:lang w:val="en-US"/>
        </w:rPr>
        <w:t>pp. 910-917</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21.David, R., 2020. Subjecting pandemic sport to sociological procedure. </w:t>
      </w:r>
      <w:r>
        <w:rPr>
          <w:rFonts w:ascii="Arial" w:hAnsi="Arial"/>
          <w:i w:val="1"/>
          <w:iCs w:val="1"/>
          <w:rtl w:val="0"/>
          <w:lang w:val="en-US"/>
        </w:rPr>
        <w:t xml:space="preserve">Journal of Sociology, </w:t>
      </w:r>
      <w:r>
        <w:rPr>
          <w:rFonts w:ascii="Arial" w:hAnsi="Arial"/>
          <w:rtl w:val="0"/>
          <w:lang w:val="en-US"/>
        </w:rPr>
        <w:t>56(4), pp. 704-713.</w:t>
      </w:r>
    </w:p>
    <w:p>
      <w:pPr>
        <w:pStyle w:val="Body"/>
      </w:pPr>
    </w:p>
    <w:p>
      <w:pPr>
        <w:pStyle w:val="Bibliography"/>
        <w:rPr>
          <w:rFonts w:ascii="Arial" w:cs="Arial" w:hAnsi="Arial" w:eastAsia="Arial"/>
        </w:rPr>
      </w:pPr>
      <w:r>
        <w:rPr>
          <w:rFonts w:ascii="Arial" w:hAnsi="Arial"/>
          <w:rtl w:val="0"/>
          <w:lang w:val="en-US"/>
        </w:rPr>
        <w:t xml:space="preserve">22.Dorn, A. v. C. R. E. S. M. L., 2020. COVID-19 exacerbating inequalitiues in the US. </w:t>
      </w:r>
      <w:r>
        <w:rPr>
          <w:rFonts w:ascii="Arial" w:hAnsi="Arial"/>
          <w:i w:val="1"/>
          <w:iCs w:val="1"/>
          <w:rtl w:val="0"/>
          <w:lang w:val="en-US"/>
        </w:rPr>
        <w:t xml:space="preserve">The Lancet, </w:t>
      </w:r>
      <w:r>
        <w:rPr>
          <w:rFonts w:ascii="Arial" w:hAnsi="Arial"/>
          <w:rtl w:val="0"/>
          <w:lang w:val="en-US"/>
        </w:rPr>
        <w:t>Volume 395, pp. 1243-1244.</w:t>
      </w:r>
    </w:p>
    <w:p>
      <w:pPr>
        <w:pStyle w:val="Body"/>
      </w:pPr>
    </w:p>
    <w:p>
      <w:pPr>
        <w:pStyle w:val="Bibliography"/>
        <w:rPr>
          <w:rFonts w:ascii="Arial" w:cs="Arial" w:hAnsi="Arial" w:eastAsia="Arial"/>
        </w:rPr>
      </w:pPr>
      <w:r>
        <w:rPr>
          <w:rFonts w:ascii="Arial" w:hAnsi="Arial"/>
          <w:rtl w:val="0"/>
          <w:lang w:val="en-US"/>
        </w:rPr>
        <w:t xml:space="preserve">23.Douglas, M. K. S. V. T. M. M. M. M. G., 2020. Mitigating the wider health effects of COVID-19 pandemic response. </w:t>
      </w:r>
      <w:r>
        <w:rPr>
          <w:rFonts w:ascii="Arial" w:hAnsi="Arial"/>
          <w:i w:val="1"/>
          <w:iCs w:val="1"/>
          <w:rtl w:val="0"/>
          <w:lang w:val="en-US"/>
        </w:rPr>
        <w:t xml:space="preserve">BMJ, </w:t>
      </w:r>
      <w:r>
        <w:rPr>
          <w:rFonts w:ascii="Arial" w:hAnsi="Arial"/>
          <w:rtl w:val="0"/>
          <w:lang w:val="en-US"/>
        </w:rPr>
        <w:t>369(1), p. 1557.</w:t>
      </w:r>
    </w:p>
    <w:p>
      <w:pPr>
        <w:pStyle w:val="Body"/>
      </w:pPr>
    </w:p>
    <w:p>
      <w:pPr>
        <w:pStyle w:val="Bibliography"/>
        <w:rPr>
          <w:rFonts w:ascii="Arial" w:cs="Arial" w:hAnsi="Arial" w:eastAsia="Arial"/>
        </w:rPr>
      </w:pPr>
      <w:r>
        <w:rPr>
          <w:rFonts w:ascii="Arial" w:hAnsi="Arial"/>
          <w:rtl w:val="0"/>
          <w:lang w:val="en-US"/>
        </w:rPr>
        <w:t xml:space="preserve">24.Dunlop, C. A. O. E. &amp; Baker, K., 2020. Researching COVID-19: A research agenda for public policy and adminitration scholars. </w:t>
      </w:r>
      <w:r>
        <w:rPr>
          <w:rFonts w:ascii="Arial" w:hAnsi="Arial"/>
          <w:i w:val="1"/>
          <w:iCs w:val="1"/>
          <w:rtl w:val="0"/>
          <w:lang w:val="en-US"/>
        </w:rPr>
        <w:t xml:space="preserve">London Policy and administration, </w:t>
      </w:r>
      <w:r>
        <w:rPr>
          <w:rFonts w:ascii="Arial" w:hAnsi="Arial"/>
          <w:rtl w:val="0"/>
          <w:lang w:val="en-US"/>
        </w:rPr>
        <w:t>35(4), pp. 365-383.</w:t>
      </w:r>
    </w:p>
    <w:p>
      <w:pPr>
        <w:pStyle w:val="Body"/>
      </w:pPr>
    </w:p>
    <w:p>
      <w:pPr>
        <w:pStyle w:val="Bibliography"/>
        <w:rPr>
          <w:rFonts w:ascii="Arial" w:cs="Arial" w:hAnsi="Arial" w:eastAsia="Arial"/>
        </w:rPr>
      </w:pPr>
      <w:r>
        <w:rPr>
          <w:rFonts w:ascii="Arial" w:hAnsi="Arial"/>
          <w:rtl w:val="0"/>
          <w:lang w:val="en-US"/>
        </w:rPr>
        <w:t xml:space="preserve">25.DWP, 2020. </w:t>
      </w:r>
      <w:r>
        <w:rPr>
          <w:rFonts w:ascii="Arial" w:hAnsi="Arial"/>
          <w:i w:val="1"/>
          <w:iCs w:val="1"/>
          <w:rtl w:val="0"/>
          <w:lang w:val="en-US"/>
        </w:rPr>
        <w:t xml:space="preserve">DWP Leading the COVID-19 crisis, </w:t>
      </w:r>
      <w:r>
        <w:rPr>
          <w:rFonts w:ascii="Arial" w:hAnsi="Arial"/>
          <w:rtl w:val="0"/>
          <w:lang w:val="en-US"/>
        </w:rPr>
        <w:t>UK: DWP</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26.DWP, 2020. </w:t>
      </w:r>
      <w:r>
        <w:rPr>
          <w:rFonts w:ascii="Arial" w:hAnsi="Arial"/>
          <w:i w:val="1"/>
          <w:iCs w:val="1"/>
          <w:rtl w:val="0"/>
          <w:lang w:val="en-US"/>
        </w:rPr>
        <w:t xml:space="preserve">DWP People and Capbility COVID-19 Report, </w:t>
      </w:r>
      <w:r>
        <w:rPr>
          <w:rFonts w:ascii="Arial" w:hAnsi="Arial"/>
          <w:rtl w:val="0"/>
          <w:lang w:val="en-US"/>
        </w:rPr>
        <w:t>UK: DWP</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27.DWP, 2020. </w:t>
      </w:r>
      <w:r>
        <w:rPr>
          <w:rFonts w:ascii="Arial" w:hAnsi="Arial"/>
          <w:i w:val="1"/>
          <w:iCs w:val="1"/>
          <w:rtl w:val="0"/>
          <w:lang w:val="en-US"/>
        </w:rPr>
        <w:t xml:space="preserve">DWP People Group Survey, </w:t>
      </w:r>
      <w:r>
        <w:rPr>
          <w:rFonts w:ascii="Arial" w:hAnsi="Arial"/>
          <w:rtl w:val="0"/>
          <w:lang w:val="en-US"/>
        </w:rPr>
        <w:t>s.l.: DWP.</w:t>
      </w:r>
    </w:p>
    <w:p>
      <w:pPr>
        <w:pStyle w:val="Bibliography"/>
        <w:rPr>
          <w:rFonts w:ascii="Arial" w:cs="Arial" w:hAnsi="Arial" w:eastAsia="Arial"/>
        </w:rPr>
      </w:pPr>
      <w:r>
        <w:rPr>
          <w:rFonts w:ascii="Arial" w:hAnsi="Arial"/>
          <w:rtl w:val="0"/>
          <w:lang w:val="en-US"/>
        </w:rPr>
        <w:t xml:space="preserve">28.DWP, 2020. </w:t>
      </w:r>
      <w:r>
        <w:rPr>
          <w:rFonts w:ascii="Arial" w:hAnsi="Arial"/>
          <w:i w:val="1"/>
          <w:iCs w:val="1"/>
          <w:rtl w:val="0"/>
          <w:lang w:val="en-US"/>
        </w:rPr>
        <w:t xml:space="preserve">UC VIRTUAL SERVICE CENTRE SUCCESSES, </w:t>
      </w:r>
      <w:r>
        <w:rPr>
          <w:rFonts w:ascii="Arial" w:hAnsi="Arial"/>
          <w:rtl w:val="0"/>
          <w:lang w:val="en-US"/>
        </w:rPr>
        <w:t>UK: DWP.</w:t>
      </w:r>
    </w:p>
    <w:p>
      <w:pPr>
        <w:pStyle w:val="Bibliography"/>
        <w:rPr>
          <w:rFonts w:ascii="Arial" w:cs="Arial" w:hAnsi="Arial" w:eastAsia="Arial"/>
        </w:rPr>
      </w:pPr>
      <w:r>
        <w:rPr>
          <w:rFonts w:ascii="Arial" w:hAnsi="Arial"/>
          <w:rtl w:val="0"/>
          <w:lang w:val="en-US"/>
        </w:rPr>
        <w:t>dwp, n.d. s.l.: s.n.</w:t>
      </w:r>
    </w:p>
    <w:p>
      <w:pPr>
        <w:pStyle w:val="Body"/>
      </w:pPr>
    </w:p>
    <w:p>
      <w:pPr>
        <w:pStyle w:val="Bibliography"/>
        <w:rPr>
          <w:rFonts w:ascii="Arial" w:cs="Arial" w:hAnsi="Arial" w:eastAsia="Arial"/>
        </w:rPr>
      </w:pPr>
      <w:r>
        <w:rPr>
          <w:rFonts w:ascii="Arial" w:hAnsi="Arial"/>
          <w:rtl w:val="0"/>
          <w:lang w:val="en-US"/>
        </w:rPr>
        <w:t xml:space="preserve">29.DWP, n.d. </w:t>
      </w:r>
      <w:r>
        <w:rPr>
          <w:rFonts w:ascii="Arial" w:hAnsi="Arial"/>
          <w:i w:val="1"/>
          <w:iCs w:val="1"/>
          <w:rtl w:val="0"/>
          <w:lang w:val="en-US"/>
        </w:rPr>
        <w:t xml:space="preserve">DWP'S Strategic Plan for COVID-19, </w:t>
      </w:r>
      <w:r>
        <w:rPr>
          <w:rFonts w:ascii="Arial" w:hAnsi="Arial"/>
          <w:rtl w:val="0"/>
          <w:lang w:val="en-US"/>
        </w:rPr>
        <w:t>uk: DWP.</w:t>
      </w:r>
    </w:p>
    <w:p>
      <w:pPr>
        <w:pStyle w:val="Bibliography"/>
        <w:rPr>
          <w:rFonts w:ascii="Arial" w:cs="Arial" w:hAnsi="Arial" w:eastAsia="Arial"/>
        </w:rPr>
      </w:pPr>
      <w:r>
        <w:rPr>
          <w:rFonts w:ascii="Arial" w:hAnsi="Arial"/>
          <w:rtl w:val="0"/>
          <w:lang w:val="en-US"/>
        </w:rPr>
        <w:t xml:space="preserve">Edwards, M., 2020. Offline: COVID-19 a crisi of power. </w:t>
      </w:r>
      <w:r>
        <w:rPr>
          <w:rFonts w:ascii="Arial" w:hAnsi="Arial"/>
          <w:i w:val="1"/>
          <w:iCs w:val="1"/>
          <w:rtl w:val="0"/>
          <w:lang w:val="en-US"/>
        </w:rPr>
        <w:t xml:space="preserve">The Lancet, </w:t>
      </w:r>
      <w:r>
        <w:rPr>
          <w:rFonts w:ascii="Arial" w:hAnsi="Arial"/>
          <w:rtl w:val="0"/>
          <w:lang w:val="en-US"/>
        </w:rPr>
        <w:t>396(1), pp. 1383-1383.</w:t>
      </w:r>
    </w:p>
    <w:p>
      <w:pPr>
        <w:pStyle w:val="Body"/>
      </w:pPr>
    </w:p>
    <w:p>
      <w:pPr>
        <w:pStyle w:val="Bibliography"/>
        <w:rPr>
          <w:rFonts w:ascii="Arial" w:cs="Arial" w:hAnsi="Arial" w:eastAsia="Arial"/>
        </w:rPr>
      </w:pPr>
      <w:r>
        <w:rPr>
          <w:rFonts w:ascii="Arial" w:hAnsi="Arial"/>
          <w:rtl w:val="0"/>
          <w:lang w:val="en-US"/>
        </w:rPr>
        <w:t xml:space="preserve">30.Fancourt, D. S. A. W. L., 2020. The Cummings Effect: Poltics, trust and behaviours during the COVID-19 pandemic. </w:t>
      </w:r>
      <w:r>
        <w:rPr>
          <w:rFonts w:ascii="Arial" w:hAnsi="Arial"/>
          <w:i w:val="1"/>
          <w:iCs w:val="1"/>
          <w:rtl w:val="0"/>
          <w:lang w:val="en-US"/>
        </w:rPr>
        <w:t xml:space="preserve">The Lancet, </w:t>
      </w:r>
      <w:r>
        <w:rPr>
          <w:rFonts w:ascii="Arial" w:hAnsi="Arial"/>
          <w:rtl w:val="0"/>
          <w:lang w:val="en-US"/>
        </w:rPr>
        <w:t>396(10249), pp. 464-465</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31.Flores, R. O. B. J., 2020. DEbates editors introduction: Sociological reponses to COVID-19. </w:t>
      </w:r>
      <w:r>
        <w:rPr>
          <w:rFonts w:ascii="Arial" w:hAnsi="Arial"/>
          <w:i w:val="1"/>
          <w:iCs w:val="1"/>
          <w:rtl w:val="0"/>
          <w:lang w:val="en-US"/>
        </w:rPr>
        <w:t xml:space="preserve">SAGE publications, </w:t>
      </w:r>
      <w:r>
        <w:rPr>
          <w:rFonts w:ascii="Arial" w:hAnsi="Arial"/>
          <w:rtl w:val="0"/>
          <w:lang w:val="en-US"/>
        </w:rPr>
        <w:t>28(2), pp. 218-219.</w:t>
      </w:r>
    </w:p>
    <w:p>
      <w:pPr>
        <w:pStyle w:val="Body"/>
      </w:pPr>
    </w:p>
    <w:p>
      <w:pPr>
        <w:pStyle w:val="Bibliography"/>
        <w:rPr>
          <w:rFonts w:ascii="Arial" w:cs="Arial" w:hAnsi="Arial" w:eastAsia="Arial"/>
        </w:rPr>
      </w:pPr>
      <w:r>
        <w:rPr>
          <w:rFonts w:ascii="Arial" w:hAnsi="Arial"/>
          <w:rtl w:val="0"/>
          <w:lang w:val="en-US"/>
        </w:rPr>
        <w:t xml:space="preserve">32.Flynn, D. M. E. B. N. S. J. B. M. A. L. M. N., 2020. COVID-19 pandemic in the United Kingdom. </w:t>
      </w:r>
      <w:r>
        <w:rPr>
          <w:rFonts w:ascii="Arial" w:hAnsi="Arial"/>
          <w:i w:val="1"/>
          <w:iCs w:val="1"/>
          <w:rtl w:val="0"/>
          <w:lang w:val="en-US"/>
        </w:rPr>
        <w:t xml:space="preserve">Health Policy and technology, </w:t>
      </w:r>
      <w:r>
        <w:rPr>
          <w:rFonts w:ascii="Arial" w:hAnsi="Arial"/>
          <w:rtl w:val="0"/>
          <w:lang w:val="en-US"/>
        </w:rPr>
        <w:t>9(4), pp. 673-691.</w:t>
      </w:r>
    </w:p>
    <w:p>
      <w:pPr>
        <w:pStyle w:val="Body"/>
      </w:pPr>
    </w:p>
    <w:p>
      <w:pPr>
        <w:pStyle w:val="Bibliography"/>
        <w:rPr>
          <w:rFonts w:ascii="Arial" w:cs="Arial" w:hAnsi="Arial" w:eastAsia="Arial"/>
        </w:rPr>
      </w:pPr>
      <w:r>
        <w:rPr>
          <w:rFonts w:ascii="Arial" w:hAnsi="Arial"/>
          <w:rtl w:val="0"/>
          <w:lang w:val="en-US"/>
        </w:rPr>
        <w:t xml:space="preserve">33.Franci, J. C., 2020. </w:t>
      </w:r>
      <w:r>
        <w:rPr>
          <w:rFonts w:ascii="Arial" w:hAnsi="Arial"/>
          <w:i w:val="1"/>
          <w:iCs w:val="1"/>
          <w:rtl w:val="0"/>
          <w:lang w:val="en-US"/>
        </w:rPr>
        <w:t xml:space="preserve">"If the virud doesnt kill me...." Socioeconomic impacts of COVID-19 on rural working people in the Global South, </w:t>
      </w:r>
      <w:r>
        <w:rPr>
          <w:rFonts w:ascii="Arial" w:hAnsi="Arial"/>
          <w:rtl w:val="0"/>
          <w:lang w:val="en-US"/>
        </w:rPr>
        <w:t>37(3), pp. 1-576.</w:t>
      </w:r>
    </w:p>
    <w:p>
      <w:pPr>
        <w:pStyle w:val="Bibliography"/>
        <w:rPr>
          <w:rFonts w:ascii="Arial" w:cs="Arial" w:hAnsi="Arial" w:eastAsia="Arial"/>
        </w:rPr>
      </w:pPr>
      <w:r>
        <w:rPr>
          <w:rFonts w:ascii="Arial" w:hAnsi="Arial"/>
          <w:rtl w:val="0"/>
          <w:lang w:val="en-US"/>
        </w:rPr>
        <w:t xml:space="preserve">Fudge, J. W. C. F., 2017. The future of the standard employment relationship. </w:t>
      </w:r>
      <w:r>
        <w:rPr>
          <w:rFonts w:ascii="Arial" w:hAnsi="Arial"/>
          <w:i w:val="1"/>
          <w:iCs w:val="1"/>
          <w:rtl w:val="0"/>
          <w:lang w:val="en-US"/>
        </w:rPr>
        <w:t xml:space="preserve">Journal of industial relations, </w:t>
      </w:r>
      <w:r>
        <w:rPr>
          <w:rFonts w:ascii="Arial" w:hAnsi="Arial"/>
          <w:rtl w:val="0"/>
          <w:lang w:val="en-US"/>
        </w:rPr>
        <w:t>59(3), pp. 374-392.</w:t>
      </w:r>
    </w:p>
    <w:p>
      <w:pPr>
        <w:pStyle w:val="Body"/>
      </w:pPr>
    </w:p>
    <w:p>
      <w:pPr>
        <w:pStyle w:val="Bibliography"/>
        <w:rPr>
          <w:rFonts w:ascii="Arial" w:cs="Arial" w:hAnsi="Arial" w:eastAsia="Arial"/>
        </w:rPr>
      </w:pPr>
      <w:r>
        <w:rPr>
          <w:rFonts w:ascii="Arial" w:hAnsi="Arial"/>
          <w:rtl w:val="0"/>
          <w:lang w:val="en-US"/>
        </w:rPr>
        <w:t xml:space="preserve">34.Garrett, L., 2020. COVID-19: The medium is the message. </w:t>
      </w:r>
      <w:r>
        <w:rPr>
          <w:rFonts w:ascii="Arial" w:hAnsi="Arial"/>
          <w:i w:val="1"/>
          <w:iCs w:val="1"/>
          <w:rtl w:val="0"/>
          <w:lang w:val="en-US"/>
        </w:rPr>
        <w:t xml:space="preserve">The Lancett, </w:t>
      </w:r>
      <w:r>
        <w:rPr>
          <w:rFonts w:ascii="Arial" w:hAnsi="Arial"/>
          <w:rtl w:val="0"/>
          <w:lang w:val="en-US"/>
        </w:rPr>
        <w:t>395(1).</w:t>
      </w:r>
    </w:p>
    <w:p>
      <w:pPr>
        <w:pStyle w:val="Body"/>
      </w:pPr>
    </w:p>
    <w:p>
      <w:pPr>
        <w:pStyle w:val="Bibliography"/>
        <w:rPr>
          <w:rFonts w:ascii="Arial" w:cs="Arial" w:hAnsi="Arial" w:eastAsia="Arial"/>
        </w:rPr>
      </w:pPr>
      <w:r>
        <w:rPr>
          <w:rFonts w:ascii="Arial" w:hAnsi="Arial"/>
          <w:rtl w:val="0"/>
          <w:lang w:val="en-US"/>
        </w:rPr>
        <w:t xml:space="preserve">35.Gaskell, J. S. G. J. W. D. D., 2020. COVID-19 and the Blunders of our government: LOng-run system failings aggravated by Political choices. </w:t>
      </w:r>
      <w:r>
        <w:rPr>
          <w:rFonts w:ascii="Arial" w:hAnsi="Arial"/>
          <w:i w:val="1"/>
          <w:iCs w:val="1"/>
          <w:rtl w:val="0"/>
          <w:lang w:val="en-US"/>
        </w:rPr>
        <w:t xml:space="preserve">The political quarterlty , </w:t>
      </w:r>
      <w:r>
        <w:rPr>
          <w:rFonts w:ascii="Arial" w:hAnsi="Arial"/>
          <w:rtl w:val="0"/>
          <w:lang w:val="en-US"/>
        </w:rPr>
        <w:t>91(3), pp. 523-533.</w:t>
      </w:r>
    </w:p>
    <w:p>
      <w:pPr>
        <w:pStyle w:val="Body"/>
      </w:pPr>
    </w:p>
    <w:p>
      <w:pPr>
        <w:pStyle w:val="Bibliography"/>
        <w:rPr>
          <w:rFonts w:ascii="Arial" w:cs="Arial" w:hAnsi="Arial" w:eastAsia="Arial"/>
        </w:rPr>
      </w:pPr>
      <w:r>
        <w:rPr>
          <w:rFonts w:ascii="Arial" w:hAnsi="Arial"/>
          <w:rtl w:val="0"/>
          <w:lang w:val="en-US"/>
        </w:rPr>
        <w:t xml:space="preserve">36.Genereux, M., 2020. Once Virus, Four Continents, Eight Countries: An interdcplinary and Internationa study on the psychological impacts of COVID-19 Pandemic amoung adults. </w:t>
      </w:r>
      <w:r>
        <w:rPr>
          <w:rFonts w:ascii="Arial" w:hAnsi="Arial"/>
          <w:i w:val="1"/>
          <w:iCs w:val="1"/>
          <w:rtl w:val="0"/>
          <w:lang w:val="en-US"/>
        </w:rPr>
        <w:t xml:space="preserve">International jounral of envionmental research and public heath, </w:t>
      </w:r>
      <w:r>
        <w:rPr>
          <w:rFonts w:ascii="Arial" w:hAnsi="Arial"/>
          <w:rtl w:val="0"/>
          <w:lang w:val="en-US"/>
        </w:rPr>
        <w:t>17(22), p. 8390.</w:t>
      </w:r>
    </w:p>
    <w:p>
      <w:pPr>
        <w:pStyle w:val="Body"/>
      </w:pPr>
    </w:p>
    <w:p>
      <w:pPr>
        <w:pStyle w:val="Bibliography"/>
        <w:rPr>
          <w:rFonts w:ascii="Arial" w:cs="Arial" w:hAnsi="Arial" w:eastAsia="Arial"/>
        </w:rPr>
      </w:pPr>
      <w:r>
        <w:rPr>
          <w:rFonts w:ascii="Arial" w:hAnsi="Arial"/>
          <w:rtl w:val="0"/>
          <w:lang w:val="en-US"/>
        </w:rPr>
        <w:t xml:space="preserve">37.Godard, J., 2014. The psychologisation of employment relations. </w:t>
      </w:r>
      <w:r>
        <w:rPr>
          <w:rFonts w:ascii="Arial" w:hAnsi="Arial"/>
          <w:i w:val="1"/>
          <w:iCs w:val="1"/>
          <w:rtl w:val="0"/>
          <w:lang w:val="en-US"/>
        </w:rPr>
        <w:t xml:space="preserve">Human resource management journal, </w:t>
      </w:r>
      <w:r>
        <w:rPr>
          <w:rFonts w:ascii="Arial" w:hAnsi="Arial"/>
          <w:rtl w:val="0"/>
          <w:lang w:val="en-US"/>
        </w:rPr>
        <w:t>24(1), pp. 1-18.</w:t>
      </w:r>
    </w:p>
    <w:p>
      <w:pPr>
        <w:pStyle w:val="Body"/>
      </w:pPr>
    </w:p>
    <w:p>
      <w:pPr>
        <w:pStyle w:val="Bibliography"/>
        <w:rPr>
          <w:rFonts w:ascii="Arial" w:cs="Arial" w:hAnsi="Arial" w:eastAsia="Arial"/>
        </w:rPr>
      </w:pPr>
      <w:r>
        <w:rPr>
          <w:rFonts w:ascii="Arial" w:hAnsi="Arial"/>
          <w:rtl w:val="0"/>
          <w:lang w:val="en-US"/>
        </w:rPr>
        <w:t xml:space="preserve">38.Guest, D. E., 2017. Human Resource Managemeht and emplyee well-being. </w:t>
      </w:r>
      <w:r>
        <w:rPr>
          <w:rFonts w:ascii="Arial" w:hAnsi="Arial"/>
          <w:i w:val="1"/>
          <w:iCs w:val="1"/>
          <w:rtl w:val="0"/>
          <w:lang w:val="en-US"/>
        </w:rPr>
        <w:t xml:space="preserve">Human Resource Management Journal, </w:t>
      </w:r>
      <w:r>
        <w:rPr>
          <w:rFonts w:ascii="Arial" w:hAnsi="Arial"/>
          <w:rtl w:val="0"/>
          <w:lang w:val="en-US"/>
        </w:rPr>
        <w:t>27(1), pp. 22-38.</w:t>
      </w:r>
    </w:p>
    <w:p>
      <w:pPr>
        <w:pStyle w:val="Bibliography"/>
        <w:rPr>
          <w:rFonts w:ascii="Arial" w:cs="Arial" w:hAnsi="Arial" w:eastAsia="Arial"/>
        </w:rPr>
      </w:pPr>
      <w:r>
        <w:rPr>
          <w:rFonts w:ascii="Arial" w:hAnsi="Arial"/>
          <w:rtl w:val="0"/>
          <w:lang w:val="en-US"/>
        </w:rPr>
        <w:t xml:space="preserve">Guiseppe, T., 2020. Geopolitics of COVID-19: Global challenge at naitonal borders. </w:t>
      </w:r>
      <w:r>
        <w:rPr>
          <w:rFonts w:ascii="Arial" w:hAnsi="Arial"/>
          <w:i w:val="1"/>
          <w:iCs w:val="1"/>
          <w:rtl w:val="0"/>
          <w:lang w:val="en-US"/>
        </w:rPr>
        <w:t xml:space="preserve">AIMS geosciences, </w:t>
      </w:r>
      <w:r>
        <w:rPr>
          <w:rFonts w:ascii="Arial" w:hAnsi="Arial"/>
          <w:rtl w:val="0"/>
          <w:lang w:val="en-US"/>
        </w:rPr>
        <w:t>6(4), pp. 515-524.</w:t>
      </w:r>
    </w:p>
    <w:p>
      <w:pPr>
        <w:pStyle w:val="Body"/>
      </w:pPr>
    </w:p>
    <w:p>
      <w:pPr>
        <w:pStyle w:val="Bibliography"/>
        <w:rPr>
          <w:rFonts w:ascii="Arial" w:cs="Arial" w:hAnsi="Arial" w:eastAsia="Arial"/>
        </w:rPr>
      </w:pPr>
      <w:r>
        <w:rPr>
          <w:rFonts w:ascii="Arial" w:hAnsi="Arial"/>
          <w:rtl w:val="0"/>
          <w:lang w:val="en-US"/>
        </w:rPr>
        <w:t xml:space="preserve">39.Hardy, L., 2020. COVID-19:Remarking the social contract. </w:t>
      </w:r>
      <w:r>
        <w:rPr>
          <w:rFonts w:ascii="Arial" w:hAnsi="Arial"/>
          <w:i w:val="1"/>
          <w:iCs w:val="1"/>
          <w:rtl w:val="0"/>
          <w:lang w:val="en-US"/>
        </w:rPr>
        <w:t xml:space="preserve">The Lancet, </w:t>
      </w:r>
      <w:r>
        <w:rPr>
          <w:rFonts w:ascii="Arial" w:hAnsi="Arial"/>
          <w:rtl w:val="0"/>
          <w:lang w:val="en-US"/>
        </w:rPr>
        <w:t>395(1), pp. 1401-1401</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40.Heery, E., 2016. British industrial relations pluralism in the era of neoliberalism. </w:t>
      </w:r>
      <w:r>
        <w:rPr>
          <w:rFonts w:ascii="Arial" w:hAnsi="Arial"/>
          <w:i w:val="1"/>
          <w:iCs w:val="1"/>
          <w:rtl w:val="0"/>
          <w:lang w:val="en-US"/>
        </w:rPr>
        <w:t xml:space="preserve">Journal of industrial relations, </w:t>
      </w:r>
      <w:r>
        <w:rPr>
          <w:rFonts w:ascii="Arial" w:hAnsi="Arial"/>
          <w:rtl w:val="0"/>
          <w:lang w:val="en-US"/>
        </w:rPr>
        <w:t>58(1), pp. 3-24.</w:t>
      </w:r>
    </w:p>
    <w:p>
      <w:pPr>
        <w:pStyle w:val="Bibliography"/>
        <w:rPr>
          <w:rFonts w:ascii="Arial" w:cs="Arial" w:hAnsi="Arial" w:eastAsia="Arial"/>
        </w:rPr>
      </w:pPr>
      <w:r>
        <w:rPr>
          <w:rFonts w:ascii="Arial" w:hAnsi="Arial"/>
          <w:rtl w:val="0"/>
          <w:lang w:val="en-US"/>
        </w:rPr>
        <w:t xml:space="preserve">41. He, H. H. L., 2020. The impact of COVID-19 pandemic on coporate social responsibility and marketing philosphy. </w:t>
      </w:r>
      <w:r>
        <w:rPr>
          <w:rFonts w:ascii="Arial" w:hAnsi="Arial"/>
          <w:i w:val="1"/>
          <w:iCs w:val="1"/>
          <w:rtl w:val="0"/>
          <w:lang w:val="en-US"/>
        </w:rPr>
        <w:t xml:space="preserve">Jounral of Business Research, </w:t>
      </w:r>
      <w:r>
        <w:rPr>
          <w:rFonts w:ascii="Arial" w:hAnsi="Arial"/>
          <w:rtl w:val="0"/>
          <w:lang w:val="en-US"/>
        </w:rPr>
        <w:t>116(1), pp. 176-182</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42.Hodder, A., 2015. Empployment relations in the UK civil service. </w:t>
      </w:r>
      <w:r>
        <w:rPr>
          <w:rFonts w:ascii="Arial" w:hAnsi="Arial"/>
          <w:i w:val="1"/>
          <w:iCs w:val="1"/>
          <w:rtl w:val="0"/>
          <w:lang w:val="en-US"/>
        </w:rPr>
        <w:t xml:space="preserve">Personnel review, </w:t>
      </w:r>
      <w:r>
        <w:rPr>
          <w:rFonts w:ascii="Arial" w:hAnsi="Arial"/>
          <w:rtl w:val="0"/>
          <w:lang w:val="en-US"/>
        </w:rPr>
        <w:t>44(6), pp. 930-948.</w:t>
      </w:r>
    </w:p>
    <w:p>
      <w:pPr>
        <w:pStyle w:val="Body"/>
      </w:pPr>
    </w:p>
    <w:p>
      <w:pPr>
        <w:pStyle w:val="Bibliography"/>
        <w:rPr>
          <w:rFonts w:ascii="Arial" w:cs="Arial" w:hAnsi="Arial" w:eastAsia="Arial"/>
        </w:rPr>
      </w:pPr>
      <w:r>
        <w:rPr>
          <w:rFonts w:ascii="Arial" w:hAnsi="Arial"/>
          <w:rtl w:val="0"/>
          <w:lang w:val="en-US"/>
        </w:rPr>
        <w:t xml:space="preserve">43.Horton, R., 2020. Offline: Science and politcs in the era of COVID-19. </w:t>
      </w:r>
      <w:r>
        <w:rPr>
          <w:rFonts w:ascii="Arial" w:hAnsi="Arial"/>
          <w:i w:val="1"/>
          <w:iCs w:val="1"/>
          <w:rtl w:val="0"/>
          <w:lang w:val="en-US"/>
        </w:rPr>
        <w:t xml:space="preserve">The Lancet, </w:t>
      </w:r>
      <w:r>
        <w:rPr>
          <w:rFonts w:ascii="Arial" w:hAnsi="Arial"/>
          <w:rtl w:val="0"/>
          <w:lang w:val="en-US"/>
        </w:rPr>
        <w:t>396(10259), pp. 1319-1319</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44.Howell, C., 2016. Regulating class in the neoliberal era: The role of the state in restructering of work and employment. </w:t>
      </w:r>
      <w:r>
        <w:rPr>
          <w:rFonts w:ascii="Arial" w:hAnsi="Arial"/>
          <w:i w:val="1"/>
          <w:iCs w:val="1"/>
          <w:rtl w:val="0"/>
          <w:lang w:val="en-US"/>
        </w:rPr>
        <w:t xml:space="preserve">Work, employment and society, </w:t>
      </w:r>
      <w:r>
        <w:rPr>
          <w:rFonts w:ascii="Arial" w:hAnsi="Arial"/>
          <w:rtl w:val="0"/>
          <w:lang w:val="en-US"/>
        </w:rPr>
        <w:t>30(4), pp. 573-589.</w:t>
      </w:r>
    </w:p>
    <w:p>
      <w:pPr>
        <w:pStyle w:val="Body"/>
      </w:pPr>
    </w:p>
    <w:p>
      <w:pPr>
        <w:pStyle w:val="Bibliography"/>
        <w:rPr>
          <w:rFonts w:ascii="Arial" w:cs="Arial" w:hAnsi="Arial" w:eastAsia="Arial"/>
        </w:rPr>
      </w:pPr>
      <w:r>
        <w:rPr>
          <w:rFonts w:ascii="Arial" w:hAnsi="Arial"/>
          <w:rtl w:val="0"/>
          <w:lang w:val="en-US"/>
        </w:rPr>
        <w:t xml:space="preserve">45.Iles, A. &amp; astair, M. d. W. M., 2020. Who gets to define the COVID-19 problem? Expert politics in a pandemic. </w:t>
      </w:r>
      <w:r>
        <w:rPr>
          <w:rFonts w:ascii="Arial" w:hAnsi="Arial"/>
          <w:i w:val="1"/>
          <w:iCs w:val="1"/>
          <w:rtl w:val="0"/>
          <w:lang w:val="en-US"/>
        </w:rPr>
        <w:t xml:space="preserve">Agriculture and human values, </w:t>
      </w:r>
      <w:r>
        <w:rPr>
          <w:rFonts w:ascii="Arial" w:hAnsi="Arial"/>
          <w:rtl w:val="0"/>
          <w:lang w:val="en-US"/>
        </w:rPr>
        <w:t>37(3), pp. 659-660</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46.Inversi, C. B. L. A. D. T., 2017. An analytical framework for employment regulation: investigating the regulatory space. </w:t>
      </w:r>
      <w:r>
        <w:rPr>
          <w:rFonts w:ascii="Arial" w:hAnsi="Arial"/>
          <w:i w:val="1"/>
          <w:iCs w:val="1"/>
          <w:rtl w:val="0"/>
          <w:lang w:val="en-US"/>
        </w:rPr>
        <w:t xml:space="preserve">Employee Relations, </w:t>
      </w:r>
      <w:r>
        <w:rPr>
          <w:rFonts w:ascii="Arial" w:hAnsi="Arial"/>
          <w:rtl w:val="0"/>
          <w:lang w:val="en-US"/>
        </w:rPr>
        <w:t>39(3), pp. 291-307</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47.Jaworsky, B. N. Q. R., 2020. The Politics of Blaming: The Narrative Battle between china and the US over COVID-19. </w:t>
      </w:r>
      <w:r>
        <w:rPr>
          <w:rFonts w:ascii="Arial" w:hAnsi="Arial"/>
          <w:i w:val="1"/>
          <w:iCs w:val="1"/>
          <w:rtl w:val="0"/>
          <w:lang w:val="en-US"/>
        </w:rPr>
        <w:t xml:space="preserve">Chinese journal of political science, </w:t>
      </w:r>
      <w:r>
        <w:rPr>
          <w:rFonts w:ascii="Arial" w:hAnsi="Arial"/>
          <w:rtl w:val="0"/>
          <w:lang w:val="en-US"/>
        </w:rPr>
        <w:t>9(1), pp. 1-21.</w:t>
      </w:r>
    </w:p>
    <w:p>
      <w:pPr>
        <w:pStyle w:val="Body"/>
      </w:pPr>
    </w:p>
    <w:p>
      <w:pPr>
        <w:pStyle w:val="Bibliography"/>
        <w:rPr>
          <w:rFonts w:ascii="Arial" w:cs="Arial" w:hAnsi="Arial" w:eastAsia="Arial"/>
        </w:rPr>
      </w:pPr>
      <w:r>
        <w:rPr>
          <w:rFonts w:ascii="Arial" w:hAnsi="Arial"/>
          <w:rtl w:val="0"/>
          <w:lang w:val="en-US"/>
        </w:rPr>
        <w:t xml:space="preserve">48.Johnson, m. R. J. g. D., 2019. Public sector employment relations after the crisis: A comparative case study analysis on UK local authorities. </w:t>
      </w:r>
      <w:r>
        <w:rPr>
          <w:rFonts w:ascii="Arial" w:hAnsi="Arial"/>
          <w:i w:val="1"/>
          <w:iCs w:val="1"/>
          <w:rtl w:val="0"/>
          <w:lang w:val="en-US"/>
        </w:rPr>
        <w:t xml:space="preserve">Economic and industrial democracy, </w:t>
      </w:r>
      <w:r>
        <w:rPr>
          <w:rFonts w:ascii="Arial" w:hAnsi="Arial"/>
          <w:rtl w:val="0"/>
          <w:lang w:val="en-US"/>
        </w:rPr>
        <w:t>2(1), p. 1.</w:t>
      </w:r>
    </w:p>
    <w:p>
      <w:pPr>
        <w:pStyle w:val="Bibliography"/>
        <w:rPr>
          <w:rFonts w:ascii="Arial" w:cs="Arial" w:hAnsi="Arial" w:eastAsia="Arial"/>
        </w:rPr>
      </w:pPr>
      <w:r>
        <w:rPr>
          <w:rFonts w:ascii="Arial" w:hAnsi="Arial"/>
          <w:rtl w:val="0"/>
          <w:lang w:val="en-US"/>
        </w:rPr>
        <w:t xml:space="preserve">journal, T. G., 2020. The geigraphy of the US's mishandling of COVID-19: A commentary on the poltitics of science in democracies. </w:t>
      </w:r>
      <w:r>
        <w:rPr>
          <w:rFonts w:ascii="Arial" w:hAnsi="Arial"/>
          <w:i w:val="1"/>
          <w:iCs w:val="1"/>
          <w:rtl w:val="0"/>
          <w:lang w:val="en-US"/>
        </w:rPr>
        <w:t xml:space="preserve">The Geographical Journal, </w:t>
      </w:r>
      <w:r>
        <w:rPr>
          <w:rFonts w:ascii="Arial" w:hAnsi="Arial"/>
          <w:rtl w:val="0"/>
          <w:lang w:val="en-US"/>
        </w:rPr>
        <w:t>1(1), p. 1104.</w:t>
      </w:r>
    </w:p>
    <w:p>
      <w:pPr>
        <w:pStyle w:val="Body"/>
      </w:pPr>
    </w:p>
    <w:p>
      <w:pPr>
        <w:pStyle w:val="Bibliography"/>
        <w:rPr>
          <w:rFonts w:ascii="Arial" w:cs="Arial" w:hAnsi="Arial" w:eastAsia="Arial"/>
        </w:rPr>
      </w:pPr>
      <w:r>
        <w:rPr>
          <w:rFonts w:ascii="Arial" w:hAnsi="Arial"/>
          <w:rtl w:val="0"/>
          <w:lang w:val="en-US"/>
        </w:rPr>
        <w:t xml:space="preserve">49.Kalleberg, A. L., 2009. Precarious work, insecure workers: Employment relations in transistion. </w:t>
      </w:r>
      <w:r>
        <w:rPr>
          <w:rFonts w:ascii="Arial" w:hAnsi="Arial"/>
          <w:i w:val="1"/>
          <w:iCs w:val="1"/>
          <w:rtl w:val="0"/>
          <w:lang w:val="en-US"/>
        </w:rPr>
        <w:t xml:space="preserve">American sociolgical review, </w:t>
      </w:r>
      <w:r>
        <w:rPr>
          <w:rFonts w:ascii="Arial" w:hAnsi="Arial"/>
          <w:rtl w:val="0"/>
          <w:lang w:val="en-US"/>
        </w:rPr>
        <w:t>pp. 1-22</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50.Kavanagh, M. M. E. N. A. T. O. D. V. J., 2020. Access to lifesaving medical resources for African countriies. </w:t>
      </w:r>
      <w:r>
        <w:rPr>
          <w:rFonts w:ascii="Arial" w:hAnsi="Arial"/>
          <w:i w:val="1"/>
          <w:iCs w:val="1"/>
          <w:rtl w:val="0"/>
          <w:lang w:val="en-US"/>
        </w:rPr>
        <w:t xml:space="preserve">The Lancet, </w:t>
      </w:r>
      <w:r>
        <w:rPr>
          <w:rFonts w:ascii="Arial" w:hAnsi="Arial"/>
          <w:rtl w:val="0"/>
          <w:lang w:val="en-US"/>
        </w:rPr>
        <w:t>395(10238), pp. 1735-1738.</w:t>
      </w:r>
    </w:p>
    <w:p>
      <w:pPr>
        <w:pStyle w:val="Bibliography"/>
        <w:rPr>
          <w:rFonts w:ascii="Arial" w:cs="Arial" w:hAnsi="Arial" w:eastAsia="Arial"/>
        </w:rPr>
      </w:pPr>
      <w:r>
        <w:rPr>
          <w:rFonts w:ascii="Arial" w:hAnsi="Arial"/>
          <w:rtl w:val="0"/>
          <w:lang w:val="en-US"/>
        </w:rPr>
        <w:t xml:space="preserve">Kickbusch, I. L. G. M. B. Z. A. M. M., 2020. COVID-19: How a virus is turnung the workd upside down. </w:t>
      </w:r>
      <w:r>
        <w:rPr>
          <w:rFonts w:ascii="Arial" w:hAnsi="Arial"/>
          <w:i w:val="1"/>
          <w:iCs w:val="1"/>
          <w:rtl w:val="0"/>
          <w:lang w:val="en-US"/>
        </w:rPr>
        <w:t xml:space="preserve">BMJ, </w:t>
      </w:r>
      <w:r>
        <w:rPr>
          <w:rFonts w:ascii="Arial" w:hAnsi="Arial"/>
          <w:rtl w:val="0"/>
          <w:lang w:val="en-US"/>
        </w:rPr>
        <w:t>369(1336-1336), pp. 1336-1336.</w:t>
      </w:r>
    </w:p>
    <w:p>
      <w:pPr>
        <w:pStyle w:val="Body"/>
      </w:pPr>
    </w:p>
    <w:p>
      <w:pPr>
        <w:pStyle w:val="Bibliography"/>
        <w:rPr>
          <w:rFonts w:ascii="Arial" w:cs="Arial" w:hAnsi="Arial" w:eastAsia="Arial"/>
        </w:rPr>
      </w:pPr>
      <w:r>
        <w:rPr>
          <w:rFonts w:ascii="Arial" w:hAnsi="Arial"/>
          <w:rtl w:val="0"/>
          <w:lang w:val="en-US"/>
        </w:rPr>
        <w:t xml:space="preserve">51.Kovner, C., 2020. COVID-19 rages on aorund the world. </w:t>
      </w:r>
      <w:r>
        <w:rPr>
          <w:rFonts w:ascii="Arial" w:hAnsi="Arial"/>
          <w:i w:val="1"/>
          <w:iCs w:val="1"/>
          <w:rtl w:val="0"/>
          <w:lang w:val="en-US"/>
        </w:rPr>
        <w:t xml:space="preserve">Policy, politics and nursing practice, </w:t>
      </w:r>
      <w:r>
        <w:rPr>
          <w:rFonts w:ascii="Arial" w:hAnsi="Arial"/>
          <w:rtl w:val="0"/>
          <w:lang w:val="en-US"/>
        </w:rPr>
        <w:t>21(3), pp. 131-131</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52.53Kramer, A. K. K. Z., 2020. The potential impact of the COVID-19 pandeminc on occupational status, work from home and occupational mobility. </w:t>
      </w:r>
      <w:r>
        <w:rPr>
          <w:rFonts w:ascii="Arial" w:hAnsi="Arial"/>
          <w:i w:val="1"/>
          <w:iCs w:val="1"/>
          <w:rtl w:val="0"/>
          <w:lang w:val="en-US"/>
        </w:rPr>
        <w:t xml:space="preserve">United States, Elsevier inc, </w:t>
      </w:r>
      <w:r>
        <w:rPr>
          <w:rFonts w:ascii="Arial" w:hAnsi="Arial"/>
          <w:rtl w:val="0"/>
          <w:lang w:val="en-US"/>
        </w:rPr>
        <w:t>119(1), pp. 103442-103442.</w:t>
      </w:r>
    </w:p>
    <w:p>
      <w:pPr>
        <w:pStyle w:val="Bibliography"/>
        <w:rPr>
          <w:rFonts w:ascii="Arial" w:cs="Arial" w:hAnsi="Arial" w:eastAsia="Arial"/>
        </w:rPr>
      </w:pPr>
      <w:r>
        <w:rPr>
          <w:rFonts w:ascii="Arial" w:hAnsi="Arial"/>
          <w:rtl w:val="0"/>
          <w:lang w:val="en-US"/>
        </w:rPr>
        <w:t xml:space="preserve">53.Kumar, A., Gupta, P. K. &amp; Srivastava, A., 2020. A review of Modern Technologies for tacking COVID-19. </w:t>
      </w:r>
      <w:r>
        <w:rPr>
          <w:rFonts w:ascii="Arial" w:hAnsi="Arial"/>
          <w:i w:val="1"/>
          <w:iCs w:val="1"/>
          <w:rtl w:val="0"/>
          <w:lang w:val="en-US"/>
        </w:rPr>
        <w:t xml:space="preserve">Diabetes and metabolic syndrome clinical research and reviews , </w:t>
      </w:r>
      <w:r>
        <w:rPr>
          <w:rFonts w:ascii="Arial" w:hAnsi="Arial"/>
          <w:rtl w:val="0"/>
          <w:lang w:val="en-US"/>
        </w:rPr>
        <w:t>14(4), pp. 569-573.</w:t>
      </w:r>
    </w:p>
    <w:p>
      <w:pPr>
        <w:pStyle w:val="Body"/>
      </w:pPr>
    </w:p>
    <w:p>
      <w:pPr>
        <w:pStyle w:val="Bibliography"/>
        <w:rPr>
          <w:rFonts w:ascii="Arial" w:cs="Arial" w:hAnsi="Arial" w:eastAsia="Arial"/>
        </w:rPr>
      </w:pPr>
      <w:r>
        <w:rPr>
          <w:rFonts w:ascii="Arial" w:hAnsi="Arial"/>
          <w:rtl w:val="0"/>
          <w:lang w:val="en-US"/>
        </w:rPr>
        <w:t xml:space="preserve">54.Kumaravel, S. K. S. R. K. J. S. T. K. M. E. R. M. V., 2020. Investigation on the impact of COVID-19 quarantine on society and the environment:Preventive measures and supportive technologies. </w:t>
      </w:r>
      <w:r>
        <w:rPr>
          <w:rFonts w:ascii="Arial" w:hAnsi="Arial"/>
          <w:i w:val="1"/>
          <w:iCs w:val="1"/>
          <w:rtl w:val="0"/>
          <w:lang w:val="en-US"/>
        </w:rPr>
        <w:t xml:space="preserve">Heidelberg, Springer Nature B.V, </w:t>
      </w:r>
      <w:r>
        <w:rPr>
          <w:rFonts w:ascii="Arial" w:hAnsi="Arial"/>
          <w:rtl w:val="0"/>
          <w:lang w:val="en-US"/>
        </w:rPr>
        <w:t>10(9), p. 1.</w:t>
      </w:r>
    </w:p>
    <w:p>
      <w:pPr>
        <w:pStyle w:val="Body"/>
      </w:pPr>
    </w:p>
    <w:p>
      <w:pPr>
        <w:pStyle w:val="Bibliography"/>
        <w:rPr>
          <w:rFonts w:ascii="Arial" w:cs="Arial" w:hAnsi="Arial" w:eastAsia="Arial"/>
        </w:rPr>
      </w:pPr>
      <w:r>
        <w:rPr>
          <w:rFonts w:ascii="Arial" w:hAnsi="Arial"/>
          <w:rtl w:val="0"/>
          <w:lang w:val="en-US"/>
        </w:rPr>
        <w:t xml:space="preserve">55.Lakhani, T. K. S., 2013. Fron the firm to the Netweok: Global Value Chains and Employment Relations Theory. </w:t>
      </w:r>
      <w:r>
        <w:rPr>
          <w:rFonts w:ascii="Arial" w:hAnsi="Arial"/>
          <w:i w:val="1"/>
          <w:iCs w:val="1"/>
          <w:rtl w:val="0"/>
          <w:lang w:val="en-US"/>
        </w:rPr>
        <w:t xml:space="preserve">Briitish Journal of Industrial Relations, </w:t>
      </w:r>
      <w:r>
        <w:rPr>
          <w:rFonts w:ascii="Arial" w:hAnsi="Arial"/>
          <w:rtl w:val="0"/>
          <w:lang w:val="en-US"/>
        </w:rPr>
        <w:t>51(3), pp. 440-472.</w:t>
      </w:r>
    </w:p>
    <w:p>
      <w:pPr>
        <w:pStyle w:val="Body"/>
      </w:pPr>
    </w:p>
    <w:p>
      <w:pPr>
        <w:pStyle w:val="Bibliography"/>
        <w:rPr>
          <w:rFonts w:ascii="Arial" w:cs="Arial" w:hAnsi="Arial" w:eastAsia="Arial"/>
        </w:rPr>
      </w:pPr>
      <w:r>
        <w:rPr>
          <w:rFonts w:ascii="Arial" w:hAnsi="Arial"/>
          <w:rtl w:val="0"/>
          <w:lang w:val="en-US"/>
        </w:rPr>
        <w:t xml:space="preserve">56.Landry, M. D. V. d. B. G. ,. H. K. M. J. D. T. H., 2020. Betrayel of Trust? The Impact of the COVID-19 Pandemic on Older Persons.. </w:t>
      </w:r>
      <w:r>
        <w:rPr>
          <w:rFonts w:ascii="Arial" w:hAnsi="Arial"/>
          <w:i w:val="1"/>
          <w:iCs w:val="1"/>
          <w:rtl w:val="0"/>
          <w:lang w:val="en-US"/>
        </w:rPr>
        <w:t xml:space="preserve">Journal of applied gerontology, </w:t>
      </w:r>
      <w:r>
        <w:rPr>
          <w:rFonts w:ascii="Arial" w:hAnsi="Arial"/>
          <w:rtl w:val="0"/>
          <w:lang w:val="en-US"/>
        </w:rPr>
        <w:t>39(7), pp. 687-689.</w:t>
      </w:r>
    </w:p>
    <w:p>
      <w:pPr>
        <w:pStyle w:val="Body"/>
      </w:pPr>
    </w:p>
    <w:p>
      <w:pPr>
        <w:pStyle w:val="Bibliography"/>
        <w:rPr>
          <w:rFonts w:ascii="Arial" w:cs="Arial" w:hAnsi="Arial" w:eastAsia="Arial"/>
        </w:rPr>
      </w:pPr>
      <w:r>
        <w:rPr>
          <w:rFonts w:ascii="Arial" w:hAnsi="Arial"/>
          <w:rtl w:val="0"/>
          <w:lang w:val="en-US"/>
        </w:rPr>
        <w:t xml:space="preserve">57.Leach, M. M. H. S. I. W. A., 2021. Post-pandemic transformations: How and why COVID-19 required us to rethink development. </w:t>
      </w:r>
      <w:r>
        <w:rPr>
          <w:rFonts w:ascii="Arial" w:hAnsi="Arial"/>
          <w:i w:val="1"/>
          <w:iCs w:val="1"/>
          <w:rtl w:val="0"/>
          <w:lang w:val="en-US"/>
        </w:rPr>
        <w:t xml:space="preserve">World Development, </w:t>
      </w:r>
      <w:r>
        <w:rPr>
          <w:rFonts w:ascii="Arial" w:hAnsi="Arial"/>
          <w:rtl w:val="0"/>
          <w:lang w:val="en-US"/>
        </w:rPr>
        <w:t>138(1), pp. 105233-105233.</w:t>
      </w:r>
    </w:p>
    <w:p>
      <w:pPr>
        <w:pStyle w:val="Body"/>
      </w:pPr>
    </w:p>
    <w:p>
      <w:pPr>
        <w:pStyle w:val="Bibliography"/>
        <w:rPr>
          <w:rFonts w:ascii="Arial" w:cs="Arial" w:hAnsi="Arial" w:eastAsia="Arial"/>
        </w:rPr>
      </w:pPr>
      <w:r>
        <w:rPr>
          <w:rFonts w:ascii="Arial" w:hAnsi="Arial"/>
          <w:rtl w:val="0"/>
          <w:lang w:val="en-US"/>
        </w:rPr>
        <w:t xml:space="preserve">58.Long, S., 2020. COVID-19. </w:t>
      </w:r>
      <w:r>
        <w:rPr>
          <w:rFonts w:ascii="Arial" w:hAnsi="Arial"/>
          <w:i w:val="1"/>
          <w:iCs w:val="1"/>
          <w:rtl w:val="0"/>
          <w:lang w:val="en-US"/>
        </w:rPr>
        <w:t xml:space="preserve">Journal of environmental health, </w:t>
      </w:r>
      <w:r>
        <w:rPr>
          <w:rFonts w:ascii="Arial" w:hAnsi="Arial"/>
          <w:rtl w:val="0"/>
          <w:lang w:val="en-US"/>
        </w:rPr>
        <w:t>83(3), p. 6.</w:t>
      </w:r>
    </w:p>
    <w:p>
      <w:pPr>
        <w:pStyle w:val="Bibliography"/>
        <w:rPr>
          <w:rFonts w:ascii="Arial" w:cs="Arial" w:hAnsi="Arial" w:eastAsia="Arial"/>
        </w:rPr>
      </w:pPr>
      <w:r>
        <w:rPr>
          <w:rFonts w:ascii="Arial" w:hAnsi="Arial"/>
          <w:rtl w:val="0"/>
          <w:lang w:val="en-US"/>
        </w:rPr>
        <w:t xml:space="preserve">Marsden, D., 2013. Individual Voice in Employment Relationships: A comparison under different forms or workplace. </w:t>
      </w:r>
      <w:r>
        <w:rPr>
          <w:rFonts w:ascii="Arial" w:hAnsi="Arial"/>
          <w:i w:val="1"/>
          <w:iCs w:val="1"/>
          <w:rtl w:val="0"/>
          <w:lang w:val="en-US"/>
        </w:rPr>
        <w:t xml:space="preserve">Industrial Relations, </w:t>
      </w:r>
      <w:r>
        <w:rPr>
          <w:rFonts w:ascii="Arial" w:hAnsi="Arial"/>
          <w:rtl w:val="0"/>
          <w:lang w:val="en-US"/>
        </w:rPr>
        <w:t>52(1), pp. 221-258.</w:t>
      </w:r>
    </w:p>
    <w:p>
      <w:pPr>
        <w:pStyle w:val="Body"/>
      </w:pPr>
    </w:p>
    <w:p>
      <w:pPr>
        <w:pStyle w:val="Bibliography"/>
        <w:rPr>
          <w:rFonts w:ascii="Arial" w:cs="Arial" w:hAnsi="Arial" w:eastAsia="Arial"/>
        </w:rPr>
      </w:pPr>
      <w:r>
        <w:rPr>
          <w:rFonts w:ascii="Arial" w:hAnsi="Arial"/>
          <w:rtl w:val="0"/>
          <w:lang w:val="en-US"/>
        </w:rPr>
        <w:t xml:space="preserve">59.Matthewman, S. H. K., 2020. A sociology of COVID-19. </w:t>
      </w:r>
      <w:r>
        <w:rPr>
          <w:rFonts w:ascii="Arial" w:hAnsi="Arial"/>
          <w:i w:val="1"/>
          <w:iCs w:val="1"/>
          <w:rtl w:val="0"/>
          <w:lang w:val="en-US"/>
        </w:rPr>
        <w:t xml:space="preserve">Journal of Sociology, </w:t>
      </w:r>
      <w:r>
        <w:rPr>
          <w:rFonts w:ascii="Arial" w:hAnsi="Arial"/>
          <w:rtl w:val="0"/>
          <w:lang w:val="en-US"/>
        </w:rPr>
        <w:t>56(4), pp. 675-683</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60.Meyerm JOhn P, M. E. R., 2010. Employee commitment and well-being , A critical review theoietical framework and research agenda. </w:t>
      </w:r>
      <w:r>
        <w:rPr>
          <w:rFonts w:ascii="Arial" w:hAnsi="Arial"/>
          <w:i w:val="1"/>
          <w:iCs w:val="1"/>
          <w:rtl w:val="0"/>
          <w:lang w:val="en-US"/>
        </w:rPr>
        <w:t xml:space="preserve">Journal of vocational behaviour , </w:t>
      </w:r>
      <w:r>
        <w:rPr>
          <w:rFonts w:ascii="Arial" w:hAnsi="Arial"/>
          <w:rtl w:val="0"/>
          <w:lang w:val="en-US"/>
        </w:rPr>
        <w:t>77(2), pp. 323-337.</w:t>
      </w:r>
    </w:p>
    <w:p>
      <w:pPr>
        <w:pStyle w:val="Body"/>
      </w:pPr>
    </w:p>
    <w:p>
      <w:pPr>
        <w:pStyle w:val="Bibliography"/>
        <w:rPr>
          <w:rFonts w:ascii="Arial" w:cs="Arial" w:hAnsi="Arial" w:eastAsia="Arial"/>
        </w:rPr>
      </w:pPr>
      <w:r>
        <w:rPr>
          <w:rFonts w:ascii="Arial" w:hAnsi="Arial"/>
          <w:rtl w:val="0"/>
          <w:lang w:val="en-US"/>
        </w:rPr>
        <w:t xml:space="preserve">61.Mukhtar, S., 2020. FEminism and Gendered impact of COVID-19: Perspective of a councelling psychologist. </w:t>
      </w:r>
      <w:r>
        <w:rPr>
          <w:rFonts w:ascii="Arial" w:hAnsi="Arial"/>
          <w:i w:val="1"/>
          <w:iCs w:val="1"/>
          <w:rtl w:val="0"/>
          <w:lang w:val="en-US"/>
        </w:rPr>
        <w:t xml:space="preserve">Gender, work and organisation, </w:t>
      </w:r>
      <w:r>
        <w:rPr>
          <w:rFonts w:ascii="Arial" w:hAnsi="Arial"/>
          <w:rtl w:val="0"/>
          <w:lang w:val="en-US"/>
        </w:rPr>
        <w:t>27(5), pp. 827-832.</w:t>
      </w:r>
    </w:p>
    <w:p>
      <w:pPr>
        <w:pStyle w:val="Body"/>
      </w:pPr>
    </w:p>
    <w:p>
      <w:pPr>
        <w:pStyle w:val="Bibliography"/>
        <w:rPr>
          <w:rFonts w:ascii="Arial" w:cs="Arial" w:hAnsi="Arial" w:eastAsia="Arial"/>
        </w:rPr>
      </w:pPr>
      <w:r>
        <w:rPr>
          <w:rFonts w:ascii="Arial" w:hAnsi="Arial"/>
          <w:rtl w:val="0"/>
          <w:lang w:val="en-US"/>
        </w:rPr>
        <w:t xml:space="preserve">62.Mukhtar, S., 2021. Psychology and politics of COVID-19 misnfodemics: Why and how do people believe in misinfodemics?. </w:t>
      </w:r>
      <w:r>
        <w:rPr>
          <w:rFonts w:ascii="Arial" w:hAnsi="Arial"/>
          <w:i w:val="1"/>
          <w:iCs w:val="1"/>
          <w:rtl w:val="0"/>
          <w:lang w:val="en-US"/>
        </w:rPr>
        <w:t xml:space="preserve">Internationl sociology, </w:t>
      </w:r>
      <w:r>
        <w:rPr>
          <w:rFonts w:ascii="Arial" w:hAnsi="Arial"/>
          <w:rtl w:val="0"/>
          <w:lang w:val="en-US"/>
        </w:rPr>
        <w:t>36(1), pp. 111-112</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63.Myhalovskily, E. F. M., 2020. COVID-19, public health, and the politics of prevention. </w:t>
      </w:r>
      <w:r>
        <w:rPr>
          <w:rFonts w:ascii="Arial" w:hAnsi="Arial"/>
          <w:i w:val="1"/>
          <w:iCs w:val="1"/>
          <w:rtl w:val="0"/>
          <w:lang w:val="en-US"/>
        </w:rPr>
        <w:t xml:space="preserve">Sociology of health and illness , </w:t>
      </w:r>
      <w:r>
        <w:rPr>
          <w:rFonts w:ascii="Arial" w:hAnsi="Arial"/>
          <w:rtl w:val="0"/>
          <w:lang w:val="en-US"/>
        </w:rPr>
        <w:t>42(8), pp. 4-15.</w:t>
      </w:r>
    </w:p>
    <w:p>
      <w:pPr>
        <w:pStyle w:val="Body"/>
      </w:pPr>
    </w:p>
    <w:p>
      <w:pPr>
        <w:pStyle w:val="Bibliography"/>
        <w:rPr>
          <w:rFonts w:ascii="Arial" w:cs="Arial" w:hAnsi="Arial" w:eastAsia="Arial"/>
        </w:rPr>
      </w:pPr>
      <w:r>
        <w:rPr>
          <w:rFonts w:ascii="Arial" w:hAnsi="Arial"/>
          <w:rtl w:val="0"/>
          <w:lang w:val="en-US"/>
        </w:rPr>
        <w:t xml:space="preserve">64.Narnard, A., 2018. Well-bneing more than a dream. Women constructing metaphors of strength. </w:t>
      </w:r>
      <w:r>
        <w:rPr>
          <w:rFonts w:ascii="Arial" w:hAnsi="Arial"/>
          <w:i w:val="1"/>
          <w:iCs w:val="1"/>
          <w:rtl w:val="0"/>
          <w:lang w:val="en-US"/>
        </w:rPr>
        <w:t xml:space="preserve">Frontiers Media, </w:t>
      </w:r>
      <w:r>
        <w:rPr>
          <w:rFonts w:ascii="Arial" w:hAnsi="Arial"/>
          <w:rtl w:val="0"/>
          <w:lang w:val="en-US"/>
        </w:rPr>
        <w:t>9(1), p. 1</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65.Newton, K., 2020. Government Communication, Political Trust and Compliant Social Behaviour: The Politica of COVID-19 in Britain. </w:t>
      </w:r>
      <w:r>
        <w:rPr>
          <w:rFonts w:ascii="Arial" w:hAnsi="Arial"/>
          <w:i w:val="1"/>
          <w:iCs w:val="1"/>
          <w:rtl w:val="0"/>
          <w:lang w:val="en-US"/>
        </w:rPr>
        <w:t xml:space="preserve">The Political quarterly, </w:t>
      </w:r>
      <w:r>
        <w:rPr>
          <w:rFonts w:ascii="Arial" w:hAnsi="Arial"/>
          <w:rtl w:val="0"/>
          <w:lang w:val="en-US"/>
        </w:rPr>
        <w:t>91(3), pp. 502-513.</w:t>
      </w:r>
    </w:p>
    <w:p>
      <w:pPr>
        <w:pStyle w:val="Body"/>
      </w:pPr>
    </w:p>
    <w:p>
      <w:pPr>
        <w:pStyle w:val="Bibliography"/>
        <w:rPr>
          <w:rFonts w:ascii="Arial" w:cs="Arial" w:hAnsi="Arial" w:eastAsia="Arial"/>
        </w:rPr>
      </w:pPr>
      <w:r>
        <w:rPr>
          <w:rFonts w:ascii="Arial" w:hAnsi="Arial"/>
          <w:rtl w:val="0"/>
          <w:lang w:val="en-US"/>
        </w:rPr>
        <w:t xml:space="preserve">66.Newton, K., 2020. Government Communications, Political Trust and Compliant Social behaviour: The Politics of COVID-19 in Britain. </w:t>
      </w:r>
      <w:r>
        <w:rPr>
          <w:rFonts w:ascii="Arial" w:hAnsi="Arial"/>
          <w:i w:val="1"/>
          <w:iCs w:val="1"/>
          <w:rtl w:val="0"/>
          <w:lang w:val="en-US"/>
        </w:rPr>
        <w:t xml:space="preserve">The Political quarterly, </w:t>
      </w:r>
      <w:r>
        <w:rPr>
          <w:rFonts w:ascii="Arial" w:hAnsi="Arial"/>
          <w:rtl w:val="0"/>
          <w:lang w:val="en-US"/>
        </w:rPr>
        <w:t>91(3), pp. 502-513.</w:t>
      </w:r>
    </w:p>
    <w:p>
      <w:pPr>
        <w:pStyle w:val="Body"/>
      </w:pPr>
    </w:p>
    <w:p>
      <w:pPr>
        <w:pStyle w:val="Bibliography"/>
        <w:rPr>
          <w:rFonts w:ascii="Arial" w:cs="Arial" w:hAnsi="Arial" w:eastAsia="Arial"/>
        </w:rPr>
      </w:pPr>
      <w:r>
        <w:rPr>
          <w:rFonts w:ascii="Arial" w:hAnsi="Arial"/>
          <w:rtl w:val="0"/>
          <w:lang w:val="en-US"/>
        </w:rPr>
        <w:t xml:space="preserve">67.Nickitas, D. M., 2020. The Politics of the COVID-19 Pandemic. </w:t>
      </w:r>
      <w:r>
        <w:rPr>
          <w:rFonts w:ascii="Arial" w:hAnsi="Arial"/>
          <w:i w:val="1"/>
          <w:iCs w:val="1"/>
          <w:rtl w:val="0"/>
          <w:lang w:val="en-US"/>
        </w:rPr>
        <w:t xml:space="preserve">NUrsing economic, </w:t>
      </w:r>
      <w:r>
        <w:rPr>
          <w:rFonts w:ascii="Arial" w:hAnsi="Arial"/>
          <w:rtl w:val="0"/>
          <w:lang w:val="en-US"/>
        </w:rPr>
        <w:t>38(4), p. 222.</w:t>
      </w:r>
    </w:p>
    <w:p>
      <w:pPr>
        <w:pStyle w:val="Body"/>
      </w:pPr>
    </w:p>
    <w:p>
      <w:pPr>
        <w:pStyle w:val="Bibliography"/>
        <w:rPr>
          <w:rFonts w:ascii="Arial" w:cs="Arial" w:hAnsi="Arial" w:eastAsia="Arial"/>
        </w:rPr>
      </w:pPr>
      <w:r>
        <w:rPr>
          <w:rFonts w:ascii="Arial" w:hAnsi="Arial"/>
          <w:rtl w:val="0"/>
          <w:lang w:val="en-US"/>
        </w:rPr>
        <w:t xml:space="preserve">68.Nickitas, D. M., 2020. The Politics of the COVID-19 Pandemic. </w:t>
      </w:r>
      <w:r>
        <w:rPr>
          <w:rFonts w:ascii="Arial" w:hAnsi="Arial"/>
          <w:i w:val="1"/>
          <w:iCs w:val="1"/>
          <w:rtl w:val="0"/>
          <w:lang w:val="en-US"/>
        </w:rPr>
        <w:t xml:space="preserve">Nursing economic, </w:t>
      </w:r>
      <w:r>
        <w:rPr>
          <w:rFonts w:ascii="Arial" w:hAnsi="Arial"/>
          <w:rtl w:val="0"/>
          <w:lang w:val="en-US"/>
        </w:rPr>
        <w:t>38(4), p. 222.</w:t>
      </w:r>
    </w:p>
    <w:p>
      <w:pPr>
        <w:pStyle w:val="Body"/>
      </w:pPr>
    </w:p>
    <w:p>
      <w:pPr>
        <w:pStyle w:val="Bibliography"/>
        <w:rPr>
          <w:rFonts w:ascii="Arial" w:cs="Arial" w:hAnsi="Arial" w:eastAsia="Arial"/>
        </w:rPr>
      </w:pPr>
      <w:r>
        <w:rPr>
          <w:rFonts w:ascii="Arial" w:hAnsi="Arial"/>
          <w:rtl w:val="0"/>
          <w:lang w:val="en-US"/>
        </w:rPr>
        <w:t xml:space="preserve">69.Obgonnaya, C. M. J., 2018. Empployee performance, well-being and differential effects of human resource management subdimensions, mutual gains or conflicitng outcomes. </w:t>
      </w:r>
      <w:r>
        <w:rPr>
          <w:rFonts w:ascii="Arial" w:hAnsi="Arial"/>
          <w:i w:val="1"/>
          <w:iCs w:val="1"/>
          <w:rtl w:val="0"/>
          <w:lang w:val="en-US"/>
        </w:rPr>
        <w:t xml:space="preserve">Human Resource Management, </w:t>
      </w:r>
      <w:r>
        <w:rPr>
          <w:rFonts w:ascii="Arial" w:hAnsi="Arial"/>
          <w:rtl w:val="0"/>
          <w:lang w:val="en-US"/>
        </w:rPr>
        <w:t>29(3), pp. 509-526.</w:t>
      </w:r>
    </w:p>
    <w:p>
      <w:pPr>
        <w:pStyle w:val="Body"/>
      </w:pPr>
    </w:p>
    <w:p>
      <w:pPr>
        <w:pStyle w:val="Bibliography"/>
        <w:rPr>
          <w:rFonts w:ascii="Arial" w:cs="Arial" w:hAnsi="Arial" w:eastAsia="Arial"/>
        </w:rPr>
      </w:pPr>
      <w:r>
        <w:rPr>
          <w:rFonts w:ascii="Arial" w:hAnsi="Arial"/>
          <w:rtl w:val="0"/>
          <w:lang w:val="en-US"/>
        </w:rPr>
        <w:t xml:space="preserve">70.Oliver, D., 2020. COVID-19-recriminations and political point scoring must wait. </w:t>
      </w:r>
      <w:r>
        <w:rPr>
          <w:rFonts w:ascii="Arial" w:hAnsi="Arial"/>
          <w:i w:val="1"/>
          <w:iCs w:val="1"/>
          <w:rtl w:val="0"/>
          <w:lang w:val="en-US"/>
        </w:rPr>
        <w:t xml:space="preserve">BMJ, </w:t>
      </w:r>
      <w:r>
        <w:rPr>
          <w:rFonts w:ascii="Arial" w:hAnsi="Arial"/>
          <w:rtl w:val="0"/>
          <w:lang w:val="en-US"/>
        </w:rPr>
        <w:t>368(1153), pp. 1153-1153.</w:t>
      </w:r>
    </w:p>
    <w:p>
      <w:pPr>
        <w:pStyle w:val="Body"/>
      </w:pPr>
    </w:p>
    <w:p>
      <w:pPr>
        <w:pStyle w:val="Bibliography"/>
        <w:rPr>
          <w:rFonts w:ascii="Arial" w:cs="Arial" w:hAnsi="Arial" w:eastAsia="Arial"/>
        </w:rPr>
      </w:pPr>
      <w:r>
        <w:rPr>
          <w:rFonts w:ascii="Arial" w:hAnsi="Arial"/>
          <w:rtl w:val="0"/>
          <w:lang w:val="en-US"/>
        </w:rPr>
        <w:t xml:space="preserve">71.ONS, 2021. </w:t>
      </w:r>
      <w:r>
        <w:rPr>
          <w:rFonts w:ascii="Arial" w:hAnsi="Arial"/>
          <w:i w:val="1"/>
          <w:iCs w:val="1"/>
          <w:rtl w:val="0"/>
          <w:lang w:val="en-US"/>
        </w:rPr>
        <w:t xml:space="preserve">Coronavirus Round Up, </w:t>
      </w:r>
      <w:r>
        <w:rPr>
          <w:rFonts w:ascii="Arial" w:hAnsi="Arial"/>
          <w:rtl w:val="0"/>
          <w:lang w:val="en-US"/>
        </w:rPr>
        <w:t>UK: ONS.</w:t>
      </w:r>
    </w:p>
    <w:p>
      <w:pPr>
        <w:pStyle w:val="Bibliography"/>
        <w:rPr>
          <w:rFonts w:ascii="Arial" w:cs="Arial" w:hAnsi="Arial" w:eastAsia="Arial"/>
        </w:rPr>
      </w:pPr>
      <w:r>
        <w:rPr>
          <w:rFonts w:ascii="Arial" w:hAnsi="Arial"/>
          <w:rtl w:val="0"/>
          <w:lang w:val="en-US"/>
        </w:rPr>
        <w:t xml:space="preserve">Osofsky, J. D. O. H. K. L. Y. K.-T. K., 2020. Pschological and Social Impact of COVID-19. </w:t>
      </w:r>
      <w:r>
        <w:rPr>
          <w:rFonts w:ascii="Arial" w:hAnsi="Arial"/>
          <w:i w:val="1"/>
          <w:iCs w:val="1"/>
          <w:rtl w:val="0"/>
          <w:lang w:val="en-US"/>
        </w:rPr>
        <w:t xml:space="preserve">Psychological trauma, </w:t>
      </w:r>
      <w:r>
        <w:rPr>
          <w:rFonts w:ascii="Arial" w:hAnsi="Arial"/>
          <w:rtl w:val="0"/>
          <w:lang w:val="en-US"/>
        </w:rPr>
        <w:t>12(5), pp. 468-469.</w:t>
      </w:r>
    </w:p>
    <w:p>
      <w:pPr>
        <w:pStyle w:val="Body"/>
      </w:pPr>
    </w:p>
    <w:p>
      <w:pPr>
        <w:pStyle w:val="Bibliography"/>
        <w:rPr>
          <w:rFonts w:ascii="Arial" w:cs="Arial" w:hAnsi="Arial" w:eastAsia="Arial"/>
        </w:rPr>
      </w:pPr>
      <w:r>
        <w:rPr>
          <w:rFonts w:ascii="Arial" w:hAnsi="Arial"/>
          <w:rtl w:val="0"/>
          <w:lang w:val="en-US"/>
        </w:rPr>
        <w:t xml:space="preserve">72.Oyarzun, Y., 2020. Plantation Politics, Paranoia and Public Health on the frontline of America's COVID-19's response. </w:t>
      </w:r>
      <w:r>
        <w:rPr>
          <w:rFonts w:ascii="Arial" w:hAnsi="Arial"/>
          <w:i w:val="1"/>
          <w:iCs w:val="1"/>
          <w:rtl w:val="0"/>
          <w:lang w:val="en-US"/>
        </w:rPr>
        <w:t xml:space="preserve">Medcial anthropology quarterly, </w:t>
      </w:r>
      <w:r>
        <w:rPr>
          <w:rFonts w:ascii="Arial" w:hAnsi="Arial"/>
          <w:rtl w:val="0"/>
          <w:lang w:val="en-US"/>
        </w:rPr>
        <w:t>34(4), pp. 578-590.</w:t>
      </w:r>
    </w:p>
    <w:p>
      <w:pPr>
        <w:pStyle w:val="Body"/>
      </w:pPr>
    </w:p>
    <w:p>
      <w:pPr>
        <w:pStyle w:val="Bibliography"/>
        <w:rPr>
          <w:rFonts w:ascii="Arial" w:cs="Arial" w:hAnsi="Arial" w:eastAsia="Arial"/>
        </w:rPr>
      </w:pPr>
      <w:r>
        <w:rPr>
          <w:rFonts w:ascii="Arial" w:hAnsi="Arial"/>
          <w:rtl w:val="0"/>
          <w:lang w:val="en-US"/>
        </w:rPr>
        <w:t xml:space="preserve">73.Padula, W. M. s. R. N. C. F. B. J. T. J. A. G. C., 2020. PIN150 Economic VALUE of Treatment and Vaccine Technologies to address the COVID-19 Pandemic: A cost effectiveness and Budget IMPACT analysis. </w:t>
      </w:r>
      <w:r>
        <w:rPr>
          <w:rFonts w:ascii="Arial" w:hAnsi="Arial"/>
          <w:i w:val="1"/>
          <w:iCs w:val="1"/>
          <w:rtl w:val="0"/>
          <w:lang w:val="en-US"/>
        </w:rPr>
        <w:t xml:space="preserve">Elsevier, G. C, </w:t>
      </w:r>
      <w:r>
        <w:rPr>
          <w:rFonts w:ascii="Arial" w:hAnsi="Arial"/>
          <w:rtl w:val="0"/>
          <w:lang w:val="en-US"/>
        </w:rPr>
        <w:t>23(1), pp. 5568-5568.</w:t>
      </w:r>
    </w:p>
    <w:p>
      <w:pPr>
        <w:pStyle w:val="Body"/>
      </w:pPr>
    </w:p>
    <w:p>
      <w:pPr>
        <w:pStyle w:val="Bibliography"/>
        <w:rPr>
          <w:rFonts w:ascii="Arial" w:cs="Arial" w:hAnsi="Arial" w:eastAsia="Arial"/>
        </w:rPr>
      </w:pPr>
      <w:r>
        <w:rPr>
          <w:rFonts w:ascii="Arial" w:hAnsi="Arial"/>
          <w:rtl w:val="0"/>
          <w:lang w:val="en-US"/>
        </w:rPr>
        <w:t xml:space="preserve">74.Petteway, R. J., 2020. LATENT?MIssing: On Missing Values, Narrative, Narrative Power and Data POitica in Discourse of COVID-19. </w:t>
      </w:r>
      <w:r>
        <w:rPr>
          <w:rFonts w:ascii="Arial" w:hAnsi="Arial"/>
          <w:i w:val="1"/>
          <w:iCs w:val="1"/>
          <w:rtl w:val="0"/>
          <w:lang w:val="en-US"/>
        </w:rPr>
        <w:t xml:space="preserve">Health Education and Behaviour, </w:t>
      </w:r>
      <w:r>
        <w:rPr>
          <w:rFonts w:ascii="Arial" w:hAnsi="Arial"/>
          <w:rtl w:val="0"/>
          <w:lang w:val="en-US"/>
        </w:rPr>
        <w:t>47(5), pp. 671-676.</w:t>
      </w:r>
    </w:p>
    <w:p>
      <w:pPr>
        <w:pStyle w:val="Body"/>
      </w:pPr>
    </w:p>
    <w:p>
      <w:pPr>
        <w:pStyle w:val="Bibliography"/>
        <w:rPr>
          <w:rFonts w:ascii="Arial" w:cs="Arial" w:hAnsi="Arial" w:eastAsia="Arial"/>
        </w:rPr>
      </w:pPr>
      <w:r>
        <w:rPr>
          <w:rFonts w:ascii="Arial" w:hAnsi="Arial"/>
          <w:rtl w:val="0"/>
          <w:lang w:val="en-US"/>
        </w:rPr>
        <w:t xml:space="preserve">75.Prieto-Ramos, F. P. J. C. L., 2020. INstitutional and news media denominations of COVID-19 and its causative virus. </w:t>
      </w:r>
      <w:r>
        <w:rPr>
          <w:rFonts w:ascii="Arial" w:hAnsi="Arial"/>
          <w:i w:val="1"/>
          <w:iCs w:val="1"/>
          <w:rtl w:val="0"/>
          <w:lang w:val="en-US"/>
        </w:rPr>
        <w:t xml:space="preserve">Discourse and communication, </w:t>
      </w:r>
      <w:r>
        <w:rPr>
          <w:rFonts w:ascii="Arial" w:hAnsi="Arial"/>
          <w:rtl w:val="0"/>
          <w:lang w:val="en-US"/>
        </w:rPr>
        <w:t>14(6), pp. 635-652.</w:t>
      </w:r>
    </w:p>
    <w:p>
      <w:pPr>
        <w:pStyle w:val="Body"/>
      </w:pPr>
    </w:p>
    <w:p>
      <w:pPr>
        <w:pStyle w:val="Bibliography"/>
        <w:rPr>
          <w:rFonts w:ascii="Arial" w:cs="Arial" w:hAnsi="Arial" w:eastAsia="Arial"/>
        </w:rPr>
      </w:pPr>
      <w:r>
        <w:rPr>
          <w:rFonts w:ascii="Arial" w:hAnsi="Arial"/>
          <w:rtl w:val="0"/>
          <w:lang w:val="en-US"/>
        </w:rPr>
        <w:t xml:space="preserve">76.Prosser, A. M. J. ,. M. B. J. W. B. L. K. T., 2020. Distancers and non distancers? The potential social psyvhological impact of moralising COVID-19 mitigating practoces on sustained behaviour change. </w:t>
      </w:r>
      <w:r>
        <w:rPr>
          <w:rFonts w:ascii="Arial" w:hAnsi="Arial"/>
          <w:i w:val="1"/>
          <w:iCs w:val="1"/>
          <w:rtl w:val="0"/>
          <w:lang w:val="en-US"/>
        </w:rPr>
        <w:t xml:space="preserve">British Journal of Psychology, </w:t>
      </w:r>
      <w:r>
        <w:rPr>
          <w:rFonts w:ascii="Arial" w:hAnsi="Arial"/>
          <w:rtl w:val="0"/>
          <w:lang w:val="en-US"/>
        </w:rPr>
        <w:t>59(3), pp. 653-662.</w:t>
      </w:r>
    </w:p>
    <w:p>
      <w:pPr>
        <w:pStyle w:val="Body"/>
      </w:pPr>
    </w:p>
    <w:p>
      <w:pPr>
        <w:pStyle w:val="Bibliography"/>
        <w:rPr>
          <w:rFonts w:ascii="Arial" w:cs="Arial" w:hAnsi="Arial" w:eastAsia="Arial"/>
        </w:rPr>
      </w:pPr>
      <w:r>
        <w:rPr>
          <w:rFonts w:ascii="Arial" w:hAnsi="Arial"/>
          <w:rtl w:val="0"/>
          <w:lang w:val="en-US"/>
        </w:rPr>
        <w:t xml:space="preserve">77.Rahman, M. A. Z. N. A. A. T. A.-T. F. A. B. ,. M. Z. Z. M. F., 2020. Data-driven dynamic clustering framework for mitigating the adverse economic impact of COVID-19 lockdown practices. </w:t>
      </w:r>
      <w:r>
        <w:rPr>
          <w:rFonts w:ascii="Arial" w:hAnsi="Arial"/>
          <w:i w:val="1"/>
          <w:iCs w:val="1"/>
          <w:rtl w:val="0"/>
          <w:lang w:val="en-US"/>
        </w:rPr>
        <w:t xml:space="preserve">Sustainable cities and society, </w:t>
      </w:r>
      <w:r>
        <w:rPr>
          <w:rFonts w:ascii="Arial" w:hAnsi="Arial"/>
          <w:rtl w:val="0"/>
          <w:lang w:val="en-US"/>
        </w:rPr>
        <w:t>62(1), pp. 102372-102372</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78.Ramsay, S., 2020. Let's not retuen to business as usual : Integrating environment and social wellbeing through hybrid business models post COVID-19. </w:t>
      </w:r>
      <w:r>
        <w:rPr>
          <w:rFonts w:ascii="Arial" w:hAnsi="Arial"/>
          <w:i w:val="1"/>
          <w:iCs w:val="1"/>
          <w:rtl w:val="0"/>
          <w:lang w:val="en-US"/>
        </w:rPr>
        <w:t xml:space="preserve">International Social work, </w:t>
      </w:r>
      <w:r>
        <w:rPr>
          <w:rFonts w:ascii="Arial" w:hAnsi="Arial"/>
          <w:rtl w:val="0"/>
          <w:lang w:val="en-US"/>
        </w:rPr>
        <w:t>63(6), pp. 798-802</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79.Rolland, J. S., 2020. COVID-19 Pandemic: Applying a Multisystemic lens. </w:t>
      </w:r>
      <w:r>
        <w:rPr>
          <w:rFonts w:ascii="Arial" w:hAnsi="Arial"/>
          <w:i w:val="1"/>
          <w:iCs w:val="1"/>
          <w:rtl w:val="0"/>
          <w:lang w:val="en-US"/>
        </w:rPr>
        <w:t xml:space="preserve">Family Process, </w:t>
      </w:r>
      <w:r>
        <w:rPr>
          <w:rFonts w:ascii="Arial" w:hAnsi="Arial"/>
          <w:rtl w:val="0"/>
          <w:lang w:val="en-US"/>
        </w:rPr>
        <w:t>59(2), pp. 922-936.</w:t>
      </w:r>
    </w:p>
    <w:p>
      <w:pPr>
        <w:pStyle w:val="Body"/>
      </w:pPr>
    </w:p>
    <w:p>
      <w:pPr>
        <w:pStyle w:val="Bibliography"/>
        <w:rPr>
          <w:rFonts w:ascii="Arial" w:cs="Arial" w:hAnsi="Arial" w:eastAsia="Arial"/>
        </w:rPr>
      </w:pPr>
      <w:r>
        <w:rPr>
          <w:rFonts w:ascii="Arial" w:hAnsi="Arial"/>
          <w:rtl w:val="0"/>
          <w:lang w:val="en-US"/>
        </w:rPr>
        <w:t xml:space="preserve">80.Rose, E. B. N., 2017. Powe Relations in Employment Relations. </w:t>
      </w:r>
      <w:r>
        <w:rPr>
          <w:rFonts w:ascii="Arial" w:hAnsi="Arial"/>
          <w:i w:val="1"/>
          <w:iCs w:val="1"/>
          <w:rtl w:val="0"/>
          <w:lang w:val="en-US"/>
        </w:rPr>
        <w:t xml:space="preserve">Journal of Law and society, </w:t>
      </w:r>
      <w:r>
        <w:rPr>
          <w:rFonts w:ascii="Arial" w:hAnsi="Arial"/>
          <w:rtl w:val="0"/>
          <w:lang w:val="en-US"/>
        </w:rPr>
        <w:t>44(4), pp. 674-701.</w:t>
      </w:r>
    </w:p>
    <w:p>
      <w:pPr>
        <w:pStyle w:val="Body"/>
      </w:pPr>
    </w:p>
    <w:p>
      <w:pPr>
        <w:pStyle w:val="Bibliography"/>
        <w:rPr>
          <w:rFonts w:ascii="Arial" w:cs="Arial" w:hAnsi="Arial" w:eastAsia="Arial"/>
        </w:rPr>
      </w:pPr>
      <w:r>
        <w:rPr>
          <w:rFonts w:ascii="Arial" w:hAnsi="Arial"/>
          <w:rtl w:val="0"/>
          <w:lang w:val="en-US"/>
        </w:rPr>
        <w:t xml:space="preserve">81.Rylett, R. J. A. F. G. J. R. S. V. P., 2020. COVID-19 and Priorties for Research in Aging. </w:t>
      </w:r>
      <w:r>
        <w:rPr>
          <w:rFonts w:ascii="Arial" w:hAnsi="Arial"/>
          <w:i w:val="1"/>
          <w:iCs w:val="1"/>
          <w:rtl w:val="0"/>
          <w:lang w:val="en-US"/>
        </w:rPr>
        <w:t xml:space="preserve">Candian journal on aging, </w:t>
      </w:r>
      <w:r>
        <w:rPr>
          <w:rFonts w:ascii="Arial" w:hAnsi="Arial"/>
          <w:rtl w:val="0"/>
          <w:lang w:val="en-US"/>
        </w:rPr>
        <w:t>39(4), pp. 500-505.</w:t>
      </w:r>
    </w:p>
    <w:p>
      <w:pPr>
        <w:pStyle w:val="Body"/>
      </w:pPr>
    </w:p>
    <w:p>
      <w:pPr>
        <w:pStyle w:val="Bibliography"/>
        <w:rPr>
          <w:rFonts w:ascii="Arial" w:cs="Arial" w:hAnsi="Arial" w:eastAsia="Arial"/>
        </w:rPr>
      </w:pPr>
      <w:r>
        <w:rPr>
          <w:rFonts w:ascii="Arial" w:hAnsi="Arial"/>
          <w:rtl w:val="0"/>
          <w:lang w:val="en-US"/>
        </w:rPr>
        <w:t xml:space="preserve">82.Sardar, S. A.-K. I. I. A. A. H. M. N., 2020. COVID-19 lockdown: A potective measure or exacerbator of health inequalities? A comparison between the United KIngdome and India, a comentary on the socio economic implications of the coronovirus and COVID-19 pandemic. A reviw. </w:t>
      </w:r>
      <w:r>
        <w:rPr>
          <w:rFonts w:ascii="Arial" w:hAnsi="Arial"/>
          <w:i w:val="1"/>
          <w:iCs w:val="1"/>
          <w:rtl w:val="0"/>
          <w:lang w:val="en-US"/>
        </w:rPr>
        <w:t xml:space="preserve">International , </w:t>
      </w:r>
      <w:r>
        <w:rPr>
          <w:rFonts w:ascii="Arial" w:hAnsi="Arial"/>
          <w:rtl w:val="0"/>
          <w:lang w:val="en-US"/>
        </w:rPr>
        <w:t>83(1), pp. 189-191</w:t>
      </w:r>
    </w:p>
    <w:p>
      <w:pPr>
        <w:pStyle w:val="Bibliography"/>
        <w:rPr>
          <w:rFonts w:ascii="Arial" w:cs="Arial" w:hAnsi="Arial" w:eastAsia="Arial"/>
        </w:rPr>
      </w:pPr>
      <w:r>
        <w:rPr>
          <w:rFonts w:ascii="Arial" w:hAnsi="Arial"/>
          <w:rtl w:val="0"/>
          <w:lang w:val="en-US"/>
        </w:rPr>
        <w:t>.</w:t>
      </w:r>
    </w:p>
    <w:p>
      <w:pPr>
        <w:pStyle w:val="Bibliography"/>
        <w:rPr>
          <w:rFonts w:ascii="Arial" w:cs="Arial" w:hAnsi="Arial" w:eastAsia="Arial"/>
        </w:rPr>
      </w:pPr>
      <w:r>
        <w:rPr>
          <w:rFonts w:ascii="Arial" w:hAnsi="Arial"/>
          <w:rtl w:val="0"/>
          <w:lang w:val="en-US"/>
        </w:rPr>
        <w:t xml:space="preserve">83.Setterston, R. A. J. B. L. H., 2020. Understanding the effects of COVID-19 through a life course lens. </w:t>
      </w:r>
      <w:r>
        <w:rPr>
          <w:rFonts w:ascii="Arial" w:hAnsi="Arial"/>
          <w:i w:val="1"/>
          <w:iCs w:val="1"/>
          <w:rtl w:val="0"/>
          <w:lang w:val="en-US"/>
        </w:rPr>
        <w:t xml:space="preserve">Advances in life course research, </w:t>
      </w:r>
      <w:r>
        <w:rPr>
          <w:rFonts w:ascii="Arial" w:hAnsi="Arial"/>
          <w:rtl w:val="0"/>
          <w:lang w:val="en-US"/>
        </w:rPr>
        <w:t>45(1), pp. 1-5.</w:t>
      </w:r>
    </w:p>
    <w:p>
      <w:pPr>
        <w:pStyle w:val="Bibliography"/>
        <w:rPr>
          <w:rFonts w:ascii="Arial" w:cs="Arial" w:hAnsi="Arial" w:eastAsia="Arial"/>
        </w:rPr>
      </w:pPr>
      <w:r>
        <w:rPr>
          <w:rFonts w:ascii="Arial" w:hAnsi="Arial"/>
          <w:rtl w:val="0"/>
          <w:lang w:val="en-US"/>
        </w:rPr>
        <w:t xml:space="preserve">Singhal, T., 2020. A Review of Coronavirus Disease-2019. </w:t>
      </w:r>
      <w:r>
        <w:rPr>
          <w:rFonts w:ascii="Arial" w:hAnsi="Arial"/>
          <w:i w:val="1"/>
          <w:iCs w:val="1"/>
          <w:rtl w:val="0"/>
          <w:lang w:val="en-US"/>
        </w:rPr>
        <w:t xml:space="preserve">Indian Jounral of Pediatrics, </w:t>
      </w:r>
      <w:r>
        <w:rPr>
          <w:rFonts w:ascii="Arial" w:hAnsi="Arial"/>
          <w:rtl w:val="0"/>
          <w:lang w:val="en-US"/>
        </w:rPr>
        <w:t>87(4), pp. 281-286.</w:t>
      </w:r>
    </w:p>
    <w:p>
      <w:pPr>
        <w:pStyle w:val="Body"/>
      </w:pPr>
    </w:p>
    <w:p>
      <w:pPr>
        <w:pStyle w:val="Bibliography"/>
        <w:rPr>
          <w:rFonts w:ascii="Arial" w:cs="Arial" w:hAnsi="Arial" w:eastAsia="Arial"/>
        </w:rPr>
      </w:pPr>
      <w:r>
        <w:rPr>
          <w:rFonts w:ascii="Arial" w:hAnsi="Arial"/>
          <w:rtl w:val="0"/>
          <w:lang w:val="en-US"/>
        </w:rPr>
        <w:t xml:space="preserve">84.Singh, S. P. C. R. S., 2020. Three-Dimensional printing in the fight against novel virus COVID-19: Technology helping society during an infectious disease pandemic. </w:t>
      </w:r>
      <w:r>
        <w:rPr>
          <w:rFonts w:ascii="Arial" w:hAnsi="Arial"/>
          <w:i w:val="1"/>
          <w:iCs w:val="1"/>
          <w:rtl w:val="0"/>
          <w:lang w:val="en-US"/>
        </w:rPr>
        <w:t xml:space="preserve">Technology in Society, </w:t>
      </w:r>
      <w:r>
        <w:rPr>
          <w:rFonts w:ascii="Arial" w:hAnsi="Arial"/>
          <w:rtl w:val="0"/>
          <w:lang w:val="en-US"/>
        </w:rPr>
        <w:t>62(1), pp. 101305-101305.</w:t>
      </w:r>
    </w:p>
    <w:p>
      <w:pPr>
        <w:pStyle w:val="Bibliography"/>
        <w:rPr>
          <w:rFonts w:ascii="Arial" w:cs="Arial" w:hAnsi="Arial" w:eastAsia="Arial"/>
        </w:rPr>
      </w:pPr>
      <w:r>
        <w:rPr>
          <w:rFonts w:ascii="Arial" w:hAnsi="Arial"/>
          <w:rtl w:val="0"/>
          <w:lang w:val="en-US"/>
        </w:rPr>
        <w:t xml:space="preserve">Sridhar, R. N. A., 2013. Employment Relations. </w:t>
      </w:r>
      <w:r>
        <w:rPr>
          <w:rFonts w:ascii="Arial" w:hAnsi="Arial"/>
          <w:i w:val="1"/>
          <w:iCs w:val="1"/>
          <w:rtl w:val="0"/>
          <w:lang w:val="en-US"/>
        </w:rPr>
        <w:t xml:space="preserve">Management and Labour studes, </w:t>
      </w:r>
      <w:r>
        <w:rPr>
          <w:rFonts w:ascii="Arial" w:hAnsi="Arial"/>
          <w:rtl w:val="0"/>
          <w:lang w:val="en-US"/>
        </w:rPr>
        <w:t>pp. 411-423.</w:t>
      </w:r>
    </w:p>
    <w:p>
      <w:pPr>
        <w:pStyle w:val="Body"/>
      </w:pPr>
    </w:p>
    <w:p>
      <w:pPr>
        <w:pStyle w:val="Bibliography"/>
        <w:rPr>
          <w:rFonts w:ascii="Arial" w:cs="Arial" w:hAnsi="Arial" w:eastAsia="Arial"/>
        </w:rPr>
      </w:pPr>
      <w:r>
        <w:rPr>
          <w:rFonts w:ascii="Arial" w:hAnsi="Arial"/>
          <w:rtl w:val="0"/>
          <w:lang w:val="en-US"/>
        </w:rPr>
        <w:t xml:space="preserve">85.Tamesberger, D. &amp; Bacher, J., 2020. COVID-19 Crisis: How to Avoid a Lost Generation. </w:t>
      </w:r>
      <w:r>
        <w:rPr>
          <w:rFonts w:ascii="Arial" w:hAnsi="Arial"/>
          <w:i w:val="1"/>
          <w:iCs w:val="1"/>
          <w:rtl w:val="0"/>
          <w:lang w:val="en-US"/>
        </w:rPr>
        <w:t xml:space="preserve">Inter economics, </w:t>
      </w:r>
      <w:r>
        <w:rPr>
          <w:rFonts w:ascii="Arial" w:hAnsi="Arial"/>
          <w:rtl w:val="0"/>
          <w:lang w:val="en-US"/>
        </w:rPr>
        <w:t>55(4), pp. 232-238.</w:t>
      </w:r>
    </w:p>
    <w:p>
      <w:pPr>
        <w:pStyle w:val="Bibliography"/>
        <w:rPr>
          <w:rFonts w:ascii="Arial" w:cs="Arial" w:hAnsi="Arial" w:eastAsia="Arial"/>
        </w:rPr>
      </w:pPr>
      <w:r>
        <w:rPr>
          <w:rFonts w:ascii="Arial" w:hAnsi="Arial"/>
          <w:rtl w:val="0"/>
          <w:lang w:val="en-US"/>
        </w:rPr>
        <w:t xml:space="preserve">Vaishya, R. H. A. V. A. J. ,. M., 2020. Emerging Technologies to Combat the COVID-19 Pandemic. </w:t>
      </w:r>
      <w:r>
        <w:rPr>
          <w:rFonts w:ascii="Arial" w:hAnsi="Arial"/>
          <w:i w:val="1"/>
          <w:iCs w:val="1"/>
          <w:rtl w:val="0"/>
          <w:lang w:val="en-US"/>
        </w:rPr>
        <w:t xml:space="preserve">India: Elsevier B.V, </w:t>
      </w:r>
      <w:r>
        <w:rPr>
          <w:rFonts w:ascii="Arial" w:hAnsi="Arial"/>
          <w:rtl w:val="0"/>
          <w:lang w:val="en-US"/>
        </w:rPr>
        <w:t>10(4), pp. 409-411.</w:t>
      </w:r>
    </w:p>
    <w:p>
      <w:pPr>
        <w:pStyle w:val="Bibliography"/>
        <w:rPr>
          <w:rFonts w:ascii="Arial" w:cs="Arial" w:hAnsi="Arial" w:eastAsia="Arial"/>
        </w:rPr>
      </w:pPr>
      <w:r>
        <w:rPr>
          <w:rFonts w:ascii="Arial" w:hAnsi="Arial"/>
          <w:rtl w:val="0"/>
          <w:lang w:val="en-US"/>
        </w:rPr>
        <w:t xml:space="preserve">Valeria Saladino, D. A. V. A., 2020. The Psychological and Social Impact of COVID-19: New perspectives of Well-Being. </w:t>
      </w:r>
      <w:r>
        <w:rPr>
          <w:rFonts w:ascii="Arial" w:hAnsi="Arial"/>
          <w:i w:val="1"/>
          <w:iCs w:val="1"/>
          <w:rtl w:val="0"/>
          <w:lang w:val="en-US"/>
        </w:rPr>
        <w:t xml:space="preserve">Frontiers in psychology, </w:t>
      </w:r>
      <w:r>
        <w:rPr>
          <w:rFonts w:ascii="Arial" w:hAnsi="Arial"/>
          <w:rtl w:val="0"/>
          <w:lang w:val="en-US"/>
        </w:rPr>
        <w:t>11(1), p. 1.</w:t>
      </w:r>
    </w:p>
    <w:p>
      <w:pPr>
        <w:pStyle w:val="Body"/>
      </w:pPr>
    </w:p>
    <w:p>
      <w:pPr>
        <w:pStyle w:val="Bibliography"/>
        <w:rPr>
          <w:rFonts w:ascii="Arial" w:cs="Arial" w:hAnsi="Arial" w:eastAsia="Arial"/>
        </w:rPr>
      </w:pPr>
      <w:r>
        <w:rPr>
          <w:rFonts w:ascii="Arial" w:hAnsi="Arial"/>
          <w:rtl w:val="0"/>
          <w:lang w:val="en-US"/>
        </w:rPr>
        <w:t xml:space="preserve">86.Vidya, C. T. &amp; P, P. K., 2020. Implications of COVID-19 Pandemic on the global trade networks. </w:t>
      </w:r>
      <w:r>
        <w:rPr>
          <w:rFonts w:ascii="Arial" w:hAnsi="Arial"/>
          <w:i w:val="1"/>
          <w:iCs w:val="1"/>
          <w:rtl w:val="0"/>
          <w:lang w:val="en-US"/>
        </w:rPr>
        <w:t xml:space="preserve">Emerging markets finance and trade, </w:t>
      </w:r>
      <w:r>
        <w:rPr>
          <w:rFonts w:ascii="Arial" w:hAnsi="Arial"/>
          <w:rtl w:val="0"/>
          <w:lang w:val="en-US"/>
        </w:rPr>
        <w:t>pp. 2408-2421.</w:t>
      </w:r>
    </w:p>
    <w:p>
      <w:pPr>
        <w:pStyle w:val="Bibliography"/>
        <w:rPr>
          <w:rFonts w:ascii="Arial" w:cs="Arial" w:hAnsi="Arial" w:eastAsia="Arial"/>
        </w:rPr>
      </w:pPr>
      <w:r>
        <w:rPr>
          <w:rFonts w:ascii="Arial" w:hAnsi="Arial"/>
          <w:rtl w:val="0"/>
          <w:lang w:val="en-US"/>
        </w:rPr>
        <w:t xml:space="preserve">Waksman, R., 2020. COVID-19: Leave politics out of practicing medicine. </w:t>
      </w:r>
      <w:r>
        <w:rPr>
          <w:rFonts w:ascii="Arial" w:hAnsi="Arial"/>
          <w:i w:val="1"/>
          <w:iCs w:val="1"/>
          <w:rtl w:val="0"/>
          <w:lang w:val="en-US"/>
        </w:rPr>
        <w:t xml:space="preserve">Cardiovascular revascularisation medicine, </w:t>
      </w:r>
      <w:r>
        <w:rPr>
          <w:rFonts w:ascii="Arial" w:hAnsi="Arial"/>
          <w:rtl w:val="0"/>
          <w:lang w:val="en-US"/>
        </w:rPr>
        <w:t>21(8), pp. 937-938.</w:t>
      </w:r>
    </w:p>
    <w:p>
      <w:pPr>
        <w:pStyle w:val="Bibliography"/>
        <w:rPr>
          <w:rFonts w:ascii="Arial" w:cs="Arial" w:hAnsi="Arial" w:eastAsia="Arial"/>
        </w:rPr>
      </w:pPr>
      <w:r>
        <w:rPr>
          <w:rFonts w:ascii="Arial" w:hAnsi="Arial"/>
          <w:rtl w:val="0"/>
          <w:lang w:val="en-US"/>
        </w:rPr>
        <w:t xml:space="preserve">87.Ward, P. R., 2020. A sociology of the COVID-19 pandemic: A commentary and research agenda for sociologists. </w:t>
      </w:r>
      <w:r>
        <w:rPr>
          <w:rFonts w:ascii="Arial" w:hAnsi="Arial"/>
          <w:i w:val="1"/>
          <w:iCs w:val="1"/>
          <w:rtl w:val="0"/>
          <w:lang w:val="en-US"/>
        </w:rPr>
        <w:t xml:space="preserve">Journal of Sociology, </w:t>
      </w:r>
      <w:r>
        <w:rPr>
          <w:rFonts w:ascii="Arial" w:hAnsi="Arial"/>
          <w:rtl w:val="0"/>
          <w:lang w:val="en-US"/>
        </w:rPr>
        <w:t>56(4), pp. 726-735.</w:t>
      </w:r>
    </w:p>
    <w:p>
      <w:pPr>
        <w:pStyle w:val="Body"/>
      </w:pPr>
    </w:p>
    <w:p>
      <w:pPr>
        <w:pStyle w:val="Bibliography"/>
        <w:rPr>
          <w:rFonts w:ascii="Arial" w:cs="Arial" w:hAnsi="Arial" w:eastAsia="Arial"/>
        </w:rPr>
      </w:pPr>
      <w:r>
        <w:rPr>
          <w:rFonts w:ascii="Arial" w:hAnsi="Arial"/>
          <w:rtl w:val="0"/>
          <w:lang w:val="en-US"/>
        </w:rPr>
        <w:t xml:space="preserve">88.Wenham, C. S. J. M. R., 2020. COVID-19: the gendered impacts of the outbreak. </w:t>
      </w:r>
      <w:r>
        <w:rPr>
          <w:rFonts w:ascii="Arial" w:hAnsi="Arial"/>
          <w:i w:val="1"/>
          <w:iCs w:val="1"/>
          <w:rtl w:val="0"/>
          <w:lang w:val="en-US"/>
        </w:rPr>
        <w:t xml:space="preserve">The Lancet, </w:t>
      </w:r>
      <w:r>
        <w:rPr>
          <w:rFonts w:ascii="Arial" w:hAnsi="Arial"/>
          <w:rtl w:val="0"/>
          <w:lang w:val="en-US"/>
        </w:rPr>
        <w:t>395(1), pp. 846-848.</w:t>
      </w:r>
    </w:p>
    <w:p>
      <w:pPr>
        <w:pStyle w:val="Body"/>
      </w:pPr>
    </w:p>
    <w:p>
      <w:pPr>
        <w:pStyle w:val="Bibliography"/>
        <w:rPr>
          <w:rFonts w:ascii="Arial" w:cs="Arial" w:hAnsi="Arial" w:eastAsia="Arial"/>
        </w:rPr>
      </w:pPr>
      <w:r>
        <w:rPr>
          <w:rFonts w:ascii="Arial" w:hAnsi="Arial"/>
          <w:rtl w:val="0"/>
          <w:lang w:val="en-US"/>
        </w:rPr>
        <w:t xml:space="preserve">89.Williams, S. A. B. H. E., 2015. Civil Governance in Work and Employment Relations: How civil society organisations contribute to systems of labout governance. </w:t>
      </w:r>
      <w:r>
        <w:rPr>
          <w:rFonts w:ascii="Arial" w:hAnsi="Arial"/>
          <w:i w:val="1"/>
          <w:iCs w:val="1"/>
          <w:rtl w:val="0"/>
          <w:lang w:val="en-US"/>
        </w:rPr>
        <w:t xml:space="preserve">Journal of business ethics, </w:t>
      </w:r>
      <w:r>
        <w:rPr>
          <w:rFonts w:ascii="Arial" w:hAnsi="Arial"/>
          <w:rtl w:val="0"/>
          <w:lang w:val="en-US"/>
        </w:rPr>
        <w:t>144(1), pp. 103-119.</w:t>
      </w:r>
    </w:p>
    <w:p>
      <w:pPr>
        <w:pStyle w:val="Body"/>
      </w:pPr>
    </w:p>
    <w:p>
      <w:pPr>
        <w:pStyle w:val="Bibliography"/>
        <w:rPr>
          <w:rFonts w:ascii="Arial" w:cs="Arial" w:hAnsi="Arial" w:eastAsia="Arial"/>
        </w:rPr>
      </w:pPr>
      <w:r>
        <w:rPr>
          <w:rFonts w:ascii="Arial" w:hAnsi="Arial"/>
          <w:rtl w:val="0"/>
          <w:lang w:val="en-US"/>
        </w:rPr>
        <w:t xml:space="preserve">90.Wiwanitkit, V., 2020. Ultraviolet-based biophotoic technologies and COVID-19. </w:t>
      </w:r>
      <w:r>
        <w:rPr>
          <w:rFonts w:ascii="Arial" w:hAnsi="Arial"/>
          <w:i w:val="1"/>
          <w:iCs w:val="1"/>
          <w:rtl w:val="0"/>
          <w:lang w:val="en-US"/>
        </w:rPr>
        <w:t xml:space="preserve">Neverthlands: Elsevier B.V, </w:t>
      </w:r>
      <w:r>
        <w:rPr>
          <w:rFonts w:ascii="Arial" w:hAnsi="Arial"/>
          <w:rtl w:val="0"/>
          <w:lang w:val="en-US"/>
        </w:rPr>
        <w:t>31(1), pp. 101902-101902.</w:t>
      </w:r>
    </w:p>
    <w:p>
      <w:pPr>
        <w:pStyle w:val="Bibliography"/>
        <w:rPr>
          <w:rFonts w:ascii="Arial" w:cs="Arial" w:hAnsi="Arial" w:eastAsia="Arial"/>
        </w:rPr>
      </w:pPr>
      <w:r>
        <w:rPr>
          <w:rFonts w:ascii="Arial" w:hAnsi="Arial"/>
          <w:rtl w:val="0"/>
          <w:lang w:val="en-US"/>
        </w:rPr>
        <w:t xml:space="preserve">Woods, E. T. S. R. G. L. H. C. M.-I. C., 2020. COVID-19, nationalism and the politics of crisis: A scholarly exchange. </w:t>
      </w:r>
      <w:r>
        <w:rPr>
          <w:rFonts w:ascii="Arial" w:hAnsi="Arial"/>
          <w:i w:val="1"/>
          <w:iCs w:val="1"/>
          <w:rtl w:val="0"/>
          <w:lang w:val="en-US"/>
        </w:rPr>
        <w:t xml:space="preserve">Nations and nationalism, </w:t>
      </w:r>
      <w:r>
        <w:rPr>
          <w:rFonts w:ascii="Arial" w:hAnsi="Arial"/>
          <w:rtl w:val="0"/>
          <w:lang w:val="en-US"/>
        </w:rPr>
        <w:t>1(1), pp. 1-4.</w:t>
      </w:r>
    </w:p>
    <w:p>
      <w:pPr>
        <w:pStyle w:val="Body"/>
      </w:pPr>
    </w:p>
    <w:p>
      <w:pPr>
        <w:pStyle w:val="Bibliography"/>
        <w:rPr>
          <w:rFonts w:ascii="Arial" w:cs="Arial" w:hAnsi="Arial" w:eastAsia="Arial"/>
        </w:rPr>
      </w:pPr>
      <w:r>
        <w:rPr>
          <w:rFonts w:ascii="Arial" w:hAnsi="Arial"/>
          <w:rtl w:val="0"/>
          <w:lang w:val="en-US"/>
        </w:rPr>
        <w:t xml:space="preserve">91. Yamani, Y. L. S. I. M., 2020. Human-Automations Trust to Technologies for Naive Users Amidst and Following the COVID-19 Pandemic. </w:t>
      </w:r>
      <w:r>
        <w:rPr>
          <w:rFonts w:ascii="Arial" w:hAnsi="Arial"/>
          <w:i w:val="1"/>
          <w:iCs w:val="1"/>
          <w:rtl w:val="0"/>
          <w:lang w:val="en-US"/>
        </w:rPr>
        <w:t xml:space="preserve">Human Factors, </w:t>
      </w:r>
      <w:r>
        <w:rPr>
          <w:rFonts w:ascii="Arial" w:hAnsi="Arial"/>
          <w:rtl w:val="0"/>
          <w:lang w:val="en-US"/>
        </w:rPr>
        <w:t>62(7), pp. 1087-1094.</w:t>
      </w:r>
    </w:p>
    <w:p>
      <w:pPr>
        <w:pStyle w:val="Body"/>
      </w:pPr>
    </w:p>
    <w:p>
      <w:pPr>
        <w:pStyle w:val="Bibliography"/>
        <w:rPr>
          <w:rFonts w:ascii="Arial" w:cs="Arial" w:hAnsi="Arial" w:eastAsia="Arial"/>
        </w:rPr>
      </w:pPr>
      <w:r>
        <w:rPr>
          <w:rFonts w:ascii="Arial" w:hAnsi="Arial"/>
          <w:rtl w:val="0"/>
          <w:lang w:val="en-US"/>
        </w:rPr>
        <w:t xml:space="preserve">93.Yamey, G., 2020. Donald Trump: a political determinant of COVID-19. </w:t>
      </w:r>
      <w:r>
        <w:rPr>
          <w:rFonts w:ascii="Arial" w:hAnsi="Arial"/>
          <w:i w:val="1"/>
          <w:iCs w:val="1"/>
          <w:rtl w:val="0"/>
          <w:lang w:val="en-US"/>
        </w:rPr>
        <w:t xml:space="preserve">BMJ, </w:t>
      </w:r>
      <w:r>
        <w:rPr>
          <w:rFonts w:ascii="Arial" w:hAnsi="Arial"/>
          <w:rtl w:val="0"/>
          <w:lang w:val="en-US"/>
        </w:rPr>
        <w:t>369(1), p. 1643.</w:t>
      </w:r>
    </w:p>
    <w:p>
      <w:pPr>
        <w:pStyle w:val="Body"/>
      </w:pPr>
    </w:p>
    <w:p>
      <w:pPr>
        <w:pStyle w:val="Bibliography"/>
        <w:rPr>
          <w:rFonts w:ascii="Arial" w:cs="Arial" w:hAnsi="Arial" w:eastAsia="Arial"/>
        </w:rPr>
      </w:pPr>
      <w:r>
        <w:rPr>
          <w:rFonts w:ascii="Arial" w:hAnsi="Arial"/>
          <w:rtl w:val="0"/>
          <w:lang w:val="en-US"/>
        </w:rPr>
        <w:t xml:space="preserve">94. Yum, S., 2020. Social Science Quarterly. </w:t>
      </w:r>
      <w:r>
        <w:rPr>
          <w:rFonts w:ascii="Arial" w:hAnsi="Arial"/>
          <w:i w:val="1"/>
          <w:iCs w:val="1"/>
          <w:rtl w:val="0"/>
          <w:lang w:val="en-US"/>
        </w:rPr>
        <w:t xml:space="preserve">Social Network Analysis for Coronavirus CPVID-19 in the United States, </w:t>
      </w:r>
      <w:r>
        <w:rPr>
          <w:rFonts w:ascii="Arial" w:hAnsi="Arial"/>
          <w:rtl w:val="0"/>
          <w:lang w:val="en-US"/>
        </w:rPr>
        <w:t>101(4), pp. 16420-1647.</w:t>
      </w:r>
      <w:r>
        <w:rPr/>
        <w:fldChar w:fldCharType="end" w:fldLock="0"/>
      </w:r>
    </w:p>
    <w:p>
      <w:pPr>
        <w:pStyle w:val="Body"/>
      </w:pPr>
    </w:p>
    <w:p>
      <w:pPr>
        <w:pStyle w:val="Body B"/>
        <w:rPr>
          <w:rFonts w:ascii="Arial" w:cs="Arial" w:hAnsi="Arial" w:eastAsia="Arial"/>
          <w:sz w:val="28"/>
          <w:szCs w:val="28"/>
        </w:rPr>
      </w:pPr>
    </w:p>
    <w:p>
      <w:pPr>
        <w:pStyle w:val="Body B"/>
        <w:rPr>
          <w:rFonts w:ascii="Arial" w:cs="Arial" w:hAnsi="Arial" w:eastAsia="Arial"/>
          <w:sz w:val="28"/>
          <w:szCs w:val="28"/>
        </w:rPr>
      </w:pPr>
    </w:p>
    <w:p>
      <w:pPr>
        <w:pStyle w:val="Body B"/>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rPr>
          <w:rFonts w:ascii="Arial" w:cs="Arial" w:hAnsi="Arial" w:eastAsia="Arial"/>
          <w:sz w:val="28"/>
          <w:szCs w:val="28"/>
        </w:rPr>
      </w:pPr>
    </w:p>
    <w:p>
      <w:pPr>
        <w:pStyle w:val="Body A"/>
      </w:pPr>
      <w:r>
        <w:rPr>
          <w:rFonts w:ascii="Arial" w:cs="Arial" w:hAnsi="Arial" w:eastAsia="Arial"/>
          <w:sz w:val="28"/>
          <w:szCs w:val="28"/>
        </w:rPr>
      </w:r>
    </w:p>
    <w:sectPr>
      <w:headerReference w:type="default" r:id="rId5"/>
      <w:headerReference w:type="first" r:id="rId6"/>
      <w:footerReference w:type="default" r:id="rId7"/>
      <w:footerReference w:type="first" r:id="rId8"/>
      <w:pgSz w:w="11900" w:h="16840" w:orient="portrait"/>
      <w:pgMar w:top="1728" w:right="1800" w:bottom="1440" w:left="180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nstantia">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tabs>
          <w:tab w:val="left" w:pos="770"/>
          <w:tab w:val="left" w:pos="1540"/>
          <w:tab w:val="left" w:pos="2310"/>
          <w:tab w:val="left" w:pos="3080"/>
          <w:tab w:val="left" w:pos="3850"/>
          <w:tab w:val="left" w:pos="4620"/>
        </w:tabs>
        <w:ind w:left="706" w:hanging="70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tabs>
          <w:tab w:val="left" w:pos="770"/>
          <w:tab w:val="left" w:pos="1540"/>
          <w:tab w:val="left" w:pos="2310"/>
          <w:tab w:val="left" w:pos="3080"/>
          <w:tab w:val="left" w:pos="3850"/>
          <w:tab w:val="left" w:pos="4620"/>
        </w:tabs>
        <w:ind w:left="706" w:hanging="70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tabs>
          <w:tab w:val="left" w:pos="770"/>
          <w:tab w:val="left" w:pos="1540"/>
          <w:tab w:val="left" w:pos="2310"/>
          <w:tab w:val="left" w:pos="3080"/>
          <w:tab w:val="left" w:pos="3850"/>
          <w:tab w:val="left" w:pos="4620"/>
        </w:tabs>
        <w:ind w:left="706" w:hanging="70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 w:val="left" w:pos="2310"/>
          <w:tab w:val="left" w:pos="3080"/>
          <w:tab w:val="left" w:pos="3850"/>
          <w:tab w:val="left" w:pos="462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90" w:hanging="9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260"/>
          <w:tab w:val="left" w:pos="1890"/>
          <w:tab w:val="left" w:pos="2520"/>
          <w:tab w:val="left" w:pos="3150"/>
          <w:tab w:val="left" w:pos="3780"/>
          <w:tab w:val="left" w:pos="4410"/>
          <w:tab w:val="left" w:pos="5040"/>
          <w:tab w:val="left" w:pos="5670"/>
          <w:tab w:val="left" w:pos="6300"/>
          <w:tab w:val="left" w:pos="6930"/>
        </w:tabs>
        <w:ind w:left="630" w:hanging="63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144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16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88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360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432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630"/>
          <w:tab w:val="left" w:pos="1260"/>
          <w:tab w:val="left" w:pos="1890"/>
          <w:tab w:val="left" w:pos="2520"/>
          <w:tab w:val="left" w:pos="3150"/>
          <w:tab w:val="left" w:pos="3780"/>
          <w:tab w:val="left" w:pos="4410"/>
          <w:tab w:val="left" w:pos="5670"/>
          <w:tab w:val="left" w:pos="6300"/>
          <w:tab w:val="left" w:pos="6930"/>
        </w:tabs>
        <w:ind w:left="504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576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90" w:hanging="9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260"/>
          <w:tab w:val="left" w:pos="1890"/>
          <w:tab w:val="left" w:pos="2520"/>
          <w:tab w:val="left" w:pos="3150"/>
          <w:tab w:val="left" w:pos="3780"/>
          <w:tab w:val="left" w:pos="4410"/>
          <w:tab w:val="left" w:pos="5040"/>
          <w:tab w:val="left" w:pos="5670"/>
          <w:tab w:val="left" w:pos="6300"/>
          <w:tab w:val="left" w:pos="6930"/>
        </w:tabs>
        <w:ind w:left="630" w:hanging="63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144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16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88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360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432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630"/>
          <w:tab w:val="left" w:pos="1260"/>
          <w:tab w:val="left" w:pos="1890"/>
          <w:tab w:val="left" w:pos="2520"/>
          <w:tab w:val="left" w:pos="3150"/>
          <w:tab w:val="left" w:pos="3780"/>
          <w:tab w:val="left" w:pos="4410"/>
          <w:tab w:val="left" w:pos="5670"/>
          <w:tab w:val="left" w:pos="6300"/>
          <w:tab w:val="left" w:pos="6930"/>
        </w:tabs>
        <w:ind w:left="504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5760" w:hanging="10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100" w:hanging="10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111"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144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16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288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360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432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630"/>
          <w:tab w:val="left" w:pos="1260"/>
          <w:tab w:val="left" w:pos="1890"/>
          <w:tab w:val="left" w:pos="2520"/>
          <w:tab w:val="left" w:pos="3150"/>
          <w:tab w:val="left" w:pos="3780"/>
          <w:tab w:val="left" w:pos="4410"/>
          <w:tab w:val="left" w:pos="5670"/>
          <w:tab w:val="left" w:pos="6300"/>
          <w:tab w:val="left" w:pos="6930"/>
        </w:tabs>
        <w:ind w:left="504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s>
        <w:ind w:left="5760" w:hanging="111"/>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suppressAutoHyphens w:val="0"/>
      <w:bidi w:val="0"/>
      <w:spacing w:before="0" w:after="0" w:line="240" w:lineRule="auto"/>
      <w:ind w:left="0" w:right="0" w:firstLine="0"/>
      <w:jc w:val="right"/>
      <w:outlineLvl w:val="9"/>
    </w:pPr>
    <w:rPr>
      <w:rFonts w:ascii="Constantia" w:cs="Constantia" w:hAnsi="Constantia" w:eastAsia="Constantia"/>
      <w:b w:val="0"/>
      <w:bCs w:val="0"/>
      <w:i w:val="0"/>
      <w:iCs w:val="0"/>
      <w:caps w:val="1"/>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Photo">
    <w:name w:val="Photo"/>
    <w:next w:val="Photo"/>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Title">
    <w:name w:val="Title"/>
    <w:next w:val="Title"/>
    <w:pPr>
      <w:keepNext w:val="0"/>
      <w:keepLines w:val="0"/>
      <w:pageBreakBefore w:val="0"/>
      <w:widowControl w:val="1"/>
      <w:shd w:val="clear" w:color="auto" w:fill="auto"/>
      <w:suppressAutoHyphens w:val="0"/>
      <w:bidi w:val="0"/>
      <w:spacing w:before="480" w:after="4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007789"/>
      <w:spacing w:val="0"/>
      <w:kern w:val="28"/>
      <w:position w:val="0"/>
      <w:sz w:val="60"/>
      <w:szCs w:val="60"/>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480" w:line="264" w:lineRule="auto"/>
      <w:ind w:left="0" w:right="0" w:firstLine="0"/>
      <w:jc w:val="center"/>
      <w:outlineLvl w:val="9"/>
    </w:pPr>
    <w:rPr>
      <w:rFonts w:ascii="Constantia" w:cs="Constantia" w:hAnsi="Constantia" w:eastAsia="Constantia"/>
      <w:b w:val="0"/>
      <w:bCs w:val="0"/>
      <w:i w:val="0"/>
      <w:iCs w:val="0"/>
      <w:caps w:val="1"/>
      <w:strike w:val="0"/>
      <w:dstrike w:val="0"/>
      <w:outline w:val="0"/>
      <w:color w:val="595959"/>
      <w:spacing w:val="0"/>
      <w:kern w:val="0"/>
      <w:position w:val="0"/>
      <w:sz w:val="26"/>
      <w:szCs w:val="26"/>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Contact Info">
    <w:name w:val="Contact Info"/>
    <w:next w:val="Contact Info"/>
    <w:pPr>
      <w:keepNext w:val="0"/>
      <w:keepLines w:val="0"/>
      <w:pageBreakBefore w:val="0"/>
      <w:widowControl w:val="1"/>
      <w:shd w:val="clear" w:color="auto" w:fill="auto"/>
      <w:suppressAutoHyphens w:val="0"/>
      <w:bidi w:val="0"/>
      <w:spacing w:before="0" w:after="0" w:line="264"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600" w:after="60" w:line="264"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7789"/>
      <w:spacing w:val="0"/>
      <w:kern w:val="0"/>
      <w:position w:val="0"/>
      <w:sz w:val="32"/>
      <w:szCs w:val="32"/>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List Bullet">
    <w:name w:val="List Bullet"/>
    <w:next w:val="List Bullet"/>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ibliography">
    <w:name w:val="Bibliograph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Theme1">
  <a:themeElements>
    <a:clrScheme name="Theme1">
      <a:dk1>
        <a:srgbClr val="000000"/>
      </a:dk1>
      <a:lt1>
        <a:srgbClr val="FFFFFF"/>
      </a:lt1>
      <a:dk2>
        <a:srgbClr val="A7A7A7"/>
      </a:dk2>
      <a:lt2>
        <a:srgbClr val="535353"/>
      </a:lt2>
      <a:accent1>
        <a:srgbClr val="00A0B8"/>
      </a:accent1>
      <a:accent2>
        <a:srgbClr val="EA157A"/>
      </a:accent2>
      <a:accent3>
        <a:srgbClr val="FEB80A"/>
      </a:accent3>
      <a:accent4>
        <a:srgbClr val="00ADDC"/>
      </a:accent4>
      <a:accent5>
        <a:srgbClr val="738AC8"/>
      </a:accent5>
      <a:accent6>
        <a:srgbClr val="1AB39F"/>
      </a:accent6>
      <a:hlink>
        <a:srgbClr val="0000FF"/>
      </a:hlink>
      <a:folHlink>
        <a:srgbClr val="FF00FF"/>
      </a:folHlink>
    </a:clrScheme>
    <a:fontScheme name="Theme1">
      <a:majorFont>
        <a:latin typeface="Constantia"/>
        <a:ea typeface="Constantia"/>
        <a:cs typeface="Constantia"/>
      </a:majorFont>
      <a:minorFont>
        <a:latin typeface="Constantia"/>
        <a:ea typeface="Constantia"/>
        <a:cs typeface="Constantia"/>
      </a:minorFont>
    </a:fontScheme>
    <a:fmtScheme name="Theme1">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
              <a:solidFill>
                <a:srgbClr val="000000"/>
              </a:solidFill>
            </a:uFill>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