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7CC8C" w14:textId="430E0E2F" w:rsidR="00A72832" w:rsidRPr="00B9199C" w:rsidRDefault="00A72832" w:rsidP="0034121A">
      <w:pPr>
        <w:pBdr>
          <w:top w:val="single" w:sz="4" w:space="1" w:color="auto"/>
          <w:left w:val="single" w:sz="4" w:space="4" w:color="auto"/>
          <w:bottom w:val="single" w:sz="4" w:space="1" w:color="auto"/>
          <w:right w:val="single" w:sz="4" w:space="4" w:color="auto"/>
        </w:pBdr>
        <w:spacing w:after="0" w:line="240" w:lineRule="auto"/>
        <w:rPr>
          <w:rFonts w:ascii="Calibri" w:hAnsi="Calibri" w:cs="Calibri"/>
          <w:sz w:val="22"/>
          <w:szCs w:val="22"/>
        </w:rPr>
      </w:pPr>
      <w:r w:rsidRPr="00B9199C">
        <w:rPr>
          <w:rFonts w:ascii="Calibri" w:hAnsi="Calibri" w:cs="Calibri"/>
          <w:sz w:val="22"/>
          <w:szCs w:val="22"/>
        </w:rPr>
        <w:t>Maria Granda</w:t>
      </w:r>
    </w:p>
    <w:p w14:paraId="0A7EA2ED" w14:textId="3C44B955" w:rsidR="0034121A" w:rsidRPr="00B9199C" w:rsidRDefault="0034121A" w:rsidP="0034121A">
      <w:pPr>
        <w:pBdr>
          <w:top w:val="single" w:sz="4" w:space="1" w:color="auto"/>
          <w:left w:val="single" w:sz="4" w:space="4" w:color="auto"/>
          <w:bottom w:val="single" w:sz="4" w:space="1" w:color="auto"/>
          <w:right w:val="single" w:sz="4" w:space="4" w:color="auto"/>
        </w:pBdr>
        <w:spacing w:after="0" w:line="240" w:lineRule="auto"/>
        <w:rPr>
          <w:rFonts w:ascii="Calibri" w:hAnsi="Calibri" w:cs="Calibri"/>
          <w:sz w:val="22"/>
          <w:szCs w:val="22"/>
        </w:rPr>
      </w:pPr>
      <w:r w:rsidRPr="00B9199C">
        <w:rPr>
          <w:rFonts w:ascii="Calibri" w:hAnsi="Calibri" w:cs="Calibri"/>
          <w:sz w:val="22"/>
          <w:szCs w:val="22"/>
        </w:rPr>
        <w:t>Women in the Middle Ages  HPCS7004</w:t>
      </w:r>
    </w:p>
    <w:p w14:paraId="768ED298" w14:textId="77777777" w:rsidR="0034121A" w:rsidRPr="00B9199C" w:rsidRDefault="0034121A" w:rsidP="0034121A">
      <w:pPr>
        <w:pBdr>
          <w:top w:val="single" w:sz="4" w:space="1" w:color="auto"/>
          <w:left w:val="single" w:sz="4" w:space="4" w:color="auto"/>
          <w:bottom w:val="single" w:sz="4" w:space="1" w:color="auto"/>
          <w:right w:val="single" w:sz="4" w:space="4" w:color="auto"/>
        </w:pBdr>
        <w:spacing w:after="0" w:line="240" w:lineRule="auto"/>
        <w:rPr>
          <w:rFonts w:ascii="Calibri" w:hAnsi="Calibri" w:cs="Calibri"/>
          <w:sz w:val="22"/>
          <w:szCs w:val="22"/>
        </w:rPr>
      </w:pPr>
    </w:p>
    <w:p w14:paraId="64E789A2" w14:textId="0A535EA4" w:rsidR="004C0B38" w:rsidRPr="00B9199C" w:rsidRDefault="004C0B38" w:rsidP="0034121A">
      <w:pPr>
        <w:pBdr>
          <w:top w:val="single" w:sz="4" w:space="1" w:color="auto"/>
          <w:left w:val="single" w:sz="4" w:space="4" w:color="auto"/>
          <w:bottom w:val="single" w:sz="4" w:space="1" w:color="auto"/>
          <w:right w:val="single" w:sz="4" w:space="4" w:color="auto"/>
        </w:pBdr>
        <w:spacing w:after="0" w:line="240" w:lineRule="auto"/>
        <w:rPr>
          <w:rFonts w:ascii="Calibri" w:hAnsi="Calibri" w:cs="Calibri"/>
          <w:sz w:val="22"/>
          <w:szCs w:val="22"/>
        </w:rPr>
      </w:pPr>
      <w:r w:rsidRPr="00B9199C">
        <w:rPr>
          <w:rFonts w:ascii="Calibri" w:hAnsi="Calibri" w:cs="Calibri"/>
          <w:sz w:val="22"/>
          <w:szCs w:val="22"/>
        </w:rPr>
        <w:t>Compile a portrait of any “real” medieval woman from the Celtic regions. W</w:t>
      </w:r>
      <w:r w:rsidR="003D31C9" w:rsidRPr="00B9199C">
        <w:rPr>
          <w:rFonts w:ascii="Calibri" w:hAnsi="Calibri" w:cs="Calibri"/>
          <w:sz w:val="22"/>
          <w:szCs w:val="22"/>
        </w:rPr>
        <w:t>h</w:t>
      </w:r>
      <w:r w:rsidRPr="00B9199C">
        <w:rPr>
          <w:rFonts w:ascii="Calibri" w:hAnsi="Calibri" w:cs="Calibri"/>
          <w:sz w:val="22"/>
          <w:szCs w:val="22"/>
        </w:rPr>
        <w:t>at sources can be used and how reliable are these sources?</w:t>
      </w:r>
    </w:p>
    <w:p w14:paraId="0B0BC3B8" w14:textId="6AD90C64" w:rsidR="004C0B38" w:rsidRPr="003D31C9" w:rsidRDefault="004C0B38" w:rsidP="003D31C9">
      <w:pPr>
        <w:spacing w:line="360" w:lineRule="auto"/>
        <w:rPr>
          <w:rFonts w:ascii="Calibri" w:hAnsi="Calibri" w:cs="Calibri"/>
        </w:rPr>
      </w:pPr>
    </w:p>
    <w:p w14:paraId="0997B4B1" w14:textId="5CB6FF0B" w:rsidR="00FF2CC8" w:rsidRPr="00B9199C" w:rsidRDefault="004C0B38" w:rsidP="00F674FF">
      <w:pPr>
        <w:spacing w:line="360" w:lineRule="auto"/>
        <w:ind w:firstLine="720"/>
        <w:rPr>
          <w:rFonts w:ascii="Calibri" w:hAnsi="Calibri" w:cs="Calibri"/>
          <w:sz w:val="22"/>
          <w:szCs w:val="22"/>
        </w:rPr>
      </w:pPr>
      <w:r w:rsidRPr="00B9199C">
        <w:rPr>
          <w:rFonts w:ascii="Calibri" w:hAnsi="Calibri" w:cs="Calibri"/>
          <w:sz w:val="22"/>
          <w:szCs w:val="22"/>
        </w:rPr>
        <w:t>Women in medieval history survive as wives, mothers, victims, symbols, but rarely as individual in their own right</w:t>
      </w:r>
      <w:r w:rsidR="00E55268" w:rsidRPr="00B9199C">
        <w:rPr>
          <w:rFonts w:ascii="Calibri" w:hAnsi="Calibri" w:cs="Calibri"/>
          <w:sz w:val="22"/>
          <w:szCs w:val="22"/>
        </w:rPr>
        <w:t>. Most often shaped by the family they belonged to, women could offer lineage</w:t>
      </w:r>
      <w:r w:rsidR="00C813B7" w:rsidRPr="00B9199C">
        <w:rPr>
          <w:rFonts w:ascii="Calibri" w:hAnsi="Calibri" w:cs="Calibri"/>
          <w:sz w:val="22"/>
          <w:szCs w:val="22"/>
        </w:rPr>
        <w:t xml:space="preserve"> and pedigree</w:t>
      </w:r>
      <w:r w:rsidR="00087102" w:rsidRPr="00B9199C">
        <w:rPr>
          <w:rFonts w:ascii="Calibri" w:hAnsi="Calibri" w:cs="Calibri"/>
          <w:sz w:val="22"/>
          <w:szCs w:val="22"/>
        </w:rPr>
        <w:t xml:space="preserve">, </w:t>
      </w:r>
      <w:r w:rsidR="00C94A08" w:rsidRPr="00B9199C">
        <w:rPr>
          <w:rFonts w:ascii="Calibri" w:hAnsi="Calibri" w:cs="Calibri"/>
          <w:sz w:val="22"/>
          <w:szCs w:val="22"/>
        </w:rPr>
        <w:t xml:space="preserve">and </w:t>
      </w:r>
      <w:r w:rsidR="00A740C8" w:rsidRPr="00B9199C">
        <w:rPr>
          <w:rFonts w:ascii="Calibri" w:hAnsi="Calibri" w:cs="Calibri"/>
          <w:sz w:val="22"/>
          <w:szCs w:val="22"/>
        </w:rPr>
        <w:t xml:space="preserve">as daughters </w:t>
      </w:r>
      <w:r w:rsidR="00C94A08" w:rsidRPr="00B9199C">
        <w:rPr>
          <w:rFonts w:ascii="Calibri" w:hAnsi="Calibri" w:cs="Calibri"/>
          <w:sz w:val="22"/>
          <w:szCs w:val="22"/>
        </w:rPr>
        <w:t xml:space="preserve">sometimes </w:t>
      </w:r>
      <w:r w:rsidR="00754048" w:rsidRPr="00B9199C">
        <w:rPr>
          <w:rFonts w:ascii="Calibri" w:hAnsi="Calibri" w:cs="Calibri"/>
          <w:sz w:val="22"/>
          <w:szCs w:val="22"/>
        </w:rPr>
        <w:t>inherite</w:t>
      </w:r>
      <w:r w:rsidR="00754048">
        <w:rPr>
          <w:rFonts w:ascii="Calibri" w:hAnsi="Calibri" w:cs="Calibri"/>
          <w:sz w:val="22"/>
          <w:szCs w:val="22"/>
        </w:rPr>
        <w:t>d</w:t>
      </w:r>
      <w:r w:rsidR="00A740C8" w:rsidRPr="00B9199C">
        <w:rPr>
          <w:rFonts w:ascii="Calibri" w:hAnsi="Calibri" w:cs="Calibri"/>
          <w:sz w:val="22"/>
          <w:szCs w:val="22"/>
        </w:rPr>
        <w:t xml:space="preserve"> land</w:t>
      </w:r>
      <w:r w:rsidR="00C94A08" w:rsidRPr="00B9199C">
        <w:rPr>
          <w:rFonts w:ascii="Calibri" w:hAnsi="Calibri" w:cs="Calibri"/>
          <w:sz w:val="22"/>
          <w:szCs w:val="22"/>
        </w:rPr>
        <w:t xml:space="preserve"> if there were no sons</w:t>
      </w:r>
      <w:r w:rsidR="00A740C8" w:rsidRPr="00B9199C">
        <w:rPr>
          <w:rFonts w:ascii="Calibri" w:hAnsi="Calibri" w:cs="Calibri"/>
          <w:sz w:val="22"/>
          <w:szCs w:val="22"/>
        </w:rPr>
        <w:t xml:space="preserve">; </w:t>
      </w:r>
      <w:r w:rsidR="00184DD7" w:rsidRPr="00B9199C">
        <w:rPr>
          <w:rFonts w:ascii="Calibri" w:hAnsi="Calibri" w:cs="Calibri"/>
          <w:sz w:val="22"/>
          <w:szCs w:val="22"/>
        </w:rPr>
        <w:t xml:space="preserve">nonetheless their status </w:t>
      </w:r>
      <w:r w:rsidR="002B2264" w:rsidRPr="00B9199C">
        <w:rPr>
          <w:rFonts w:ascii="Calibri" w:hAnsi="Calibri" w:cs="Calibri"/>
          <w:sz w:val="22"/>
          <w:szCs w:val="22"/>
        </w:rPr>
        <w:t>once married attached itself to their husbands</w:t>
      </w:r>
      <w:r w:rsidR="003F27A5" w:rsidRPr="00B9199C">
        <w:rPr>
          <w:rFonts w:ascii="Calibri" w:hAnsi="Calibri" w:cs="Calibri"/>
          <w:sz w:val="22"/>
          <w:szCs w:val="22"/>
        </w:rPr>
        <w:t xml:space="preserve"> a</w:t>
      </w:r>
      <w:r w:rsidR="00287B74" w:rsidRPr="00B9199C">
        <w:rPr>
          <w:rFonts w:ascii="Calibri" w:hAnsi="Calibri" w:cs="Calibri"/>
          <w:sz w:val="22"/>
          <w:szCs w:val="22"/>
        </w:rPr>
        <w:t>s did their lands</w:t>
      </w:r>
      <w:r w:rsidR="00287B74" w:rsidRPr="00B26D9C">
        <w:rPr>
          <w:rFonts w:ascii="Calibri" w:hAnsi="Calibri" w:cs="Calibri"/>
          <w:sz w:val="22"/>
          <w:szCs w:val="22"/>
        </w:rPr>
        <w:t>.</w:t>
      </w:r>
      <w:r w:rsidR="00287B74" w:rsidRPr="00B26D9C">
        <w:rPr>
          <w:rFonts w:ascii="Calibri" w:hAnsi="Calibri" w:cs="Calibri"/>
          <w:sz w:val="22"/>
          <w:szCs w:val="22"/>
          <w:vertAlign w:val="superscript"/>
        </w:rPr>
        <w:t>1</w:t>
      </w:r>
      <w:r w:rsidR="007212CD">
        <w:rPr>
          <w:rFonts w:ascii="Calibri" w:hAnsi="Calibri" w:cs="Calibri"/>
          <w:sz w:val="22"/>
          <w:szCs w:val="22"/>
        </w:rPr>
        <w:t xml:space="preserve"> It is in this context that I will discuss Nest of Wales</w:t>
      </w:r>
      <w:r w:rsidR="001A306D">
        <w:rPr>
          <w:rFonts w:ascii="Calibri" w:hAnsi="Calibri" w:cs="Calibri"/>
          <w:sz w:val="22"/>
          <w:szCs w:val="22"/>
        </w:rPr>
        <w:t xml:space="preserve">. </w:t>
      </w:r>
      <w:r w:rsidR="00F674FF">
        <w:rPr>
          <w:rFonts w:ascii="Calibri" w:hAnsi="Calibri" w:cs="Calibri"/>
          <w:sz w:val="22"/>
          <w:szCs w:val="22"/>
        </w:rPr>
        <w:t xml:space="preserve"> </w:t>
      </w:r>
      <w:r w:rsidR="00D038FA" w:rsidRPr="00B9199C">
        <w:rPr>
          <w:rFonts w:ascii="Calibri" w:hAnsi="Calibri" w:cs="Calibri"/>
          <w:sz w:val="22"/>
          <w:szCs w:val="22"/>
        </w:rPr>
        <w:t>Princess Nest of Wales</w:t>
      </w:r>
      <w:r w:rsidR="00AC1A48" w:rsidRPr="00B9199C">
        <w:rPr>
          <w:rFonts w:ascii="Calibri" w:hAnsi="Calibri" w:cs="Calibri"/>
          <w:sz w:val="22"/>
          <w:szCs w:val="22"/>
        </w:rPr>
        <w:t xml:space="preserve"> (</w:t>
      </w:r>
      <w:r w:rsidR="001B5429" w:rsidRPr="00B9199C">
        <w:rPr>
          <w:rFonts w:ascii="Calibri" w:hAnsi="Calibri" w:cs="Calibri"/>
          <w:sz w:val="22"/>
          <w:szCs w:val="22"/>
        </w:rPr>
        <w:t>c.1085- c.1136)</w:t>
      </w:r>
      <w:r w:rsidR="00D038FA" w:rsidRPr="00B9199C">
        <w:rPr>
          <w:rFonts w:ascii="Calibri" w:hAnsi="Calibri" w:cs="Calibri"/>
          <w:sz w:val="22"/>
          <w:szCs w:val="22"/>
        </w:rPr>
        <w:t>, d</w:t>
      </w:r>
      <w:r w:rsidR="00FF2CC8" w:rsidRPr="00B9199C">
        <w:rPr>
          <w:rFonts w:ascii="Calibri" w:hAnsi="Calibri" w:cs="Calibri"/>
          <w:sz w:val="22"/>
          <w:szCs w:val="22"/>
        </w:rPr>
        <w:t>aughter of Rhys ap Tewdwr and Gwladus, daughter of Rhiwallon ap Cynfyn, married Gerald of Pembroke around 1100. The marriage produced at least three sons—William, Maurice, and David Fitz-Gerald—and a daughter, Angharad, who married William of Manorbier and was the mother of Giraldus Cambrensis. Widely regarded for her attractiveness and personal allure, she is reported to have had numerous lovers. Her widely recounted abduction in 1109 by her kinsman Owain ap Cadwgan</w:t>
      </w:r>
      <w:r w:rsidR="008E56D9">
        <w:rPr>
          <w:rFonts w:ascii="Calibri" w:hAnsi="Calibri" w:cs="Calibri"/>
          <w:sz w:val="22"/>
          <w:szCs w:val="22"/>
        </w:rPr>
        <w:t xml:space="preserve"> </w:t>
      </w:r>
      <w:r w:rsidR="00FF2CC8" w:rsidRPr="00B9199C">
        <w:rPr>
          <w:rFonts w:ascii="Calibri" w:hAnsi="Calibri" w:cs="Calibri"/>
          <w:sz w:val="22"/>
          <w:szCs w:val="22"/>
        </w:rPr>
        <w:t>contributed to her historical reputation, earning her the epithet "the Helen of Wales."</w:t>
      </w:r>
    </w:p>
    <w:p w14:paraId="4E5F8F04" w14:textId="35405F48" w:rsidR="00287B74" w:rsidRDefault="0089417D" w:rsidP="003D31C9">
      <w:pPr>
        <w:spacing w:line="360" w:lineRule="auto"/>
        <w:rPr>
          <w:rFonts w:ascii="Calibri" w:hAnsi="Calibri" w:cs="Calibri"/>
          <w:sz w:val="22"/>
          <w:szCs w:val="22"/>
        </w:rPr>
      </w:pPr>
      <w:r w:rsidRPr="00B9199C">
        <w:rPr>
          <w:rFonts w:ascii="Calibri" w:hAnsi="Calibri" w:cs="Calibri"/>
          <w:sz w:val="22"/>
          <w:szCs w:val="22"/>
        </w:rPr>
        <w:t xml:space="preserve">While Nest is one of the better-documented Welsh women of the medieval period, the sources that preserve her are fragmentary, politically motivated, and almost exclusively male-authored. This essay draws on a range of material to examine her life and legacy: foundational narrative histories such as J. E. Lloyd's </w:t>
      </w:r>
      <w:r w:rsidRPr="00B9199C">
        <w:rPr>
          <w:rFonts w:ascii="Calibri" w:hAnsi="Calibri" w:cs="Calibri"/>
          <w:i/>
          <w:iCs/>
          <w:sz w:val="22"/>
          <w:szCs w:val="22"/>
        </w:rPr>
        <w:t>A History of Wale</w:t>
      </w:r>
      <w:r w:rsidRPr="00292FCD">
        <w:rPr>
          <w:rFonts w:ascii="Calibri" w:hAnsi="Calibri" w:cs="Calibri"/>
          <w:i/>
          <w:iCs/>
          <w:sz w:val="22"/>
          <w:szCs w:val="22"/>
        </w:rPr>
        <w:t>s</w:t>
      </w:r>
      <w:r w:rsidRPr="00B26D9C">
        <w:rPr>
          <w:rFonts w:ascii="Calibri" w:hAnsi="Calibri" w:cs="Calibri"/>
          <w:sz w:val="22"/>
          <w:szCs w:val="22"/>
        </w:rPr>
        <w:t>,²</w:t>
      </w:r>
      <w:r w:rsidRPr="00B9199C">
        <w:rPr>
          <w:rFonts w:ascii="Calibri" w:hAnsi="Calibri" w:cs="Calibri"/>
          <w:sz w:val="22"/>
          <w:szCs w:val="22"/>
        </w:rPr>
        <w:t xml:space="preserve"> alongside modern scholarly works including Kari Maund's biographical study and Susan Johns's examination of gender, nation, and conquest in the high medieval perio</w:t>
      </w:r>
      <w:r w:rsidRPr="00B26D9C">
        <w:rPr>
          <w:rFonts w:ascii="Calibri" w:hAnsi="Calibri" w:cs="Calibri"/>
          <w:sz w:val="22"/>
          <w:szCs w:val="22"/>
        </w:rPr>
        <w:t>d,³</w:t>
      </w:r>
      <w:r w:rsidRPr="00B9199C">
        <w:rPr>
          <w:rFonts w:ascii="Calibri" w:hAnsi="Calibri" w:cs="Calibri"/>
          <w:sz w:val="22"/>
          <w:szCs w:val="22"/>
        </w:rPr>
        <w:t xml:space="preserve"> which together allow for a more critical reading of how Nest has been constructed, remembered, and interpreted across time.</w:t>
      </w:r>
      <w:r w:rsidR="00357D13">
        <w:rPr>
          <w:rFonts w:ascii="Calibri" w:hAnsi="Calibri" w:cs="Calibri"/>
          <w:sz w:val="22"/>
          <w:szCs w:val="22"/>
        </w:rPr>
        <w:t xml:space="preserve"> </w:t>
      </w:r>
    </w:p>
    <w:p w14:paraId="79CD2070" w14:textId="7D293D1E" w:rsidR="00B9199C" w:rsidRPr="00D37336" w:rsidRDefault="00FD2615" w:rsidP="00D37336">
      <w:pPr>
        <w:spacing w:line="360" w:lineRule="auto"/>
        <w:rPr>
          <w:rFonts w:ascii="Calibri" w:hAnsi="Calibri" w:cs="Calibri"/>
          <w:sz w:val="22"/>
          <w:szCs w:val="22"/>
        </w:rPr>
      </w:pPr>
      <w:r w:rsidRPr="00FD2615">
        <w:rPr>
          <w:rFonts w:ascii="Calibri" w:hAnsi="Calibri" w:cs="Calibri"/>
          <w:sz w:val="22"/>
          <w:szCs w:val="22"/>
        </w:rPr>
        <w:t xml:space="preserve">The secondary literature on Nest reflects the evolution of medieval historiography more broadly. </w:t>
      </w:r>
      <w:r w:rsidR="0083502C" w:rsidRPr="0083502C">
        <w:rPr>
          <w:rFonts w:ascii="Calibri" w:hAnsi="Calibri" w:cs="Calibri"/>
          <w:sz w:val="22"/>
          <w:szCs w:val="22"/>
        </w:rPr>
        <w:t>J. E. Lloyd's foundational narrative history, written in 1911, treats Nest largely in passing — a figure at the margins of a political story understood primarily in terms of dynasties and conquest. That framing was not incidental. Lloyd was writing at a particular moment in Welsh national consciousness, when the recovery of a distinctly Welsh political history carried cultural and political urgency in the context of debates over Welsh identity and Home Rule</w:t>
      </w:r>
      <w:r w:rsidR="00B025AF">
        <w:rPr>
          <w:rFonts w:ascii="Calibri" w:hAnsi="Calibri" w:cs="Calibri"/>
          <w:sz w:val="22"/>
          <w:szCs w:val="22"/>
        </w:rPr>
        <w:t>. T</w:t>
      </w:r>
      <w:r w:rsidR="0083502C" w:rsidRPr="0083502C">
        <w:rPr>
          <w:rFonts w:ascii="Calibri" w:hAnsi="Calibri" w:cs="Calibri"/>
          <w:sz w:val="22"/>
          <w:szCs w:val="22"/>
        </w:rPr>
        <w:t>he result is a history organized around kings, battles, and territorial resistance in which women appear only as they bear on those concerns. Writing within this tradition, Lloyd had neither the methodological tools nor the inclination to ask what Nest's experience might have looked like from her own perspective</w:t>
      </w:r>
      <w:r w:rsidRPr="00FD2615">
        <w:rPr>
          <w:rFonts w:ascii="Calibri" w:hAnsi="Calibri" w:cs="Calibri"/>
          <w:sz w:val="22"/>
          <w:szCs w:val="22"/>
        </w:rPr>
        <w:t xml:space="preserve">. It is only with more recent scholarship that such </w:t>
      </w:r>
      <w:r w:rsidRPr="00FD2615">
        <w:rPr>
          <w:rFonts w:ascii="Calibri" w:hAnsi="Calibri" w:cs="Calibri"/>
          <w:sz w:val="22"/>
          <w:szCs w:val="22"/>
        </w:rPr>
        <w:lastRenderedPageBreak/>
        <w:t>questions have become central. Kari Maund's biographical study brings together the available evidence with a focus on recovering Nest as a historical individual, while Susan Johns's work represents the most sustained and theoretically informed engagement with the sources, reading them through the lens of gender, nation, and conquest to ask not just what happened to Nest but how and why she has been remembered in the ways that she has. Together these works do not resolve the fragmentary nature of the evidence, but they offer the critical frameworks necessary to read it honestly.</w:t>
      </w:r>
    </w:p>
    <w:p w14:paraId="3D5A447A" w14:textId="20BC857B" w:rsidR="00BD6CC2" w:rsidRDefault="003F613C" w:rsidP="005D12CF">
      <w:pPr>
        <w:spacing w:line="360" w:lineRule="auto"/>
        <w:ind w:firstLine="720"/>
        <w:rPr>
          <w:rFonts w:ascii="Calibri" w:hAnsi="Calibri" w:cs="Calibri"/>
          <w:sz w:val="22"/>
          <w:szCs w:val="22"/>
          <w:vertAlign w:val="superscript"/>
        </w:rPr>
      </w:pPr>
      <w:r w:rsidRPr="00B9199C">
        <w:rPr>
          <w:rFonts w:ascii="Calibri" w:hAnsi="Calibri" w:cs="Calibri"/>
          <w:sz w:val="22"/>
          <w:szCs w:val="22"/>
        </w:rPr>
        <w:t xml:space="preserve">The death of Rhys ap Tewdwr in 1093 marked a decisive turning point in the history of south-west Wales. As the last independent king of Deheubarth, his fall at the Battle of Brecon effectively ended the kingdom's autonomy and opened the region to rapid and sustained Norman penetration. Within a generation, Norman lords had established firm control over much of the south, most significantly at Pembroke, which became a major </w:t>
      </w:r>
      <w:r w:rsidR="006974A9" w:rsidRPr="00B9199C">
        <w:rPr>
          <w:rFonts w:ascii="Calibri" w:hAnsi="Calibri" w:cs="Calibri"/>
          <w:sz w:val="22"/>
          <w:szCs w:val="22"/>
        </w:rPr>
        <w:t>center</w:t>
      </w:r>
      <w:r w:rsidRPr="00B9199C">
        <w:rPr>
          <w:rFonts w:ascii="Calibri" w:hAnsi="Calibri" w:cs="Calibri"/>
          <w:sz w:val="22"/>
          <w:szCs w:val="22"/>
        </w:rPr>
        <w:t xml:space="preserve"> of Anglo-Norman power and would never be recovered by Welsh rule. </w:t>
      </w:r>
      <w:r w:rsidRPr="008E56D9">
        <w:rPr>
          <w:rFonts w:ascii="Calibri" w:hAnsi="Calibri" w:cs="Calibri"/>
          <w:sz w:val="22"/>
          <w:szCs w:val="22"/>
        </w:rPr>
        <w:t>The broader political</w:t>
      </w:r>
      <w:r w:rsidRPr="00B9199C">
        <w:rPr>
          <w:rFonts w:ascii="Calibri" w:hAnsi="Calibri" w:cs="Calibri"/>
          <w:sz w:val="22"/>
          <w:szCs w:val="22"/>
        </w:rPr>
        <w:t xml:space="preserve"> map of Wales was now defined by the tension between two spheres: Pura Wallia, those territories that remained under native Welsh governance, and Marchia Wallie, the March, where Norman lords exercised extensive and largely </w:t>
      </w:r>
      <w:r w:rsidRPr="008E56D9">
        <w:rPr>
          <w:rFonts w:ascii="Calibri" w:hAnsi="Calibri" w:cs="Calibri"/>
          <w:sz w:val="22"/>
          <w:szCs w:val="22"/>
        </w:rPr>
        <w:t>autonomous authority.</w:t>
      </w:r>
      <w:r w:rsidRPr="00B9199C">
        <w:rPr>
          <w:rFonts w:ascii="Calibri" w:hAnsi="Calibri" w:cs="Calibri"/>
          <w:sz w:val="22"/>
          <w:szCs w:val="22"/>
        </w:rPr>
        <w:t xml:space="preserve"> Deheubarth, once one of the three great kingdoms of Wales alongside Gwynedd and Powys, was now fragmented — its dynasty dispossessed, its lands contested, and its royal women subject to the political calculations of the </w:t>
      </w:r>
      <w:r w:rsidRPr="00924993">
        <w:rPr>
          <w:rFonts w:ascii="Calibri" w:hAnsi="Calibri" w:cs="Calibri"/>
          <w:sz w:val="22"/>
          <w:szCs w:val="22"/>
        </w:rPr>
        <w:t>new order.</w:t>
      </w:r>
      <w:r w:rsidR="005D12CF">
        <w:rPr>
          <w:rFonts w:ascii="Calibri" w:hAnsi="Calibri" w:cs="Calibri"/>
          <w:sz w:val="22"/>
          <w:szCs w:val="22"/>
        </w:rPr>
        <w:t xml:space="preserve"> </w:t>
      </w:r>
      <w:r w:rsidR="00BD6CC2" w:rsidRPr="00BD6CC2">
        <w:rPr>
          <w:rFonts w:ascii="Calibri" w:hAnsi="Calibri" w:cs="Calibri"/>
          <w:sz w:val="22"/>
          <w:szCs w:val="22"/>
        </w:rPr>
        <w:t>It is this political upheaval that also shapes the conditions of Nest's historical visibility: the sources that preserve her were produced within and in response to this contested landscape, and the interests they served — Norman consolidation, Welsh dynastic memory, familial prestige — determined not only what was recorded about her but how, and by whom</w:t>
      </w:r>
      <w:r w:rsidR="005D12CF">
        <w:rPr>
          <w:rFonts w:ascii="Calibri" w:hAnsi="Calibri" w:cs="Calibri"/>
          <w:sz w:val="22"/>
          <w:szCs w:val="22"/>
        </w:rPr>
        <w:t>.</w:t>
      </w:r>
      <w:r w:rsidR="00932E39" w:rsidRPr="00517327">
        <w:rPr>
          <w:rFonts w:ascii="Calibri" w:hAnsi="Calibri" w:cs="Calibri"/>
          <w:sz w:val="22"/>
          <w:szCs w:val="22"/>
          <w:vertAlign w:val="superscript"/>
        </w:rPr>
        <w:t>4</w:t>
      </w:r>
    </w:p>
    <w:p w14:paraId="6F59D211" w14:textId="77777777" w:rsidR="00517327" w:rsidRDefault="00517327" w:rsidP="005D12CF">
      <w:pPr>
        <w:spacing w:line="360" w:lineRule="auto"/>
        <w:ind w:firstLine="720"/>
        <w:rPr>
          <w:rFonts w:ascii="Calibri" w:hAnsi="Calibri" w:cs="Calibri"/>
          <w:sz w:val="22"/>
          <w:szCs w:val="22"/>
          <w:vertAlign w:val="superscript"/>
        </w:rPr>
      </w:pPr>
    </w:p>
    <w:p w14:paraId="64060011" w14:textId="77777777" w:rsidR="00517327" w:rsidRDefault="00517327" w:rsidP="005D12CF">
      <w:pPr>
        <w:spacing w:line="360" w:lineRule="auto"/>
        <w:ind w:firstLine="720"/>
        <w:rPr>
          <w:rFonts w:ascii="Calibri" w:hAnsi="Calibri" w:cs="Calibri"/>
          <w:sz w:val="22"/>
          <w:szCs w:val="22"/>
          <w:vertAlign w:val="superscript"/>
        </w:rPr>
      </w:pPr>
    </w:p>
    <w:p w14:paraId="3059EF4C" w14:textId="75678DEC" w:rsidR="00517327" w:rsidRDefault="00517327" w:rsidP="005D12CF">
      <w:pPr>
        <w:spacing w:line="360" w:lineRule="auto"/>
        <w:ind w:firstLine="720"/>
        <w:rPr>
          <w:rFonts w:ascii="Calibri" w:hAnsi="Calibri" w:cs="Calibri"/>
          <w:sz w:val="22"/>
          <w:szCs w:val="22"/>
          <w:vertAlign w:val="superscript"/>
        </w:rPr>
      </w:pPr>
      <w:r>
        <w:rPr>
          <w:rFonts w:ascii="Calibri" w:hAnsi="Calibri" w:cs="Calibri"/>
          <w:sz w:val="22"/>
          <w:szCs w:val="22"/>
          <w:vertAlign w:val="superscript"/>
        </w:rPr>
        <w:t>_______________________________</w:t>
      </w:r>
    </w:p>
    <w:p w14:paraId="7C49D3CB" w14:textId="77777777" w:rsidR="00517327" w:rsidRPr="00973447" w:rsidRDefault="00517327" w:rsidP="00517327">
      <w:pPr>
        <w:pStyle w:val="ListParagraph"/>
        <w:spacing w:after="0" w:line="240" w:lineRule="auto"/>
        <w:rPr>
          <w:rFonts w:ascii="Calibri" w:hAnsi="Calibri" w:cs="Calibri"/>
          <w:sz w:val="20"/>
          <w:szCs w:val="20"/>
        </w:rPr>
      </w:pPr>
      <w:r w:rsidRPr="005B1E59">
        <w:rPr>
          <w:rFonts w:ascii="Calibri" w:hAnsi="Calibri" w:cs="Calibri"/>
        </w:rPr>
        <w:t xml:space="preserve">¹ </w:t>
      </w:r>
      <w:r w:rsidRPr="00973447">
        <w:rPr>
          <w:rFonts w:ascii="Calibri" w:hAnsi="Calibri" w:cs="Calibri"/>
          <w:sz w:val="20"/>
          <w:szCs w:val="20"/>
        </w:rPr>
        <w:t xml:space="preserve">For a broader discussion of women's social and legal position in medieval Wales, see L. B. Smith, 'Towards a History of Women in Late Medieval Wales', in </w:t>
      </w:r>
      <w:r w:rsidRPr="00973447">
        <w:rPr>
          <w:rFonts w:ascii="Calibri" w:hAnsi="Calibri" w:cs="Calibri"/>
          <w:i/>
          <w:iCs/>
          <w:sz w:val="20"/>
          <w:szCs w:val="20"/>
        </w:rPr>
        <w:t>Women and Gender in Early Modern Wales</w:t>
      </w:r>
      <w:r w:rsidRPr="00973447">
        <w:rPr>
          <w:rFonts w:ascii="Calibri" w:hAnsi="Calibri" w:cs="Calibri"/>
          <w:sz w:val="20"/>
          <w:szCs w:val="20"/>
        </w:rPr>
        <w:t>, ed. by M. Roberts and S. Clarke (Cardiff: University of Wales Press, 2000), pp. 14–49.</w:t>
      </w:r>
    </w:p>
    <w:p w14:paraId="374F03AA" w14:textId="77777777" w:rsidR="00517327" w:rsidRPr="00D37336" w:rsidRDefault="00517327" w:rsidP="00517327">
      <w:pPr>
        <w:pStyle w:val="ListParagraph"/>
        <w:spacing w:after="0" w:line="240" w:lineRule="auto"/>
        <w:rPr>
          <w:rFonts w:ascii="Calibri" w:hAnsi="Calibri" w:cs="Calibri"/>
          <w:sz w:val="20"/>
          <w:szCs w:val="20"/>
        </w:rPr>
      </w:pPr>
      <w:r w:rsidRPr="00B30AAE">
        <w:rPr>
          <w:rFonts w:ascii="Calibri" w:hAnsi="Calibri" w:cs="Calibri"/>
          <w:sz w:val="20"/>
          <w:szCs w:val="20"/>
          <w:vertAlign w:val="superscript"/>
        </w:rPr>
        <w:t>2</w:t>
      </w:r>
      <w:r w:rsidRPr="00D37336">
        <w:rPr>
          <w:rFonts w:ascii="Calibri" w:hAnsi="Calibri" w:cs="Calibri"/>
          <w:sz w:val="20"/>
          <w:szCs w:val="20"/>
        </w:rPr>
        <w:t xml:space="preserve">. J. E. Lloyd, </w:t>
      </w:r>
      <w:r w:rsidRPr="00D37336">
        <w:rPr>
          <w:rFonts w:ascii="Calibri" w:hAnsi="Calibri" w:cs="Calibri"/>
          <w:i/>
          <w:iCs/>
          <w:sz w:val="20"/>
          <w:szCs w:val="20"/>
        </w:rPr>
        <w:t>A History of Wales from the Earliest Times to the Edwardian Conquest</w:t>
      </w:r>
      <w:r w:rsidRPr="00D37336">
        <w:rPr>
          <w:rFonts w:ascii="Calibri" w:hAnsi="Calibri" w:cs="Calibri"/>
          <w:sz w:val="20"/>
          <w:szCs w:val="20"/>
        </w:rPr>
        <w:t>, 2 vols. (London, 1911).</w:t>
      </w:r>
    </w:p>
    <w:p w14:paraId="6D4C6067" w14:textId="77777777" w:rsidR="00517327" w:rsidRDefault="00517327" w:rsidP="00517327">
      <w:pPr>
        <w:pStyle w:val="ListParagraph"/>
        <w:spacing w:after="0"/>
        <w:rPr>
          <w:rFonts w:ascii="Calibri" w:hAnsi="Calibri" w:cs="Calibri"/>
          <w:sz w:val="22"/>
          <w:szCs w:val="22"/>
        </w:rPr>
      </w:pPr>
      <w:r w:rsidRPr="00B30AAE">
        <w:rPr>
          <w:rFonts w:ascii="Calibri" w:hAnsi="Calibri" w:cs="Calibri"/>
          <w:sz w:val="22"/>
          <w:szCs w:val="22"/>
          <w:vertAlign w:val="superscript"/>
        </w:rPr>
        <w:t>3</w:t>
      </w:r>
      <w:r w:rsidRPr="00B9199C">
        <w:rPr>
          <w:rFonts w:ascii="Calibri" w:hAnsi="Calibri" w:cs="Calibri"/>
          <w:sz w:val="22"/>
          <w:szCs w:val="22"/>
        </w:rPr>
        <w:t>.</w:t>
      </w:r>
      <w:r>
        <w:rPr>
          <w:rFonts w:ascii="Calibri" w:hAnsi="Calibri" w:cs="Calibri"/>
          <w:sz w:val="22"/>
          <w:szCs w:val="22"/>
        </w:rPr>
        <w:t xml:space="preserve"> </w:t>
      </w:r>
      <w:r w:rsidRPr="00973447">
        <w:rPr>
          <w:rFonts w:ascii="Calibri" w:hAnsi="Calibri" w:cs="Calibri"/>
          <w:sz w:val="20"/>
          <w:szCs w:val="20"/>
        </w:rPr>
        <w:t xml:space="preserve">Kari Maund, </w:t>
      </w:r>
      <w:r w:rsidRPr="00973447">
        <w:rPr>
          <w:rFonts w:ascii="Calibri" w:hAnsi="Calibri" w:cs="Calibri"/>
          <w:i/>
          <w:iCs/>
          <w:sz w:val="20"/>
          <w:szCs w:val="20"/>
        </w:rPr>
        <w:t>Princess Nest of Wales (the History Press 2007)</w:t>
      </w:r>
      <w:r w:rsidRPr="00973447">
        <w:rPr>
          <w:rFonts w:ascii="Calibri" w:hAnsi="Calibri" w:cs="Calibri"/>
          <w:sz w:val="20"/>
          <w:szCs w:val="20"/>
        </w:rPr>
        <w:t xml:space="preserve"> ; Susan M. Johns, </w:t>
      </w:r>
      <w:r w:rsidRPr="00973447">
        <w:rPr>
          <w:rFonts w:ascii="Calibri" w:hAnsi="Calibri" w:cs="Calibri"/>
          <w:i/>
          <w:iCs/>
          <w:sz w:val="20"/>
          <w:szCs w:val="20"/>
        </w:rPr>
        <w:t>Gender, Nation and Conquest in the High Middle Ages: Nest of Deheubarth</w:t>
      </w:r>
      <w:r w:rsidRPr="00973447">
        <w:rPr>
          <w:rFonts w:ascii="Calibri" w:hAnsi="Calibri" w:cs="Calibri"/>
          <w:sz w:val="20"/>
          <w:szCs w:val="20"/>
        </w:rPr>
        <w:t xml:space="preserve"> (Manchester University Press, 2013).</w:t>
      </w:r>
    </w:p>
    <w:p w14:paraId="261B52D8" w14:textId="77777777" w:rsidR="00517327" w:rsidRPr="001D26A8" w:rsidRDefault="00517327" w:rsidP="00517327">
      <w:pPr>
        <w:pStyle w:val="ListParagraph"/>
        <w:spacing w:after="0"/>
        <w:rPr>
          <w:rFonts w:ascii="Calibri" w:hAnsi="Calibri" w:cs="Calibri"/>
          <w:sz w:val="20"/>
          <w:szCs w:val="20"/>
        </w:rPr>
      </w:pPr>
      <w:r w:rsidRPr="00BB38E4">
        <w:rPr>
          <w:rFonts w:ascii="Calibri" w:hAnsi="Calibri" w:cs="Calibri"/>
          <w:sz w:val="22"/>
          <w:szCs w:val="22"/>
          <w:vertAlign w:val="superscript"/>
        </w:rPr>
        <w:t>4</w:t>
      </w:r>
      <w:r w:rsidRPr="00BB38E4">
        <w:rPr>
          <w:rFonts w:ascii="Calibri" w:hAnsi="Calibri" w:cs="Calibri"/>
          <w:sz w:val="22"/>
          <w:szCs w:val="22"/>
        </w:rPr>
        <w:t xml:space="preserve">. </w:t>
      </w:r>
      <w:r w:rsidRPr="00BB38E4">
        <w:rPr>
          <w:rFonts w:ascii="Calibri" w:hAnsi="Calibri" w:cs="Calibri"/>
          <w:sz w:val="20"/>
          <w:szCs w:val="20"/>
        </w:rPr>
        <w:t xml:space="preserve">Davies, </w:t>
      </w:r>
      <w:r w:rsidRPr="00BB38E4">
        <w:rPr>
          <w:rFonts w:ascii="Calibri" w:hAnsi="Calibri" w:cs="Calibri"/>
          <w:i/>
          <w:iCs/>
          <w:sz w:val="20"/>
          <w:szCs w:val="20"/>
        </w:rPr>
        <w:t>Conquest, Coexistence, and Change</w:t>
      </w:r>
      <w:r w:rsidRPr="00BB38E4">
        <w:rPr>
          <w:rFonts w:ascii="Calibri" w:hAnsi="Calibri" w:cs="Calibri"/>
          <w:sz w:val="20"/>
          <w:szCs w:val="20"/>
        </w:rPr>
        <w:t xml:space="preserve">, pp. </w:t>
      </w:r>
      <w:r>
        <w:rPr>
          <w:rFonts w:ascii="Calibri" w:hAnsi="Calibri" w:cs="Calibri"/>
          <w:sz w:val="20"/>
          <w:szCs w:val="20"/>
        </w:rPr>
        <w:t>213-215.</w:t>
      </w:r>
      <w:r w:rsidRPr="00BB38E4">
        <w:rPr>
          <w:rFonts w:ascii="Calibri" w:hAnsi="Calibri" w:cs="Calibri"/>
          <w:sz w:val="20"/>
          <w:szCs w:val="20"/>
        </w:rPr>
        <w:t xml:space="preserve"> for the political geography of Norman Wales and the distinction between Pura Wallia and Marchia Wallie; for Norman penetration of Deheubarth following 1093 and the dynamics of intermarriage between Norman lords and Welsh noblewomen, see pp 214.</w:t>
      </w:r>
    </w:p>
    <w:p w14:paraId="273C19E4" w14:textId="77777777" w:rsidR="00517327" w:rsidRDefault="00517327" w:rsidP="005D12CF">
      <w:pPr>
        <w:spacing w:line="360" w:lineRule="auto"/>
        <w:ind w:firstLine="720"/>
        <w:rPr>
          <w:rFonts w:ascii="Calibri" w:hAnsi="Calibri" w:cs="Calibri"/>
          <w:sz w:val="22"/>
          <w:szCs w:val="22"/>
          <w:vertAlign w:val="superscript"/>
        </w:rPr>
      </w:pPr>
    </w:p>
    <w:p w14:paraId="552D22BE" w14:textId="77777777" w:rsidR="007C326A" w:rsidRDefault="003F613C" w:rsidP="007C326A">
      <w:pPr>
        <w:spacing w:line="360" w:lineRule="auto"/>
        <w:rPr>
          <w:rFonts w:ascii="Calibri" w:hAnsi="Calibri" w:cs="Calibri"/>
          <w:sz w:val="22"/>
          <w:szCs w:val="22"/>
        </w:rPr>
      </w:pPr>
      <w:r w:rsidRPr="00B9199C">
        <w:rPr>
          <w:rFonts w:ascii="Calibri" w:hAnsi="Calibri" w:cs="Calibri"/>
          <w:sz w:val="22"/>
          <w:szCs w:val="22"/>
        </w:rPr>
        <w:lastRenderedPageBreak/>
        <w:t xml:space="preserve">It is into this world that Nest </w:t>
      </w:r>
      <w:proofErr w:type="spellStart"/>
      <w:r w:rsidRPr="00B9199C">
        <w:rPr>
          <w:rFonts w:ascii="Calibri" w:hAnsi="Calibri" w:cs="Calibri"/>
          <w:sz w:val="22"/>
          <w:szCs w:val="22"/>
        </w:rPr>
        <w:t>ferch</w:t>
      </w:r>
      <w:proofErr w:type="spellEnd"/>
      <w:r w:rsidRPr="00B9199C">
        <w:rPr>
          <w:rFonts w:ascii="Calibri" w:hAnsi="Calibri" w:cs="Calibri"/>
          <w:sz w:val="22"/>
          <w:szCs w:val="22"/>
        </w:rPr>
        <w:t xml:space="preserve"> Rhys must be understood. As the daughter of Rhys ap Tewdwr, she carried the lineage of Deheubarth at the very moment that lineage had ceased to translate into political power. Her marriage to Gerald of Pembroke, a prominent Norman lord, was characteristic of how conquest reshaped the lives of native royal women — their dynastic value repurposed to </w:t>
      </w:r>
      <w:r w:rsidR="0083588E" w:rsidRPr="00B9199C">
        <w:rPr>
          <w:rFonts w:ascii="Calibri" w:hAnsi="Calibri" w:cs="Calibri"/>
          <w:sz w:val="22"/>
          <w:szCs w:val="22"/>
        </w:rPr>
        <w:t>legitimize</w:t>
      </w:r>
      <w:r w:rsidRPr="00B9199C">
        <w:rPr>
          <w:rFonts w:ascii="Calibri" w:hAnsi="Calibri" w:cs="Calibri"/>
          <w:sz w:val="22"/>
          <w:szCs w:val="22"/>
        </w:rPr>
        <w:t xml:space="preserve"> and consolidate Norman authority rather than to sustain Welsh sovereignty</w:t>
      </w:r>
      <w:r w:rsidRPr="007C326A">
        <w:rPr>
          <w:rFonts w:ascii="Calibri" w:hAnsi="Calibri" w:cs="Calibri"/>
          <w:sz w:val="22"/>
          <w:szCs w:val="22"/>
        </w:rPr>
        <w:t>.</w:t>
      </w:r>
      <w:r w:rsidR="00C746F8" w:rsidRPr="007C326A">
        <w:rPr>
          <w:rFonts w:ascii="Calibri" w:hAnsi="Calibri" w:cs="Calibri"/>
          <w:sz w:val="22"/>
          <w:szCs w:val="22"/>
          <w:vertAlign w:val="superscript"/>
        </w:rPr>
        <w:t>5</w:t>
      </w:r>
      <w:r w:rsidRPr="00B9199C">
        <w:rPr>
          <w:rFonts w:ascii="Calibri" w:hAnsi="Calibri" w:cs="Calibri"/>
          <w:sz w:val="22"/>
          <w:szCs w:val="22"/>
        </w:rPr>
        <w:t xml:space="preserve"> Nest was not unique in this experience, but she is among the most visible, and it is precisely the intersection of her royal Welsh birth and her Norman marital world that makes her both historically significant and historically difficult to recover.</w:t>
      </w:r>
    </w:p>
    <w:p w14:paraId="0B949249" w14:textId="5E8CA89B" w:rsidR="00B9199C" w:rsidRPr="00B9199C" w:rsidRDefault="00B9199C" w:rsidP="007C326A">
      <w:pPr>
        <w:spacing w:line="360" w:lineRule="auto"/>
        <w:ind w:firstLine="720"/>
        <w:rPr>
          <w:rFonts w:ascii="Calibri" w:hAnsi="Calibri" w:cs="Calibri"/>
          <w:sz w:val="22"/>
          <w:szCs w:val="22"/>
        </w:rPr>
      </w:pPr>
      <w:r w:rsidRPr="00B9199C">
        <w:rPr>
          <w:rFonts w:ascii="Calibri" w:hAnsi="Calibri" w:cs="Calibri"/>
          <w:sz w:val="22"/>
          <w:szCs w:val="22"/>
        </w:rPr>
        <w:t xml:space="preserve">Nest </w:t>
      </w:r>
      <w:proofErr w:type="spellStart"/>
      <w:r w:rsidRPr="00B9199C">
        <w:rPr>
          <w:rFonts w:ascii="Calibri" w:hAnsi="Calibri" w:cs="Calibri"/>
          <w:sz w:val="22"/>
          <w:szCs w:val="22"/>
        </w:rPr>
        <w:t>ferch</w:t>
      </w:r>
      <w:proofErr w:type="spellEnd"/>
      <w:r w:rsidRPr="00B9199C">
        <w:rPr>
          <w:rFonts w:ascii="Calibri" w:hAnsi="Calibri" w:cs="Calibri"/>
          <w:sz w:val="22"/>
          <w:szCs w:val="22"/>
        </w:rPr>
        <w:t xml:space="preserve"> Rhys inhabited, across the course of her life, nearly every role available to a woman of her time and status — daughter of a defeated king, hostage at a foreign court, mistress of a monarch, wife of a Norman lord, and mother of dynasties. That she passed through all of these roles is itself remarkable; that she is recoverable through them at all is largely a matter of accident, political consequence, and the interests of the men who wrote about her. The sources that preserve Nest do not preserve her — they preserve the situations she moved through, the men she was connected to, and the children she produced. Reading her life requires reading against the grain of a record that was never designed to capture her as an individual.</w:t>
      </w:r>
    </w:p>
    <w:p w14:paraId="155974DD" w14:textId="7BC140FD" w:rsidR="00C51551" w:rsidRPr="00B9199C" w:rsidRDefault="00C51551" w:rsidP="00B9199C">
      <w:pPr>
        <w:tabs>
          <w:tab w:val="left" w:pos="720"/>
        </w:tabs>
        <w:spacing w:line="360" w:lineRule="auto"/>
        <w:rPr>
          <w:rFonts w:ascii="Calibri" w:hAnsi="Calibri" w:cs="Calibri"/>
          <w:sz w:val="22"/>
          <w:szCs w:val="22"/>
        </w:rPr>
      </w:pPr>
      <w:r w:rsidRPr="00B9199C">
        <w:rPr>
          <w:rFonts w:ascii="Calibri" w:hAnsi="Calibri" w:cs="Calibri"/>
          <w:sz w:val="22"/>
          <w:szCs w:val="22"/>
        </w:rPr>
        <w:t xml:space="preserve">As a daughter, Nest's historical existence begins with her father's death. Rhys ap Tewdwr's fall at the Battle of Brecon in 1093 left his children politically exposed in a Wales rapidly </w:t>
      </w:r>
      <w:r w:rsidR="009F3893" w:rsidRPr="00B9199C">
        <w:rPr>
          <w:rFonts w:ascii="Calibri" w:hAnsi="Calibri" w:cs="Calibri"/>
          <w:sz w:val="22"/>
          <w:szCs w:val="22"/>
        </w:rPr>
        <w:t>reorganizing</w:t>
      </w:r>
      <w:r w:rsidRPr="00B9199C">
        <w:rPr>
          <w:rFonts w:ascii="Calibri" w:hAnsi="Calibri" w:cs="Calibri"/>
          <w:sz w:val="22"/>
          <w:szCs w:val="22"/>
        </w:rPr>
        <w:t xml:space="preserve"> under Norman pressure. Her value as a daughter was inseparable from her lineage — as a direct descendant of the royal house of Deheubarth she carried a pedigree that could be deployed, through marriage or alliance, to lend a </w:t>
      </w:r>
      <w:r w:rsidR="00D917A1" w:rsidRPr="00B9199C">
        <w:rPr>
          <w:rFonts w:ascii="Calibri" w:hAnsi="Calibri" w:cs="Calibri"/>
          <w:sz w:val="22"/>
          <w:szCs w:val="22"/>
        </w:rPr>
        <w:t>layer</w:t>
      </w:r>
      <w:r w:rsidRPr="00B9199C">
        <w:rPr>
          <w:rFonts w:ascii="Calibri" w:hAnsi="Calibri" w:cs="Calibri"/>
          <w:sz w:val="22"/>
          <w:szCs w:val="22"/>
        </w:rPr>
        <w:t xml:space="preserve"> of legitimacy to Norman authority in the south-west.</w:t>
      </w:r>
      <w:r w:rsidRPr="00402BAE">
        <w:rPr>
          <w:rFonts w:ascii="Calibri" w:hAnsi="Calibri" w:cs="Calibri"/>
          <w:sz w:val="22"/>
          <w:szCs w:val="22"/>
        </w:rPr>
        <w:t xml:space="preserve"> Lloyd's</w:t>
      </w:r>
      <w:r w:rsidRPr="00B9199C">
        <w:rPr>
          <w:rFonts w:ascii="Calibri" w:hAnsi="Calibri" w:cs="Calibri"/>
          <w:sz w:val="22"/>
          <w:szCs w:val="22"/>
        </w:rPr>
        <w:t xml:space="preserve"> narrative history acknowledges her parentage largely in passing, as context for the wider political story of Deheubarth's collapse, and this is characteristic of how the older historiography treats her — present at the edges of events that are understood to be about something, or </w:t>
      </w:r>
      <w:r w:rsidR="009F3893" w:rsidRPr="00B9199C">
        <w:rPr>
          <w:rFonts w:ascii="Calibri" w:hAnsi="Calibri" w:cs="Calibri"/>
          <w:sz w:val="22"/>
          <w:szCs w:val="22"/>
        </w:rPr>
        <w:t>someone</w:t>
      </w:r>
      <w:r w:rsidRPr="00B9199C">
        <w:rPr>
          <w:rFonts w:ascii="Calibri" w:hAnsi="Calibri" w:cs="Calibri"/>
          <w:sz w:val="22"/>
          <w:szCs w:val="22"/>
        </w:rPr>
        <w:t xml:space="preserve"> else.</w:t>
      </w:r>
    </w:p>
    <w:p w14:paraId="23E4FD2E" w14:textId="17318430" w:rsidR="00C51551" w:rsidRPr="00B9199C" w:rsidRDefault="00C51551" w:rsidP="001B1DFE">
      <w:pPr>
        <w:tabs>
          <w:tab w:val="left" w:pos="1660"/>
        </w:tabs>
        <w:spacing w:line="360" w:lineRule="auto"/>
        <w:rPr>
          <w:rFonts w:ascii="Calibri" w:hAnsi="Calibri" w:cs="Calibri"/>
          <w:sz w:val="22"/>
          <w:szCs w:val="22"/>
        </w:rPr>
      </w:pPr>
      <w:r w:rsidRPr="00B9199C">
        <w:rPr>
          <w:rFonts w:ascii="Calibri" w:hAnsi="Calibri" w:cs="Calibri"/>
          <w:sz w:val="22"/>
          <w:szCs w:val="22"/>
        </w:rPr>
        <w:t xml:space="preserve">As a hostage, Nest is thought to have been brought to the English court following her father's death, a standard mechanism by which conquered dynasties were managed and </w:t>
      </w:r>
      <w:r w:rsidR="009F3893" w:rsidRPr="00B9199C">
        <w:rPr>
          <w:rFonts w:ascii="Calibri" w:hAnsi="Calibri" w:cs="Calibri"/>
          <w:sz w:val="22"/>
          <w:szCs w:val="22"/>
        </w:rPr>
        <w:t>neutralized</w:t>
      </w:r>
      <w:r w:rsidRPr="00B9199C">
        <w:rPr>
          <w:rFonts w:ascii="Calibri" w:hAnsi="Calibri" w:cs="Calibri"/>
          <w:sz w:val="22"/>
          <w:szCs w:val="22"/>
        </w:rPr>
        <w:t xml:space="preserve">. The evidence here is circumstantial rather than documentary — no source explicitly records her arrival at court or the terms of her detention — but the circumstantial case is strong, and both </w:t>
      </w:r>
      <w:r w:rsidRPr="00B9199C">
        <w:rPr>
          <w:rFonts w:ascii="Calibri" w:hAnsi="Calibri" w:cs="Calibri"/>
          <w:i/>
          <w:iCs/>
          <w:sz w:val="22"/>
          <w:szCs w:val="22"/>
        </w:rPr>
        <w:t>Maund</w:t>
      </w:r>
      <w:r w:rsidRPr="00B9199C">
        <w:rPr>
          <w:rFonts w:ascii="Calibri" w:hAnsi="Calibri" w:cs="Calibri"/>
          <w:sz w:val="22"/>
          <w:szCs w:val="22"/>
        </w:rPr>
        <w:t xml:space="preserve"> and </w:t>
      </w:r>
      <w:r w:rsidRPr="00B9199C">
        <w:rPr>
          <w:rFonts w:ascii="Calibri" w:hAnsi="Calibri" w:cs="Calibri"/>
          <w:i/>
          <w:iCs/>
          <w:sz w:val="22"/>
          <w:szCs w:val="22"/>
        </w:rPr>
        <w:t>Johns</w:t>
      </w:r>
      <w:r w:rsidRPr="00B9199C">
        <w:rPr>
          <w:rFonts w:ascii="Calibri" w:hAnsi="Calibri" w:cs="Calibri"/>
          <w:sz w:val="22"/>
          <w:szCs w:val="22"/>
        </w:rPr>
        <w:t xml:space="preserve"> accept it as the most plausible explanation for her subsequent appearance as Henry I's mistress. The silence of the sources on this episode </w:t>
      </w:r>
      <w:r w:rsidR="009F3893" w:rsidRPr="00B9199C">
        <w:rPr>
          <w:rFonts w:ascii="Calibri" w:hAnsi="Calibri" w:cs="Calibri"/>
          <w:sz w:val="22"/>
          <w:szCs w:val="22"/>
        </w:rPr>
        <w:t>is</w:t>
      </w:r>
      <w:r w:rsidRPr="00B9199C">
        <w:rPr>
          <w:rFonts w:ascii="Calibri" w:hAnsi="Calibri" w:cs="Calibri"/>
          <w:sz w:val="22"/>
          <w:szCs w:val="22"/>
        </w:rPr>
        <w:t xml:space="preserve"> telling. The taking of elite women as hostages was sufficiently unremarkable to require no comment; what mattered to chroniclers was the political settlement, not the experience of those used to secure it.</w:t>
      </w:r>
    </w:p>
    <w:p w14:paraId="22D19EB6" w14:textId="24ECC250" w:rsidR="00C51551" w:rsidRPr="00B9199C" w:rsidRDefault="00C51551" w:rsidP="001B1DFE">
      <w:pPr>
        <w:tabs>
          <w:tab w:val="left" w:pos="1660"/>
        </w:tabs>
        <w:spacing w:line="360" w:lineRule="auto"/>
        <w:rPr>
          <w:rFonts w:ascii="Calibri" w:hAnsi="Calibri" w:cs="Calibri"/>
          <w:sz w:val="22"/>
          <w:szCs w:val="22"/>
        </w:rPr>
      </w:pPr>
      <w:r w:rsidRPr="00B9199C">
        <w:rPr>
          <w:rFonts w:ascii="Calibri" w:hAnsi="Calibri" w:cs="Calibri"/>
          <w:sz w:val="22"/>
          <w:szCs w:val="22"/>
        </w:rPr>
        <w:lastRenderedPageBreak/>
        <w:t xml:space="preserve">As a mistress, first to Henry I and reportedly to others, Nest occupies the most ambiguous space in the record. She bore Henry at least one son, Henry Fitz Henry, and the relationship is mentioned in several sources, though always obliquely and always in the context of other concerns. </w:t>
      </w:r>
      <w:r w:rsidRPr="00402BAE">
        <w:rPr>
          <w:rFonts w:ascii="Calibri" w:hAnsi="Calibri" w:cs="Calibri"/>
          <w:sz w:val="22"/>
          <w:szCs w:val="22"/>
        </w:rPr>
        <w:t>Johns's</w:t>
      </w:r>
      <w:r w:rsidRPr="00B9199C">
        <w:rPr>
          <w:rFonts w:ascii="Calibri" w:hAnsi="Calibri" w:cs="Calibri"/>
          <w:sz w:val="22"/>
          <w:szCs w:val="22"/>
        </w:rPr>
        <w:t xml:space="preserve"> analysis is particularly valuable here, reading the references to Nest's sexuality not as straightforward biographical fact but as a set of constructions — ways of </w:t>
      </w:r>
      <w:r w:rsidR="009F3893" w:rsidRPr="00B9199C">
        <w:rPr>
          <w:rFonts w:ascii="Calibri" w:hAnsi="Calibri" w:cs="Calibri"/>
          <w:sz w:val="22"/>
          <w:szCs w:val="22"/>
        </w:rPr>
        <w:t>categorizing</w:t>
      </w:r>
      <w:r w:rsidRPr="00B9199C">
        <w:rPr>
          <w:rFonts w:ascii="Calibri" w:hAnsi="Calibri" w:cs="Calibri"/>
          <w:sz w:val="22"/>
          <w:szCs w:val="22"/>
        </w:rPr>
        <w:t xml:space="preserve"> and containing a woman whose connections made her simultaneously useful and threatening to the narratives being told. The repeated emphasis on her beauty and her lovers in later accounts tells us considerably more about the anxieties and preoccupations of male authors than it does about Nest herself.</w:t>
      </w:r>
    </w:p>
    <w:p w14:paraId="5EC26D27" w14:textId="00B58B35" w:rsidR="00C51551" w:rsidRPr="00B9199C" w:rsidRDefault="00C51551" w:rsidP="001B1DFE">
      <w:pPr>
        <w:tabs>
          <w:tab w:val="left" w:pos="1660"/>
        </w:tabs>
        <w:spacing w:line="360" w:lineRule="auto"/>
        <w:rPr>
          <w:rFonts w:ascii="Calibri" w:hAnsi="Calibri" w:cs="Calibri"/>
          <w:sz w:val="22"/>
          <w:szCs w:val="22"/>
        </w:rPr>
      </w:pPr>
      <w:r w:rsidRPr="00B9199C">
        <w:rPr>
          <w:rFonts w:ascii="Calibri" w:hAnsi="Calibri" w:cs="Calibri"/>
          <w:sz w:val="22"/>
          <w:szCs w:val="22"/>
        </w:rPr>
        <w:t xml:space="preserve">As a wife to Gerald of Pembroke, Nest is most consistently visible, yet even this visibility is mediated entirely through the famous abduction of 1109. The account in the </w:t>
      </w:r>
      <w:r w:rsidRPr="00B9199C">
        <w:rPr>
          <w:rFonts w:ascii="Calibri" w:hAnsi="Calibri" w:cs="Calibri"/>
          <w:i/>
          <w:iCs/>
          <w:sz w:val="22"/>
          <w:szCs w:val="22"/>
        </w:rPr>
        <w:t>Brut y Tywysogio</w:t>
      </w:r>
      <w:r w:rsidRPr="0003193F">
        <w:rPr>
          <w:rFonts w:ascii="Calibri" w:hAnsi="Calibri" w:cs="Calibri"/>
          <w:i/>
          <w:iCs/>
          <w:sz w:val="22"/>
          <w:szCs w:val="22"/>
        </w:rPr>
        <w:t>n</w:t>
      </w:r>
      <w:r w:rsidR="00F97457">
        <w:rPr>
          <w:rFonts w:ascii="Calibri" w:hAnsi="Calibri" w:cs="Calibri"/>
          <w:sz w:val="22"/>
          <w:szCs w:val="22"/>
          <w:vertAlign w:val="superscript"/>
        </w:rPr>
        <w:t xml:space="preserve"> </w:t>
      </w:r>
      <w:r w:rsidR="009E0B64" w:rsidRPr="009E0B64">
        <w:rPr>
          <w:rFonts w:ascii="Calibri" w:hAnsi="Calibri" w:cs="Calibri"/>
          <w:sz w:val="22"/>
          <w:szCs w:val="22"/>
          <w:highlight w:val="green"/>
          <w:vertAlign w:val="superscript"/>
        </w:rPr>
        <w:t>6</w:t>
      </w:r>
      <w:r w:rsidR="009E0B64">
        <w:rPr>
          <w:rFonts w:ascii="Calibri" w:hAnsi="Calibri" w:cs="Calibri"/>
          <w:sz w:val="22"/>
          <w:szCs w:val="22"/>
        </w:rPr>
        <w:t xml:space="preserve"> </w:t>
      </w:r>
      <w:r w:rsidRPr="00B9199C">
        <w:rPr>
          <w:rFonts w:ascii="Calibri" w:hAnsi="Calibri" w:cs="Calibri"/>
          <w:sz w:val="22"/>
          <w:szCs w:val="22"/>
        </w:rPr>
        <w:t xml:space="preserve">describes how Owain ap Cadwgan, having heard of Nest's beauty, attacked Gerald's castle at Cenarth Bychan by night, seized Nest, and carried her off — an episode that Gerald survived, reportedly by fleeing </w:t>
      </w:r>
      <w:r w:rsidR="00324C7F">
        <w:rPr>
          <w:rFonts w:ascii="Calibri" w:hAnsi="Calibri" w:cs="Calibri"/>
          <w:sz w:val="22"/>
          <w:szCs w:val="22"/>
        </w:rPr>
        <w:t>with her assistance</w:t>
      </w:r>
      <w:r w:rsidRPr="00B9199C">
        <w:rPr>
          <w:rFonts w:ascii="Calibri" w:hAnsi="Calibri" w:cs="Calibri"/>
          <w:sz w:val="22"/>
          <w:szCs w:val="22"/>
        </w:rPr>
        <w:t xml:space="preserve">. The narrative is structured entirely around the </w:t>
      </w:r>
      <w:r w:rsidR="009F3893" w:rsidRPr="00B9199C">
        <w:rPr>
          <w:rFonts w:ascii="Calibri" w:hAnsi="Calibri" w:cs="Calibri"/>
          <w:sz w:val="22"/>
          <w:szCs w:val="22"/>
        </w:rPr>
        <w:t>honor</w:t>
      </w:r>
      <w:r w:rsidRPr="00B9199C">
        <w:rPr>
          <w:rFonts w:ascii="Calibri" w:hAnsi="Calibri" w:cs="Calibri"/>
          <w:sz w:val="22"/>
          <w:szCs w:val="22"/>
        </w:rPr>
        <w:t xml:space="preserve"> of the men involved: Gerald's humiliation, Owain's recklessness, and the subsequent political fallout that saw Owain outlawed and eventually killed.</w:t>
      </w:r>
      <w:r w:rsidR="00FB2A09">
        <w:rPr>
          <w:rFonts w:ascii="Calibri" w:hAnsi="Calibri" w:cs="Calibri"/>
          <w:sz w:val="22"/>
          <w:szCs w:val="22"/>
        </w:rPr>
        <w:t xml:space="preserve"> Y</w:t>
      </w:r>
      <w:r w:rsidR="00FB2A09" w:rsidRPr="00FB2A09">
        <w:rPr>
          <w:rFonts w:ascii="Calibri" w:hAnsi="Calibri" w:cs="Calibri"/>
          <w:sz w:val="22"/>
          <w:szCs w:val="22"/>
        </w:rPr>
        <w:t>et the episode is also framed, from its very opening, as a consequence of male sexual desire — Owain acts because he has heard of Nest's beauty, and it is that desire, rather than any political calculation, that the chronicle presents as the immediate cause of events.</w:t>
      </w:r>
      <w:r w:rsidRPr="00B9199C">
        <w:rPr>
          <w:rFonts w:ascii="Calibri" w:hAnsi="Calibri" w:cs="Calibri"/>
          <w:sz w:val="22"/>
          <w:szCs w:val="22"/>
        </w:rPr>
        <w:t xml:space="preserve"> Nest is present in the story as its catalyst, but her own account of events — whether she went willingly, under duress, or some more complicated combination of the two — is </w:t>
      </w:r>
      <w:r w:rsidR="00FF085A" w:rsidRPr="00B9199C">
        <w:rPr>
          <w:rFonts w:ascii="Calibri" w:hAnsi="Calibri" w:cs="Calibri"/>
          <w:sz w:val="22"/>
          <w:szCs w:val="22"/>
        </w:rPr>
        <w:t>not clearly</w:t>
      </w:r>
      <w:r w:rsidRPr="00B9199C">
        <w:rPr>
          <w:rFonts w:ascii="Calibri" w:hAnsi="Calibri" w:cs="Calibri"/>
          <w:sz w:val="22"/>
          <w:szCs w:val="22"/>
        </w:rPr>
        <w:t xml:space="preserve"> recorded. </w:t>
      </w:r>
      <w:r w:rsidRPr="00B9199C">
        <w:rPr>
          <w:rFonts w:ascii="Calibri" w:hAnsi="Calibri" w:cs="Calibri"/>
          <w:i/>
          <w:iCs/>
          <w:sz w:val="22"/>
          <w:szCs w:val="22"/>
        </w:rPr>
        <w:t>Maund</w:t>
      </w:r>
      <w:r w:rsidRPr="00B9199C">
        <w:rPr>
          <w:rFonts w:ascii="Calibri" w:hAnsi="Calibri" w:cs="Calibri"/>
          <w:sz w:val="22"/>
          <w:szCs w:val="22"/>
        </w:rPr>
        <w:t xml:space="preserve"> addresses this silence directly, noting that the sources offer no means of recovering Nest's perspective on an episode that was, above all else, a crisis in her own life.</w:t>
      </w:r>
    </w:p>
    <w:p w14:paraId="4FA2C69B" w14:textId="3EA067C0" w:rsidR="00EC6E36" w:rsidRPr="00B9199C" w:rsidRDefault="00E41F44" w:rsidP="00BA2615">
      <w:pPr>
        <w:tabs>
          <w:tab w:val="left" w:pos="1660"/>
        </w:tabs>
        <w:spacing w:line="360" w:lineRule="auto"/>
        <w:rPr>
          <w:rFonts w:ascii="Calibri" w:hAnsi="Calibri" w:cs="Calibri"/>
          <w:sz w:val="22"/>
          <w:szCs w:val="22"/>
        </w:rPr>
      </w:pPr>
      <w:r w:rsidRPr="00B9199C">
        <w:rPr>
          <w:rFonts w:ascii="Calibri" w:hAnsi="Calibri" w:cs="Calibri"/>
          <w:sz w:val="22"/>
          <w:szCs w:val="22"/>
        </w:rPr>
        <w:t>As a mother, Nest's legacy is perhaps the most extensively documented aspect of her existence, and also the most revealing of how medieval sources valued women. Her children by Gerald — William, Maurice, David, and Angharad — became significant figures in the Anglo-Norman world, and her son Maurice is regarded as an ancestor of the FitzGerald dynasty of Ireland. Her daughter Angharad's son was Giraldus Cambrensis, who himself provides some of the most detailed references to Nest's life, motivated in part by family pride. It is as a founding mother of notable lineages that Nest is most consistently remembered, and it is in this capacity that later</w:t>
      </w:r>
      <w:r w:rsidR="00B9199C" w:rsidRPr="00B9199C">
        <w:rPr>
          <w:rFonts w:ascii="Calibri" w:hAnsi="Calibri" w:cs="Calibri"/>
          <w:sz w:val="22"/>
          <w:szCs w:val="22"/>
        </w:rPr>
        <w:t xml:space="preserve"> </w:t>
      </w:r>
      <w:r w:rsidR="00C51551" w:rsidRPr="00B9199C">
        <w:rPr>
          <w:rFonts w:ascii="Calibri" w:hAnsi="Calibri" w:cs="Calibri"/>
          <w:sz w:val="22"/>
          <w:szCs w:val="22"/>
        </w:rPr>
        <w:t xml:space="preserve">medieval writers found her worth preserving. </w:t>
      </w:r>
      <w:r w:rsidR="00C51551" w:rsidRPr="00B9199C">
        <w:rPr>
          <w:rFonts w:ascii="Calibri" w:hAnsi="Calibri" w:cs="Calibri"/>
          <w:i/>
          <w:iCs/>
          <w:sz w:val="22"/>
          <w:szCs w:val="22"/>
        </w:rPr>
        <w:t>Johns</w:t>
      </w:r>
      <w:r w:rsidR="00C51551" w:rsidRPr="00B9199C">
        <w:rPr>
          <w:rFonts w:ascii="Calibri" w:hAnsi="Calibri" w:cs="Calibri"/>
          <w:sz w:val="22"/>
          <w:szCs w:val="22"/>
        </w:rPr>
        <w:t>'s study is particularly attentive to this dynamic, arguing that Nest's historical survival is inseparable from the dynastic ambitions of her descendants — she is remembered because they needed to be remembered, and she provided the most illustrious point of origin available to them.</w:t>
      </w:r>
      <w:r w:rsidR="00BF330F">
        <w:rPr>
          <w:rFonts w:ascii="Calibri" w:hAnsi="Calibri" w:cs="Calibri"/>
          <w:sz w:val="22"/>
          <w:szCs w:val="22"/>
        </w:rPr>
        <w:t xml:space="preserve"> Having traced the roles through which Nest is visible in the historical record, it becomes ne</w:t>
      </w:r>
      <w:r w:rsidR="00C31ABD">
        <w:rPr>
          <w:rFonts w:ascii="Calibri" w:hAnsi="Calibri" w:cs="Calibri"/>
          <w:sz w:val="22"/>
          <w:szCs w:val="22"/>
        </w:rPr>
        <w:t xml:space="preserve">cessary to examine the specific </w:t>
      </w:r>
      <w:r w:rsidR="00C31ABD">
        <w:rPr>
          <w:rFonts w:ascii="Calibri" w:hAnsi="Calibri" w:cs="Calibri"/>
          <w:sz w:val="22"/>
          <w:szCs w:val="22"/>
        </w:rPr>
        <w:lastRenderedPageBreak/>
        <w:t>texts that preserve those roles – not simply as repositories of fact, but as documents with their</w:t>
      </w:r>
      <w:r w:rsidR="00915350">
        <w:rPr>
          <w:rFonts w:ascii="Calibri" w:hAnsi="Calibri" w:cs="Calibri"/>
          <w:sz w:val="22"/>
          <w:szCs w:val="22"/>
        </w:rPr>
        <w:t xml:space="preserve"> own</w:t>
      </w:r>
      <w:r w:rsidR="00C31ABD">
        <w:rPr>
          <w:rFonts w:ascii="Calibri" w:hAnsi="Calibri" w:cs="Calibri"/>
          <w:sz w:val="22"/>
          <w:szCs w:val="22"/>
        </w:rPr>
        <w:t xml:space="preserve"> politics, authors, and silences. </w:t>
      </w:r>
    </w:p>
    <w:p w14:paraId="42B0747B" w14:textId="0AEC8105" w:rsidR="00EC6E36" w:rsidRDefault="00E41F44" w:rsidP="00490F3E">
      <w:pPr>
        <w:tabs>
          <w:tab w:val="left" w:pos="540"/>
        </w:tabs>
        <w:spacing w:line="360" w:lineRule="auto"/>
        <w:rPr>
          <w:rFonts w:ascii="Calibri" w:hAnsi="Calibri" w:cs="Calibri"/>
          <w:sz w:val="22"/>
          <w:szCs w:val="22"/>
        </w:rPr>
      </w:pPr>
      <w:r>
        <w:rPr>
          <w:rFonts w:ascii="Calibri" w:hAnsi="Calibri" w:cs="Calibri"/>
        </w:rPr>
        <w:tab/>
      </w:r>
      <w:r w:rsidR="00444967">
        <w:rPr>
          <w:rFonts w:ascii="Calibri" w:hAnsi="Calibri" w:cs="Calibri"/>
          <w:sz w:val="22"/>
          <w:szCs w:val="22"/>
        </w:rPr>
        <w:t>This</w:t>
      </w:r>
      <w:r w:rsidR="00EC6E36" w:rsidRPr="00B9199C">
        <w:rPr>
          <w:rFonts w:ascii="Calibri" w:hAnsi="Calibri" w:cs="Calibri"/>
          <w:sz w:val="22"/>
          <w:szCs w:val="22"/>
        </w:rPr>
        <w:t xml:space="preserve"> essay will examine</w:t>
      </w:r>
      <w:r w:rsidR="00F672F7" w:rsidRPr="00B9199C">
        <w:rPr>
          <w:rFonts w:ascii="Calibri" w:hAnsi="Calibri" w:cs="Calibri"/>
          <w:sz w:val="22"/>
          <w:szCs w:val="22"/>
        </w:rPr>
        <w:t xml:space="preserve"> </w:t>
      </w:r>
      <w:r w:rsidR="00460312">
        <w:rPr>
          <w:rFonts w:ascii="Calibri" w:hAnsi="Calibri" w:cs="Calibri"/>
          <w:sz w:val="22"/>
          <w:szCs w:val="22"/>
        </w:rPr>
        <w:t>a few sources but in particular,</w:t>
      </w:r>
      <w:r w:rsidR="00EC6E36" w:rsidRPr="00B9199C">
        <w:rPr>
          <w:rFonts w:ascii="Calibri" w:hAnsi="Calibri" w:cs="Calibri"/>
          <w:sz w:val="22"/>
          <w:szCs w:val="22"/>
        </w:rPr>
        <w:t xml:space="preserve"> </w:t>
      </w:r>
      <w:r w:rsidR="00EC6E36" w:rsidRPr="00B9199C">
        <w:rPr>
          <w:rFonts w:ascii="Calibri" w:hAnsi="Calibri" w:cs="Calibri"/>
          <w:i/>
          <w:iCs/>
          <w:sz w:val="22"/>
          <w:szCs w:val="22"/>
        </w:rPr>
        <w:t>Brut y Tywysogion</w:t>
      </w:r>
      <w:r w:rsidR="00EC6E36" w:rsidRPr="00B9199C">
        <w:rPr>
          <w:rFonts w:ascii="Calibri" w:hAnsi="Calibri" w:cs="Calibri"/>
          <w:sz w:val="22"/>
          <w:szCs w:val="22"/>
        </w:rPr>
        <w:t xml:space="preserve"> and the writings of</w:t>
      </w:r>
      <w:r w:rsidR="00EC6E36" w:rsidRPr="00B9199C">
        <w:rPr>
          <w:rFonts w:ascii="Calibri" w:hAnsi="Calibri" w:cs="Calibri"/>
          <w:i/>
          <w:iCs/>
          <w:sz w:val="22"/>
          <w:szCs w:val="22"/>
        </w:rPr>
        <w:t xml:space="preserve"> Giraldus Cambrensis</w:t>
      </w:r>
      <w:r w:rsidR="00EC6E36" w:rsidRPr="00B9199C">
        <w:rPr>
          <w:rFonts w:ascii="Calibri" w:hAnsi="Calibri" w:cs="Calibri"/>
          <w:sz w:val="22"/>
          <w:szCs w:val="22"/>
        </w:rPr>
        <w:t>. Together they represent the closest we can come to contemporary evidence for Nest's life, yet both are shaped by agendas — political, dynastic, and personal — that place significant limits on what they can tell us about her as an individual.</w:t>
      </w:r>
      <w:r w:rsidR="00016444" w:rsidRPr="00B9199C">
        <w:rPr>
          <w:rFonts w:ascii="Calibri" w:hAnsi="Calibri" w:cs="Calibri"/>
          <w:sz w:val="22"/>
          <w:szCs w:val="22"/>
        </w:rPr>
        <w:t xml:space="preserve"> </w:t>
      </w:r>
      <w:r w:rsidR="00EC6E36" w:rsidRPr="00B9199C">
        <w:rPr>
          <w:rFonts w:ascii="Calibri" w:hAnsi="Calibri" w:cs="Calibri"/>
          <w:i/>
          <w:iCs/>
          <w:sz w:val="22"/>
          <w:szCs w:val="22"/>
        </w:rPr>
        <w:t>Brut y Tywysogion</w:t>
      </w:r>
      <w:r w:rsidR="00EC6E36" w:rsidRPr="00B9199C">
        <w:rPr>
          <w:rFonts w:ascii="Calibri" w:hAnsi="Calibri" w:cs="Calibri"/>
          <w:sz w:val="22"/>
          <w:szCs w:val="22"/>
        </w:rPr>
        <w:t xml:space="preserve"> is a medieval Welsh chronicle compiled by anonymous monastic authors, most likely at the monastery of Strata Florida, covering the period from the seventh century to 1282. The standard English translation, by Thomas Jones, was published by the University of Wales Press in 1955.</w:t>
      </w:r>
      <w:r w:rsidR="00EC6E36" w:rsidRPr="00B9199C">
        <w:rPr>
          <w:rFonts w:ascii="Calibri" w:hAnsi="Calibri" w:cs="Calibri"/>
          <w:sz w:val="22"/>
          <w:szCs w:val="22"/>
          <w:vertAlign w:val="superscript"/>
        </w:rPr>
        <w:t xml:space="preserve"> </w:t>
      </w:r>
      <w:r w:rsidR="00EC6E36" w:rsidRPr="00B9199C">
        <w:rPr>
          <w:rFonts w:ascii="Calibri" w:hAnsi="Calibri" w:cs="Calibri"/>
          <w:sz w:val="22"/>
          <w:szCs w:val="22"/>
        </w:rPr>
        <w:t>There are multiple manuscript versions of the chronicle: Peniarth MS 20, the Red Book of Hergest, and the lost Latin annals known as Brenhinedd y Saesson, each of which preserves a variant recension of the text.</w:t>
      </w:r>
    </w:p>
    <w:p w14:paraId="5A543CA1" w14:textId="77777777" w:rsidR="00430AA3" w:rsidRDefault="009D2406" w:rsidP="00CC04FC">
      <w:pPr>
        <w:tabs>
          <w:tab w:val="left" w:pos="630"/>
        </w:tabs>
        <w:spacing w:line="360" w:lineRule="auto"/>
        <w:rPr>
          <w:rFonts w:ascii="Calibri" w:hAnsi="Calibri" w:cs="Calibri"/>
          <w:sz w:val="22"/>
          <w:szCs w:val="22"/>
        </w:rPr>
      </w:pPr>
      <w:r>
        <w:rPr>
          <w:rFonts w:ascii="Calibri" w:hAnsi="Calibri" w:cs="Calibri"/>
          <w:sz w:val="22"/>
          <w:szCs w:val="22"/>
        </w:rPr>
        <w:tab/>
      </w:r>
      <w:r w:rsidR="00EC6E36" w:rsidRPr="00B9199C">
        <w:rPr>
          <w:rFonts w:ascii="Calibri" w:hAnsi="Calibri" w:cs="Calibri"/>
          <w:sz w:val="22"/>
          <w:szCs w:val="22"/>
        </w:rPr>
        <w:t xml:space="preserve">As the principal narrative chronicle, </w:t>
      </w:r>
      <w:r w:rsidR="00EC6E36" w:rsidRPr="00B9199C">
        <w:rPr>
          <w:rFonts w:ascii="Calibri" w:hAnsi="Calibri" w:cs="Calibri"/>
          <w:i/>
          <w:iCs/>
          <w:sz w:val="22"/>
          <w:szCs w:val="22"/>
        </w:rPr>
        <w:t>Brut y Tywysogion</w:t>
      </w:r>
      <w:r w:rsidR="00EC6E36" w:rsidRPr="00B9199C">
        <w:rPr>
          <w:rFonts w:ascii="Calibri" w:hAnsi="Calibri" w:cs="Calibri"/>
          <w:sz w:val="22"/>
          <w:szCs w:val="22"/>
        </w:rPr>
        <w:t xml:space="preserve"> represents an indispensable source for the study of Welsh political history in this period. It is one of the very few contemporaneous Welsh-language records to survive from the high medieval period, and for events such as the 1109 abduction it constitutes the closest thing we have to a native Welsh account. </w:t>
      </w:r>
      <w:r w:rsidR="00CC04FC">
        <w:rPr>
          <w:rFonts w:ascii="Calibri" w:hAnsi="Calibri" w:cs="Calibri"/>
          <w:sz w:val="22"/>
          <w:szCs w:val="22"/>
        </w:rPr>
        <w:t xml:space="preserve"> </w:t>
      </w:r>
      <w:r w:rsidR="00EC6E36" w:rsidRPr="00B9199C">
        <w:rPr>
          <w:rFonts w:ascii="Calibri" w:hAnsi="Calibri" w:cs="Calibri"/>
          <w:sz w:val="22"/>
          <w:szCs w:val="22"/>
        </w:rPr>
        <w:t xml:space="preserve">Its value lies not only in the events it records but in the perspective from which it records them — that of a Welsh monastic community whose priorities were the preservation of dynastic memory, the recording of political events, and the promotion of a distinctly Welsh historical identity in the face of Norman conquest. For the study of Nest specifically, it is irreplaceable: without the </w:t>
      </w:r>
      <w:r w:rsidR="00EC6E36" w:rsidRPr="00B9199C">
        <w:rPr>
          <w:rFonts w:ascii="Calibri" w:hAnsi="Calibri" w:cs="Calibri"/>
          <w:i/>
          <w:iCs/>
          <w:sz w:val="22"/>
          <w:szCs w:val="22"/>
        </w:rPr>
        <w:t>Brut</w:t>
      </w:r>
      <w:r w:rsidR="00EC6E36" w:rsidRPr="00B9199C">
        <w:rPr>
          <w:rFonts w:ascii="Calibri" w:hAnsi="Calibri" w:cs="Calibri"/>
          <w:sz w:val="22"/>
          <w:szCs w:val="22"/>
        </w:rPr>
        <w:t xml:space="preserve">, the abduction episode would survive only in later, more fragmentary references, and the political consequences that followed — the outlawing of Owain ap Cadwgan, the subsequent conflict, and the broader </w:t>
      </w:r>
      <w:r w:rsidR="008F1E04" w:rsidRPr="00B9199C">
        <w:rPr>
          <w:rFonts w:ascii="Calibri" w:hAnsi="Calibri" w:cs="Calibri"/>
          <w:sz w:val="22"/>
          <w:szCs w:val="22"/>
        </w:rPr>
        <w:t>destabilization</w:t>
      </w:r>
      <w:r w:rsidR="00EC6E36" w:rsidRPr="00B9199C">
        <w:rPr>
          <w:rFonts w:ascii="Calibri" w:hAnsi="Calibri" w:cs="Calibri"/>
          <w:sz w:val="22"/>
          <w:szCs w:val="22"/>
        </w:rPr>
        <w:t xml:space="preserve"> of the region — would be largely unrecoverable.</w:t>
      </w:r>
      <w:r w:rsidR="00A9582D" w:rsidRPr="00B9199C">
        <w:rPr>
          <w:rFonts w:ascii="Calibri" w:hAnsi="Calibri" w:cs="Calibri"/>
          <w:sz w:val="22"/>
          <w:szCs w:val="22"/>
        </w:rPr>
        <w:t xml:space="preserve"> </w:t>
      </w:r>
      <w:r w:rsidR="00EC6E36" w:rsidRPr="00B9199C">
        <w:rPr>
          <w:rFonts w:ascii="Calibri" w:hAnsi="Calibri" w:cs="Calibri"/>
          <w:sz w:val="22"/>
          <w:szCs w:val="22"/>
        </w:rPr>
        <w:t xml:space="preserve">Yet its value must be weighed carefully against its limitations. As a chronicle produced within a monastic and politically engaged context, the </w:t>
      </w:r>
      <w:r w:rsidR="00EC6E36" w:rsidRPr="00B9199C">
        <w:rPr>
          <w:rFonts w:ascii="Calibri" w:hAnsi="Calibri" w:cs="Calibri"/>
          <w:i/>
          <w:iCs/>
          <w:sz w:val="22"/>
          <w:szCs w:val="22"/>
        </w:rPr>
        <w:t>Brut</w:t>
      </w:r>
      <w:r w:rsidR="00EC6E36" w:rsidRPr="00B9199C">
        <w:rPr>
          <w:rFonts w:ascii="Calibri" w:hAnsi="Calibri" w:cs="Calibri"/>
          <w:sz w:val="22"/>
          <w:szCs w:val="22"/>
        </w:rPr>
        <w:t xml:space="preserve"> was never intended as a neutral record. Its authors selected, shaped, and interpreted events in accordance with the concerns of their institution and their moment of writing, and women — including Nest — appear in its pages only insofar as they are relevant to the political and dynastic narratives its authors wished to tell. </w:t>
      </w:r>
    </w:p>
    <w:p w14:paraId="3DD5ED3F" w14:textId="77777777" w:rsidR="00430AA3" w:rsidRDefault="00430AA3" w:rsidP="00430AA3">
      <w:pPr>
        <w:spacing w:after="0" w:line="360" w:lineRule="auto"/>
        <w:rPr>
          <w:rFonts w:ascii="Calibri" w:hAnsi="Calibri" w:cs="Calibri"/>
        </w:rPr>
      </w:pPr>
      <w:r>
        <w:rPr>
          <w:rFonts w:ascii="Calibri" w:hAnsi="Calibri" w:cs="Calibri"/>
        </w:rPr>
        <w:t>_______________________________________________________</w:t>
      </w:r>
    </w:p>
    <w:p w14:paraId="6AE3B13D" w14:textId="43CE2F95" w:rsidR="00430AA3" w:rsidRDefault="00430AA3" w:rsidP="00430AA3">
      <w:pPr>
        <w:pStyle w:val="ListParagraph"/>
        <w:spacing w:after="0"/>
        <w:ind w:left="-90" w:hanging="90"/>
        <w:rPr>
          <w:rFonts w:ascii="Calibri" w:hAnsi="Calibri" w:cs="Calibri"/>
          <w:sz w:val="20"/>
          <w:szCs w:val="20"/>
        </w:rPr>
      </w:pPr>
      <w:r>
        <w:rPr>
          <w:rFonts w:ascii="Calibri" w:hAnsi="Calibri" w:cs="Calibri"/>
          <w:sz w:val="20"/>
          <w:szCs w:val="20"/>
          <w:vertAlign w:val="superscript"/>
        </w:rPr>
        <w:t xml:space="preserve">  </w:t>
      </w:r>
      <w:r w:rsidRPr="001D26A8">
        <w:rPr>
          <w:rFonts w:ascii="Calibri" w:hAnsi="Calibri" w:cs="Calibri"/>
          <w:sz w:val="20"/>
          <w:szCs w:val="20"/>
          <w:vertAlign w:val="superscript"/>
        </w:rPr>
        <w:t>5</w:t>
      </w:r>
      <w:r w:rsidRPr="001D26A8">
        <w:rPr>
          <w:rFonts w:ascii="Calibri" w:hAnsi="Calibri" w:cs="Calibri"/>
          <w:sz w:val="20"/>
          <w:szCs w:val="20"/>
        </w:rPr>
        <w:t xml:space="preserve">. </w:t>
      </w:r>
      <w:r w:rsidRPr="003377EA">
        <w:rPr>
          <w:rFonts w:ascii="Calibri" w:hAnsi="Calibri" w:cs="Calibri"/>
          <w:sz w:val="20"/>
          <w:szCs w:val="20"/>
        </w:rPr>
        <w:t xml:space="preserve">Davies, </w:t>
      </w:r>
      <w:r w:rsidRPr="003377EA">
        <w:rPr>
          <w:rFonts w:ascii="Calibri" w:hAnsi="Calibri" w:cs="Calibri"/>
          <w:i/>
          <w:iCs/>
          <w:sz w:val="20"/>
          <w:szCs w:val="20"/>
        </w:rPr>
        <w:t>Conquest, Coexistence, and Change</w:t>
      </w:r>
      <w:r w:rsidRPr="003377EA">
        <w:rPr>
          <w:rFonts w:ascii="Calibri" w:hAnsi="Calibri" w:cs="Calibri"/>
          <w:sz w:val="20"/>
          <w:szCs w:val="20"/>
        </w:rPr>
        <w:t>, p. 102. Davies notes that Gerald sought to consolidate his position in the region through the marriage, citing Gerald of Wales's own observation that it was intended to allow him to "sink his roots and those of his family more deeply in those parts</w:t>
      </w:r>
      <w:r>
        <w:rPr>
          <w:rFonts w:ascii="Calibri" w:hAnsi="Calibri" w:cs="Calibri"/>
          <w:sz w:val="20"/>
          <w:szCs w:val="20"/>
        </w:rPr>
        <w:t>.</w:t>
      </w:r>
    </w:p>
    <w:p w14:paraId="1CED7230" w14:textId="77777777" w:rsidR="00430AA3" w:rsidRDefault="00430AA3" w:rsidP="00430AA3">
      <w:pPr>
        <w:pStyle w:val="ListParagraph"/>
        <w:spacing w:after="0"/>
        <w:ind w:left="-90" w:hanging="90"/>
        <w:rPr>
          <w:rFonts w:ascii="Calibri" w:hAnsi="Calibri" w:cs="Calibri"/>
          <w:sz w:val="20"/>
          <w:szCs w:val="20"/>
        </w:rPr>
      </w:pPr>
      <w:r w:rsidRPr="00E95B5E">
        <w:rPr>
          <w:rFonts w:ascii="Calibri" w:hAnsi="Calibri" w:cs="Calibri"/>
          <w:sz w:val="20"/>
          <w:szCs w:val="20"/>
          <w:vertAlign w:val="superscript"/>
        </w:rPr>
        <w:t>6</w:t>
      </w:r>
      <w:r w:rsidRPr="00E41F44">
        <w:rPr>
          <w:rFonts w:ascii="Calibri" w:hAnsi="Calibri" w:cs="Calibri"/>
          <w:sz w:val="20"/>
          <w:szCs w:val="20"/>
        </w:rPr>
        <w:t xml:space="preserve"> </w:t>
      </w:r>
      <w:r w:rsidRPr="00E41F44">
        <w:rPr>
          <w:rFonts w:ascii="Calibri" w:hAnsi="Calibri" w:cs="Calibri"/>
          <w:i/>
          <w:iCs/>
          <w:sz w:val="20"/>
          <w:szCs w:val="20"/>
        </w:rPr>
        <w:t xml:space="preserve">Brut y </w:t>
      </w:r>
      <w:proofErr w:type="spellStart"/>
      <w:r w:rsidRPr="00E41F44">
        <w:rPr>
          <w:rFonts w:ascii="Calibri" w:hAnsi="Calibri" w:cs="Calibri"/>
          <w:i/>
          <w:iCs/>
          <w:sz w:val="20"/>
          <w:szCs w:val="20"/>
        </w:rPr>
        <w:t>Tywysogyon</w:t>
      </w:r>
      <w:proofErr w:type="spellEnd"/>
      <w:r w:rsidRPr="00E41F44">
        <w:rPr>
          <w:rFonts w:ascii="Calibri" w:hAnsi="Calibri" w:cs="Calibri"/>
          <w:i/>
          <w:iCs/>
          <w:sz w:val="20"/>
          <w:szCs w:val="20"/>
        </w:rPr>
        <w:t>, or The Chronicle of the Princes</w:t>
      </w:r>
      <w:r w:rsidRPr="00E41F44">
        <w:rPr>
          <w:rFonts w:ascii="Calibri" w:hAnsi="Calibri" w:cs="Calibri"/>
          <w:sz w:val="20"/>
          <w:szCs w:val="20"/>
        </w:rPr>
        <w:t>, trans. by Thomas Jones (Cardiff: University of Wales Press, 1955).</w:t>
      </w:r>
    </w:p>
    <w:p w14:paraId="005AFE2E" w14:textId="5C6F4CC8" w:rsidR="00430AA3" w:rsidRPr="00430AA3" w:rsidRDefault="00430AA3" w:rsidP="00430AA3">
      <w:pPr>
        <w:pStyle w:val="ListParagraph"/>
        <w:spacing w:after="0"/>
        <w:ind w:left="-90" w:hanging="90"/>
        <w:rPr>
          <w:rFonts w:ascii="Calibri" w:hAnsi="Calibri" w:cs="Calibri"/>
          <w:sz w:val="20"/>
          <w:szCs w:val="20"/>
        </w:rPr>
      </w:pPr>
      <w:r>
        <w:rPr>
          <w:rFonts w:ascii="Calibri" w:hAnsi="Calibri" w:cs="Calibri"/>
          <w:sz w:val="20"/>
          <w:szCs w:val="20"/>
          <w:vertAlign w:val="superscript"/>
        </w:rPr>
        <w:t>7</w:t>
      </w:r>
      <w:r w:rsidRPr="001972CF">
        <w:rPr>
          <w:rFonts w:ascii="Calibri" w:hAnsi="Calibri" w:cs="Calibri"/>
          <w:sz w:val="20"/>
          <w:szCs w:val="20"/>
        </w:rPr>
        <w:t xml:space="preserve">. Susan M. Johns, </w:t>
      </w:r>
      <w:r w:rsidRPr="001972CF">
        <w:rPr>
          <w:rFonts w:ascii="Calibri" w:hAnsi="Calibri" w:cs="Calibri"/>
          <w:i/>
          <w:iCs/>
          <w:sz w:val="20"/>
          <w:szCs w:val="20"/>
        </w:rPr>
        <w:t>Gender, Nation and Conquest in the High Middle Ages: Nest of Deheubarth</w:t>
      </w:r>
      <w:r w:rsidRPr="001972CF">
        <w:rPr>
          <w:rFonts w:ascii="Calibri" w:hAnsi="Calibri" w:cs="Calibri"/>
          <w:sz w:val="20"/>
          <w:szCs w:val="20"/>
        </w:rPr>
        <w:t xml:space="preserve"> (Manchester: Manchester University Press, 2013), p. </w:t>
      </w:r>
      <w:r>
        <w:rPr>
          <w:rFonts w:ascii="Calibri" w:hAnsi="Calibri" w:cs="Calibri"/>
          <w:sz w:val="20"/>
          <w:szCs w:val="20"/>
        </w:rPr>
        <w:t>23</w:t>
      </w:r>
    </w:p>
    <w:p w14:paraId="47FE469E" w14:textId="4F86C5B1" w:rsidR="00EC6E36" w:rsidRPr="00B9199C" w:rsidRDefault="00EC6E36" w:rsidP="00CC04FC">
      <w:pPr>
        <w:tabs>
          <w:tab w:val="left" w:pos="630"/>
        </w:tabs>
        <w:spacing w:line="360" w:lineRule="auto"/>
        <w:rPr>
          <w:rFonts w:ascii="Calibri" w:hAnsi="Calibri" w:cs="Calibri"/>
          <w:sz w:val="22"/>
          <w:szCs w:val="22"/>
        </w:rPr>
      </w:pPr>
      <w:r w:rsidRPr="00B9199C">
        <w:rPr>
          <w:rFonts w:ascii="Calibri" w:hAnsi="Calibri" w:cs="Calibri"/>
          <w:i/>
          <w:iCs/>
          <w:sz w:val="22"/>
          <w:szCs w:val="22"/>
        </w:rPr>
        <w:lastRenderedPageBreak/>
        <w:t>Susan Johns</w:t>
      </w:r>
      <w:r w:rsidRPr="00B9199C">
        <w:rPr>
          <w:rFonts w:ascii="Calibri" w:hAnsi="Calibri" w:cs="Calibri"/>
          <w:sz w:val="22"/>
          <w:szCs w:val="22"/>
        </w:rPr>
        <w:t>, in her study of Nest's representation in the medieval sources, argues that these narratives must be read as much for what they reveal about their authors' concerns as for what they tell us about Nest herself.</w:t>
      </w:r>
      <w:r w:rsidR="009E0B64" w:rsidRPr="00430AA3">
        <w:rPr>
          <w:rFonts w:ascii="Calibri" w:hAnsi="Calibri" w:cs="Calibri"/>
          <w:sz w:val="22"/>
          <w:szCs w:val="22"/>
          <w:vertAlign w:val="superscript"/>
        </w:rPr>
        <w:t>7</w:t>
      </w:r>
      <w:r w:rsidRPr="00B9199C">
        <w:rPr>
          <w:rFonts w:ascii="Calibri" w:hAnsi="Calibri" w:cs="Calibri"/>
          <w:sz w:val="22"/>
          <w:szCs w:val="22"/>
        </w:rPr>
        <w:t xml:space="preserve"> The abduction, Johns suggests, may have functioned less as a straightforward record of events than as a vehicle for showcasing heroic Welsh resistance to Norman incursion — a reading that reframes the episode as a politically motivated narrative rather than a neutral account</w:t>
      </w:r>
      <w:r w:rsidR="000F50AE">
        <w:rPr>
          <w:rFonts w:ascii="Calibri" w:hAnsi="Calibri" w:cs="Calibri"/>
          <w:sz w:val="22"/>
          <w:szCs w:val="22"/>
        </w:rPr>
        <w:t>.</w:t>
      </w:r>
      <w:r w:rsidR="00374319" w:rsidRPr="00374319">
        <w:t xml:space="preserve"> </w:t>
      </w:r>
      <w:r w:rsidR="00374319" w:rsidRPr="00374319">
        <w:rPr>
          <w:rFonts w:ascii="Calibri" w:hAnsi="Calibri" w:cs="Calibri"/>
          <w:sz w:val="22"/>
          <w:szCs w:val="22"/>
        </w:rPr>
        <w:t>The complexity of the Brut as a source is compounded by its textual history. As Owain Wyn Jones has argued, the Brut is more accurately understood as a family of closely related chronicles than as a single unified text, and the section covering the early twelfth century — the period of Nest's abduction — may derive from a near-contemporary account whose author reflected the ambiguous and divided political sympathies of Wales in that period</w:t>
      </w:r>
      <w:r w:rsidR="00374319" w:rsidRPr="00430AA3">
        <w:rPr>
          <w:rFonts w:ascii="Calibri" w:hAnsi="Calibri" w:cs="Calibri"/>
          <w:sz w:val="22"/>
          <w:szCs w:val="22"/>
        </w:rPr>
        <w:t>.</w:t>
      </w:r>
      <w:r w:rsidR="003F124F" w:rsidRPr="00430AA3">
        <w:rPr>
          <w:rFonts w:ascii="Calibri" w:hAnsi="Calibri" w:cs="Calibri"/>
          <w:sz w:val="22"/>
          <w:szCs w:val="22"/>
          <w:vertAlign w:val="superscript"/>
        </w:rPr>
        <w:t>8</w:t>
      </w:r>
      <w:r w:rsidR="00374319" w:rsidRPr="00374319">
        <w:rPr>
          <w:rFonts w:ascii="Calibri" w:hAnsi="Calibri" w:cs="Calibri"/>
          <w:sz w:val="22"/>
          <w:szCs w:val="22"/>
        </w:rPr>
        <w:t xml:space="preserve"> This has direct implications for how the manuscript variants should be read: the differences between them are not merely scribal accidents but may reflect the distinct political and institutional contexts in which each version was produced and transmitted.</w:t>
      </w:r>
    </w:p>
    <w:p w14:paraId="00E809B2" w14:textId="41C3741A" w:rsidR="00EC6E36" w:rsidRPr="009D2406" w:rsidRDefault="00161E51" w:rsidP="00EC6E36">
      <w:pPr>
        <w:tabs>
          <w:tab w:val="left" w:pos="1660"/>
        </w:tabs>
        <w:spacing w:line="360" w:lineRule="auto"/>
        <w:rPr>
          <w:rFonts w:ascii="Calibri" w:hAnsi="Calibri" w:cs="Calibri"/>
          <w:sz w:val="22"/>
          <w:szCs w:val="22"/>
        </w:rPr>
      </w:pPr>
      <w:r>
        <w:rPr>
          <w:rFonts w:ascii="Calibri" w:hAnsi="Calibri" w:cs="Calibri"/>
          <w:sz w:val="22"/>
          <w:szCs w:val="22"/>
        </w:rPr>
        <w:t>T</w:t>
      </w:r>
      <w:r w:rsidRPr="00161E51">
        <w:rPr>
          <w:rFonts w:ascii="Calibri" w:hAnsi="Calibri" w:cs="Calibri"/>
          <w:sz w:val="22"/>
          <w:szCs w:val="22"/>
        </w:rPr>
        <w:t xml:space="preserve">his interpretive complexity is sharpened by a close reading of the manuscript variants. </w:t>
      </w:r>
      <w:r w:rsidRPr="00EB4CD5">
        <w:rPr>
          <w:rFonts w:ascii="Calibri" w:hAnsi="Calibri" w:cs="Calibri"/>
          <w:sz w:val="22"/>
          <w:szCs w:val="22"/>
        </w:rPr>
        <w:t>Johns</w:t>
      </w:r>
      <w:r w:rsidRPr="00161E51">
        <w:rPr>
          <w:rFonts w:ascii="Calibri" w:hAnsi="Calibri" w:cs="Calibri"/>
          <w:sz w:val="22"/>
          <w:szCs w:val="22"/>
        </w:rPr>
        <w:t xml:space="preserve"> </w:t>
      </w:r>
      <w:r w:rsidR="00EB4CD5">
        <w:rPr>
          <w:rFonts w:ascii="Calibri" w:hAnsi="Calibri" w:cs="Calibri"/>
          <w:sz w:val="22"/>
          <w:szCs w:val="22"/>
        </w:rPr>
        <w:t xml:space="preserve">too </w:t>
      </w:r>
      <w:r w:rsidRPr="00161E51">
        <w:rPr>
          <w:rFonts w:ascii="Calibri" w:hAnsi="Calibri" w:cs="Calibri"/>
          <w:sz w:val="22"/>
          <w:szCs w:val="22"/>
        </w:rPr>
        <w:t>reproduces the following passage from Peniarth MS 20</w:t>
      </w:r>
      <w:r w:rsidR="00EC6E36" w:rsidRPr="009D2406">
        <w:rPr>
          <w:rFonts w:ascii="Calibri" w:hAnsi="Calibri" w:cs="Calibri"/>
          <w:sz w:val="22"/>
          <w:szCs w:val="22"/>
        </w:rPr>
        <w:t>:</w:t>
      </w:r>
    </w:p>
    <w:p w14:paraId="1A6BECD7" w14:textId="77777777" w:rsidR="00E54A3F" w:rsidRPr="009D2406" w:rsidRDefault="00E54A3F" w:rsidP="00EC6E36">
      <w:pPr>
        <w:tabs>
          <w:tab w:val="left" w:pos="1660"/>
        </w:tabs>
        <w:spacing w:after="0" w:line="240" w:lineRule="auto"/>
        <w:jc w:val="center"/>
        <w:rPr>
          <w:rFonts w:ascii="Calibri" w:hAnsi="Calibri" w:cs="Calibri"/>
          <w:sz w:val="20"/>
          <w:szCs w:val="20"/>
        </w:rPr>
      </w:pPr>
      <w:r w:rsidRPr="009D2406">
        <w:rPr>
          <w:rFonts w:ascii="Calibri" w:hAnsi="Calibri" w:cs="Calibri"/>
          <w:sz w:val="20"/>
          <w:szCs w:val="20"/>
        </w:rPr>
        <w:t>And Gerald awoke from his slumber and was afraid when he heard the</w:t>
      </w:r>
    </w:p>
    <w:p w14:paraId="3969ABEE" w14:textId="77777777" w:rsidR="00E54A3F" w:rsidRPr="009D2406" w:rsidRDefault="00E54A3F" w:rsidP="00EC6E36">
      <w:pPr>
        <w:tabs>
          <w:tab w:val="left" w:pos="1660"/>
        </w:tabs>
        <w:spacing w:after="0" w:line="240" w:lineRule="auto"/>
        <w:jc w:val="center"/>
        <w:rPr>
          <w:rFonts w:ascii="Calibri" w:hAnsi="Calibri" w:cs="Calibri"/>
          <w:sz w:val="20"/>
          <w:szCs w:val="20"/>
        </w:rPr>
      </w:pPr>
      <w:r w:rsidRPr="009D2406">
        <w:rPr>
          <w:rFonts w:ascii="Calibri" w:hAnsi="Calibri" w:cs="Calibri"/>
          <w:sz w:val="20"/>
          <w:szCs w:val="20"/>
        </w:rPr>
        <w:t>shout, and knew not what he should do. And his wife said to him, ‘Go</w:t>
      </w:r>
    </w:p>
    <w:p w14:paraId="25F5894D" w14:textId="77777777" w:rsidR="00E54A3F" w:rsidRPr="009D2406" w:rsidRDefault="00E54A3F" w:rsidP="00EC6E36">
      <w:pPr>
        <w:tabs>
          <w:tab w:val="left" w:pos="1660"/>
        </w:tabs>
        <w:spacing w:after="0" w:line="240" w:lineRule="auto"/>
        <w:jc w:val="center"/>
        <w:rPr>
          <w:rFonts w:ascii="Calibri" w:hAnsi="Calibri" w:cs="Calibri"/>
          <w:sz w:val="20"/>
          <w:szCs w:val="20"/>
        </w:rPr>
      </w:pPr>
      <w:r w:rsidRPr="009D2406">
        <w:rPr>
          <w:rFonts w:ascii="Calibri" w:hAnsi="Calibri" w:cs="Calibri"/>
          <w:sz w:val="20"/>
          <w:szCs w:val="20"/>
        </w:rPr>
        <w:t>not to the door, for there are thine enemies around it, but come with</w:t>
      </w:r>
    </w:p>
    <w:p w14:paraId="57A11F85" w14:textId="77777777" w:rsidR="00E54A3F" w:rsidRPr="009D2406" w:rsidRDefault="00E54A3F" w:rsidP="00EC6E36">
      <w:pPr>
        <w:tabs>
          <w:tab w:val="left" w:pos="1660"/>
        </w:tabs>
        <w:spacing w:after="0" w:line="240" w:lineRule="auto"/>
        <w:jc w:val="center"/>
        <w:rPr>
          <w:rFonts w:ascii="Calibri" w:hAnsi="Calibri" w:cs="Calibri"/>
          <w:sz w:val="20"/>
          <w:szCs w:val="20"/>
        </w:rPr>
      </w:pPr>
      <w:r w:rsidRPr="009D2406">
        <w:rPr>
          <w:rFonts w:ascii="Calibri" w:hAnsi="Calibri" w:cs="Calibri"/>
          <w:sz w:val="20"/>
          <w:szCs w:val="20"/>
        </w:rPr>
        <w:t>me.’ And thus he did. And she led him to the privies which adjoined</w:t>
      </w:r>
    </w:p>
    <w:p w14:paraId="5B431545" w14:textId="77777777" w:rsidR="00E54A3F" w:rsidRPr="009D2406" w:rsidRDefault="00E54A3F" w:rsidP="00EC6E36">
      <w:pPr>
        <w:tabs>
          <w:tab w:val="left" w:pos="1660"/>
        </w:tabs>
        <w:spacing w:after="0" w:line="240" w:lineRule="auto"/>
        <w:jc w:val="center"/>
        <w:rPr>
          <w:rFonts w:ascii="Calibri" w:hAnsi="Calibri" w:cs="Calibri"/>
          <w:sz w:val="20"/>
          <w:szCs w:val="20"/>
        </w:rPr>
      </w:pPr>
      <w:r w:rsidRPr="009D2406">
        <w:rPr>
          <w:rFonts w:ascii="Calibri" w:hAnsi="Calibri" w:cs="Calibri"/>
          <w:sz w:val="20"/>
          <w:szCs w:val="20"/>
        </w:rPr>
        <w:t>the building. And through the pit of the privies he escaped. And when</w:t>
      </w:r>
    </w:p>
    <w:p w14:paraId="3793DDBF" w14:textId="77777777" w:rsidR="00E54A3F" w:rsidRPr="009D2406" w:rsidRDefault="00E54A3F" w:rsidP="00EC6E36">
      <w:pPr>
        <w:tabs>
          <w:tab w:val="left" w:pos="1660"/>
        </w:tabs>
        <w:spacing w:after="0" w:line="240" w:lineRule="auto"/>
        <w:jc w:val="center"/>
        <w:rPr>
          <w:rFonts w:ascii="Calibri" w:hAnsi="Calibri" w:cs="Calibri"/>
          <w:sz w:val="20"/>
          <w:szCs w:val="20"/>
        </w:rPr>
      </w:pPr>
      <w:r w:rsidRPr="009D2406">
        <w:rPr>
          <w:rFonts w:ascii="Calibri" w:hAnsi="Calibri" w:cs="Calibri"/>
          <w:sz w:val="20"/>
          <w:szCs w:val="20"/>
        </w:rPr>
        <w:t>Nest knew for certain that he had escaped, she shouted from within</w:t>
      </w:r>
    </w:p>
    <w:p w14:paraId="3EAEAE85" w14:textId="77777777" w:rsidR="00E54A3F" w:rsidRPr="009D2406" w:rsidRDefault="00E54A3F" w:rsidP="00EC6E36">
      <w:pPr>
        <w:tabs>
          <w:tab w:val="left" w:pos="1660"/>
        </w:tabs>
        <w:spacing w:after="0" w:line="240" w:lineRule="auto"/>
        <w:jc w:val="center"/>
        <w:rPr>
          <w:rFonts w:ascii="Calibri" w:hAnsi="Calibri" w:cs="Calibri"/>
          <w:sz w:val="20"/>
          <w:szCs w:val="20"/>
        </w:rPr>
      </w:pPr>
      <w:r w:rsidRPr="009D2406">
        <w:rPr>
          <w:rFonts w:ascii="Calibri" w:hAnsi="Calibri" w:cs="Calibri"/>
          <w:sz w:val="20"/>
          <w:szCs w:val="20"/>
        </w:rPr>
        <w:t>and said, ‘Why do you shout in vain? He whom you were seeking has</w:t>
      </w:r>
    </w:p>
    <w:p w14:paraId="4E69FEC1" w14:textId="77777777" w:rsidR="00E54A3F" w:rsidRPr="009D2406" w:rsidRDefault="00E54A3F" w:rsidP="00EC6E36">
      <w:pPr>
        <w:tabs>
          <w:tab w:val="left" w:pos="1660"/>
        </w:tabs>
        <w:spacing w:after="0" w:line="240" w:lineRule="auto"/>
        <w:jc w:val="center"/>
        <w:rPr>
          <w:rFonts w:ascii="Calibri" w:hAnsi="Calibri" w:cs="Calibri"/>
          <w:sz w:val="20"/>
          <w:szCs w:val="20"/>
        </w:rPr>
      </w:pPr>
      <w:r w:rsidRPr="009D2406">
        <w:rPr>
          <w:rFonts w:ascii="Calibri" w:hAnsi="Calibri" w:cs="Calibri"/>
          <w:sz w:val="20"/>
          <w:szCs w:val="20"/>
        </w:rPr>
        <w:t>escaped.’ And then they came inside and searched for him everywhere.</w:t>
      </w:r>
    </w:p>
    <w:p w14:paraId="79BC7509" w14:textId="06ED04AF" w:rsidR="009D2406" w:rsidRPr="009531E3" w:rsidRDefault="00E54A3F" w:rsidP="009531E3">
      <w:pPr>
        <w:tabs>
          <w:tab w:val="left" w:pos="1660"/>
        </w:tabs>
        <w:spacing w:line="240" w:lineRule="auto"/>
        <w:jc w:val="center"/>
        <w:rPr>
          <w:rFonts w:ascii="Calibri" w:hAnsi="Calibri" w:cs="Calibri"/>
          <w:sz w:val="22"/>
          <w:szCs w:val="22"/>
        </w:rPr>
      </w:pPr>
      <w:r w:rsidRPr="009D2406">
        <w:rPr>
          <w:rFonts w:ascii="Calibri" w:hAnsi="Calibri" w:cs="Calibri"/>
          <w:sz w:val="20"/>
          <w:szCs w:val="20"/>
        </w:rPr>
        <w:t>And when they did not find him, they seized Nest and her two sons and a third son, whom Gerald had by a concubine, and a daughter. And they utterly pillaged the castle and burned it. And he violated</w:t>
      </w:r>
      <w:r w:rsidR="00B20236" w:rsidRPr="009D2406">
        <w:rPr>
          <w:rFonts w:ascii="Calibri" w:hAnsi="Calibri" w:cs="Calibri"/>
          <w:sz w:val="20"/>
          <w:szCs w:val="20"/>
        </w:rPr>
        <w:t xml:space="preserve"> </w:t>
      </w:r>
      <w:r w:rsidRPr="009D2406">
        <w:rPr>
          <w:rFonts w:ascii="Calibri" w:hAnsi="Calibri" w:cs="Calibri"/>
          <w:sz w:val="20"/>
          <w:szCs w:val="20"/>
        </w:rPr>
        <w:t>Nest and lay with her and then returned home</w:t>
      </w:r>
      <w:r w:rsidRPr="009D2406">
        <w:rPr>
          <w:rFonts w:ascii="Calibri" w:hAnsi="Calibri" w:cs="Calibri"/>
          <w:sz w:val="22"/>
          <w:szCs w:val="22"/>
        </w:rPr>
        <w:t>.</w:t>
      </w:r>
      <w:r w:rsidR="00B20236" w:rsidRPr="009D2406">
        <w:rPr>
          <w:rFonts w:ascii="Calibri" w:hAnsi="Calibri" w:cs="Calibri"/>
          <w:sz w:val="22"/>
          <w:szCs w:val="22"/>
        </w:rPr>
        <w:t xml:space="preserve"> </w:t>
      </w:r>
      <w:r w:rsidR="003F124F">
        <w:rPr>
          <w:rFonts w:ascii="Calibri" w:hAnsi="Calibri" w:cs="Calibri"/>
          <w:sz w:val="22"/>
          <w:szCs w:val="22"/>
          <w:vertAlign w:val="superscript"/>
        </w:rPr>
        <w:t>9</w:t>
      </w:r>
    </w:p>
    <w:p w14:paraId="548233B1" w14:textId="498BA843" w:rsidR="00883C75" w:rsidRPr="009D2406" w:rsidRDefault="00883C75" w:rsidP="00C9280C">
      <w:pPr>
        <w:tabs>
          <w:tab w:val="left" w:pos="1660"/>
        </w:tabs>
        <w:spacing w:line="360" w:lineRule="auto"/>
        <w:rPr>
          <w:rFonts w:ascii="Calibri" w:hAnsi="Calibri" w:cs="Calibri"/>
          <w:sz w:val="22"/>
          <w:szCs w:val="22"/>
        </w:rPr>
      </w:pPr>
      <w:r w:rsidRPr="00D708E5">
        <w:rPr>
          <w:rFonts w:ascii="Calibri" w:hAnsi="Calibri" w:cs="Calibri"/>
          <w:i/>
          <w:iCs/>
          <w:sz w:val="22"/>
          <w:szCs w:val="22"/>
        </w:rPr>
        <w:t>Peniarth MS 20</w:t>
      </w:r>
      <w:r w:rsidRPr="00883C75">
        <w:rPr>
          <w:rFonts w:ascii="Calibri" w:hAnsi="Calibri" w:cs="Calibri"/>
          <w:sz w:val="22"/>
          <w:szCs w:val="22"/>
        </w:rPr>
        <w:t xml:space="preserve"> additionally reports that when Cadwgan, Owain’s father, became aware of the incident he experienced both distress and fear—anguish at the woman’s violation and anxiety regarding how King Henry might react to harm inflicted on his official. As Johns notes, this account is subtle and shaped by its genre and context, yet it reveals contemporary attitudes toward gender, political authority, and </w:t>
      </w:r>
      <w:r w:rsidRPr="00E34DE2">
        <w:rPr>
          <w:rFonts w:ascii="Calibri" w:hAnsi="Calibri" w:cs="Calibri"/>
          <w:sz w:val="22"/>
          <w:szCs w:val="22"/>
        </w:rPr>
        <w:t>conquest.</w:t>
      </w:r>
      <w:r w:rsidR="003F124F" w:rsidRPr="00E34DE2">
        <w:rPr>
          <w:rFonts w:ascii="Calibri" w:hAnsi="Calibri" w:cs="Calibri"/>
          <w:sz w:val="22"/>
          <w:szCs w:val="22"/>
          <w:vertAlign w:val="superscript"/>
        </w:rPr>
        <w:t>10</w:t>
      </w:r>
      <w:r w:rsidRPr="00883C75">
        <w:rPr>
          <w:rFonts w:ascii="Calibri" w:hAnsi="Calibri" w:cs="Calibri"/>
          <w:sz w:val="22"/>
          <w:szCs w:val="22"/>
        </w:rPr>
        <w:t xml:space="preserve"> </w:t>
      </w:r>
      <w:r w:rsidR="00D708E5" w:rsidRPr="009D2406">
        <w:rPr>
          <w:rFonts w:ascii="Calibri" w:hAnsi="Calibri" w:cs="Calibri"/>
          <w:sz w:val="22"/>
          <w:szCs w:val="22"/>
        </w:rPr>
        <w:t xml:space="preserve">A close reading of the representation can help identify beliefs about morality, codes of conduct, expectations of the nobility, military tactics, gender roles, sexuality, and broader cultural norms. </w:t>
      </w:r>
    </w:p>
    <w:p w14:paraId="4CD2C979" w14:textId="6A2DEA4E" w:rsidR="00E34DE2" w:rsidRDefault="00E34DE2" w:rsidP="00430AA3">
      <w:pPr>
        <w:tabs>
          <w:tab w:val="left" w:pos="1660"/>
        </w:tabs>
        <w:spacing w:after="0" w:line="240" w:lineRule="auto"/>
        <w:rPr>
          <w:rFonts w:ascii="Calibri" w:hAnsi="Calibri" w:cs="Calibri"/>
          <w:sz w:val="20"/>
          <w:szCs w:val="20"/>
          <w:vertAlign w:val="superscript"/>
        </w:rPr>
      </w:pPr>
      <w:r>
        <w:rPr>
          <w:rFonts w:ascii="Calibri" w:hAnsi="Calibri" w:cs="Calibri"/>
          <w:sz w:val="20"/>
          <w:szCs w:val="20"/>
          <w:vertAlign w:val="superscript"/>
        </w:rPr>
        <w:t>_________________________________</w:t>
      </w:r>
    </w:p>
    <w:p w14:paraId="62EF6938" w14:textId="14990147" w:rsidR="00430AA3" w:rsidRPr="001972CF" w:rsidRDefault="00430AA3" w:rsidP="00430AA3">
      <w:pPr>
        <w:tabs>
          <w:tab w:val="left" w:pos="1660"/>
        </w:tabs>
        <w:spacing w:after="0" w:line="240" w:lineRule="auto"/>
        <w:rPr>
          <w:rFonts w:ascii="Calibri" w:hAnsi="Calibri" w:cs="Calibri"/>
          <w:sz w:val="20"/>
          <w:szCs w:val="20"/>
        </w:rPr>
      </w:pPr>
      <w:r w:rsidRPr="003F124F">
        <w:rPr>
          <w:rFonts w:ascii="Calibri" w:hAnsi="Calibri" w:cs="Calibri"/>
          <w:sz w:val="20"/>
          <w:szCs w:val="20"/>
          <w:vertAlign w:val="superscript"/>
        </w:rPr>
        <w:t>8</w:t>
      </w:r>
      <w:r w:rsidRPr="003F124F">
        <w:rPr>
          <w:rFonts w:ascii="Calibri" w:hAnsi="Calibri" w:cs="Calibri"/>
          <w:sz w:val="20"/>
          <w:szCs w:val="20"/>
        </w:rPr>
        <w:t xml:space="preserve">. Owain Wyn Jones, 'Brut y Tywysogion: the History of the Princes and Twelfth-Century Cambro-Latin Historical Writing', in </w:t>
      </w:r>
      <w:r w:rsidRPr="003F124F">
        <w:rPr>
          <w:rStyle w:val="Emphasis"/>
          <w:rFonts w:ascii="Calibri" w:hAnsi="Calibri" w:cs="Calibri"/>
          <w:sz w:val="20"/>
          <w:szCs w:val="20"/>
        </w:rPr>
        <w:t>The Haskins Society Journal 26: Studies in Medieval History</w:t>
      </w:r>
      <w:r w:rsidRPr="003F124F">
        <w:rPr>
          <w:rFonts w:ascii="Calibri" w:hAnsi="Calibri" w:cs="Calibri"/>
          <w:sz w:val="20"/>
          <w:szCs w:val="20"/>
        </w:rPr>
        <w:t>, ed. by Laura L. Gathagan and William North (Woodbridge: Boydell and Brewer, 2015), pp. 209–228</w:t>
      </w:r>
    </w:p>
    <w:p w14:paraId="15A47F35" w14:textId="77777777" w:rsidR="00430AA3" w:rsidRPr="001972CF" w:rsidRDefault="00430AA3" w:rsidP="00430AA3">
      <w:pPr>
        <w:tabs>
          <w:tab w:val="left" w:pos="1660"/>
        </w:tabs>
        <w:spacing w:after="0" w:line="240" w:lineRule="auto"/>
        <w:rPr>
          <w:rFonts w:ascii="Calibri" w:hAnsi="Calibri" w:cs="Calibri"/>
          <w:sz w:val="18"/>
          <w:szCs w:val="18"/>
        </w:rPr>
      </w:pPr>
      <w:r>
        <w:rPr>
          <w:rFonts w:ascii="Calibri" w:hAnsi="Calibri" w:cs="Calibri"/>
          <w:sz w:val="20"/>
          <w:szCs w:val="20"/>
          <w:vertAlign w:val="superscript"/>
        </w:rPr>
        <w:t>9</w:t>
      </w:r>
      <w:r w:rsidRPr="001972CF">
        <w:rPr>
          <w:rFonts w:ascii="Calibri" w:hAnsi="Calibri" w:cs="Calibri"/>
          <w:sz w:val="20"/>
          <w:szCs w:val="20"/>
        </w:rPr>
        <w:t xml:space="preserve">. </w:t>
      </w:r>
      <w:r w:rsidRPr="00B833A1">
        <w:rPr>
          <w:rFonts w:ascii="Calibri" w:hAnsi="Calibri" w:cs="Calibri"/>
          <w:sz w:val="20"/>
          <w:szCs w:val="20"/>
        </w:rPr>
        <w:t xml:space="preserve">Brut, Peniarth MS 20, p. 41, as quoted in Johns, </w:t>
      </w:r>
      <w:r w:rsidRPr="00B833A1">
        <w:rPr>
          <w:rFonts w:ascii="Calibri" w:hAnsi="Calibri" w:cs="Calibri"/>
          <w:i/>
          <w:iCs/>
          <w:sz w:val="20"/>
          <w:szCs w:val="20"/>
        </w:rPr>
        <w:t>Gender, Nation and Conquest</w:t>
      </w:r>
      <w:r w:rsidRPr="00B833A1">
        <w:rPr>
          <w:rFonts w:ascii="Calibri" w:hAnsi="Calibri" w:cs="Calibri"/>
          <w:sz w:val="20"/>
          <w:szCs w:val="20"/>
        </w:rPr>
        <w:t>, p. 22.</w:t>
      </w:r>
    </w:p>
    <w:p w14:paraId="62B0E360" w14:textId="77777777" w:rsidR="00430AA3" w:rsidRPr="00CC04FC" w:rsidRDefault="00430AA3" w:rsidP="00430AA3">
      <w:pPr>
        <w:tabs>
          <w:tab w:val="left" w:pos="1660"/>
        </w:tabs>
        <w:spacing w:after="0" w:line="240" w:lineRule="auto"/>
        <w:rPr>
          <w:rFonts w:ascii="Calibri" w:hAnsi="Calibri" w:cs="Calibri"/>
          <w:sz w:val="20"/>
          <w:szCs w:val="20"/>
        </w:rPr>
      </w:pPr>
      <w:r>
        <w:rPr>
          <w:rFonts w:ascii="Calibri" w:hAnsi="Calibri" w:cs="Calibri"/>
          <w:sz w:val="20"/>
          <w:szCs w:val="20"/>
          <w:vertAlign w:val="superscript"/>
        </w:rPr>
        <w:t>10</w:t>
      </w:r>
      <w:r w:rsidRPr="001972CF">
        <w:rPr>
          <w:rFonts w:ascii="Calibri" w:hAnsi="Calibri" w:cs="Calibri"/>
          <w:sz w:val="20"/>
          <w:szCs w:val="20"/>
        </w:rPr>
        <w:t xml:space="preserve">. Johns, </w:t>
      </w:r>
      <w:r w:rsidRPr="001972CF">
        <w:rPr>
          <w:rFonts w:ascii="Calibri" w:hAnsi="Calibri" w:cs="Calibri"/>
          <w:i/>
          <w:iCs/>
          <w:sz w:val="20"/>
          <w:szCs w:val="20"/>
        </w:rPr>
        <w:t>Gender, Nation and Conquest</w:t>
      </w:r>
      <w:r w:rsidRPr="001972CF">
        <w:rPr>
          <w:rFonts w:ascii="Calibri" w:hAnsi="Calibri" w:cs="Calibri"/>
          <w:sz w:val="20"/>
          <w:szCs w:val="20"/>
        </w:rPr>
        <w:t>, p. 2</w:t>
      </w:r>
      <w:r>
        <w:rPr>
          <w:rFonts w:ascii="Calibri" w:hAnsi="Calibri" w:cs="Calibri"/>
          <w:sz w:val="20"/>
          <w:szCs w:val="20"/>
        </w:rPr>
        <w:t>4</w:t>
      </w:r>
      <w:r w:rsidRPr="001972CF">
        <w:rPr>
          <w:rFonts w:ascii="Calibri" w:hAnsi="Calibri" w:cs="Calibri"/>
          <w:sz w:val="20"/>
          <w:szCs w:val="20"/>
        </w:rPr>
        <w:t>.</w:t>
      </w:r>
    </w:p>
    <w:p w14:paraId="2A6F8C5B" w14:textId="77777777" w:rsidR="00430AA3" w:rsidRDefault="00430AA3" w:rsidP="00430AA3">
      <w:pPr>
        <w:tabs>
          <w:tab w:val="left" w:pos="540"/>
        </w:tabs>
        <w:spacing w:line="360" w:lineRule="auto"/>
        <w:rPr>
          <w:rFonts w:ascii="Calibri" w:hAnsi="Calibri" w:cs="Calibri"/>
        </w:rPr>
      </w:pPr>
      <w:r>
        <w:rPr>
          <w:rFonts w:ascii="Calibri" w:hAnsi="Calibri" w:cs="Calibri"/>
        </w:rPr>
        <w:tab/>
      </w:r>
    </w:p>
    <w:p w14:paraId="2C0DBF31" w14:textId="77777777" w:rsidR="00FD7C4F" w:rsidRDefault="00C9280C" w:rsidP="00E34DE2">
      <w:pPr>
        <w:tabs>
          <w:tab w:val="left" w:pos="540"/>
        </w:tabs>
        <w:spacing w:line="360" w:lineRule="auto"/>
        <w:rPr>
          <w:rFonts w:ascii="Calibri" w:hAnsi="Calibri" w:cs="Calibri"/>
        </w:rPr>
      </w:pPr>
      <w:r w:rsidRPr="00214960">
        <w:rPr>
          <w:rFonts w:ascii="Calibri" w:hAnsi="Calibri" w:cs="Calibri"/>
          <w:sz w:val="22"/>
          <w:szCs w:val="22"/>
        </w:rPr>
        <w:lastRenderedPageBreak/>
        <w:t xml:space="preserve">The variant recensions of the narrative display significant differences that </w:t>
      </w:r>
      <w:r w:rsidR="00D86988">
        <w:rPr>
          <w:rFonts w:ascii="Calibri" w:hAnsi="Calibri" w:cs="Calibri"/>
          <w:sz w:val="22"/>
          <w:szCs w:val="22"/>
        </w:rPr>
        <w:t>merit</w:t>
      </w:r>
      <w:r w:rsidRPr="00214960">
        <w:rPr>
          <w:rFonts w:ascii="Calibri" w:hAnsi="Calibri" w:cs="Calibri"/>
          <w:sz w:val="22"/>
          <w:szCs w:val="22"/>
        </w:rPr>
        <w:t xml:space="preserve"> close attention. </w:t>
      </w:r>
      <w:r w:rsidRPr="00214960">
        <w:rPr>
          <w:rFonts w:ascii="Calibri" w:hAnsi="Calibri" w:cs="Calibri"/>
          <w:i/>
          <w:iCs/>
          <w:sz w:val="22"/>
          <w:szCs w:val="22"/>
        </w:rPr>
        <w:t>The Red Book of Hergest</w:t>
      </w:r>
      <w:r w:rsidRPr="00214960">
        <w:rPr>
          <w:rFonts w:ascii="Calibri" w:hAnsi="Calibri" w:cs="Calibri"/>
          <w:sz w:val="22"/>
          <w:szCs w:val="22"/>
        </w:rPr>
        <w:t xml:space="preserve"> expands the account by reporting that Owain secretly made a hole under the threshold to enter the stronghold and that the assailants kindled tapers and set fire to the buildings. Gerald is said to have escaped by way of the privy hole. Such largely consistent particulars suggest that the tale circulated with relatively limited alteration, perhaps through oral transmission. Nevertheless, the different versions of the </w:t>
      </w:r>
      <w:r w:rsidRPr="00214960">
        <w:rPr>
          <w:rFonts w:ascii="Calibri" w:hAnsi="Calibri" w:cs="Calibri"/>
          <w:i/>
          <w:iCs/>
          <w:sz w:val="22"/>
          <w:szCs w:val="22"/>
        </w:rPr>
        <w:t>Brut</w:t>
      </w:r>
      <w:r w:rsidRPr="00214960">
        <w:rPr>
          <w:rFonts w:ascii="Calibri" w:hAnsi="Calibri" w:cs="Calibri"/>
          <w:sz w:val="22"/>
          <w:szCs w:val="22"/>
        </w:rPr>
        <w:t xml:space="preserve"> diverge in significant emphases. In </w:t>
      </w:r>
      <w:r w:rsidRPr="00E97809">
        <w:rPr>
          <w:rFonts w:ascii="Calibri" w:hAnsi="Calibri" w:cs="Calibri"/>
          <w:sz w:val="22"/>
          <w:szCs w:val="22"/>
        </w:rPr>
        <w:t>Peniarth MS 20</w:t>
      </w:r>
      <w:r w:rsidRPr="00214960">
        <w:rPr>
          <w:rFonts w:ascii="Calibri" w:hAnsi="Calibri" w:cs="Calibri"/>
          <w:sz w:val="22"/>
          <w:szCs w:val="22"/>
        </w:rPr>
        <w:t xml:space="preserve"> Owain's deeds are attributed to the Devil, whereas the Red Book of Hergest attributes them to God's instigation</w:t>
      </w:r>
      <w:r w:rsidRPr="00E97809">
        <w:rPr>
          <w:rFonts w:ascii="Calibri" w:hAnsi="Calibri" w:cs="Calibri"/>
          <w:sz w:val="22"/>
          <w:szCs w:val="22"/>
        </w:rPr>
        <w:t>. Peniarth MS 20</w:t>
      </w:r>
      <w:r w:rsidRPr="00214960">
        <w:rPr>
          <w:rFonts w:ascii="Calibri" w:hAnsi="Calibri" w:cs="Calibri"/>
          <w:sz w:val="22"/>
          <w:szCs w:val="22"/>
        </w:rPr>
        <w:t xml:space="preserve"> explicitly describes Nest as having been raped, while the Red Book of Hergest records only that Owain had sexual intercourse with her — a phrasing that lacks the explicit connotation of coercion. This contrast suggests a more sympathetic portrayal of Owain in the Red Book of Hergest, and the Peniarth MS 20 author may reflect clerical suspicion of female sexuality, though that representation </w:t>
      </w:r>
      <w:r w:rsidR="003721E1">
        <w:rPr>
          <w:rFonts w:ascii="Calibri" w:hAnsi="Calibri" w:cs="Calibri"/>
          <w:sz w:val="22"/>
          <w:szCs w:val="22"/>
        </w:rPr>
        <w:t xml:space="preserve">remains </w:t>
      </w:r>
      <w:r w:rsidRPr="00214960">
        <w:rPr>
          <w:rFonts w:ascii="Calibri" w:hAnsi="Calibri" w:cs="Calibri"/>
          <w:sz w:val="22"/>
          <w:szCs w:val="22"/>
        </w:rPr>
        <w:t xml:space="preserve">complex and layered. </w:t>
      </w:r>
      <w:r w:rsidRPr="00214960">
        <w:rPr>
          <w:rFonts w:ascii="Calibri" w:hAnsi="Calibri" w:cs="Calibri"/>
          <w:i/>
          <w:iCs/>
          <w:sz w:val="22"/>
          <w:szCs w:val="22"/>
        </w:rPr>
        <w:t>Brenhinedd y Saesson</w:t>
      </w:r>
      <w:r w:rsidRPr="00214960">
        <w:rPr>
          <w:rFonts w:ascii="Calibri" w:hAnsi="Calibri" w:cs="Calibri"/>
          <w:sz w:val="22"/>
          <w:szCs w:val="22"/>
        </w:rPr>
        <w:t>, by comparison, merely states that Nest was seized, without employing language that specifies rape or any particular sexual act. These variations are not incidental: they demonstrate that even within a single chronicle tradition, the meaning of Nest's experience was contested and unstable, shaped by the priorities of individual scribes and the communities for which they wrote.</w:t>
      </w:r>
      <w:r w:rsidR="0098016E" w:rsidRPr="00214960">
        <w:rPr>
          <w:rFonts w:ascii="Calibri" w:hAnsi="Calibri" w:cs="Calibri"/>
          <w:sz w:val="22"/>
          <w:szCs w:val="22"/>
        </w:rPr>
        <w:t xml:space="preserve"> </w:t>
      </w:r>
      <w:r w:rsidR="00E34DE2">
        <w:rPr>
          <w:rFonts w:ascii="Calibri" w:hAnsi="Calibri" w:cs="Calibri"/>
        </w:rPr>
        <w:t xml:space="preserve"> </w:t>
      </w:r>
    </w:p>
    <w:p w14:paraId="78FECC3F" w14:textId="296F4098" w:rsidR="00C21C75" w:rsidRPr="00E34DE2" w:rsidRDefault="00A32B06" w:rsidP="00E34DE2">
      <w:pPr>
        <w:tabs>
          <w:tab w:val="left" w:pos="540"/>
        </w:tabs>
        <w:spacing w:line="360" w:lineRule="auto"/>
        <w:rPr>
          <w:rFonts w:ascii="Calibri" w:hAnsi="Calibri" w:cs="Calibri"/>
        </w:rPr>
      </w:pPr>
      <w:r w:rsidRPr="00A32B06">
        <w:rPr>
          <w:rFonts w:ascii="Calibri" w:hAnsi="Calibri" w:cs="Calibri"/>
          <w:sz w:val="22"/>
          <w:szCs w:val="22"/>
        </w:rPr>
        <w:t>What the variants reveal, taken together, is that Nest's experience was never simply recorded — it was interpreted, shaped, and contested by every hand that transmitted it. That instability is itself the most important thing the manuscript tradition tells us.</w:t>
      </w:r>
    </w:p>
    <w:p w14:paraId="78075876" w14:textId="0BFAA270" w:rsidR="009531E3" w:rsidRPr="00F276A3" w:rsidRDefault="00CD6DA6" w:rsidP="00F276A3">
      <w:pPr>
        <w:tabs>
          <w:tab w:val="left" w:pos="540"/>
        </w:tabs>
        <w:spacing w:line="360" w:lineRule="auto"/>
        <w:rPr>
          <w:rFonts w:ascii="Calibri" w:hAnsi="Calibri" w:cs="Calibri"/>
          <w:sz w:val="22"/>
          <w:szCs w:val="22"/>
        </w:rPr>
      </w:pPr>
      <w:r w:rsidRPr="0040739C">
        <w:rPr>
          <w:rFonts w:ascii="Calibri" w:hAnsi="Calibri" w:cs="Calibri"/>
          <w:sz w:val="22"/>
          <w:szCs w:val="22"/>
        </w:rPr>
        <w:t xml:space="preserve">Notably, the abduction of Nest caused serious repercussions in south-west Wales and provided an opportunity for the king’s official Richard de Belmaisto </w:t>
      </w:r>
      <w:r w:rsidR="00066AF3">
        <w:rPr>
          <w:rFonts w:ascii="Calibri" w:hAnsi="Calibri" w:cs="Calibri"/>
          <w:sz w:val="22"/>
          <w:szCs w:val="22"/>
        </w:rPr>
        <w:t xml:space="preserve">to </w:t>
      </w:r>
      <w:r w:rsidRPr="0040739C">
        <w:rPr>
          <w:rFonts w:ascii="Calibri" w:hAnsi="Calibri" w:cs="Calibri"/>
          <w:sz w:val="22"/>
          <w:szCs w:val="22"/>
        </w:rPr>
        <w:t xml:space="preserve">take advantage of traditional Welsh rivalries and hostilities. </w:t>
      </w:r>
      <w:r w:rsidR="00DA15F3">
        <w:rPr>
          <w:rFonts w:ascii="Calibri" w:hAnsi="Calibri" w:cs="Calibri"/>
          <w:sz w:val="22"/>
          <w:szCs w:val="22"/>
        </w:rPr>
        <w:t>Not only was</w:t>
      </w:r>
      <w:r w:rsidRPr="0040739C">
        <w:rPr>
          <w:rFonts w:ascii="Calibri" w:hAnsi="Calibri" w:cs="Calibri"/>
          <w:sz w:val="22"/>
          <w:szCs w:val="22"/>
        </w:rPr>
        <w:t xml:space="preserve"> Owen’s father was for some time deprived of his lands by Henry I</w:t>
      </w:r>
      <w:r w:rsidR="00DA15F3">
        <w:rPr>
          <w:rFonts w:ascii="Calibri" w:hAnsi="Calibri" w:cs="Calibri"/>
          <w:sz w:val="22"/>
          <w:szCs w:val="22"/>
        </w:rPr>
        <w:t xml:space="preserve"> but </w:t>
      </w:r>
      <w:r w:rsidRPr="0040739C">
        <w:rPr>
          <w:rFonts w:ascii="Calibri" w:hAnsi="Calibri" w:cs="Calibri"/>
          <w:sz w:val="22"/>
          <w:szCs w:val="22"/>
        </w:rPr>
        <w:t>the abduction heightened the political tensions already existing and encouraged a sense of retribution. And for Gerald</w:t>
      </w:r>
      <w:r w:rsidR="00A77721" w:rsidRPr="0040739C">
        <w:rPr>
          <w:rFonts w:ascii="Calibri" w:hAnsi="Calibri" w:cs="Calibri"/>
          <w:sz w:val="22"/>
          <w:szCs w:val="22"/>
        </w:rPr>
        <w:t xml:space="preserve"> of Pem</w:t>
      </w:r>
      <w:r w:rsidR="001D1E0B" w:rsidRPr="0040739C">
        <w:rPr>
          <w:rFonts w:ascii="Calibri" w:hAnsi="Calibri" w:cs="Calibri"/>
          <w:sz w:val="22"/>
          <w:szCs w:val="22"/>
        </w:rPr>
        <w:t>broke</w:t>
      </w:r>
      <w:r w:rsidRPr="0040739C">
        <w:rPr>
          <w:rFonts w:ascii="Calibri" w:hAnsi="Calibri" w:cs="Calibri"/>
          <w:sz w:val="22"/>
          <w:szCs w:val="22"/>
        </w:rPr>
        <w:t>,</w:t>
      </w:r>
      <w:r w:rsidR="00D139B2">
        <w:rPr>
          <w:rFonts w:ascii="Calibri" w:hAnsi="Calibri" w:cs="Calibri"/>
          <w:sz w:val="22"/>
          <w:szCs w:val="22"/>
        </w:rPr>
        <w:t xml:space="preserve"> it</w:t>
      </w:r>
      <w:r w:rsidRPr="0040739C">
        <w:rPr>
          <w:rFonts w:ascii="Calibri" w:hAnsi="Calibri" w:cs="Calibri"/>
          <w:sz w:val="22"/>
          <w:szCs w:val="22"/>
        </w:rPr>
        <w:t xml:space="preserve"> </w:t>
      </w:r>
      <w:r w:rsidR="001D1E0B" w:rsidRPr="0040739C">
        <w:rPr>
          <w:rFonts w:ascii="Calibri" w:hAnsi="Calibri" w:cs="Calibri"/>
          <w:sz w:val="22"/>
          <w:szCs w:val="22"/>
        </w:rPr>
        <w:t xml:space="preserve">carried a particularly personal humiliation; </w:t>
      </w:r>
      <w:r w:rsidR="001B3CD9">
        <w:rPr>
          <w:rFonts w:ascii="Calibri" w:hAnsi="Calibri" w:cs="Calibri"/>
          <w:sz w:val="22"/>
          <w:szCs w:val="22"/>
        </w:rPr>
        <w:t>y</w:t>
      </w:r>
      <w:r w:rsidR="001B3CD9" w:rsidRPr="001B3CD9">
        <w:rPr>
          <w:rFonts w:ascii="Calibri" w:hAnsi="Calibri" w:cs="Calibri"/>
          <w:sz w:val="22"/>
          <w:szCs w:val="22"/>
        </w:rPr>
        <w:t>et if Nest is granted agency — evidence suggests that she remained with Owain for more than a year and may have borne him one or more children before rejoining Gerald — this duration is difficult to explain purely as captivity. A woman held purely against her will by a man who had just been outlawed by the king, whose position was precarious and whose enemies were multiplying, had both motive and opportunity to return or to seek assistance. That she apparently did not, at least not immediately, opens the possibility that remaining served her own purposes — whether as a rejection of a Norman marriage she had no choice in, an assertion of Welsh identity, or simply the exercise of a will the sources were not designed to record</w:t>
      </w:r>
      <w:r w:rsidR="009E0B64" w:rsidRPr="009E0B64">
        <w:rPr>
          <w:rFonts w:ascii="Calibri" w:hAnsi="Calibri" w:cs="Calibri"/>
          <w:sz w:val="22"/>
          <w:szCs w:val="22"/>
        </w:rPr>
        <w:t>.</w:t>
      </w:r>
      <w:r w:rsidR="009E0B64">
        <w:rPr>
          <w:rFonts w:ascii="Calibri" w:hAnsi="Calibri" w:cs="Calibri"/>
          <w:sz w:val="22"/>
          <w:szCs w:val="22"/>
          <w:vertAlign w:val="superscript"/>
        </w:rPr>
        <w:t xml:space="preserve"> </w:t>
      </w:r>
      <w:r w:rsidR="001B3CD9" w:rsidRPr="001B3CD9">
        <w:rPr>
          <w:rFonts w:ascii="Calibri" w:hAnsi="Calibri" w:cs="Calibri"/>
          <w:sz w:val="22"/>
          <w:szCs w:val="22"/>
        </w:rPr>
        <w:t>It may equally be read, in other words, as an act of deliberate defiance</w:t>
      </w:r>
      <w:r w:rsidR="000E6846">
        <w:rPr>
          <w:rFonts w:ascii="Calibri" w:hAnsi="Calibri" w:cs="Calibri"/>
          <w:sz w:val="22"/>
          <w:szCs w:val="22"/>
        </w:rPr>
        <w:t xml:space="preserve">. </w:t>
      </w:r>
      <w:r w:rsidR="00F276A3" w:rsidRPr="00F276A3">
        <w:rPr>
          <w:rFonts w:ascii="Calibri" w:hAnsi="Calibri" w:cs="Calibri"/>
          <w:sz w:val="22"/>
          <w:szCs w:val="22"/>
        </w:rPr>
        <w:t xml:space="preserve">The sources </w:t>
      </w:r>
      <w:r w:rsidR="00BC78CD">
        <w:rPr>
          <w:rFonts w:ascii="Calibri" w:hAnsi="Calibri" w:cs="Calibri"/>
          <w:sz w:val="22"/>
          <w:szCs w:val="22"/>
        </w:rPr>
        <w:t xml:space="preserve">discussed </w:t>
      </w:r>
      <w:r w:rsidR="00F276A3" w:rsidRPr="00F276A3">
        <w:rPr>
          <w:rFonts w:ascii="Calibri" w:hAnsi="Calibri" w:cs="Calibri"/>
          <w:sz w:val="22"/>
          <w:szCs w:val="22"/>
        </w:rPr>
        <w:t xml:space="preserve">do not </w:t>
      </w:r>
      <w:r w:rsidR="00F276A3" w:rsidRPr="00F276A3">
        <w:rPr>
          <w:rFonts w:ascii="Calibri" w:hAnsi="Calibri" w:cs="Calibri"/>
          <w:sz w:val="22"/>
          <w:szCs w:val="22"/>
        </w:rPr>
        <w:lastRenderedPageBreak/>
        <w:t>pursue this reading, and any claim about Nest's volition must remain speculative. But that speculative limit is not merely a gap in this particular case — it is structural. The impossibility of recovering female agency from sources that were never designed to record it is itself the most precise demonstration of how medieval women's historical visibility worked. Nest is not invisible because the evidence was lost; she is invisible because the authors who preserved her had no interest in the question of what she wanted. That silence is as historically significant as anything the sources do say.</w:t>
      </w:r>
      <w:r w:rsidR="002A65A8">
        <w:rPr>
          <w:rFonts w:ascii="Calibri" w:hAnsi="Calibri" w:cs="Calibri"/>
          <w:sz w:val="22"/>
          <w:szCs w:val="22"/>
        </w:rPr>
        <w:t xml:space="preserve"> T</w:t>
      </w:r>
      <w:r w:rsidR="008D7006" w:rsidRPr="0040739C">
        <w:rPr>
          <w:rFonts w:ascii="Calibri" w:hAnsi="Calibri" w:cs="Calibri"/>
          <w:sz w:val="22"/>
          <w:szCs w:val="22"/>
        </w:rPr>
        <w:t>his pattern of projection and construction has persisted well beyond the medieval period. That Nest has been called the 'Helen of Wales' tells us considerably more about how later writers romanticized and mythologized her than about the woman herself</w:t>
      </w:r>
      <w:r w:rsidR="008D7006" w:rsidRPr="009D1CA1">
        <w:rPr>
          <w:rFonts w:ascii="Calibri" w:hAnsi="Calibri" w:cs="Calibri"/>
          <w:sz w:val="22"/>
          <w:szCs w:val="22"/>
        </w:rPr>
        <w:t>.</w:t>
      </w:r>
      <w:r w:rsidR="00E95B5E" w:rsidRPr="009D1CA1">
        <w:rPr>
          <w:rFonts w:ascii="Calibri" w:hAnsi="Calibri" w:cs="Calibri"/>
          <w:sz w:val="22"/>
          <w:szCs w:val="22"/>
          <w:vertAlign w:val="superscript"/>
        </w:rPr>
        <w:t>1</w:t>
      </w:r>
      <w:r w:rsidR="003F124F" w:rsidRPr="009D1CA1">
        <w:rPr>
          <w:rFonts w:ascii="Calibri" w:hAnsi="Calibri" w:cs="Calibri"/>
          <w:sz w:val="22"/>
          <w:szCs w:val="22"/>
          <w:vertAlign w:val="superscript"/>
        </w:rPr>
        <w:t>1</w:t>
      </w:r>
      <w:r w:rsidR="008D7006" w:rsidRPr="0040739C">
        <w:rPr>
          <w:rFonts w:ascii="Calibri" w:hAnsi="Calibri" w:cs="Calibri"/>
          <w:sz w:val="22"/>
          <w:szCs w:val="22"/>
        </w:rPr>
        <w:t xml:space="preserve"> The epithet reframes her abduction as a grand romantic episode — something done for her, or because of her — rather than a violent political act with lasting consequences for her life and the lives of those around her. It is a label that belongs to the history of Nest's reception rather than to Nest's history, and it serves as a reminder that the distortions in her story did not end with the medieval chroniclers.</w:t>
      </w:r>
      <w:r w:rsidR="006424CD">
        <w:rPr>
          <w:rFonts w:ascii="Calibri" w:hAnsi="Calibri" w:cs="Calibri"/>
          <w:sz w:val="22"/>
          <w:szCs w:val="22"/>
        </w:rPr>
        <w:t xml:space="preserve"> </w:t>
      </w:r>
      <w:r w:rsidR="003A3D47">
        <w:rPr>
          <w:rFonts w:ascii="Calibri" w:hAnsi="Calibri" w:cs="Calibri"/>
          <w:sz w:val="22"/>
          <w:szCs w:val="22"/>
        </w:rPr>
        <w:t xml:space="preserve">In addition, </w:t>
      </w:r>
      <w:r w:rsidR="003A3D47" w:rsidRPr="003A3D47">
        <w:rPr>
          <w:rFonts w:ascii="Calibri" w:hAnsi="Calibri" w:cs="Calibri"/>
          <w:sz w:val="22"/>
          <w:szCs w:val="22"/>
        </w:rPr>
        <w:t>even modern historians have not been immune to this framing</w:t>
      </w:r>
      <w:r w:rsidR="003A3D47">
        <w:rPr>
          <w:rFonts w:ascii="Calibri" w:hAnsi="Calibri" w:cs="Calibri"/>
          <w:sz w:val="22"/>
          <w:szCs w:val="22"/>
        </w:rPr>
        <w:t xml:space="preserve"> as evident from</w:t>
      </w:r>
      <w:r w:rsidR="00FE497A">
        <w:rPr>
          <w:rFonts w:ascii="Calibri" w:hAnsi="Calibri" w:cs="Calibri"/>
          <w:sz w:val="22"/>
          <w:szCs w:val="22"/>
        </w:rPr>
        <w:t xml:space="preserve"> </w:t>
      </w:r>
      <w:r w:rsidR="003935D9" w:rsidRPr="003935D9">
        <w:rPr>
          <w:rFonts w:ascii="Calibri" w:hAnsi="Calibri" w:cs="Calibri"/>
          <w:sz w:val="22"/>
          <w:szCs w:val="22"/>
        </w:rPr>
        <w:t>R. R. Davies's description of Nest as 'the seductive Nest'</w:t>
      </w:r>
      <w:r w:rsidR="00FE497A">
        <w:rPr>
          <w:rFonts w:ascii="Calibri" w:hAnsi="Calibri" w:cs="Calibri"/>
          <w:sz w:val="22"/>
          <w:szCs w:val="22"/>
        </w:rPr>
        <w:t xml:space="preserve">, </w:t>
      </w:r>
      <w:r w:rsidR="003935D9" w:rsidRPr="003935D9">
        <w:rPr>
          <w:rFonts w:ascii="Calibri" w:hAnsi="Calibri" w:cs="Calibri"/>
          <w:sz w:val="22"/>
          <w:szCs w:val="22"/>
        </w:rPr>
        <w:t xml:space="preserve"> a telling example of this — even a major modern historian reproduces the same framing his own scholarship might otherwise interrogat</w:t>
      </w:r>
      <w:r w:rsidR="00BC7AF3">
        <w:rPr>
          <w:rFonts w:ascii="Calibri" w:hAnsi="Calibri" w:cs="Calibri"/>
          <w:sz w:val="22"/>
          <w:szCs w:val="22"/>
        </w:rPr>
        <w:t>e</w:t>
      </w:r>
      <w:r w:rsidR="003935D9" w:rsidRPr="009578E5">
        <w:rPr>
          <w:rFonts w:ascii="Calibri" w:hAnsi="Calibri" w:cs="Calibri"/>
          <w:sz w:val="22"/>
          <w:szCs w:val="22"/>
          <w:vertAlign w:val="superscript"/>
        </w:rPr>
        <w:t>.</w:t>
      </w:r>
      <w:r w:rsidR="009578E5" w:rsidRPr="009D1CA1">
        <w:rPr>
          <w:rFonts w:ascii="Calibri" w:hAnsi="Calibri" w:cs="Calibri"/>
          <w:sz w:val="22"/>
          <w:szCs w:val="22"/>
          <w:vertAlign w:val="superscript"/>
        </w:rPr>
        <w:t>12</w:t>
      </w:r>
      <w:r w:rsidR="000347A8">
        <w:rPr>
          <w:rFonts w:ascii="Calibri" w:hAnsi="Calibri" w:cs="Calibri"/>
          <w:sz w:val="22"/>
          <w:szCs w:val="22"/>
        </w:rPr>
        <w:t xml:space="preserve"> </w:t>
      </w:r>
      <w:r w:rsidR="00331A34">
        <w:rPr>
          <w:rFonts w:ascii="Calibri" w:hAnsi="Calibri" w:cs="Calibri"/>
          <w:sz w:val="22"/>
          <w:szCs w:val="22"/>
        </w:rPr>
        <w:t>I</w:t>
      </w:r>
      <w:r w:rsidR="009419A8" w:rsidRPr="009419A8">
        <w:rPr>
          <w:rFonts w:ascii="Calibri" w:hAnsi="Calibri" w:cs="Calibri"/>
          <w:sz w:val="22"/>
          <w:szCs w:val="22"/>
        </w:rPr>
        <w:t xml:space="preserve">t is into this same tradition of partial and motivated remembrance that a further source must be placed. Humphrey Llwyd's sixteenth-century </w:t>
      </w:r>
      <w:proofErr w:type="spellStart"/>
      <w:r w:rsidR="009419A8" w:rsidRPr="009419A8">
        <w:rPr>
          <w:rFonts w:ascii="Calibri" w:hAnsi="Calibri" w:cs="Calibri"/>
          <w:i/>
          <w:iCs/>
          <w:sz w:val="22"/>
          <w:szCs w:val="22"/>
        </w:rPr>
        <w:t>Cronica</w:t>
      </w:r>
      <w:proofErr w:type="spellEnd"/>
      <w:r w:rsidR="009419A8" w:rsidRPr="009419A8">
        <w:rPr>
          <w:rFonts w:ascii="Calibri" w:hAnsi="Calibri" w:cs="Calibri"/>
          <w:i/>
          <w:iCs/>
          <w:sz w:val="22"/>
          <w:szCs w:val="22"/>
        </w:rPr>
        <w:t xml:space="preserve"> </w:t>
      </w:r>
      <w:proofErr w:type="spellStart"/>
      <w:r w:rsidR="009419A8" w:rsidRPr="009419A8">
        <w:rPr>
          <w:rFonts w:ascii="Calibri" w:hAnsi="Calibri" w:cs="Calibri"/>
          <w:i/>
          <w:iCs/>
          <w:sz w:val="22"/>
          <w:szCs w:val="22"/>
        </w:rPr>
        <w:t>Walliae</w:t>
      </w:r>
      <w:proofErr w:type="spellEnd"/>
      <w:r w:rsidR="009419A8" w:rsidRPr="009419A8">
        <w:rPr>
          <w:rFonts w:ascii="Calibri" w:hAnsi="Calibri" w:cs="Calibri"/>
          <w:sz w:val="22"/>
          <w:szCs w:val="22"/>
        </w:rPr>
        <w:t xml:space="preserve">, accessible here only through Johns's discussion of it, offers a revealing example of how the romanticization of Nest accelerated beyond the medieval period. </w:t>
      </w:r>
      <w:r w:rsidR="009419A8" w:rsidRPr="007C6EE1">
        <w:rPr>
          <w:rFonts w:ascii="Calibri" w:hAnsi="Calibri" w:cs="Calibri"/>
          <w:sz w:val="22"/>
          <w:szCs w:val="22"/>
        </w:rPr>
        <w:t>Johns</w:t>
      </w:r>
      <w:r w:rsidR="00D838CD">
        <w:rPr>
          <w:rFonts w:ascii="Calibri" w:hAnsi="Calibri" w:cs="Calibri"/>
          <w:i/>
          <w:iCs/>
          <w:sz w:val="22"/>
          <w:szCs w:val="22"/>
        </w:rPr>
        <w:t xml:space="preserve"> </w:t>
      </w:r>
      <w:r w:rsidR="009419A8" w:rsidRPr="009419A8">
        <w:rPr>
          <w:rFonts w:ascii="Calibri" w:hAnsi="Calibri" w:cs="Calibri"/>
          <w:sz w:val="22"/>
          <w:szCs w:val="22"/>
        </w:rPr>
        <w:t xml:space="preserve">notes that by omitting any reference to the rape, Llwyd reframes the episode as an erotic narrative driven by beauty and desire rather than violence — a reading that tells us more about the priorities of Tudor historiography than about the events of </w:t>
      </w:r>
      <w:r w:rsidR="009419A8" w:rsidRPr="007E49B1">
        <w:rPr>
          <w:rFonts w:ascii="Calibri" w:hAnsi="Calibri" w:cs="Calibri"/>
          <w:sz w:val="22"/>
          <w:szCs w:val="22"/>
        </w:rPr>
        <w:t>1109.</w:t>
      </w:r>
      <w:r w:rsidR="003F124F" w:rsidRPr="009D1CA1">
        <w:rPr>
          <w:rFonts w:ascii="Calibri" w:hAnsi="Calibri" w:cs="Calibri"/>
          <w:sz w:val="22"/>
          <w:szCs w:val="22"/>
          <w:vertAlign w:val="superscript"/>
        </w:rPr>
        <w:t>1</w:t>
      </w:r>
      <w:r w:rsidR="009578E5" w:rsidRPr="009D1CA1">
        <w:rPr>
          <w:rFonts w:ascii="Calibri" w:hAnsi="Calibri" w:cs="Calibri"/>
          <w:sz w:val="22"/>
          <w:szCs w:val="22"/>
          <w:vertAlign w:val="superscript"/>
        </w:rPr>
        <w:t>3</w:t>
      </w:r>
      <w:r w:rsidR="006C6055" w:rsidRPr="006C6055">
        <w:rPr>
          <w:rFonts w:ascii="Calibri" w:hAnsi="Calibri" w:cs="Calibri"/>
          <w:sz w:val="22"/>
          <w:szCs w:val="22"/>
        </w:rPr>
        <w:t>That such distortions outlasted the medieval chroniclers by centuries is itself significant</w:t>
      </w:r>
      <w:r w:rsidR="009419A8" w:rsidRPr="009419A8">
        <w:rPr>
          <w:rFonts w:ascii="Calibri" w:hAnsi="Calibri" w:cs="Calibri"/>
          <w:sz w:val="22"/>
          <w:szCs w:val="22"/>
        </w:rPr>
        <w:t>: the motivated remembrance of Nest was not a medieval problem that later scholarship resolved, but a pattern that each generation renewed in its own image</w:t>
      </w:r>
      <w:r w:rsidR="00FF1F59">
        <w:rPr>
          <w:rFonts w:ascii="Calibri" w:hAnsi="Calibri" w:cs="Calibri"/>
          <w:sz w:val="22"/>
          <w:szCs w:val="22"/>
        </w:rPr>
        <w:t>. She remained an important figure, one to be talked about, but perhaps not</w:t>
      </w:r>
      <w:r w:rsidR="000D2E9C">
        <w:rPr>
          <w:rFonts w:ascii="Calibri" w:hAnsi="Calibri" w:cs="Calibri"/>
          <w:sz w:val="22"/>
          <w:szCs w:val="22"/>
        </w:rPr>
        <w:t xml:space="preserve"> seen fully.</w:t>
      </w:r>
      <w:r w:rsidR="00243560">
        <w:rPr>
          <w:rFonts w:ascii="Calibri" w:hAnsi="Calibri" w:cs="Calibri"/>
          <w:i/>
          <w:iCs/>
        </w:rPr>
        <w:tab/>
      </w:r>
    </w:p>
    <w:p w14:paraId="1EE3FEB3" w14:textId="3D60911B" w:rsidR="00EC417D" w:rsidRDefault="0071086D" w:rsidP="00E43996">
      <w:pPr>
        <w:tabs>
          <w:tab w:val="left" w:pos="540"/>
          <w:tab w:val="left" w:pos="900"/>
        </w:tabs>
        <w:spacing w:line="360" w:lineRule="auto"/>
        <w:rPr>
          <w:rFonts w:ascii="Calibri" w:hAnsi="Calibri" w:cs="Calibri"/>
          <w:sz w:val="22"/>
          <w:szCs w:val="22"/>
        </w:rPr>
      </w:pPr>
      <w:r>
        <w:rPr>
          <w:rFonts w:ascii="Calibri" w:hAnsi="Calibri" w:cs="Calibri"/>
          <w:i/>
          <w:iCs/>
        </w:rPr>
        <w:tab/>
      </w:r>
      <w:r w:rsidR="00532DAA" w:rsidRPr="0040739C">
        <w:rPr>
          <w:rFonts w:ascii="Calibri" w:hAnsi="Calibri" w:cs="Calibri"/>
          <w:sz w:val="22"/>
          <w:szCs w:val="22"/>
        </w:rPr>
        <w:t xml:space="preserve">The second primary source this essay draws upon is the writings of </w:t>
      </w:r>
      <w:r w:rsidR="00532DAA" w:rsidRPr="0040739C">
        <w:rPr>
          <w:rFonts w:ascii="Calibri" w:hAnsi="Calibri" w:cs="Calibri"/>
          <w:i/>
          <w:iCs/>
          <w:sz w:val="22"/>
          <w:szCs w:val="22"/>
        </w:rPr>
        <w:t xml:space="preserve">Giraldus Cambrensis </w:t>
      </w:r>
      <w:r w:rsidR="00532DAA" w:rsidRPr="0040739C">
        <w:rPr>
          <w:rFonts w:ascii="Calibri" w:hAnsi="Calibri" w:cs="Calibri"/>
          <w:sz w:val="22"/>
          <w:szCs w:val="22"/>
        </w:rPr>
        <w:t>— Gerald of Wales — a medieval clergyman, chronicler, and prolific author writing in the late twelfth and early thirteenth centuries</w:t>
      </w:r>
      <w:r w:rsidR="00B12CFE" w:rsidRPr="0040739C">
        <w:rPr>
          <w:rFonts w:ascii="Calibri" w:hAnsi="Calibri" w:cs="Calibri"/>
          <w:sz w:val="22"/>
          <w:szCs w:val="22"/>
        </w:rPr>
        <w:t>, who</w:t>
      </w:r>
      <w:r w:rsidR="00B12CFE" w:rsidRPr="0040739C">
        <w:rPr>
          <w:rFonts w:ascii="Calibri" w:hAnsi="Calibri" w:cs="Calibri"/>
          <w:i/>
          <w:iCs/>
          <w:sz w:val="22"/>
          <w:szCs w:val="22"/>
        </w:rPr>
        <w:t xml:space="preserve"> </w:t>
      </w:r>
      <w:r w:rsidR="00717AEB" w:rsidRPr="0040739C">
        <w:rPr>
          <w:rFonts w:ascii="Calibri" w:hAnsi="Calibri" w:cs="Calibri"/>
          <w:sz w:val="22"/>
          <w:szCs w:val="22"/>
        </w:rPr>
        <w:t xml:space="preserve">crucially, </w:t>
      </w:r>
      <w:r w:rsidR="00B12CFE" w:rsidRPr="0040739C">
        <w:rPr>
          <w:rFonts w:ascii="Calibri" w:hAnsi="Calibri" w:cs="Calibri"/>
          <w:sz w:val="22"/>
          <w:szCs w:val="22"/>
        </w:rPr>
        <w:t xml:space="preserve">was </w:t>
      </w:r>
      <w:r w:rsidR="00717AEB" w:rsidRPr="0040739C">
        <w:rPr>
          <w:rFonts w:ascii="Calibri" w:hAnsi="Calibri" w:cs="Calibri"/>
          <w:sz w:val="22"/>
          <w:szCs w:val="22"/>
        </w:rPr>
        <w:t xml:space="preserve">Nest’s grandson. </w:t>
      </w:r>
      <w:r w:rsidR="00A91E0A" w:rsidRPr="0040739C">
        <w:rPr>
          <w:rFonts w:ascii="Calibri" w:hAnsi="Calibri" w:cs="Calibri"/>
          <w:sz w:val="22"/>
          <w:szCs w:val="22"/>
        </w:rPr>
        <w:t xml:space="preserve">In his works </w:t>
      </w:r>
      <w:r w:rsidR="00A91E0A" w:rsidRPr="0040739C">
        <w:rPr>
          <w:rFonts w:ascii="Calibri" w:hAnsi="Calibri" w:cs="Calibri"/>
          <w:i/>
          <w:iCs/>
          <w:sz w:val="22"/>
          <w:szCs w:val="22"/>
        </w:rPr>
        <w:t>The Journey through Wales</w:t>
      </w:r>
      <w:r w:rsidR="00A91E0A" w:rsidRPr="0040739C">
        <w:rPr>
          <w:rFonts w:ascii="Calibri" w:hAnsi="Calibri" w:cs="Calibri"/>
          <w:sz w:val="22"/>
          <w:szCs w:val="22"/>
        </w:rPr>
        <w:t xml:space="preserve"> (</w:t>
      </w:r>
      <w:r w:rsidR="00A91E0A" w:rsidRPr="0040739C">
        <w:rPr>
          <w:rFonts w:ascii="Calibri" w:hAnsi="Calibri" w:cs="Calibri"/>
          <w:i/>
          <w:iCs/>
          <w:sz w:val="22"/>
          <w:szCs w:val="22"/>
        </w:rPr>
        <w:t>Itinerarium Cambriae</w:t>
      </w:r>
      <w:r w:rsidR="00A91E0A" w:rsidRPr="0040739C">
        <w:rPr>
          <w:rFonts w:ascii="Calibri" w:hAnsi="Calibri" w:cs="Calibri"/>
          <w:sz w:val="22"/>
          <w:szCs w:val="22"/>
        </w:rPr>
        <w:t xml:space="preserve">, 1191) and </w:t>
      </w:r>
      <w:r w:rsidR="00A91E0A" w:rsidRPr="0040739C">
        <w:rPr>
          <w:rFonts w:ascii="Calibri" w:hAnsi="Calibri" w:cs="Calibri"/>
          <w:i/>
          <w:iCs/>
          <w:sz w:val="22"/>
          <w:szCs w:val="22"/>
        </w:rPr>
        <w:t>The Description of Wales</w:t>
      </w:r>
      <w:r w:rsidR="00A91E0A" w:rsidRPr="0040739C">
        <w:rPr>
          <w:rFonts w:ascii="Calibri" w:hAnsi="Calibri" w:cs="Calibri"/>
          <w:sz w:val="22"/>
          <w:szCs w:val="22"/>
        </w:rPr>
        <w:t xml:space="preserve"> (</w:t>
      </w:r>
      <w:r w:rsidR="00A91E0A" w:rsidRPr="0040739C">
        <w:rPr>
          <w:rFonts w:ascii="Calibri" w:hAnsi="Calibri" w:cs="Calibri"/>
          <w:i/>
          <w:iCs/>
          <w:sz w:val="22"/>
          <w:szCs w:val="22"/>
        </w:rPr>
        <w:t>Descriptio Cambriae</w:t>
      </w:r>
      <w:r w:rsidR="00A91E0A" w:rsidRPr="0040739C">
        <w:rPr>
          <w:rFonts w:ascii="Calibri" w:hAnsi="Calibri" w:cs="Calibri"/>
          <w:sz w:val="22"/>
          <w:szCs w:val="22"/>
        </w:rPr>
        <w:t xml:space="preserve">, 1194) </w:t>
      </w:r>
      <w:r w:rsidR="007C5AC3" w:rsidRPr="0040739C">
        <w:rPr>
          <w:rFonts w:ascii="Calibri" w:hAnsi="Calibri" w:cs="Calibri"/>
          <w:sz w:val="22"/>
          <w:szCs w:val="22"/>
        </w:rPr>
        <w:t xml:space="preserve">both of which are available in Lewis Thorpe's English translation </w:t>
      </w:r>
      <w:r w:rsidR="00A91E0A" w:rsidRPr="0040739C">
        <w:rPr>
          <w:rFonts w:ascii="Calibri" w:hAnsi="Calibri" w:cs="Calibri"/>
          <w:sz w:val="22"/>
          <w:szCs w:val="22"/>
        </w:rPr>
        <w:t>h</w:t>
      </w:r>
      <w:r w:rsidR="003B4382" w:rsidRPr="0040739C">
        <w:rPr>
          <w:rFonts w:ascii="Calibri" w:hAnsi="Calibri" w:cs="Calibri"/>
          <w:sz w:val="22"/>
          <w:szCs w:val="22"/>
        </w:rPr>
        <w:t xml:space="preserve">e mentions Nest and his </w:t>
      </w:r>
      <w:r w:rsidR="009E0947" w:rsidRPr="0040739C">
        <w:rPr>
          <w:rFonts w:ascii="Calibri" w:hAnsi="Calibri" w:cs="Calibri"/>
          <w:sz w:val="22"/>
          <w:szCs w:val="22"/>
        </w:rPr>
        <w:t>own</w:t>
      </w:r>
      <w:r w:rsidR="003B4382" w:rsidRPr="0040739C">
        <w:rPr>
          <w:rFonts w:ascii="Calibri" w:hAnsi="Calibri" w:cs="Calibri"/>
          <w:sz w:val="22"/>
          <w:szCs w:val="22"/>
        </w:rPr>
        <w:t xml:space="preserve"> lineage, making him a primary sour</w:t>
      </w:r>
      <w:r w:rsidR="00C6431D" w:rsidRPr="0040739C">
        <w:rPr>
          <w:rFonts w:ascii="Calibri" w:hAnsi="Calibri" w:cs="Calibri"/>
          <w:sz w:val="22"/>
          <w:szCs w:val="22"/>
        </w:rPr>
        <w:t>ce from Nest’s world</w:t>
      </w:r>
      <w:r w:rsidR="00CE0B9A" w:rsidRPr="009D1CA1">
        <w:rPr>
          <w:rFonts w:ascii="Calibri" w:hAnsi="Calibri" w:cs="Calibri"/>
          <w:sz w:val="22"/>
          <w:szCs w:val="22"/>
          <w:vertAlign w:val="superscript"/>
        </w:rPr>
        <w:t>1</w:t>
      </w:r>
      <w:r w:rsidR="009578E5" w:rsidRPr="009D1CA1">
        <w:rPr>
          <w:rFonts w:ascii="Calibri" w:hAnsi="Calibri" w:cs="Calibri"/>
          <w:sz w:val="22"/>
          <w:szCs w:val="22"/>
          <w:vertAlign w:val="superscript"/>
        </w:rPr>
        <w:t>4</w:t>
      </w:r>
      <w:r w:rsidR="00C6431D" w:rsidRPr="0040739C">
        <w:rPr>
          <w:rFonts w:ascii="Calibri" w:hAnsi="Calibri" w:cs="Calibri"/>
          <w:sz w:val="22"/>
          <w:szCs w:val="22"/>
        </w:rPr>
        <w:t>. Gerald is inde</w:t>
      </w:r>
      <w:r w:rsidR="00E5510B" w:rsidRPr="0040739C">
        <w:rPr>
          <w:rFonts w:ascii="Calibri" w:hAnsi="Calibri" w:cs="Calibri"/>
          <w:sz w:val="22"/>
          <w:szCs w:val="22"/>
        </w:rPr>
        <w:t xml:space="preserve">ed a valuable source but one that is </w:t>
      </w:r>
      <w:r w:rsidR="00A111FD">
        <w:rPr>
          <w:rFonts w:ascii="Calibri" w:hAnsi="Calibri" w:cs="Calibri"/>
          <w:sz w:val="22"/>
          <w:szCs w:val="22"/>
        </w:rPr>
        <w:t>compromised</w:t>
      </w:r>
      <w:r w:rsidR="00E5510B" w:rsidRPr="0040739C">
        <w:rPr>
          <w:rFonts w:ascii="Calibri" w:hAnsi="Calibri" w:cs="Calibri"/>
          <w:sz w:val="22"/>
          <w:szCs w:val="22"/>
        </w:rPr>
        <w:t xml:space="preserve"> in a few ways. He embodies dynastic bias as he had a person motivation to showcase his ancestry in a </w:t>
      </w:r>
      <w:r w:rsidR="009E0947" w:rsidRPr="0040739C">
        <w:rPr>
          <w:rFonts w:ascii="Calibri" w:hAnsi="Calibri" w:cs="Calibri"/>
          <w:sz w:val="22"/>
          <w:szCs w:val="22"/>
        </w:rPr>
        <w:t>favorable</w:t>
      </w:r>
      <w:r w:rsidR="00E5510B" w:rsidRPr="0040739C">
        <w:rPr>
          <w:rFonts w:ascii="Calibri" w:hAnsi="Calibri" w:cs="Calibri"/>
          <w:sz w:val="22"/>
          <w:szCs w:val="22"/>
        </w:rPr>
        <w:t xml:space="preserve"> and </w:t>
      </w:r>
      <w:r w:rsidR="009E0947" w:rsidRPr="0040739C">
        <w:rPr>
          <w:rFonts w:ascii="Calibri" w:hAnsi="Calibri" w:cs="Calibri"/>
          <w:sz w:val="22"/>
          <w:szCs w:val="22"/>
        </w:rPr>
        <w:t>prominent</w:t>
      </w:r>
      <w:r w:rsidR="00E5510B" w:rsidRPr="0040739C">
        <w:rPr>
          <w:rFonts w:ascii="Calibri" w:hAnsi="Calibri" w:cs="Calibri"/>
          <w:sz w:val="22"/>
          <w:szCs w:val="22"/>
        </w:rPr>
        <w:t xml:space="preserve"> manner. </w:t>
      </w:r>
      <w:r w:rsidR="005E1831" w:rsidRPr="0040739C">
        <w:rPr>
          <w:rFonts w:ascii="Calibri" w:hAnsi="Calibri" w:cs="Calibri"/>
          <w:sz w:val="22"/>
          <w:szCs w:val="22"/>
        </w:rPr>
        <w:t xml:space="preserve">As a primary source, </w:t>
      </w:r>
      <w:r w:rsidR="005E1831" w:rsidRPr="0040739C">
        <w:rPr>
          <w:rFonts w:ascii="Calibri" w:hAnsi="Calibri" w:cs="Calibri"/>
          <w:i/>
          <w:iCs/>
          <w:sz w:val="22"/>
          <w:szCs w:val="22"/>
        </w:rPr>
        <w:t>Giraldus</w:t>
      </w:r>
      <w:r w:rsidR="005E1831" w:rsidRPr="0040739C">
        <w:rPr>
          <w:rFonts w:ascii="Calibri" w:hAnsi="Calibri" w:cs="Calibri"/>
          <w:sz w:val="22"/>
          <w:szCs w:val="22"/>
        </w:rPr>
        <w:t xml:space="preserve"> offers something the </w:t>
      </w:r>
      <w:r w:rsidR="005E1831" w:rsidRPr="0040739C">
        <w:rPr>
          <w:rFonts w:ascii="Calibri" w:hAnsi="Calibri" w:cs="Calibri"/>
          <w:i/>
          <w:iCs/>
          <w:sz w:val="22"/>
          <w:szCs w:val="22"/>
        </w:rPr>
        <w:t>Brut</w:t>
      </w:r>
      <w:r w:rsidR="005E1831" w:rsidRPr="0040739C">
        <w:rPr>
          <w:rFonts w:ascii="Calibri" w:hAnsi="Calibri" w:cs="Calibri"/>
          <w:sz w:val="22"/>
          <w:szCs w:val="22"/>
        </w:rPr>
        <w:t xml:space="preserve"> cannot: a perspective rooted in family memory, however distant, and a sense of how Nest was being remembered </w:t>
      </w:r>
      <w:r w:rsidR="005E1831" w:rsidRPr="0040739C">
        <w:rPr>
          <w:rFonts w:ascii="Calibri" w:hAnsi="Calibri" w:cs="Calibri"/>
          <w:sz w:val="22"/>
          <w:szCs w:val="22"/>
        </w:rPr>
        <w:lastRenderedPageBreak/>
        <w:t xml:space="preserve">and constructed within her own dynastic line some eighty to ninety years after her death. </w:t>
      </w:r>
      <w:r>
        <w:rPr>
          <w:rFonts w:ascii="Calibri" w:hAnsi="Calibri" w:cs="Calibri"/>
          <w:sz w:val="22"/>
          <w:szCs w:val="22"/>
        </w:rPr>
        <w:t xml:space="preserve"> </w:t>
      </w:r>
      <w:r w:rsidR="002F019A">
        <w:rPr>
          <w:rFonts w:ascii="Calibri" w:hAnsi="Calibri" w:cs="Calibri"/>
          <w:sz w:val="22"/>
          <w:szCs w:val="22"/>
        </w:rPr>
        <w:t>Giraldus also</w:t>
      </w:r>
      <w:r w:rsidR="00C777D8" w:rsidRPr="0040739C">
        <w:rPr>
          <w:rFonts w:ascii="Calibri" w:hAnsi="Calibri" w:cs="Calibri"/>
          <w:sz w:val="22"/>
          <w:szCs w:val="22"/>
        </w:rPr>
        <w:t xml:space="preserve"> exhibited a useful political agenda </w:t>
      </w:r>
      <w:r w:rsidR="00AF0513" w:rsidRPr="0040739C">
        <w:rPr>
          <w:rFonts w:ascii="Calibri" w:hAnsi="Calibri" w:cs="Calibri"/>
          <w:sz w:val="22"/>
          <w:szCs w:val="22"/>
        </w:rPr>
        <w:t>in t</w:t>
      </w:r>
      <w:r w:rsidR="00C777D8" w:rsidRPr="0040739C">
        <w:rPr>
          <w:rFonts w:ascii="Calibri" w:hAnsi="Calibri" w:cs="Calibri"/>
          <w:sz w:val="22"/>
          <w:szCs w:val="22"/>
        </w:rPr>
        <w:t xml:space="preserve">hat he aimed to </w:t>
      </w:r>
      <w:r w:rsidR="008064A2" w:rsidRPr="0040739C">
        <w:rPr>
          <w:rFonts w:ascii="Calibri" w:hAnsi="Calibri" w:cs="Calibri"/>
          <w:sz w:val="22"/>
          <w:szCs w:val="22"/>
        </w:rPr>
        <w:t>assert</w:t>
      </w:r>
      <w:r w:rsidR="00C777D8" w:rsidRPr="0040739C">
        <w:rPr>
          <w:rFonts w:ascii="Calibri" w:hAnsi="Calibri" w:cs="Calibri"/>
          <w:sz w:val="22"/>
          <w:szCs w:val="22"/>
        </w:rPr>
        <w:t xml:space="preserve"> the importance of Wales and his o</w:t>
      </w:r>
      <w:r w:rsidR="0062659C">
        <w:rPr>
          <w:rFonts w:ascii="Calibri" w:hAnsi="Calibri" w:cs="Calibri"/>
          <w:sz w:val="22"/>
          <w:szCs w:val="22"/>
        </w:rPr>
        <w:t>wn</w:t>
      </w:r>
      <w:r w:rsidR="00C777D8" w:rsidRPr="0040739C">
        <w:rPr>
          <w:rFonts w:ascii="Calibri" w:hAnsi="Calibri" w:cs="Calibri"/>
          <w:sz w:val="22"/>
          <w:szCs w:val="22"/>
        </w:rPr>
        <w:t xml:space="preserve"> family’s place in it.</w:t>
      </w:r>
      <w:r w:rsidR="006543DC" w:rsidRPr="0040739C">
        <w:rPr>
          <w:rFonts w:ascii="Calibri" w:hAnsi="Calibri" w:cs="Calibri"/>
          <w:sz w:val="22"/>
          <w:szCs w:val="22"/>
        </w:rPr>
        <w:t xml:space="preserve"> </w:t>
      </w:r>
      <w:r w:rsidR="00CC1A3D" w:rsidRPr="0040739C">
        <w:rPr>
          <w:rFonts w:ascii="Calibri" w:hAnsi="Calibri" w:cs="Calibri"/>
          <w:sz w:val="22"/>
          <w:szCs w:val="22"/>
        </w:rPr>
        <w:t xml:space="preserve">This dynastic motivation also shapes what </w:t>
      </w:r>
      <w:r w:rsidR="00CC1A3D" w:rsidRPr="0040739C">
        <w:rPr>
          <w:rFonts w:ascii="Calibri" w:hAnsi="Calibri" w:cs="Calibri"/>
          <w:i/>
          <w:iCs/>
          <w:sz w:val="22"/>
          <w:szCs w:val="22"/>
        </w:rPr>
        <w:t>Giraldus</w:t>
      </w:r>
      <w:r w:rsidR="00CC1A3D" w:rsidRPr="0040739C">
        <w:rPr>
          <w:rFonts w:ascii="Calibri" w:hAnsi="Calibri" w:cs="Calibri"/>
          <w:sz w:val="22"/>
          <w:szCs w:val="22"/>
        </w:rPr>
        <w:t xml:space="preserve"> chooses to emphasize and what he omits. The aspects of Nest's life most prominent in the </w:t>
      </w:r>
      <w:r w:rsidR="00CC1A3D" w:rsidRPr="0040739C">
        <w:rPr>
          <w:rFonts w:ascii="Calibri" w:hAnsi="Calibri" w:cs="Calibri"/>
          <w:i/>
          <w:iCs/>
          <w:sz w:val="22"/>
          <w:szCs w:val="22"/>
        </w:rPr>
        <w:t>Brut</w:t>
      </w:r>
      <w:r w:rsidR="00CC1A3D" w:rsidRPr="0040739C">
        <w:rPr>
          <w:rFonts w:ascii="Calibri" w:hAnsi="Calibri" w:cs="Calibri"/>
          <w:sz w:val="22"/>
          <w:szCs w:val="22"/>
        </w:rPr>
        <w:t xml:space="preserve"> — the abduction, the violation, the political fallout — are not the aspects </w:t>
      </w:r>
      <w:r w:rsidR="00CC1A3D" w:rsidRPr="0040739C">
        <w:rPr>
          <w:rFonts w:ascii="Calibri" w:hAnsi="Calibri" w:cs="Calibri"/>
          <w:i/>
          <w:iCs/>
          <w:sz w:val="22"/>
          <w:szCs w:val="22"/>
        </w:rPr>
        <w:t>Giraldus</w:t>
      </w:r>
      <w:r w:rsidR="00CC1A3D" w:rsidRPr="0040739C">
        <w:rPr>
          <w:rFonts w:ascii="Calibri" w:hAnsi="Calibri" w:cs="Calibri"/>
          <w:sz w:val="22"/>
          <w:szCs w:val="22"/>
        </w:rPr>
        <w:t xml:space="preserve"> foregrounds. For him, what matters is her royal parentage and her role as the mother of significant figures. This selective memory is itself a form of source bias</w:t>
      </w:r>
      <w:r w:rsidR="004D056D" w:rsidRPr="0040739C">
        <w:rPr>
          <w:rFonts w:ascii="Calibri" w:hAnsi="Calibri" w:cs="Calibri"/>
          <w:sz w:val="22"/>
          <w:szCs w:val="22"/>
        </w:rPr>
        <w:t xml:space="preserve">. </w:t>
      </w:r>
      <w:r w:rsidR="008064A2" w:rsidRPr="0040739C">
        <w:rPr>
          <w:rFonts w:ascii="Calibri" w:hAnsi="Calibri" w:cs="Calibri"/>
          <w:sz w:val="22"/>
          <w:szCs w:val="22"/>
        </w:rPr>
        <w:t>Similarly</w:t>
      </w:r>
      <w:r w:rsidR="006543DC" w:rsidRPr="0040739C">
        <w:rPr>
          <w:rFonts w:ascii="Calibri" w:hAnsi="Calibri" w:cs="Calibri"/>
          <w:sz w:val="22"/>
          <w:szCs w:val="22"/>
        </w:rPr>
        <w:t xml:space="preserve">, he is another male author shaping Nest’s story through the gender lens of what she meant to the men around her. </w:t>
      </w:r>
      <w:r w:rsidR="00C140BB" w:rsidRPr="0040739C">
        <w:rPr>
          <w:rFonts w:ascii="Calibri" w:hAnsi="Calibri" w:cs="Calibri"/>
          <w:sz w:val="22"/>
          <w:szCs w:val="22"/>
        </w:rPr>
        <w:t xml:space="preserve">Read alongside the </w:t>
      </w:r>
      <w:r w:rsidR="00C140BB" w:rsidRPr="0040739C">
        <w:rPr>
          <w:rFonts w:ascii="Calibri" w:hAnsi="Calibri" w:cs="Calibri"/>
          <w:i/>
          <w:iCs/>
          <w:sz w:val="22"/>
          <w:szCs w:val="22"/>
        </w:rPr>
        <w:t>Brut</w:t>
      </w:r>
      <w:r w:rsidR="00C140BB" w:rsidRPr="0040739C">
        <w:rPr>
          <w:rFonts w:ascii="Calibri" w:hAnsi="Calibri" w:cs="Calibri"/>
          <w:sz w:val="22"/>
          <w:szCs w:val="22"/>
        </w:rPr>
        <w:t xml:space="preserve">, </w:t>
      </w:r>
      <w:r w:rsidR="00C140BB" w:rsidRPr="0040739C">
        <w:rPr>
          <w:rFonts w:ascii="Calibri" w:hAnsi="Calibri" w:cs="Calibri"/>
          <w:i/>
          <w:iCs/>
          <w:sz w:val="22"/>
          <w:szCs w:val="22"/>
        </w:rPr>
        <w:t>Giraldus</w:t>
      </w:r>
      <w:r w:rsidR="00C140BB" w:rsidRPr="0040739C">
        <w:rPr>
          <w:rFonts w:ascii="Calibri" w:hAnsi="Calibri" w:cs="Calibri"/>
          <w:sz w:val="22"/>
          <w:szCs w:val="22"/>
        </w:rPr>
        <w:t xml:space="preserve"> demonstrates how precarious Nest’s preservation in the historical record has been. The Welsh chronicle records her because her abduction served a specific political narrative of Welsh resistance; </w:t>
      </w:r>
      <w:r w:rsidR="00C140BB" w:rsidRPr="0040739C">
        <w:rPr>
          <w:rFonts w:ascii="Calibri" w:hAnsi="Calibri" w:cs="Calibri"/>
          <w:i/>
          <w:iCs/>
          <w:sz w:val="22"/>
          <w:szCs w:val="22"/>
        </w:rPr>
        <w:t>Giraldus</w:t>
      </w:r>
      <w:r w:rsidR="00C140BB" w:rsidRPr="0040739C">
        <w:rPr>
          <w:rFonts w:ascii="Calibri" w:hAnsi="Calibri" w:cs="Calibri"/>
          <w:sz w:val="22"/>
          <w:szCs w:val="22"/>
        </w:rPr>
        <w:t xml:space="preserve"> includes her because her ancestry supported a particular narrative of familial distinction. In neither instance is she preserved out of interest in her as a woman, an individual, or an autonomous historical actor. This dual contingency — the coincidence of her political usefulness and the happenstance of her dynastic connections — makes her at once among the more thoroughly documented medieval Welsh women and one of the most challenging to reconstruct.</w:t>
      </w:r>
    </w:p>
    <w:p w14:paraId="798144CD" w14:textId="01AC0F32" w:rsidR="00E43996" w:rsidRPr="00EE3963" w:rsidRDefault="009C7935" w:rsidP="00B27AE0">
      <w:pPr>
        <w:tabs>
          <w:tab w:val="left" w:pos="720"/>
        </w:tabs>
        <w:spacing w:line="360" w:lineRule="auto"/>
        <w:rPr>
          <w:rFonts w:ascii="Calibri" w:hAnsi="Calibri" w:cs="Calibri"/>
          <w:sz w:val="22"/>
          <w:szCs w:val="22"/>
        </w:rPr>
      </w:pPr>
      <w:r>
        <w:rPr>
          <w:rFonts w:ascii="Calibri" w:hAnsi="Calibri" w:cs="Calibri"/>
          <w:sz w:val="22"/>
          <w:szCs w:val="22"/>
        </w:rPr>
        <w:tab/>
      </w:r>
      <w:r w:rsidR="00EE3963" w:rsidRPr="00EE3963">
        <w:rPr>
          <w:rFonts w:ascii="Calibri" w:hAnsi="Calibri" w:cs="Calibri"/>
          <w:sz w:val="22"/>
          <w:szCs w:val="22"/>
        </w:rPr>
        <w:t xml:space="preserve">Nest </w:t>
      </w:r>
      <w:proofErr w:type="spellStart"/>
      <w:r w:rsidR="00EE3963" w:rsidRPr="00EE3963">
        <w:rPr>
          <w:rFonts w:ascii="Calibri" w:hAnsi="Calibri" w:cs="Calibri"/>
          <w:sz w:val="22"/>
          <w:szCs w:val="22"/>
        </w:rPr>
        <w:t>ferch</w:t>
      </w:r>
      <w:proofErr w:type="spellEnd"/>
      <w:r w:rsidR="00EE3963" w:rsidRPr="00EE3963">
        <w:rPr>
          <w:rFonts w:ascii="Calibri" w:hAnsi="Calibri" w:cs="Calibri"/>
          <w:sz w:val="22"/>
          <w:szCs w:val="22"/>
        </w:rPr>
        <w:t xml:space="preserve"> Rhys stands at a precise and consequential moment in the history of Wales. The death of her father Rhys ap Tewdwr in 1093 ended Deheubarth's independence and opened south-west Wales to Norman consolidation that would prove permanent. Her marriage to Gerald of Pembroke bound her — and her lineage — to that new order, and the descendants she produced shaped the political landscape of both Wales and Ireland for generations to come. She is, in this sense, a living junction point between two worlds: the old Welsh dynastic order into which she was born and the Anglo-Norman world into which she was absorbed.</w:t>
      </w:r>
      <w:r w:rsidR="00B27AE0">
        <w:rPr>
          <w:rFonts w:ascii="Calibri" w:hAnsi="Calibri" w:cs="Calibri"/>
          <w:sz w:val="22"/>
          <w:szCs w:val="22"/>
        </w:rPr>
        <w:t xml:space="preserve"> </w:t>
      </w:r>
      <w:r w:rsidR="00EE3963" w:rsidRPr="00EE3963">
        <w:rPr>
          <w:rFonts w:ascii="Calibri" w:hAnsi="Calibri" w:cs="Calibri"/>
          <w:sz w:val="22"/>
          <w:szCs w:val="22"/>
        </w:rPr>
        <w:t xml:space="preserve">Yet recovering Nest as an individual from the sources that preserve her is a task the sources themselves resist. The two primary sources examined in this essay — </w:t>
      </w:r>
      <w:r w:rsidR="00EE3963" w:rsidRPr="00EE3963">
        <w:rPr>
          <w:rFonts w:ascii="Calibri" w:hAnsi="Calibri" w:cs="Calibri"/>
          <w:i/>
          <w:iCs/>
          <w:sz w:val="22"/>
          <w:szCs w:val="22"/>
        </w:rPr>
        <w:t>Brut y Tywysogion</w:t>
      </w:r>
      <w:r w:rsidR="00EE3963" w:rsidRPr="00EE3963">
        <w:rPr>
          <w:rFonts w:ascii="Calibri" w:hAnsi="Calibri" w:cs="Calibri"/>
          <w:sz w:val="22"/>
          <w:szCs w:val="22"/>
        </w:rPr>
        <w:t xml:space="preserve"> and the writings of Giraldus Cambrensis — come from opposing political worlds, one a Welsh monastic chronicle concerned with dynastic resistance, the other a Cambro-Norman family narrative concerned with prestigious ancestry. They agree on very little, and where they do overlap it is not because they are independently corroborating the same truth but because they are drawing on the same tradition of motivated remembrance. Both are written by men. Both are shaped by agendas that have nothing to do with Nest as a person. And together they reveal not just what survives about her, but why it survived — and whose interests that survival served.</w:t>
      </w:r>
    </w:p>
    <w:p w14:paraId="0C500B8B" w14:textId="3640DBD4" w:rsidR="00EE3963" w:rsidRPr="00EE3963" w:rsidRDefault="00EE3963" w:rsidP="009D5E0D">
      <w:pPr>
        <w:tabs>
          <w:tab w:val="left" w:pos="1660"/>
        </w:tabs>
        <w:spacing w:line="360" w:lineRule="auto"/>
        <w:rPr>
          <w:rFonts w:ascii="Calibri" w:hAnsi="Calibri" w:cs="Calibri"/>
          <w:sz w:val="22"/>
          <w:szCs w:val="22"/>
        </w:rPr>
      </w:pPr>
      <w:r w:rsidRPr="00EE3963">
        <w:rPr>
          <w:rFonts w:ascii="Calibri" w:hAnsi="Calibri" w:cs="Calibri"/>
          <w:sz w:val="22"/>
          <w:szCs w:val="22"/>
        </w:rPr>
        <w:t xml:space="preserve">What emerges from this portrait is not Nest herself but the outline of a woman around whom men organised their stories. She is preserved in the </w:t>
      </w:r>
      <w:r w:rsidRPr="00EE3963">
        <w:rPr>
          <w:rFonts w:ascii="Calibri" w:hAnsi="Calibri" w:cs="Calibri"/>
          <w:i/>
          <w:iCs/>
          <w:sz w:val="22"/>
          <w:szCs w:val="22"/>
        </w:rPr>
        <w:t>Brut</w:t>
      </w:r>
      <w:r w:rsidRPr="00EE3963">
        <w:rPr>
          <w:rFonts w:ascii="Calibri" w:hAnsi="Calibri" w:cs="Calibri"/>
          <w:sz w:val="22"/>
          <w:szCs w:val="22"/>
        </w:rPr>
        <w:t xml:space="preserve"> because her abduction was a politically useful episode in a narrative of Welsh resistance to Norman power. She is preserved in Giraldus because her </w:t>
      </w:r>
      <w:r w:rsidRPr="00EE3963">
        <w:rPr>
          <w:rFonts w:ascii="Calibri" w:hAnsi="Calibri" w:cs="Calibri"/>
          <w:sz w:val="22"/>
          <w:szCs w:val="22"/>
        </w:rPr>
        <w:lastRenderedPageBreak/>
        <w:t xml:space="preserve">royal Welsh blood was a source of distinction for a family navigating the complex politics of the Cambro-Norman world. She is remembered as the 'Helen of Wales' because later writers found in her abduction the raw material for romantic myth. In none of these versions </w:t>
      </w:r>
      <w:r w:rsidR="003F124F">
        <w:rPr>
          <w:rFonts w:ascii="Calibri" w:hAnsi="Calibri" w:cs="Calibri"/>
          <w:sz w:val="22"/>
          <w:szCs w:val="22"/>
        </w:rPr>
        <w:t>she is</w:t>
      </w:r>
      <w:r w:rsidRPr="00EE3963">
        <w:rPr>
          <w:rFonts w:ascii="Calibri" w:hAnsi="Calibri" w:cs="Calibri"/>
          <w:sz w:val="22"/>
          <w:szCs w:val="22"/>
        </w:rPr>
        <w:t xml:space="preserve"> the subject of her own story.</w:t>
      </w:r>
      <w:r w:rsidR="009C7935">
        <w:rPr>
          <w:rFonts w:ascii="Calibri" w:hAnsi="Calibri" w:cs="Calibri"/>
          <w:sz w:val="22"/>
          <w:szCs w:val="22"/>
        </w:rPr>
        <w:t xml:space="preserve"> </w:t>
      </w:r>
      <w:r w:rsidRPr="00EE3963">
        <w:rPr>
          <w:rFonts w:ascii="Calibri" w:hAnsi="Calibri" w:cs="Calibri"/>
          <w:sz w:val="22"/>
          <w:szCs w:val="22"/>
        </w:rPr>
        <w:t xml:space="preserve">This does not make her unrecoverable — but it does demand that we read the sources critically, attending not only to what they say but to what they omit, to who is speaking, and to why. Nest </w:t>
      </w:r>
      <w:proofErr w:type="spellStart"/>
      <w:r w:rsidRPr="00EE3963">
        <w:rPr>
          <w:rFonts w:ascii="Calibri" w:hAnsi="Calibri" w:cs="Calibri"/>
          <w:sz w:val="22"/>
          <w:szCs w:val="22"/>
        </w:rPr>
        <w:t>ferch</w:t>
      </w:r>
      <w:proofErr w:type="spellEnd"/>
      <w:r w:rsidRPr="00EE3963">
        <w:rPr>
          <w:rFonts w:ascii="Calibri" w:hAnsi="Calibri" w:cs="Calibri"/>
          <w:sz w:val="22"/>
          <w:szCs w:val="22"/>
        </w:rPr>
        <w:t xml:space="preserve"> Rhys was a daughter, a hostage, a mistress, a wife, and a mother. She was also a woman of considerable political significance whose life intersected with some of the most consequential developments in medieval Welsh history. That she remains, despite all of this, so difficult to see clearly is itself the most revealing thing the sources tell us about her.</w:t>
      </w:r>
    </w:p>
    <w:p w14:paraId="07793C0C" w14:textId="77777777" w:rsidR="00AB4754" w:rsidRDefault="00AB4754" w:rsidP="004B092C">
      <w:pPr>
        <w:tabs>
          <w:tab w:val="left" w:pos="1660"/>
        </w:tabs>
      </w:pPr>
    </w:p>
    <w:p w14:paraId="166043A5" w14:textId="77777777" w:rsidR="003A2815" w:rsidRDefault="003A2815" w:rsidP="004B092C">
      <w:pPr>
        <w:tabs>
          <w:tab w:val="left" w:pos="1660"/>
        </w:tabs>
      </w:pPr>
    </w:p>
    <w:p w14:paraId="7FAE58D4" w14:textId="77777777" w:rsidR="003F124F" w:rsidRDefault="003F124F" w:rsidP="004B092C">
      <w:pPr>
        <w:tabs>
          <w:tab w:val="left" w:pos="1660"/>
        </w:tabs>
      </w:pPr>
    </w:p>
    <w:p w14:paraId="53E1990E" w14:textId="77777777" w:rsidR="00EA2D65" w:rsidRDefault="00EA2D65" w:rsidP="004B092C">
      <w:pPr>
        <w:tabs>
          <w:tab w:val="left" w:pos="1660"/>
        </w:tabs>
      </w:pPr>
    </w:p>
    <w:p w14:paraId="385E43BF" w14:textId="77777777" w:rsidR="00EA2D65" w:rsidRDefault="00EA2D65" w:rsidP="004B092C">
      <w:pPr>
        <w:tabs>
          <w:tab w:val="left" w:pos="1660"/>
        </w:tabs>
      </w:pPr>
    </w:p>
    <w:p w14:paraId="7479D690" w14:textId="77777777" w:rsidR="00EA2D65" w:rsidRDefault="00EA2D65" w:rsidP="004B092C">
      <w:pPr>
        <w:tabs>
          <w:tab w:val="left" w:pos="1660"/>
        </w:tabs>
      </w:pPr>
    </w:p>
    <w:p w14:paraId="27D6D492" w14:textId="77777777" w:rsidR="00EA2D65" w:rsidRDefault="00EA2D65" w:rsidP="004B092C">
      <w:pPr>
        <w:tabs>
          <w:tab w:val="left" w:pos="1660"/>
        </w:tabs>
      </w:pPr>
    </w:p>
    <w:p w14:paraId="2731F91F" w14:textId="77777777" w:rsidR="00EA2D65" w:rsidRDefault="00EA2D65" w:rsidP="004B092C">
      <w:pPr>
        <w:tabs>
          <w:tab w:val="left" w:pos="1660"/>
        </w:tabs>
      </w:pPr>
    </w:p>
    <w:p w14:paraId="75D6DA7C" w14:textId="77777777" w:rsidR="00EA2D65" w:rsidRDefault="00EA2D65" w:rsidP="004B092C">
      <w:pPr>
        <w:tabs>
          <w:tab w:val="left" w:pos="1660"/>
        </w:tabs>
      </w:pPr>
    </w:p>
    <w:p w14:paraId="6E28CCD3" w14:textId="77777777" w:rsidR="00EA2D65" w:rsidRDefault="00EA2D65" w:rsidP="004B092C">
      <w:pPr>
        <w:tabs>
          <w:tab w:val="left" w:pos="1660"/>
        </w:tabs>
      </w:pPr>
    </w:p>
    <w:p w14:paraId="694D62F5" w14:textId="77777777" w:rsidR="00EA2D65" w:rsidRDefault="00EA2D65" w:rsidP="004B092C">
      <w:pPr>
        <w:tabs>
          <w:tab w:val="left" w:pos="1660"/>
        </w:tabs>
      </w:pPr>
    </w:p>
    <w:p w14:paraId="484AE85E" w14:textId="77777777" w:rsidR="00EA2D65" w:rsidRDefault="00EA2D65" w:rsidP="004B092C">
      <w:pPr>
        <w:tabs>
          <w:tab w:val="left" w:pos="1660"/>
        </w:tabs>
      </w:pPr>
    </w:p>
    <w:p w14:paraId="1D3A0351" w14:textId="77777777" w:rsidR="00EA2D65" w:rsidRDefault="00EA2D65" w:rsidP="004B092C">
      <w:pPr>
        <w:tabs>
          <w:tab w:val="left" w:pos="1660"/>
        </w:tabs>
      </w:pPr>
    </w:p>
    <w:p w14:paraId="26A589A0" w14:textId="77777777" w:rsidR="00EA2D65" w:rsidRDefault="00EA2D65" w:rsidP="004B092C">
      <w:pPr>
        <w:tabs>
          <w:tab w:val="left" w:pos="1660"/>
        </w:tabs>
      </w:pPr>
    </w:p>
    <w:p w14:paraId="3321D77E" w14:textId="77777777" w:rsidR="00EA2D65" w:rsidRDefault="00EA2D65" w:rsidP="004B092C">
      <w:pPr>
        <w:tabs>
          <w:tab w:val="left" w:pos="1660"/>
        </w:tabs>
      </w:pPr>
    </w:p>
    <w:p w14:paraId="40CF9EB9" w14:textId="77777777" w:rsidR="00E43996" w:rsidRPr="008E4571" w:rsidRDefault="00E43996" w:rsidP="00E43996">
      <w:pPr>
        <w:tabs>
          <w:tab w:val="left" w:pos="540"/>
          <w:tab w:val="left" w:pos="900"/>
        </w:tabs>
        <w:spacing w:line="360" w:lineRule="auto"/>
        <w:rPr>
          <w:rFonts w:ascii="Calibri" w:hAnsi="Calibri" w:cs="Calibri"/>
          <w:i/>
          <w:iCs/>
        </w:rPr>
      </w:pPr>
      <w:r>
        <w:rPr>
          <w:rFonts w:ascii="Calibri" w:hAnsi="Calibri" w:cs="Calibri"/>
        </w:rPr>
        <w:t>____________________________</w:t>
      </w:r>
    </w:p>
    <w:p w14:paraId="7808E377" w14:textId="77777777" w:rsidR="00E43996" w:rsidRDefault="00E43996" w:rsidP="00E43996">
      <w:pPr>
        <w:tabs>
          <w:tab w:val="left" w:pos="1660"/>
        </w:tabs>
        <w:spacing w:after="0" w:line="240" w:lineRule="auto"/>
        <w:rPr>
          <w:rFonts w:ascii="Calibri" w:hAnsi="Calibri" w:cs="Calibri"/>
          <w:sz w:val="20"/>
          <w:szCs w:val="20"/>
        </w:rPr>
      </w:pPr>
      <w:r>
        <w:rPr>
          <w:rFonts w:ascii="Calibri" w:hAnsi="Calibri" w:cs="Calibri"/>
          <w:sz w:val="20"/>
          <w:szCs w:val="20"/>
          <w:vertAlign w:val="superscript"/>
        </w:rPr>
        <w:t>12</w:t>
      </w:r>
      <w:r>
        <w:rPr>
          <w:rFonts w:ascii="Calibri" w:hAnsi="Calibri" w:cs="Calibri"/>
          <w:sz w:val="20"/>
          <w:szCs w:val="20"/>
        </w:rPr>
        <w:t>.</w:t>
      </w:r>
      <w:r w:rsidRPr="009578E5">
        <w:t xml:space="preserve"> </w:t>
      </w:r>
      <w:r w:rsidRPr="009578E5">
        <w:rPr>
          <w:rFonts w:ascii="Calibri" w:hAnsi="Calibri" w:cs="Calibri"/>
          <w:sz w:val="20"/>
          <w:szCs w:val="20"/>
        </w:rPr>
        <w:t xml:space="preserve">Davies, </w:t>
      </w:r>
      <w:r w:rsidRPr="009578E5">
        <w:rPr>
          <w:rFonts w:ascii="Calibri" w:hAnsi="Calibri" w:cs="Calibri"/>
          <w:i/>
          <w:iCs/>
          <w:sz w:val="20"/>
          <w:szCs w:val="20"/>
        </w:rPr>
        <w:t>Conquest, Coexistence, and Change</w:t>
      </w:r>
      <w:r w:rsidRPr="009578E5">
        <w:rPr>
          <w:rFonts w:ascii="Calibri" w:hAnsi="Calibri" w:cs="Calibri"/>
          <w:sz w:val="20"/>
          <w:szCs w:val="20"/>
        </w:rPr>
        <w:t>, p. 86</w:t>
      </w:r>
    </w:p>
    <w:p w14:paraId="080B4F49" w14:textId="77777777" w:rsidR="00E43996" w:rsidRDefault="00E43996" w:rsidP="00E43996">
      <w:pPr>
        <w:tabs>
          <w:tab w:val="left" w:pos="1660"/>
        </w:tabs>
        <w:spacing w:after="0" w:line="240" w:lineRule="auto"/>
        <w:rPr>
          <w:rFonts w:ascii="Calibri" w:hAnsi="Calibri" w:cs="Calibri"/>
          <w:sz w:val="20"/>
          <w:szCs w:val="20"/>
        </w:rPr>
      </w:pPr>
      <w:r>
        <w:rPr>
          <w:rFonts w:ascii="Calibri" w:hAnsi="Calibri" w:cs="Calibri"/>
          <w:sz w:val="20"/>
          <w:szCs w:val="20"/>
          <w:vertAlign w:val="superscript"/>
        </w:rPr>
        <w:t xml:space="preserve">11 &amp; </w:t>
      </w:r>
      <w:r w:rsidRPr="009578E5">
        <w:rPr>
          <w:rFonts w:ascii="Calibri" w:hAnsi="Calibri" w:cs="Calibri"/>
          <w:sz w:val="20"/>
          <w:szCs w:val="20"/>
          <w:vertAlign w:val="superscript"/>
        </w:rPr>
        <w:t>13</w:t>
      </w:r>
      <w:r>
        <w:rPr>
          <w:rFonts w:ascii="Calibri" w:hAnsi="Calibri" w:cs="Calibri"/>
          <w:sz w:val="20"/>
          <w:szCs w:val="20"/>
        </w:rPr>
        <w:t xml:space="preserve">. </w:t>
      </w:r>
      <w:r w:rsidRPr="00AF0513">
        <w:rPr>
          <w:rFonts w:ascii="Calibri" w:hAnsi="Calibri" w:cs="Calibri"/>
          <w:sz w:val="20"/>
          <w:szCs w:val="20"/>
        </w:rPr>
        <w:t xml:space="preserve">See Humphrey Llwyd </w:t>
      </w:r>
      <w:proofErr w:type="spellStart"/>
      <w:r w:rsidRPr="00AF0513">
        <w:rPr>
          <w:rFonts w:ascii="Calibri" w:hAnsi="Calibri" w:cs="Calibri"/>
          <w:sz w:val="20"/>
          <w:szCs w:val="20"/>
        </w:rPr>
        <w:t>Cronica</w:t>
      </w:r>
      <w:proofErr w:type="spellEnd"/>
      <w:r w:rsidRPr="00AF0513">
        <w:rPr>
          <w:rFonts w:ascii="Calibri" w:hAnsi="Calibri" w:cs="Calibri"/>
          <w:sz w:val="20"/>
          <w:szCs w:val="20"/>
        </w:rPr>
        <w:t xml:space="preserve"> </w:t>
      </w:r>
      <w:proofErr w:type="spellStart"/>
      <w:r w:rsidRPr="00AF0513">
        <w:rPr>
          <w:rFonts w:ascii="Calibri" w:hAnsi="Calibri" w:cs="Calibri"/>
          <w:sz w:val="20"/>
          <w:szCs w:val="20"/>
        </w:rPr>
        <w:t>Walliae</w:t>
      </w:r>
      <w:proofErr w:type="spellEnd"/>
      <w:r w:rsidRPr="00AF0513">
        <w:rPr>
          <w:rFonts w:ascii="Calibri" w:hAnsi="Calibri" w:cs="Calibri"/>
          <w:sz w:val="20"/>
          <w:szCs w:val="20"/>
        </w:rPr>
        <w:t xml:space="preserve"> a Rege Cadwalader ad annum 1294</w:t>
      </w:r>
      <w:r>
        <w:rPr>
          <w:rFonts w:ascii="Calibri" w:hAnsi="Calibri" w:cs="Calibri"/>
          <w:sz w:val="20"/>
          <w:szCs w:val="20"/>
        </w:rPr>
        <w:t>. Cited in Johns, Gender, Nation and Conquest p.118</w:t>
      </w:r>
    </w:p>
    <w:p w14:paraId="09714A37" w14:textId="77777777" w:rsidR="00EA2D65" w:rsidRDefault="00E43996" w:rsidP="00EA2D65">
      <w:pPr>
        <w:tabs>
          <w:tab w:val="left" w:pos="1660"/>
        </w:tabs>
        <w:spacing w:after="0" w:line="240" w:lineRule="auto"/>
        <w:rPr>
          <w:rFonts w:ascii="Calibri" w:hAnsi="Calibri" w:cs="Calibri"/>
          <w:sz w:val="20"/>
          <w:szCs w:val="20"/>
        </w:rPr>
      </w:pPr>
      <w:r>
        <w:rPr>
          <w:rFonts w:ascii="Calibri" w:hAnsi="Calibri" w:cs="Calibri"/>
          <w:sz w:val="20"/>
          <w:szCs w:val="20"/>
          <w:vertAlign w:val="superscript"/>
        </w:rPr>
        <w:t>14</w:t>
      </w:r>
      <w:r w:rsidRPr="000E1C96">
        <w:rPr>
          <w:rFonts w:ascii="Calibri" w:hAnsi="Calibri" w:cs="Calibri"/>
          <w:sz w:val="22"/>
          <w:szCs w:val="22"/>
          <w:vertAlign w:val="superscript"/>
        </w:rPr>
        <w:t>.</w:t>
      </w:r>
      <w:r w:rsidRPr="00CB3461">
        <w:rPr>
          <w:rFonts w:ascii="Calibri" w:hAnsi="Calibri" w:cs="Calibri"/>
          <w:sz w:val="20"/>
          <w:szCs w:val="20"/>
        </w:rPr>
        <w:t xml:space="preserve">Gerald of Wales, </w:t>
      </w:r>
      <w:r w:rsidRPr="00CB3461">
        <w:rPr>
          <w:rFonts w:ascii="Calibri" w:hAnsi="Calibri" w:cs="Calibri"/>
          <w:i/>
          <w:iCs/>
          <w:sz w:val="20"/>
          <w:szCs w:val="20"/>
        </w:rPr>
        <w:t>The Journey through Wales / The Description of Wales</w:t>
      </w:r>
      <w:r w:rsidRPr="00CB3461">
        <w:rPr>
          <w:rFonts w:ascii="Calibri" w:hAnsi="Calibri" w:cs="Calibri"/>
          <w:sz w:val="20"/>
          <w:szCs w:val="20"/>
        </w:rPr>
        <w:t>, trans. by Lewis Thorpe (London: Penguin Classics, 197</w:t>
      </w:r>
    </w:p>
    <w:p w14:paraId="515CDDF1" w14:textId="77777777" w:rsidR="00EA2D65" w:rsidRDefault="00EA2D65" w:rsidP="00EA2D65">
      <w:pPr>
        <w:tabs>
          <w:tab w:val="left" w:pos="1660"/>
        </w:tabs>
        <w:spacing w:after="0" w:line="240" w:lineRule="auto"/>
        <w:rPr>
          <w:rFonts w:ascii="Calibri" w:hAnsi="Calibri" w:cs="Calibri"/>
          <w:sz w:val="20"/>
          <w:szCs w:val="20"/>
        </w:rPr>
      </w:pPr>
    </w:p>
    <w:p w14:paraId="165F99F5" w14:textId="77777777" w:rsidR="00EA2D65" w:rsidRDefault="00EA2D65" w:rsidP="00EA2D65">
      <w:pPr>
        <w:tabs>
          <w:tab w:val="left" w:pos="1660"/>
        </w:tabs>
        <w:spacing w:after="0" w:line="240" w:lineRule="auto"/>
        <w:rPr>
          <w:rFonts w:ascii="Calibri" w:hAnsi="Calibri" w:cs="Calibri"/>
          <w:sz w:val="20"/>
          <w:szCs w:val="20"/>
        </w:rPr>
      </w:pPr>
    </w:p>
    <w:p w14:paraId="14EF0A38" w14:textId="77777777" w:rsidR="00C1523B" w:rsidRDefault="00C1523B" w:rsidP="00EA2D65">
      <w:pPr>
        <w:tabs>
          <w:tab w:val="left" w:pos="1660"/>
        </w:tabs>
        <w:spacing w:after="0" w:line="240" w:lineRule="auto"/>
        <w:rPr>
          <w:rFonts w:ascii="Calibri" w:hAnsi="Calibri" w:cs="Calibri"/>
          <w:sz w:val="20"/>
          <w:szCs w:val="20"/>
        </w:rPr>
      </w:pPr>
    </w:p>
    <w:p w14:paraId="78133F8C" w14:textId="79E658F1" w:rsidR="00483596" w:rsidRDefault="00B53BBC" w:rsidP="00EA2D65">
      <w:pPr>
        <w:tabs>
          <w:tab w:val="left" w:pos="1660"/>
        </w:tabs>
        <w:spacing w:after="0" w:line="240" w:lineRule="auto"/>
        <w:rPr>
          <w:rFonts w:ascii="Calibri" w:hAnsi="Calibri" w:cs="Calibri"/>
          <w:b/>
          <w:bCs/>
          <w:sz w:val="22"/>
          <w:szCs w:val="22"/>
        </w:rPr>
      </w:pPr>
      <w:r w:rsidRPr="00D0770F">
        <w:rPr>
          <w:rFonts w:ascii="Calibri" w:hAnsi="Calibri" w:cs="Calibri"/>
          <w:b/>
          <w:bCs/>
          <w:sz w:val="22"/>
          <w:szCs w:val="22"/>
        </w:rPr>
        <w:t>Bibliography</w:t>
      </w:r>
    </w:p>
    <w:p w14:paraId="72424B1D" w14:textId="77777777" w:rsidR="00C1523B" w:rsidRPr="00EA2D65" w:rsidRDefault="00C1523B" w:rsidP="00EA2D65">
      <w:pPr>
        <w:tabs>
          <w:tab w:val="left" w:pos="1660"/>
        </w:tabs>
        <w:spacing w:after="0" w:line="240" w:lineRule="auto"/>
        <w:rPr>
          <w:rFonts w:ascii="Calibri" w:hAnsi="Calibri" w:cs="Calibri"/>
          <w:sz w:val="20"/>
          <w:szCs w:val="20"/>
        </w:rPr>
      </w:pPr>
    </w:p>
    <w:p w14:paraId="11ED4302"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Brut y </w:t>
      </w:r>
      <w:proofErr w:type="spellStart"/>
      <w:r w:rsidRPr="003F124F">
        <w:rPr>
          <w:rFonts w:ascii="Calibri" w:hAnsi="Calibri" w:cs="Calibri"/>
          <w:sz w:val="22"/>
          <w:szCs w:val="22"/>
        </w:rPr>
        <w:t>Tywysogyon</w:t>
      </w:r>
      <w:proofErr w:type="spellEnd"/>
      <w:r w:rsidRPr="003F124F">
        <w:rPr>
          <w:rFonts w:ascii="Calibri" w:hAnsi="Calibri" w:cs="Calibri"/>
          <w:sz w:val="22"/>
          <w:szCs w:val="22"/>
        </w:rPr>
        <w:t xml:space="preserve">, or </w:t>
      </w:r>
      <w:r w:rsidRPr="003F124F">
        <w:rPr>
          <w:rFonts w:ascii="Calibri" w:hAnsi="Calibri" w:cs="Calibri"/>
          <w:i/>
          <w:iCs/>
          <w:sz w:val="22"/>
          <w:szCs w:val="22"/>
        </w:rPr>
        <w:t>The Chronicle of the Princes</w:t>
      </w:r>
      <w:r w:rsidRPr="003F124F">
        <w:rPr>
          <w:rFonts w:ascii="Calibri" w:hAnsi="Calibri" w:cs="Calibri"/>
          <w:sz w:val="22"/>
          <w:szCs w:val="22"/>
        </w:rPr>
        <w:t>, trans. by Thomas Jones (Cardiff: University of Wales Press, 1955)</w:t>
      </w:r>
    </w:p>
    <w:p w14:paraId="56305182"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Davies, R. R., </w:t>
      </w:r>
      <w:r w:rsidRPr="003F124F">
        <w:rPr>
          <w:rFonts w:ascii="Calibri" w:hAnsi="Calibri" w:cs="Calibri"/>
          <w:i/>
          <w:iCs/>
          <w:sz w:val="22"/>
          <w:szCs w:val="22"/>
        </w:rPr>
        <w:t>Conquest, Coexistence, and Change: Wales 1063–1415</w:t>
      </w:r>
      <w:r w:rsidRPr="003F124F">
        <w:rPr>
          <w:rFonts w:ascii="Calibri" w:hAnsi="Calibri" w:cs="Calibri"/>
          <w:sz w:val="22"/>
          <w:szCs w:val="22"/>
        </w:rPr>
        <w:t xml:space="preserve"> (Oxford: Clarendon Press, 1987)</w:t>
      </w:r>
    </w:p>
    <w:p w14:paraId="16B3C165"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Gerald of Wales, </w:t>
      </w:r>
      <w:r w:rsidRPr="003F124F">
        <w:rPr>
          <w:rFonts w:ascii="Calibri" w:hAnsi="Calibri" w:cs="Calibri"/>
          <w:i/>
          <w:iCs/>
          <w:sz w:val="22"/>
          <w:szCs w:val="22"/>
        </w:rPr>
        <w:t>The Journey through Wales / The Description of Wales</w:t>
      </w:r>
      <w:r w:rsidRPr="003F124F">
        <w:rPr>
          <w:rFonts w:ascii="Calibri" w:hAnsi="Calibri" w:cs="Calibri"/>
          <w:sz w:val="22"/>
          <w:szCs w:val="22"/>
        </w:rPr>
        <w:t>, trans. by Lewis Thorpe (London: Penguin Classics, 1978)</w:t>
      </w:r>
    </w:p>
    <w:p w14:paraId="090EF904"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Johns, Susan M., </w:t>
      </w:r>
      <w:r w:rsidRPr="003F124F">
        <w:rPr>
          <w:rFonts w:ascii="Calibri" w:hAnsi="Calibri" w:cs="Calibri"/>
          <w:i/>
          <w:iCs/>
          <w:sz w:val="22"/>
          <w:szCs w:val="22"/>
        </w:rPr>
        <w:t>Gender, Nation and Conquest in the High Middle Ages: Nest of Deheubarth</w:t>
      </w:r>
      <w:r w:rsidRPr="003F124F">
        <w:rPr>
          <w:rFonts w:ascii="Calibri" w:hAnsi="Calibri" w:cs="Calibri"/>
          <w:sz w:val="22"/>
          <w:szCs w:val="22"/>
        </w:rPr>
        <w:t xml:space="preserve"> (Manchester: Manchester University Press, 2013)</w:t>
      </w:r>
    </w:p>
    <w:p w14:paraId="1E73C035"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Jones, Owain Wyn, 'Brut y Tywysogion: the History of the Princes and Twelfth-Century Cambro-Latin Historical Writing', in </w:t>
      </w:r>
      <w:r w:rsidRPr="003F124F">
        <w:rPr>
          <w:rFonts w:ascii="Calibri" w:hAnsi="Calibri" w:cs="Calibri"/>
          <w:i/>
          <w:iCs/>
          <w:sz w:val="22"/>
          <w:szCs w:val="22"/>
        </w:rPr>
        <w:t>The Haskins Society Journal 26: Studies in Medieval History</w:t>
      </w:r>
      <w:r w:rsidRPr="003F124F">
        <w:rPr>
          <w:rFonts w:ascii="Calibri" w:hAnsi="Calibri" w:cs="Calibri"/>
          <w:sz w:val="22"/>
          <w:szCs w:val="22"/>
        </w:rPr>
        <w:t>, ed. by Laura L. Gathagan and William North (Woodbridge: Boydell and Brewer, 2015), pp. 209–228</w:t>
      </w:r>
    </w:p>
    <w:p w14:paraId="59A17C1B"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Lloyd, J. E., </w:t>
      </w:r>
      <w:r w:rsidRPr="003F124F">
        <w:rPr>
          <w:rFonts w:ascii="Calibri" w:hAnsi="Calibri" w:cs="Calibri"/>
          <w:i/>
          <w:iCs/>
          <w:sz w:val="22"/>
          <w:szCs w:val="22"/>
        </w:rPr>
        <w:t>A History of Wales from the Earliest Times to the Edwardian Conquest</w:t>
      </w:r>
      <w:r w:rsidRPr="003F124F">
        <w:rPr>
          <w:rFonts w:ascii="Calibri" w:hAnsi="Calibri" w:cs="Calibri"/>
          <w:sz w:val="22"/>
          <w:szCs w:val="22"/>
        </w:rPr>
        <w:t>, 2 vols (London: Longmans, Green, 1911)</w:t>
      </w:r>
    </w:p>
    <w:p w14:paraId="23230342"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Llwyd, Humphrey, </w:t>
      </w:r>
      <w:proofErr w:type="spellStart"/>
      <w:r w:rsidRPr="003F124F">
        <w:rPr>
          <w:rFonts w:ascii="Calibri" w:hAnsi="Calibri" w:cs="Calibri"/>
          <w:i/>
          <w:iCs/>
          <w:sz w:val="22"/>
          <w:szCs w:val="22"/>
        </w:rPr>
        <w:t>Cronica</w:t>
      </w:r>
      <w:proofErr w:type="spellEnd"/>
      <w:r w:rsidRPr="003F124F">
        <w:rPr>
          <w:rFonts w:ascii="Calibri" w:hAnsi="Calibri" w:cs="Calibri"/>
          <w:i/>
          <w:iCs/>
          <w:sz w:val="22"/>
          <w:szCs w:val="22"/>
        </w:rPr>
        <w:t xml:space="preserve"> </w:t>
      </w:r>
      <w:proofErr w:type="spellStart"/>
      <w:r w:rsidRPr="003F124F">
        <w:rPr>
          <w:rFonts w:ascii="Calibri" w:hAnsi="Calibri" w:cs="Calibri"/>
          <w:i/>
          <w:iCs/>
          <w:sz w:val="22"/>
          <w:szCs w:val="22"/>
        </w:rPr>
        <w:t>Walliae</w:t>
      </w:r>
      <w:proofErr w:type="spellEnd"/>
      <w:r w:rsidRPr="003F124F">
        <w:rPr>
          <w:rFonts w:ascii="Calibri" w:hAnsi="Calibri" w:cs="Calibri"/>
          <w:i/>
          <w:iCs/>
          <w:sz w:val="22"/>
          <w:szCs w:val="22"/>
        </w:rPr>
        <w:t xml:space="preserve"> a Rege Cadwalader ad annum 1294</w:t>
      </w:r>
      <w:r w:rsidRPr="003F124F">
        <w:rPr>
          <w:rFonts w:ascii="Calibri" w:hAnsi="Calibri" w:cs="Calibri"/>
          <w:sz w:val="22"/>
          <w:szCs w:val="22"/>
        </w:rPr>
        <w:t xml:space="preserve">, cited in Johns, Susan M., </w:t>
      </w:r>
      <w:r w:rsidRPr="003F124F">
        <w:rPr>
          <w:rFonts w:ascii="Calibri" w:hAnsi="Calibri" w:cs="Calibri"/>
          <w:i/>
          <w:iCs/>
          <w:sz w:val="22"/>
          <w:szCs w:val="22"/>
        </w:rPr>
        <w:t>Gender, Nation and Conquest in the High Middle Ages: Nest of Deheubarth</w:t>
      </w:r>
      <w:r w:rsidRPr="003F124F">
        <w:rPr>
          <w:rFonts w:ascii="Calibri" w:hAnsi="Calibri" w:cs="Calibri"/>
          <w:sz w:val="22"/>
          <w:szCs w:val="22"/>
        </w:rPr>
        <w:t xml:space="preserve"> (Manchester: Manchester University Press, 2013)</w:t>
      </w:r>
    </w:p>
    <w:p w14:paraId="1140C097"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Maund, Kari, </w:t>
      </w:r>
      <w:r w:rsidRPr="003F124F">
        <w:rPr>
          <w:rFonts w:ascii="Calibri" w:hAnsi="Calibri" w:cs="Calibri"/>
          <w:i/>
          <w:iCs/>
          <w:sz w:val="22"/>
          <w:szCs w:val="22"/>
        </w:rPr>
        <w:t>Princess Nest of Wales</w:t>
      </w:r>
      <w:r w:rsidRPr="003F124F">
        <w:rPr>
          <w:rFonts w:ascii="Calibri" w:hAnsi="Calibri" w:cs="Calibri"/>
          <w:sz w:val="22"/>
          <w:szCs w:val="22"/>
        </w:rPr>
        <w:t xml:space="preserve"> (Stroud: The History Press, 2007)</w:t>
      </w:r>
    </w:p>
    <w:p w14:paraId="7C290A83" w14:textId="77777777" w:rsidR="003F124F" w:rsidRPr="003F124F" w:rsidRDefault="003F124F" w:rsidP="003F124F">
      <w:pPr>
        <w:tabs>
          <w:tab w:val="left" w:pos="1660"/>
        </w:tabs>
        <w:rPr>
          <w:rFonts w:ascii="Calibri" w:hAnsi="Calibri" w:cs="Calibri"/>
          <w:sz w:val="22"/>
          <w:szCs w:val="22"/>
        </w:rPr>
      </w:pPr>
      <w:r w:rsidRPr="003F124F">
        <w:rPr>
          <w:rFonts w:ascii="Calibri" w:hAnsi="Calibri" w:cs="Calibri"/>
          <w:sz w:val="22"/>
          <w:szCs w:val="22"/>
        </w:rPr>
        <w:t xml:space="preserve">Smith, L. B., 'Towards a History of Women in Late Medieval Wales', in </w:t>
      </w:r>
      <w:r w:rsidRPr="003F124F">
        <w:rPr>
          <w:rFonts w:ascii="Calibri" w:hAnsi="Calibri" w:cs="Calibri"/>
          <w:i/>
          <w:iCs/>
          <w:sz w:val="22"/>
          <w:szCs w:val="22"/>
        </w:rPr>
        <w:t>Women and Gender in Early Modern Wales</w:t>
      </w:r>
      <w:r w:rsidRPr="003F124F">
        <w:rPr>
          <w:rFonts w:ascii="Calibri" w:hAnsi="Calibri" w:cs="Calibri"/>
          <w:sz w:val="22"/>
          <w:szCs w:val="22"/>
        </w:rPr>
        <w:t>, ed. by M. Roberts and S. Clarke (Cardiff: University of Wales Press, 2000), pp. 14–49</w:t>
      </w:r>
    </w:p>
    <w:p w14:paraId="1DCB21F1" w14:textId="77777777" w:rsidR="00D678B1" w:rsidRDefault="00D678B1" w:rsidP="00483596">
      <w:pPr>
        <w:tabs>
          <w:tab w:val="left" w:pos="1660"/>
        </w:tabs>
        <w:rPr>
          <w:rFonts w:ascii="Calibri" w:hAnsi="Calibri" w:cs="Calibri"/>
          <w:sz w:val="22"/>
          <w:szCs w:val="22"/>
        </w:rPr>
      </w:pPr>
    </w:p>
    <w:p w14:paraId="39782860" w14:textId="77777777" w:rsidR="00D678B1" w:rsidRDefault="00D678B1" w:rsidP="00483596">
      <w:pPr>
        <w:tabs>
          <w:tab w:val="left" w:pos="1660"/>
        </w:tabs>
        <w:rPr>
          <w:rFonts w:ascii="Calibri" w:hAnsi="Calibri" w:cs="Calibri"/>
          <w:sz w:val="22"/>
          <w:szCs w:val="22"/>
        </w:rPr>
      </w:pPr>
    </w:p>
    <w:p w14:paraId="295EEE7A" w14:textId="77777777" w:rsidR="00D678B1" w:rsidRDefault="00D678B1" w:rsidP="00483596">
      <w:pPr>
        <w:tabs>
          <w:tab w:val="left" w:pos="1660"/>
        </w:tabs>
        <w:rPr>
          <w:rFonts w:ascii="Calibri" w:hAnsi="Calibri" w:cs="Calibri"/>
          <w:sz w:val="22"/>
          <w:szCs w:val="22"/>
        </w:rPr>
      </w:pPr>
    </w:p>
    <w:p w14:paraId="474C39E9" w14:textId="77777777" w:rsidR="00D678B1" w:rsidRDefault="00D678B1" w:rsidP="00483596">
      <w:pPr>
        <w:tabs>
          <w:tab w:val="left" w:pos="1660"/>
        </w:tabs>
        <w:rPr>
          <w:rFonts w:ascii="Calibri" w:hAnsi="Calibri" w:cs="Calibri"/>
          <w:sz w:val="22"/>
          <w:szCs w:val="22"/>
        </w:rPr>
      </w:pPr>
    </w:p>
    <w:sectPr w:rsidR="00D678B1" w:rsidSect="00430AA3">
      <w:footerReference w:type="default" r:id="rId7"/>
      <w:pgSz w:w="12240" w:h="15840"/>
      <w:pgMar w:top="108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0D0A3" w14:textId="77777777" w:rsidR="00FA4843" w:rsidRDefault="00FA4843" w:rsidP="00780AC4">
      <w:pPr>
        <w:spacing w:after="0" w:line="240" w:lineRule="auto"/>
      </w:pPr>
      <w:r>
        <w:separator/>
      </w:r>
    </w:p>
  </w:endnote>
  <w:endnote w:type="continuationSeparator" w:id="0">
    <w:p w14:paraId="63C38E8D" w14:textId="77777777" w:rsidR="00FA4843" w:rsidRDefault="00FA4843" w:rsidP="00780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448825"/>
      <w:docPartObj>
        <w:docPartGallery w:val="Page Numbers (Bottom of Page)"/>
        <w:docPartUnique/>
      </w:docPartObj>
    </w:sdtPr>
    <w:sdtEndPr>
      <w:rPr>
        <w:noProof/>
      </w:rPr>
    </w:sdtEndPr>
    <w:sdtContent>
      <w:p w14:paraId="6D8E3FCF" w14:textId="09C04F23" w:rsidR="00780AC4" w:rsidRDefault="00780A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4F3865" w14:textId="77777777" w:rsidR="00780AC4" w:rsidRDefault="00780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D10FD" w14:textId="77777777" w:rsidR="00FA4843" w:rsidRDefault="00FA4843" w:rsidP="00780AC4">
      <w:pPr>
        <w:spacing w:after="0" w:line="240" w:lineRule="auto"/>
      </w:pPr>
      <w:r>
        <w:separator/>
      </w:r>
    </w:p>
  </w:footnote>
  <w:footnote w:type="continuationSeparator" w:id="0">
    <w:p w14:paraId="3136DE5A" w14:textId="77777777" w:rsidR="00FA4843" w:rsidRDefault="00FA4843" w:rsidP="00780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E5374"/>
    <w:multiLevelType w:val="multilevel"/>
    <w:tmpl w:val="AF4E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5467B7"/>
    <w:multiLevelType w:val="multilevel"/>
    <w:tmpl w:val="52F28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42725D"/>
    <w:multiLevelType w:val="multilevel"/>
    <w:tmpl w:val="5F52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4D33C1"/>
    <w:multiLevelType w:val="multilevel"/>
    <w:tmpl w:val="789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2960A7"/>
    <w:multiLevelType w:val="multilevel"/>
    <w:tmpl w:val="461C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D8662A"/>
    <w:multiLevelType w:val="multilevel"/>
    <w:tmpl w:val="4882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724F27"/>
    <w:multiLevelType w:val="multilevel"/>
    <w:tmpl w:val="7DEE7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EA2EBB"/>
    <w:multiLevelType w:val="multilevel"/>
    <w:tmpl w:val="1360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E44EEB"/>
    <w:multiLevelType w:val="hybridMultilevel"/>
    <w:tmpl w:val="DAA23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411670">
    <w:abstractNumId w:val="8"/>
  </w:num>
  <w:num w:numId="2" w16cid:durableId="713846908">
    <w:abstractNumId w:val="6"/>
  </w:num>
  <w:num w:numId="3" w16cid:durableId="1171261008">
    <w:abstractNumId w:val="1"/>
  </w:num>
  <w:num w:numId="4" w16cid:durableId="1540119868">
    <w:abstractNumId w:val="7"/>
  </w:num>
  <w:num w:numId="5" w16cid:durableId="1279335253">
    <w:abstractNumId w:val="0"/>
  </w:num>
  <w:num w:numId="6" w16cid:durableId="1774550463">
    <w:abstractNumId w:val="2"/>
  </w:num>
  <w:num w:numId="7" w16cid:durableId="495807361">
    <w:abstractNumId w:val="5"/>
  </w:num>
  <w:num w:numId="8" w16cid:durableId="1474566982">
    <w:abstractNumId w:val="7"/>
  </w:num>
  <w:num w:numId="9" w16cid:durableId="454564307">
    <w:abstractNumId w:val="3"/>
  </w:num>
  <w:num w:numId="10" w16cid:durableId="21422650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B38"/>
    <w:rsid w:val="0000395B"/>
    <w:rsid w:val="0000594A"/>
    <w:rsid w:val="00016444"/>
    <w:rsid w:val="0003193F"/>
    <w:rsid w:val="000347A8"/>
    <w:rsid w:val="0004488C"/>
    <w:rsid w:val="0004523D"/>
    <w:rsid w:val="00051ACA"/>
    <w:rsid w:val="00055048"/>
    <w:rsid w:val="00056ED7"/>
    <w:rsid w:val="00057F4E"/>
    <w:rsid w:val="00066AF3"/>
    <w:rsid w:val="000711AC"/>
    <w:rsid w:val="00087016"/>
    <w:rsid w:val="00087102"/>
    <w:rsid w:val="000A0033"/>
    <w:rsid w:val="000C7ABC"/>
    <w:rsid w:val="000D2E9C"/>
    <w:rsid w:val="000E1C96"/>
    <w:rsid w:val="000E6846"/>
    <w:rsid w:val="000E6BA0"/>
    <w:rsid w:val="000E6D01"/>
    <w:rsid w:val="000F50AE"/>
    <w:rsid w:val="00101790"/>
    <w:rsid w:val="00110D4E"/>
    <w:rsid w:val="00115482"/>
    <w:rsid w:val="001251F8"/>
    <w:rsid w:val="00126CB8"/>
    <w:rsid w:val="00136A9E"/>
    <w:rsid w:val="0014760C"/>
    <w:rsid w:val="00156964"/>
    <w:rsid w:val="00161E51"/>
    <w:rsid w:val="0017066B"/>
    <w:rsid w:val="00184DD7"/>
    <w:rsid w:val="0018598B"/>
    <w:rsid w:val="001864FC"/>
    <w:rsid w:val="001972CF"/>
    <w:rsid w:val="001A306D"/>
    <w:rsid w:val="001B1DFE"/>
    <w:rsid w:val="001B3CD9"/>
    <w:rsid w:val="001B5429"/>
    <w:rsid w:val="001C74F2"/>
    <w:rsid w:val="001D0B68"/>
    <w:rsid w:val="001D1201"/>
    <w:rsid w:val="001D1E0B"/>
    <w:rsid w:val="001D26A8"/>
    <w:rsid w:val="001D42CB"/>
    <w:rsid w:val="001F4CD7"/>
    <w:rsid w:val="00201A0B"/>
    <w:rsid w:val="00214960"/>
    <w:rsid w:val="002167A3"/>
    <w:rsid w:val="00243560"/>
    <w:rsid w:val="00245CCD"/>
    <w:rsid w:val="00287B74"/>
    <w:rsid w:val="00292FCD"/>
    <w:rsid w:val="002978CE"/>
    <w:rsid w:val="002A352E"/>
    <w:rsid w:val="002A65A8"/>
    <w:rsid w:val="002B2264"/>
    <w:rsid w:val="002C232C"/>
    <w:rsid w:val="002C27BE"/>
    <w:rsid w:val="002C58AD"/>
    <w:rsid w:val="002D457B"/>
    <w:rsid w:val="002E3452"/>
    <w:rsid w:val="002E57A8"/>
    <w:rsid w:val="002F019A"/>
    <w:rsid w:val="002F230E"/>
    <w:rsid w:val="00306C5E"/>
    <w:rsid w:val="00313737"/>
    <w:rsid w:val="00316797"/>
    <w:rsid w:val="003167A1"/>
    <w:rsid w:val="0032099D"/>
    <w:rsid w:val="00324C7F"/>
    <w:rsid w:val="00331A34"/>
    <w:rsid w:val="003377EA"/>
    <w:rsid w:val="0034121A"/>
    <w:rsid w:val="003438D1"/>
    <w:rsid w:val="003455DF"/>
    <w:rsid w:val="003456A3"/>
    <w:rsid w:val="00345D88"/>
    <w:rsid w:val="00357D13"/>
    <w:rsid w:val="003721E1"/>
    <w:rsid w:val="00374319"/>
    <w:rsid w:val="00382A60"/>
    <w:rsid w:val="00391DAD"/>
    <w:rsid w:val="003935D9"/>
    <w:rsid w:val="003A2815"/>
    <w:rsid w:val="003A3D47"/>
    <w:rsid w:val="003A46D8"/>
    <w:rsid w:val="003B0AE5"/>
    <w:rsid w:val="003B265D"/>
    <w:rsid w:val="003B4382"/>
    <w:rsid w:val="003C780D"/>
    <w:rsid w:val="003D31C9"/>
    <w:rsid w:val="003E0343"/>
    <w:rsid w:val="003E4B42"/>
    <w:rsid w:val="003F124F"/>
    <w:rsid w:val="003F27A5"/>
    <w:rsid w:val="003F3D29"/>
    <w:rsid w:val="003F613C"/>
    <w:rsid w:val="00402BAE"/>
    <w:rsid w:val="0040739C"/>
    <w:rsid w:val="00413211"/>
    <w:rsid w:val="00430AA3"/>
    <w:rsid w:val="0043596A"/>
    <w:rsid w:val="00436D76"/>
    <w:rsid w:val="0044489D"/>
    <w:rsid w:val="00444967"/>
    <w:rsid w:val="004578EF"/>
    <w:rsid w:val="00460312"/>
    <w:rsid w:val="004639E6"/>
    <w:rsid w:val="00466D2A"/>
    <w:rsid w:val="00473ABB"/>
    <w:rsid w:val="00483596"/>
    <w:rsid w:val="00490F3E"/>
    <w:rsid w:val="004932B4"/>
    <w:rsid w:val="004A1F04"/>
    <w:rsid w:val="004A45B5"/>
    <w:rsid w:val="004B092C"/>
    <w:rsid w:val="004B5AA6"/>
    <w:rsid w:val="004C0B38"/>
    <w:rsid w:val="004C635D"/>
    <w:rsid w:val="004D056D"/>
    <w:rsid w:val="004D29D6"/>
    <w:rsid w:val="004D4F54"/>
    <w:rsid w:val="004E0902"/>
    <w:rsid w:val="004F0FCC"/>
    <w:rsid w:val="00511786"/>
    <w:rsid w:val="005126C9"/>
    <w:rsid w:val="00515034"/>
    <w:rsid w:val="005168AF"/>
    <w:rsid w:val="00517327"/>
    <w:rsid w:val="00527FC3"/>
    <w:rsid w:val="00532DAA"/>
    <w:rsid w:val="00542BC7"/>
    <w:rsid w:val="0056054B"/>
    <w:rsid w:val="005609EA"/>
    <w:rsid w:val="0057052B"/>
    <w:rsid w:val="00593853"/>
    <w:rsid w:val="005B1E59"/>
    <w:rsid w:val="005B44F8"/>
    <w:rsid w:val="005B64D1"/>
    <w:rsid w:val="005C159A"/>
    <w:rsid w:val="005D12CF"/>
    <w:rsid w:val="005E1831"/>
    <w:rsid w:val="005E69FF"/>
    <w:rsid w:val="005F352E"/>
    <w:rsid w:val="005F4F03"/>
    <w:rsid w:val="006057A6"/>
    <w:rsid w:val="006137D9"/>
    <w:rsid w:val="00616F6A"/>
    <w:rsid w:val="00624F96"/>
    <w:rsid w:val="0062659C"/>
    <w:rsid w:val="006424CD"/>
    <w:rsid w:val="006543DC"/>
    <w:rsid w:val="006619AA"/>
    <w:rsid w:val="0067302D"/>
    <w:rsid w:val="00693BDE"/>
    <w:rsid w:val="00693F0F"/>
    <w:rsid w:val="0069469C"/>
    <w:rsid w:val="006974A9"/>
    <w:rsid w:val="006A1ADD"/>
    <w:rsid w:val="006A5AD6"/>
    <w:rsid w:val="006C0717"/>
    <w:rsid w:val="006C6055"/>
    <w:rsid w:val="006C645E"/>
    <w:rsid w:val="006D083E"/>
    <w:rsid w:val="006D0E00"/>
    <w:rsid w:val="006D7329"/>
    <w:rsid w:val="006E4D55"/>
    <w:rsid w:val="006F18A9"/>
    <w:rsid w:val="007011E3"/>
    <w:rsid w:val="0070273F"/>
    <w:rsid w:val="0071086D"/>
    <w:rsid w:val="0071202C"/>
    <w:rsid w:val="00717AEB"/>
    <w:rsid w:val="007212CD"/>
    <w:rsid w:val="00724B0A"/>
    <w:rsid w:val="00747E69"/>
    <w:rsid w:val="00754048"/>
    <w:rsid w:val="00773896"/>
    <w:rsid w:val="00775972"/>
    <w:rsid w:val="00780AC4"/>
    <w:rsid w:val="0078212B"/>
    <w:rsid w:val="0079006D"/>
    <w:rsid w:val="0079145B"/>
    <w:rsid w:val="00794858"/>
    <w:rsid w:val="007A3E0E"/>
    <w:rsid w:val="007A5398"/>
    <w:rsid w:val="007C0E80"/>
    <w:rsid w:val="007C326A"/>
    <w:rsid w:val="007C5AC3"/>
    <w:rsid w:val="007C6EE1"/>
    <w:rsid w:val="007D4549"/>
    <w:rsid w:val="007E41E0"/>
    <w:rsid w:val="007E49B1"/>
    <w:rsid w:val="008064A2"/>
    <w:rsid w:val="008067E1"/>
    <w:rsid w:val="00806C79"/>
    <w:rsid w:val="00813585"/>
    <w:rsid w:val="0083502C"/>
    <w:rsid w:val="0083588E"/>
    <w:rsid w:val="00872F5D"/>
    <w:rsid w:val="008734B7"/>
    <w:rsid w:val="00883C75"/>
    <w:rsid w:val="00885DBE"/>
    <w:rsid w:val="0089417D"/>
    <w:rsid w:val="00896AE4"/>
    <w:rsid w:val="008A29C0"/>
    <w:rsid w:val="008C23F2"/>
    <w:rsid w:val="008C3407"/>
    <w:rsid w:val="008D584A"/>
    <w:rsid w:val="008D655A"/>
    <w:rsid w:val="008D7006"/>
    <w:rsid w:val="008E2F43"/>
    <w:rsid w:val="008E4571"/>
    <w:rsid w:val="008E56D9"/>
    <w:rsid w:val="008E5B20"/>
    <w:rsid w:val="008F1E04"/>
    <w:rsid w:val="00913444"/>
    <w:rsid w:val="00915350"/>
    <w:rsid w:val="00920076"/>
    <w:rsid w:val="00924993"/>
    <w:rsid w:val="00932E39"/>
    <w:rsid w:val="009419A8"/>
    <w:rsid w:val="009531E3"/>
    <w:rsid w:val="009578E5"/>
    <w:rsid w:val="00957C2E"/>
    <w:rsid w:val="0096625E"/>
    <w:rsid w:val="00967D72"/>
    <w:rsid w:val="00973447"/>
    <w:rsid w:val="00973782"/>
    <w:rsid w:val="0098016E"/>
    <w:rsid w:val="00981EB1"/>
    <w:rsid w:val="00982EBE"/>
    <w:rsid w:val="00987408"/>
    <w:rsid w:val="00990C0B"/>
    <w:rsid w:val="009A7775"/>
    <w:rsid w:val="009B16F8"/>
    <w:rsid w:val="009B6B38"/>
    <w:rsid w:val="009C2E57"/>
    <w:rsid w:val="009C7935"/>
    <w:rsid w:val="009D1CA1"/>
    <w:rsid w:val="009D2406"/>
    <w:rsid w:val="009D3A9D"/>
    <w:rsid w:val="009D5E0D"/>
    <w:rsid w:val="009D6F27"/>
    <w:rsid w:val="009D7C96"/>
    <w:rsid w:val="009E0947"/>
    <w:rsid w:val="009E0B64"/>
    <w:rsid w:val="009E3D0C"/>
    <w:rsid w:val="009F3893"/>
    <w:rsid w:val="00A02937"/>
    <w:rsid w:val="00A03224"/>
    <w:rsid w:val="00A076FE"/>
    <w:rsid w:val="00A10B7E"/>
    <w:rsid w:val="00A111FD"/>
    <w:rsid w:val="00A15D09"/>
    <w:rsid w:val="00A32B06"/>
    <w:rsid w:val="00A43C7C"/>
    <w:rsid w:val="00A53174"/>
    <w:rsid w:val="00A72832"/>
    <w:rsid w:val="00A740C8"/>
    <w:rsid w:val="00A7534F"/>
    <w:rsid w:val="00A77721"/>
    <w:rsid w:val="00A77C28"/>
    <w:rsid w:val="00A80955"/>
    <w:rsid w:val="00A91E0A"/>
    <w:rsid w:val="00A9582D"/>
    <w:rsid w:val="00AA1171"/>
    <w:rsid w:val="00AA4A15"/>
    <w:rsid w:val="00AA6140"/>
    <w:rsid w:val="00AB4754"/>
    <w:rsid w:val="00AC1A48"/>
    <w:rsid w:val="00AD1D86"/>
    <w:rsid w:val="00AD3D12"/>
    <w:rsid w:val="00AE57F7"/>
    <w:rsid w:val="00AF0513"/>
    <w:rsid w:val="00AF06A9"/>
    <w:rsid w:val="00AF5246"/>
    <w:rsid w:val="00B025AF"/>
    <w:rsid w:val="00B05E23"/>
    <w:rsid w:val="00B12CFE"/>
    <w:rsid w:val="00B20236"/>
    <w:rsid w:val="00B2491E"/>
    <w:rsid w:val="00B25989"/>
    <w:rsid w:val="00B26D9C"/>
    <w:rsid w:val="00B27AE0"/>
    <w:rsid w:val="00B30AAE"/>
    <w:rsid w:val="00B358F1"/>
    <w:rsid w:val="00B36299"/>
    <w:rsid w:val="00B41138"/>
    <w:rsid w:val="00B47512"/>
    <w:rsid w:val="00B52882"/>
    <w:rsid w:val="00B53BBC"/>
    <w:rsid w:val="00B72040"/>
    <w:rsid w:val="00B833A1"/>
    <w:rsid w:val="00B9199C"/>
    <w:rsid w:val="00B92FAC"/>
    <w:rsid w:val="00BA07A1"/>
    <w:rsid w:val="00BA2615"/>
    <w:rsid w:val="00BB1258"/>
    <w:rsid w:val="00BB38E4"/>
    <w:rsid w:val="00BC78CD"/>
    <w:rsid w:val="00BC7AF3"/>
    <w:rsid w:val="00BD23BB"/>
    <w:rsid w:val="00BD6CC2"/>
    <w:rsid w:val="00BE737D"/>
    <w:rsid w:val="00BF330F"/>
    <w:rsid w:val="00BF3989"/>
    <w:rsid w:val="00BF57D2"/>
    <w:rsid w:val="00C03CAC"/>
    <w:rsid w:val="00C05B36"/>
    <w:rsid w:val="00C140BB"/>
    <w:rsid w:val="00C1523B"/>
    <w:rsid w:val="00C21C75"/>
    <w:rsid w:val="00C31ABD"/>
    <w:rsid w:val="00C34A9E"/>
    <w:rsid w:val="00C42AC3"/>
    <w:rsid w:val="00C44E6F"/>
    <w:rsid w:val="00C51551"/>
    <w:rsid w:val="00C63985"/>
    <w:rsid w:val="00C6431D"/>
    <w:rsid w:val="00C722BC"/>
    <w:rsid w:val="00C746F8"/>
    <w:rsid w:val="00C777D8"/>
    <w:rsid w:val="00C813B7"/>
    <w:rsid w:val="00C82E80"/>
    <w:rsid w:val="00C86C78"/>
    <w:rsid w:val="00C9280C"/>
    <w:rsid w:val="00C94A08"/>
    <w:rsid w:val="00CA0322"/>
    <w:rsid w:val="00CB3461"/>
    <w:rsid w:val="00CB570F"/>
    <w:rsid w:val="00CB588E"/>
    <w:rsid w:val="00CB78D5"/>
    <w:rsid w:val="00CC04FC"/>
    <w:rsid w:val="00CC0A84"/>
    <w:rsid w:val="00CC1A3D"/>
    <w:rsid w:val="00CD37BA"/>
    <w:rsid w:val="00CD4924"/>
    <w:rsid w:val="00CD6DA6"/>
    <w:rsid w:val="00CE0B9A"/>
    <w:rsid w:val="00CF2AC0"/>
    <w:rsid w:val="00D038FA"/>
    <w:rsid w:val="00D0770F"/>
    <w:rsid w:val="00D1288B"/>
    <w:rsid w:val="00D128FD"/>
    <w:rsid w:val="00D139B2"/>
    <w:rsid w:val="00D22016"/>
    <w:rsid w:val="00D30B9D"/>
    <w:rsid w:val="00D314A4"/>
    <w:rsid w:val="00D321AE"/>
    <w:rsid w:val="00D34E6C"/>
    <w:rsid w:val="00D37336"/>
    <w:rsid w:val="00D53C28"/>
    <w:rsid w:val="00D678B1"/>
    <w:rsid w:val="00D708E5"/>
    <w:rsid w:val="00D74C6B"/>
    <w:rsid w:val="00D778C3"/>
    <w:rsid w:val="00D81289"/>
    <w:rsid w:val="00D838CD"/>
    <w:rsid w:val="00D86988"/>
    <w:rsid w:val="00D917A1"/>
    <w:rsid w:val="00DA15F3"/>
    <w:rsid w:val="00DA23F0"/>
    <w:rsid w:val="00DA6B18"/>
    <w:rsid w:val="00DB1588"/>
    <w:rsid w:val="00DC1063"/>
    <w:rsid w:val="00DC4B84"/>
    <w:rsid w:val="00DC6434"/>
    <w:rsid w:val="00DC7E7A"/>
    <w:rsid w:val="00DC7F38"/>
    <w:rsid w:val="00DF281A"/>
    <w:rsid w:val="00E11D45"/>
    <w:rsid w:val="00E159FA"/>
    <w:rsid w:val="00E27FEA"/>
    <w:rsid w:val="00E34DE2"/>
    <w:rsid w:val="00E41F44"/>
    <w:rsid w:val="00E42FAA"/>
    <w:rsid w:val="00E43996"/>
    <w:rsid w:val="00E5464A"/>
    <w:rsid w:val="00E54A3F"/>
    <w:rsid w:val="00E5510B"/>
    <w:rsid w:val="00E5514B"/>
    <w:rsid w:val="00E55268"/>
    <w:rsid w:val="00E75D5B"/>
    <w:rsid w:val="00E810A3"/>
    <w:rsid w:val="00E84D95"/>
    <w:rsid w:val="00E85685"/>
    <w:rsid w:val="00E91A18"/>
    <w:rsid w:val="00E95B5E"/>
    <w:rsid w:val="00E95F1C"/>
    <w:rsid w:val="00E97809"/>
    <w:rsid w:val="00EA0A41"/>
    <w:rsid w:val="00EA2D65"/>
    <w:rsid w:val="00EB4CD5"/>
    <w:rsid w:val="00EB6578"/>
    <w:rsid w:val="00EC417D"/>
    <w:rsid w:val="00EC52EF"/>
    <w:rsid w:val="00EC6E36"/>
    <w:rsid w:val="00EE1B46"/>
    <w:rsid w:val="00EE3963"/>
    <w:rsid w:val="00EF03D3"/>
    <w:rsid w:val="00F1053B"/>
    <w:rsid w:val="00F22F46"/>
    <w:rsid w:val="00F276A3"/>
    <w:rsid w:val="00F30C44"/>
    <w:rsid w:val="00F42DF7"/>
    <w:rsid w:val="00F460CB"/>
    <w:rsid w:val="00F51AC3"/>
    <w:rsid w:val="00F52245"/>
    <w:rsid w:val="00F55E0B"/>
    <w:rsid w:val="00F568F8"/>
    <w:rsid w:val="00F5747D"/>
    <w:rsid w:val="00F672F7"/>
    <w:rsid w:val="00F674FF"/>
    <w:rsid w:val="00F71C08"/>
    <w:rsid w:val="00F82C0C"/>
    <w:rsid w:val="00F97457"/>
    <w:rsid w:val="00FA3265"/>
    <w:rsid w:val="00FA4843"/>
    <w:rsid w:val="00FB2A09"/>
    <w:rsid w:val="00FB3582"/>
    <w:rsid w:val="00FB5C38"/>
    <w:rsid w:val="00FC2C70"/>
    <w:rsid w:val="00FC3009"/>
    <w:rsid w:val="00FC368F"/>
    <w:rsid w:val="00FD1CD2"/>
    <w:rsid w:val="00FD2615"/>
    <w:rsid w:val="00FD7C4F"/>
    <w:rsid w:val="00FE497A"/>
    <w:rsid w:val="00FE4EE8"/>
    <w:rsid w:val="00FF085A"/>
    <w:rsid w:val="00FF1F59"/>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A4D1"/>
  <w15:chartTrackingRefBased/>
  <w15:docId w15:val="{5E5AB94D-DD45-454D-B761-9FDF3869A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0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B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B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B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B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0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B38"/>
    <w:rPr>
      <w:rFonts w:eastAsiaTheme="majorEastAsia" w:cstheme="majorBidi"/>
      <w:color w:val="272727" w:themeColor="text1" w:themeTint="D8"/>
    </w:rPr>
  </w:style>
  <w:style w:type="paragraph" w:styleId="Title">
    <w:name w:val="Title"/>
    <w:basedOn w:val="Normal"/>
    <w:next w:val="Normal"/>
    <w:link w:val="TitleChar"/>
    <w:uiPriority w:val="10"/>
    <w:qFormat/>
    <w:rsid w:val="004C0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B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B38"/>
    <w:pPr>
      <w:spacing w:before="160"/>
      <w:jc w:val="center"/>
    </w:pPr>
    <w:rPr>
      <w:i/>
      <w:iCs/>
      <w:color w:val="404040" w:themeColor="text1" w:themeTint="BF"/>
    </w:rPr>
  </w:style>
  <w:style w:type="character" w:customStyle="1" w:styleId="QuoteChar">
    <w:name w:val="Quote Char"/>
    <w:basedOn w:val="DefaultParagraphFont"/>
    <w:link w:val="Quote"/>
    <w:uiPriority w:val="29"/>
    <w:rsid w:val="004C0B38"/>
    <w:rPr>
      <w:i/>
      <w:iCs/>
      <w:color w:val="404040" w:themeColor="text1" w:themeTint="BF"/>
    </w:rPr>
  </w:style>
  <w:style w:type="paragraph" w:styleId="ListParagraph">
    <w:name w:val="List Paragraph"/>
    <w:basedOn w:val="Normal"/>
    <w:uiPriority w:val="34"/>
    <w:qFormat/>
    <w:rsid w:val="004C0B38"/>
    <w:pPr>
      <w:ind w:left="720"/>
      <w:contextualSpacing/>
    </w:pPr>
  </w:style>
  <w:style w:type="character" w:styleId="IntenseEmphasis">
    <w:name w:val="Intense Emphasis"/>
    <w:basedOn w:val="DefaultParagraphFont"/>
    <w:uiPriority w:val="21"/>
    <w:qFormat/>
    <w:rsid w:val="004C0B38"/>
    <w:rPr>
      <w:i/>
      <w:iCs/>
      <w:color w:val="0F4761" w:themeColor="accent1" w:themeShade="BF"/>
    </w:rPr>
  </w:style>
  <w:style w:type="paragraph" w:styleId="IntenseQuote">
    <w:name w:val="Intense Quote"/>
    <w:basedOn w:val="Normal"/>
    <w:next w:val="Normal"/>
    <w:link w:val="IntenseQuoteChar"/>
    <w:uiPriority w:val="30"/>
    <w:qFormat/>
    <w:rsid w:val="004C0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B38"/>
    <w:rPr>
      <w:i/>
      <w:iCs/>
      <w:color w:val="0F4761" w:themeColor="accent1" w:themeShade="BF"/>
    </w:rPr>
  </w:style>
  <w:style w:type="character" w:styleId="IntenseReference">
    <w:name w:val="Intense Reference"/>
    <w:basedOn w:val="DefaultParagraphFont"/>
    <w:uiPriority w:val="32"/>
    <w:qFormat/>
    <w:rsid w:val="004C0B38"/>
    <w:rPr>
      <w:b/>
      <w:bCs/>
      <w:smallCaps/>
      <w:color w:val="0F4761" w:themeColor="accent1" w:themeShade="BF"/>
      <w:spacing w:val="5"/>
    </w:rPr>
  </w:style>
  <w:style w:type="character" w:styleId="Hyperlink">
    <w:name w:val="Hyperlink"/>
    <w:basedOn w:val="DefaultParagraphFont"/>
    <w:uiPriority w:val="99"/>
    <w:unhideWhenUsed/>
    <w:rsid w:val="004B5AA6"/>
    <w:rPr>
      <w:color w:val="467886" w:themeColor="hyperlink"/>
      <w:u w:val="single"/>
    </w:rPr>
  </w:style>
  <w:style w:type="character" w:styleId="UnresolvedMention">
    <w:name w:val="Unresolved Mention"/>
    <w:basedOn w:val="DefaultParagraphFont"/>
    <w:uiPriority w:val="99"/>
    <w:semiHidden/>
    <w:unhideWhenUsed/>
    <w:rsid w:val="004B5AA6"/>
    <w:rPr>
      <w:color w:val="605E5C"/>
      <w:shd w:val="clear" w:color="auto" w:fill="E1DFDD"/>
    </w:rPr>
  </w:style>
  <w:style w:type="paragraph" w:customStyle="1" w:styleId="font-claude-response-body">
    <w:name w:val="font-claude-response-body"/>
    <w:basedOn w:val="Normal"/>
    <w:rsid w:val="00A7534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7534F"/>
    <w:rPr>
      <w:b/>
      <w:bCs/>
    </w:rPr>
  </w:style>
  <w:style w:type="paragraph" w:customStyle="1" w:styleId="whitespace-normal">
    <w:name w:val="whitespace-normal"/>
    <w:basedOn w:val="Normal"/>
    <w:rsid w:val="00A7534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A7534F"/>
    <w:rPr>
      <w:i/>
      <w:iCs/>
    </w:rPr>
  </w:style>
  <w:style w:type="paragraph" w:styleId="Header">
    <w:name w:val="header"/>
    <w:basedOn w:val="Normal"/>
    <w:link w:val="HeaderChar"/>
    <w:uiPriority w:val="99"/>
    <w:unhideWhenUsed/>
    <w:rsid w:val="00780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0AC4"/>
  </w:style>
  <w:style w:type="paragraph" w:styleId="Footer">
    <w:name w:val="footer"/>
    <w:basedOn w:val="Normal"/>
    <w:link w:val="FooterChar"/>
    <w:uiPriority w:val="99"/>
    <w:unhideWhenUsed/>
    <w:rsid w:val="00780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0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4538</Words>
  <Characters>25871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Granda, Maria</dc:creator>
  <cp:keywords/>
  <dc:description/>
  <cp:lastModifiedBy>Granda, Maria</cp:lastModifiedBy>
  <cp:revision>21</cp:revision>
  <cp:lastPrinted>2026-04-30T16:10:00Z</cp:lastPrinted>
  <dcterms:created xsi:type="dcterms:W3CDTF">2026-04-30T20:19:00Z</dcterms:created>
  <dcterms:modified xsi:type="dcterms:W3CDTF">2026-04-30T20:37:00Z</dcterms:modified>
</cp:coreProperties>
</file>