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6B9665" w14:textId="7920FCAB" w:rsidR="00AC5F56" w:rsidRDefault="00AC5F56">
      <w:bookmarkStart w:id="0" w:name="_GoBack"/>
      <w:bookmarkEnd w:id="0"/>
      <w:r>
        <w:t xml:space="preserve">Portfolio </w:t>
      </w:r>
    </w:p>
    <w:p w14:paraId="018A20DD" w14:textId="560D93EA" w:rsidR="00AC5F56" w:rsidRDefault="00AC5F56">
      <w:r>
        <w:t xml:space="preserve">Name: Charlotte Smith </w:t>
      </w:r>
    </w:p>
    <w:p w14:paraId="262238AB" w14:textId="3B9B4463" w:rsidR="00AC5F56" w:rsidRDefault="00AC5F56">
      <w:r>
        <w:t>Student number: 1702307</w:t>
      </w:r>
    </w:p>
    <w:p w14:paraId="56856000" w14:textId="1B95441F" w:rsidR="00AC5F56" w:rsidRDefault="00AC5F56">
      <w:r>
        <w:t xml:space="preserve">Book Review and Document Report </w:t>
      </w:r>
    </w:p>
    <w:p w14:paraId="2137F090" w14:textId="7A1478D6" w:rsidR="00AC5F56" w:rsidRDefault="00AC5F56"/>
    <w:p w14:paraId="7E6C903E" w14:textId="36E6DC0D" w:rsidR="00AC5F56" w:rsidRPr="006E5EF0" w:rsidRDefault="00AC5F56">
      <w:pPr>
        <w:rPr>
          <w:u w:val="single"/>
        </w:rPr>
      </w:pPr>
      <w:r w:rsidRPr="006E5EF0">
        <w:rPr>
          <w:u w:val="single"/>
        </w:rPr>
        <w:t>Book Review</w:t>
      </w:r>
    </w:p>
    <w:p w14:paraId="2C9B1B00" w14:textId="77777777" w:rsidR="00AC5F56" w:rsidRDefault="00AC5F56" w:rsidP="00AC5F56">
      <w:pPr>
        <w:pStyle w:val="NormalWeb"/>
        <w:spacing w:line="480" w:lineRule="auto"/>
        <w:rPr>
          <w:rFonts w:asciiTheme="minorHAnsi" w:hAnsiTheme="minorHAnsi" w:cstheme="minorHAnsi"/>
          <w:u w:val="single"/>
        </w:rPr>
      </w:pPr>
      <w:r>
        <w:rPr>
          <w:rFonts w:asciiTheme="minorHAnsi" w:hAnsiTheme="minorHAnsi" w:cstheme="minorHAnsi"/>
        </w:rPr>
        <w:t>My book review is on Vera Brittain’s ‘Testament of Youth’. I will also be using Mary Borden’s book, ‘the Forbidden Zone’ as a comparison to Brittain’s book.</w:t>
      </w:r>
      <w:r>
        <w:rPr>
          <w:rFonts w:asciiTheme="minorHAnsi" w:hAnsiTheme="minorHAnsi" w:cstheme="minorHAnsi"/>
          <w:u w:val="single"/>
        </w:rPr>
        <w:t xml:space="preserve"> </w:t>
      </w:r>
    </w:p>
    <w:p w14:paraId="5567A2B2" w14:textId="77777777" w:rsidR="00AC5F56" w:rsidRDefault="00AC5F56" w:rsidP="00AC5F56">
      <w:pPr>
        <w:pStyle w:val="NormalWeb"/>
        <w:spacing w:line="480" w:lineRule="auto"/>
        <w:rPr>
          <w:rFonts w:asciiTheme="minorHAnsi" w:hAnsiTheme="minorHAnsi" w:cstheme="minorHAnsi"/>
          <w:color w:val="000000"/>
        </w:rPr>
      </w:pPr>
      <w:r>
        <w:rPr>
          <w:rFonts w:asciiTheme="minorHAnsi" w:hAnsiTheme="minorHAnsi" w:cstheme="minorHAnsi"/>
          <w:color w:val="000000"/>
        </w:rPr>
        <w:t>‘Testament of Youth’ is written by Vera Brittain. She was a born in 1893 to a wealthy family. This allowed her to go to university which was pretty uncommon for women at the time. She studied English literature at Oxford which meant she</w:t>
      </w:r>
      <w:r>
        <w:rPr>
          <w:rFonts w:asciiTheme="minorHAnsi" w:hAnsiTheme="minorHAnsi" w:cstheme="minorHAnsi"/>
        </w:rPr>
        <w:t xml:space="preserve"> probably was aware of the pre-war literature that enforced Victorian notions such as the romanticism of war. Her </w:t>
      </w:r>
      <w:r>
        <w:rPr>
          <w:rFonts w:asciiTheme="minorHAnsi" w:hAnsiTheme="minorHAnsi" w:cstheme="minorHAnsi"/>
          <w:color w:val="000000"/>
        </w:rPr>
        <w:t>experiences of the war meant that she later became a pacifist although it is important to note that she started the war believing in the notion that to go to war was doing your duty to your country. Vera Brittain wasn’t the only person to become a pacifist after going through the horrors of war but does allow an interesting reflection of the moral difficulties they probably faced with the rise of the Nazi party and the outbreak of World War Two. ‘Testament of Youth’ has a different approach to other scholars’ view of the war as it is Vera Brittain’s own personal experience of the war. It is also different as it is the works of a women, specifically a woman who was a Voluntary Aid Detachment Nurse (V.A. Ds)</w:t>
      </w:r>
    </w:p>
    <w:p w14:paraId="03D95C63" w14:textId="77777777" w:rsidR="00AC5F56" w:rsidRDefault="00AC5F56" w:rsidP="00AC5F56">
      <w:pPr>
        <w:pStyle w:val="NormalWeb"/>
        <w:spacing w:line="480" w:lineRule="auto"/>
        <w:rPr>
          <w:rFonts w:asciiTheme="minorHAnsi" w:hAnsiTheme="minorHAnsi" w:cstheme="minorHAnsi"/>
          <w:color w:val="000000"/>
        </w:rPr>
      </w:pPr>
      <w:r>
        <w:rPr>
          <w:rFonts w:asciiTheme="minorHAnsi" w:hAnsiTheme="minorHAnsi" w:cstheme="minorHAnsi"/>
          <w:color w:val="000000"/>
        </w:rPr>
        <w:t xml:space="preserve">It was published in 1933, but the book had origins of the diary that she kept during World War One. It is important to note that ‘Testament of Youth’ isn’t a direct copy of this diary but her own retelling of her story with the perspective of a wider context. ‘Testament of Youth’ was originally meant to be a fictional account of the war but later developed into a </w:t>
      </w:r>
      <w:r>
        <w:rPr>
          <w:rFonts w:asciiTheme="minorHAnsi" w:hAnsiTheme="minorHAnsi" w:cstheme="minorHAnsi"/>
          <w:color w:val="000000"/>
        </w:rPr>
        <w:lastRenderedPageBreak/>
        <w:t>more personal retelling of the war. This does show us how difficult it was to separate the memories of the war and how important it was to tell this particular story.</w:t>
      </w:r>
    </w:p>
    <w:p w14:paraId="44B9EDA6" w14:textId="77777777" w:rsidR="00AC5F56" w:rsidRDefault="00AC5F56" w:rsidP="00AC5F56">
      <w:pPr>
        <w:pStyle w:val="NormalWeb"/>
        <w:spacing w:line="480" w:lineRule="auto"/>
        <w:rPr>
          <w:rFonts w:asciiTheme="minorHAnsi" w:hAnsiTheme="minorHAnsi" w:cstheme="minorHAnsi"/>
          <w:color w:val="000000"/>
        </w:rPr>
      </w:pPr>
      <w:r>
        <w:rPr>
          <w:rFonts w:asciiTheme="minorHAnsi" w:hAnsiTheme="minorHAnsi" w:cstheme="minorHAnsi"/>
          <w:color w:val="000000"/>
        </w:rPr>
        <w:t xml:space="preserve">The type of work ‘Testament of Youth’ is a memoir and it was written by Vera Britain to tell her story of her experiences of war. In regard to who it is written for, you could argue that it is for no one and for everyone. It is written for no one because it is written by Vera Brittain for herself as a way to deal with her grief and own personal experiences. On the other hand, it was written for everyone as a warning about the horrors of war but also the experiences of women coming back from the war as previous stories had focused primarily on the soldiers and not nurses and other volunteers. </w:t>
      </w:r>
    </w:p>
    <w:p w14:paraId="2BDECF2D" w14:textId="77777777" w:rsidR="00AC5F56" w:rsidRDefault="00AC5F56" w:rsidP="00AC5F56">
      <w:pPr>
        <w:pStyle w:val="NormalWeb"/>
        <w:spacing w:line="480" w:lineRule="auto"/>
        <w:rPr>
          <w:rFonts w:asciiTheme="minorHAnsi" w:hAnsiTheme="minorHAnsi" w:cstheme="minorHAnsi"/>
        </w:rPr>
      </w:pPr>
      <w:r>
        <w:rPr>
          <w:rFonts w:asciiTheme="minorHAnsi" w:hAnsiTheme="minorHAnsi" w:cstheme="minorHAnsi"/>
        </w:rPr>
        <w:t>To understand what the subject matter of Vera Brittain’s ‘Testament of Youth’ is, I divide it into three sections. The first is the years leading up to the breakout of war. Describing what ordinary life was like and how unprepared the population was for war with Germany. The second section is Vera Brittain’s experiences as a Voluntary Aid Detachment Nurse and the cases she faced. The third and final section is the aftermath of war. How Vera dealt with the losses of her brother, fiancé and friends.</w:t>
      </w:r>
    </w:p>
    <w:p w14:paraId="1DBEAAF8" w14:textId="77777777" w:rsidR="00AC5F56" w:rsidRDefault="00AC5F56" w:rsidP="00AC5F56">
      <w:pPr>
        <w:pStyle w:val="NormalWeb"/>
        <w:spacing w:line="480" w:lineRule="auto"/>
        <w:rPr>
          <w:rFonts w:asciiTheme="minorHAnsi" w:hAnsiTheme="minorHAnsi" w:cstheme="minorHAnsi"/>
          <w:color w:val="000000"/>
        </w:rPr>
      </w:pPr>
      <w:r>
        <w:rPr>
          <w:rFonts w:asciiTheme="minorHAnsi" w:hAnsiTheme="minorHAnsi" w:cstheme="minorHAnsi"/>
          <w:color w:val="000000"/>
        </w:rPr>
        <w:t xml:space="preserve">The strengths of this are at the time, it provided a fresh insight about the war as it does highlight the struggles faced by women overseas. </w:t>
      </w:r>
      <w:r>
        <w:rPr>
          <w:rFonts w:asciiTheme="minorHAnsi" w:hAnsiTheme="minorHAnsi" w:cstheme="minorHAnsi"/>
        </w:rPr>
        <w:t xml:space="preserve">One of the strengths of ‘Testament of Youth’ is that it provides an alternative insight into the war. The first is that it is written by a woman about a woman. There are very few accounts of the great war that has a female author including Mary Borden who will be discussed later in this essay. The other alternative insight is that it is not written by someone who was not traditionally on the front lines, a soldier. Instead it is written by someone who was a VAD who were often in danger as they </w:t>
      </w:r>
      <w:r>
        <w:rPr>
          <w:rFonts w:asciiTheme="minorHAnsi" w:hAnsiTheme="minorHAnsi" w:cstheme="minorHAnsi"/>
        </w:rPr>
        <w:lastRenderedPageBreak/>
        <w:t xml:space="preserve">were near battle whether on a hospital ship or a battlefield hospital. Another strength is that the book spoke for those who couldn’t. This book told the stories of those who didn’t come back, whether it was her brother, fiancé, friends or ordinary soldiers that were her patients. It also gave a voice for the volunteers that weren’t soldiers as they were a crucial part of the war. Finally, an important strength of ‘Testament of Youth’ is that Vera Brittain knows how to write. As a literature student before and after the war, this means she can tell the story in a clear and concise way for everybody to understand and what makes it stand out as an important and relevant book on the Great War. </w:t>
      </w:r>
    </w:p>
    <w:p w14:paraId="36B1B9B8" w14:textId="77777777" w:rsidR="00AC5F56" w:rsidRDefault="00AC5F56" w:rsidP="00AC5F56">
      <w:pPr>
        <w:pStyle w:val="NormalWeb"/>
        <w:spacing w:line="480" w:lineRule="auto"/>
        <w:rPr>
          <w:rFonts w:asciiTheme="minorHAnsi" w:hAnsiTheme="minorHAnsi" w:cstheme="minorHAnsi"/>
          <w:color w:val="000000"/>
        </w:rPr>
      </w:pPr>
      <w:r>
        <w:rPr>
          <w:rFonts w:asciiTheme="minorHAnsi" w:hAnsiTheme="minorHAnsi" w:cstheme="minorHAnsi"/>
          <w:color w:val="000000"/>
        </w:rPr>
        <w:t xml:space="preserve">In contrast, the weaknesses are it was published 15 years after the war had ended. This isn’t a couple of years, so there are questions of how accurate the facts are as memory is a tricky thing. Another weakness is that Vera Brittain is both the narrator and the protagonist so there is an issue of how trustworthy the information is. There might be events that were left out and also Vera controlled how she was portrayed and also how the war was portrayed. By 1933, when the book was published, she was a pacifist and this almost certainly influenced her writing the story. </w:t>
      </w:r>
    </w:p>
    <w:p w14:paraId="5B2EA893" w14:textId="77777777" w:rsidR="00AC5F56" w:rsidRDefault="00AC5F56" w:rsidP="00AC5F56">
      <w:pPr>
        <w:pStyle w:val="NormalWeb"/>
        <w:spacing w:line="480" w:lineRule="auto"/>
        <w:rPr>
          <w:rFonts w:asciiTheme="minorHAnsi" w:hAnsiTheme="minorHAnsi" w:cstheme="minorHAnsi"/>
          <w:color w:val="000000"/>
        </w:rPr>
      </w:pPr>
      <w:r>
        <w:rPr>
          <w:rFonts w:asciiTheme="minorHAnsi" w:hAnsiTheme="minorHAnsi" w:cstheme="minorHAnsi"/>
          <w:color w:val="000000"/>
        </w:rPr>
        <w:t>The content of ‘Testament of Youth’ that I have extracted is the information of Brittain hearing the news of her brother’s death and one example of Vera being a nurse at the front lines in France.</w:t>
      </w:r>
    </w:p>
    <w:p w14:paraId="2805FC5A" w14:textId="77777777" w:rsidR="00AC5F56" w:rsidRDefault="00AC5F56" w:rsidP="00AC5F56">
      <w:pPr>
        <w:spacing w:line="480" w:lineRule="auto"/>
        <w:rPr>
          <w:rFonts w:cstheme="minorHAnsi"/>
          <w:sz w:val="24"/>
          <w:szCs w:val="24"/>
        </w:rPr>
      </w:pPr>
      <w:r>
        <w:rPr>
          <w:rFonts w:cstheme="minorHAnsi"/>
          <w:sz w:val="24"/>
          <w:szCs w:val="24"/>
        </w:rPr>
        <w:t xml:space="preserve">In the chapter ‘When the Vision Dies…’ is where the news of the death of Roland is described by </w:t>
      </w:r>
      <w:r>
        <w:rPr>
          <w:rFonts w:cstheme="minorHAnsi"/>
          <w:color w:val="000000"/>
        </w:rPr>
        <w:t>Brittain</w:t>
      </w:r>
      <w:r>
        <w:rPr>
          <w:rFonts w:cstheme="minorHAnsi"/>
          <w:sz w:val="24"/>
          <w:szCs w:val="24"/>
        </w:rPr>
        <w:t>. She does not hold back when she describes exactly what led to his death and is brutally honest. You really get a feel for the extent of her grief with words like “why did you go so boldly, so heedlessly, into no Man’s land when you know your leave was so near”.</w:t>
      </w:r>
      <w:r>
        <w:rPr>
          <w:rStyle w:val="FootnoteReference"/>
          <w:rFonts w:cstheme="minorHAnsi"/>
          <w:sz w:val="24"/>
          <w:szCs w:val="24"/>
        </w:rPr>
        <w:footnoteReference w:id="1"/>
      </w:r>
      <w:r>
        <w:rPr>
          <w:rFonts w:cstheme="minorHAnsi"/>
          <w:sz w:val="24"/>
          <w:szCs w:val="24"/>
        </w:rPr>
        <w:t xml:space="preserve"> This does show true human emotions that despite how terrible soldiers experiences of war are, the importance of duty and orders are emphasised and absolute. The quote “that was all. There was no more to learn. Not even a military purpose seemed to have been served by his death”</w:t>
      </w:r>
      <w:r>
        <w:rPr>
          <w:rStyle w:val="FootnoteReference"/>
          <w:rFonts w:cstheme="minorHAnsi"/>
          <w:sz w:val="24"/>
          <w:szCs w:val="24"/>
        </w:rPr>
        <w:footnoteReference w:id="2"/>
      </w:r>
      <w:r>
        <w:rPr>
          <w:rFonts w:cstheme="minorHAnsi"/>
          <w:sz w:val="24"/>
          <w:szCs w:val="24"/>
        </w:rPr>
        <w:t xml:space="preserve"> this tells us two things. The first is the difficulty of acceptance by </w:t>
      </w:r>
      <w:r>
        <w:rPr>
          <w:rFonts w:cstheme="minorHAnsi"/>
          <w:color w:val="000000"/>
        </w:rPr>
        <w:t>Brittain</w:t>
      </w:r>
      <w:r>
        <w:rPr>
          <w:rFonts w:cstheme="minorHAnsi"/>
          <w:sz w:val="24"/>
          <w:szCs w:val="24"/>
        </w:rPr>
        <w:t xml:space="preserve">. For her personally, her way to deal with grief is to gather as much information so she could logically process her grief. The second is the sacrifice so many soldiers made but it hardly made a difference on the scale of how many soldiers died during the Great War. To each family, it seems that there loved one’s death could have been avoided. And perhaps it could have been but we know in retrospect that every sacrifice allowed those who survived as chance for peace. </w:t>
      </w:r>
    </w:p>
    <w:p w14:paraId="08AEC039" w14:textId="4A73BAA3" w:rsidR="00AC5F56" w:rsidRDefault="00AC5F56" w:rsidP="00AC5F56">
      <w:pPr>
        <w:spacing w:line="480" w:lineRule="auto"/>
        <w:rPr>
          <w:rFonts w:cstheme="minorHAnsi"/>
          <w:sz w:val="24"/>
          <w:szCs w:val="24"/>
        </w:rPr>
      </w:pPr>
      <w:r>
        <w:rPr>
          <w:rFonts w:cstheme="minorHAnsi"/>
          <w:sz w:val="24"/>
          <w:szCs w:val="24"/>
        </w:rPr>
        <w:t xml:space="preserve">From the second part of the book I take an extract where </w:t>
      </w:r>
      <w:r>
        <w:rPr>
          <w:rFonts w:cstheme="minorHAnsi"/>
          <w:color w:val="000000"/>
        </w:rPr>
        <w:t>Brittain</w:t>
      </w:r>
      <w:r>
        <w:rPr>
          <w:rFonts w:cstheme="minorHAnsi"/>
          <w:sz w:val="24"/>
          <w:szCs w:val="24"/>
        </w:rPr>
        <w:t xml:space="preserve"> is near the town of Camiers in France. The extract begins with </w:t>
      </w:r>
      <w:r>
        <w:rPr>
          <w:rFonts w:cstheme="minorHAnsi"/>
          <w:color w:val="000000"/>
        </w:rPr>
        <w:t>Brittain</w:t>
      </w:r>
      <w:r>
        <w:rPr>
          <w:rFonts w:cstheme="minorHAnsi"/>
          <w:sz w:val="24"/>
          <w:szCs w:val="24"/>
        </w:rPr>
        <w:t xml:space="preserve"> informing us that there was a change in her usual duties are her “light medical hut had been hastily converted into a surgical war</w:t>
      </w:r>
      <w:r w:rsidR="000B058F">
        <w:rPr>
          <w:rFonts w:cstheme="minorHAnsi"/>
          <w:sz w:val="24"/>
          <w:szCs w:val="24"/>
        </w:rPr>
        <w:t>d</w:t>
      </w:r>
      <w:r>
        <w:rPr>
          <w:rFonts w:cstheme="minorHAnsi"/>
          <w:sz w:val="24"/>
          <w:szCs w:val="24"/>
        </w:rPr>
        <w:t xml:space="preserve"> during the night”.</w:t>
      </w:r>
      <w:r>
        <w:rPr>
          <w:rStyle w:val="FootnoteReference"/>
          <w:rFonts w:cstheme="minorHAnsi"/>
          <w:sz w:val="24"/>
          <w:szCs w:val="24"/>
        </w:rPr>
        <w:footnoteReference w:id="3"/>
      </w:r>
      <w:r>
        <w:rPr>
          <w:rFonts w:cstheme="minorHAnsi"/>
          <w:sz w:val="24"/>
          <w:szCs w:val="24"/>
        </w:rPr>
        <w:t xml:space="preserve"> This shows the unpreparedness of British V.A.Ds but also the efficiency as they could be ready for any casualties quickly. The extract further goes on to describe the nurse in charge as “harassed and Bewildered”</w:t>
      </w:r>
      <w:r w:rsidR="000B058F">
        <w:rPr>
          <w:rStyle w:val="FootnoteReference"/>
          <w:rFonts w:cstheme="minorHAnsi"/>
          <w:sz w:val="24"/>
          <w:szCs w:val="24"/>
        </w:rPr>
        <w:footnoteReference w:id="4"/>
      </w:r>
      <w:r>
        <w:rPr>
          <w:rFonts w:cstheme="minorHAnsi"/>
          <w:sz w:val="24"/>
          <w:szCs w:val="24"/>
        </w:rPr>
        <w:t xml:space="preserve"> who then leaves Britton in charge of “forty desperately wounded men”</w:t>
      </w:r>
      <w:r>
        <w:rPr>
          <w:rStyle w:val="FootnoteReference"/>
          <w:rFonts w:cstheme="minorHAnsi"/>
          <w:sz w:val="24"/>
          <w:szCs w:val="24"/>
        </w:rPr>
        <w:footnoteReference w:id="5"/>
      </w:r>
    </w:p>
    <w:p w14:paraId="3310EEAC" w14:textId="77777777" w:rsidR="00AC5F56" w:rsidRDefault="00AC5F56" w:rsidP="00AC5F56">
      <w:pPr>
        <w:pStyle w:val="NormalWeb"/>
        <w:spacing w:line="480" w:lineRule="auto"/>
        <w:rPr>
          <w:rFonts w:asciiTheme="minorHAnsi" w:hAnsiTheme="minorHAnsi" w:cstheme="minorHAnsi"/>
        </w:rPr>
      </w:pPr>
      <w:r>
        <w:rPr>
          <w:rFonts w:asciiTheme="minorHAnsi" w:hAnsiTheme="minorHAnsi" w:cstheme="minorHAnsi"/>
        </w:rPr>
        <w:t xml:space="preserve">In comparison to </w:t>
      </w:r>
      <w:r>
        <w:rPr>
          <w:rFonts w:asciiTheme="minorHAnsi" w:hAnsiTheme="minorHAnsi" w:cstheme="minorHAnsi"/>
          <w:color w:val="000000"/>
        </w:rPr>
        <w:t xml:space="preserve">Brittain’s </w:t>
      </w:r>
      <w:r>
        <w:rPr>
          <w:rFonts w:asciiTheme="minorHAnsi" w:hAnsiTheme="minorHAnsi" w:cstheme="minorHAnsi"/>
        </w:rPr>
        <w:t xml:space="preserve">experiences at the front, I will take an extract form Mary Borden’s ‘the Forbidden Zone’. Mary was born in 1886 and unlike </w:t>
      </w:r>
      <w:r>
        <w:rPr>
          <w:rFonts w:asciiTheme="minorHAnsi" w:hAnsiTheme="minorHAnsi" w:cstheme="minorHAnsi"/>
          <w:color w:val="000000"/>
        </w:rPr>
        <w:t>Brittain</w:t>
      </w:r>
      <w:r>
        <w:rPr>
          <w:rFonts w:asciiTheme="minorHAnsi" w:hAnsiTheme="minorHAnsi" w:cstheme="minorHAnsi"/>
        </w:rPr>
        <w:t xml:space="preserve"> she was married with three children when war broke out. Like </w:t>
      </w:r>
      <w:r>
        <w:rPr>
          <w:rFonts w:asciiTheme="minorHAnsi" w:hAnsiTheme="minorHAnsi" w:cstheme="minorHAnsi"/>
          <w:color w:val="000000"/>
        </w:rPr>
        <w:t>Brittain</w:t>
      </w:r>
      <w:r>
        <w:rPr>
          <w:rFonts w:asciiTheme="minorHAnsi" w:hAnsiTheme="minorHAnsi" w:cstheme="minorHAnsi"/>
        </w:rPr>
        <w:t xml:space="preserve">, Borden was also a daughter from a wealthy family and went to college. Borden volunteered with the French Red Cross. In comparison with other material, the content of ‘Testament of Youth’ is quite different to ‘the Forbidden Zones’. The content of Mary Borden’s ‘the Forbidden Zone’ focuses mainly on Borden’s experiences during the war specifically being in Belgium and also at the Somme. The difference between Borden and Brittain is that Borden only focuses on the years 1914 – 1918 whilst Brittain opts to add a wider context by discussing the pre and post war years. </w:t>
      </w:r>
    </w:p>
    <w:p w14:paraId="2BA11D85" w14:textId="77777777" w:rsidR="00AC5F56" w:rsidRDefault="00AC5F56" w:rsidP="00AC5F56">
      <w:pPr>
        <w:pStyle w:val="NormalWeb"/>
        <w:spacing w:line="480" w:lineRule="auto"/>
        <w:rPr>
          <w:rFonts w:asciiTheme="minorHAnsi" w:hAnsiTheme="minorHAnsi" w:cstheme="minorHAnsi"/>
        </w:rPr>
      </w:pPr>
      <w:r>
        <w:rPr>
          <w:rFonts w:asciiTheme="minorHAnsi" w:hAnsiTheme="minorHAnsi" w:cstheme="minorHAnsi"/>
        </w:rPr>
        <w:t xml:space="preserve">Unlike Vera where there were 40 patients in one hut, Borden describes how the influx of 20 soldiers, meant that the </w:t>
      </w:r>
      <w:r>
        <w:rPr>
          <w:rFonts w:asciiTheme="minorHAnsi" w:hAnsiTheme="minorHAnsi" w:cstheme="minorHAnsi"/>
          <w:i/>
          <w:iCs/>
        </w:rPr>
        <w:t>medicin-chef</w:t>
      </w:r>
      <w:r>
        <w:rPr>
          <w:rFonts w:asciiTheme="minorHAnsi" w:hAnsiTheme="minorHAnsi" w:cstheme="minorHAnsi"/>
        </w:rPr>
        <w:t xml:space="preserve"> “divided them up carefully, put only two, or at the most three, in each hut.”</w:t>
      </w:r>
      <w:r>
        <w:rPr>
          <w:rStyle w:val="FootnoteReference"/>
          <w:rFonts w:asciiTheme="minorHAnsi" w:hAnsiTheme="minorHAnsi" w:cstheme="minorHAnsi"/>
        </w:rPr>
        <w:footnoteReference w:id="6"/>
      </w:r>
      <w:r>
        <w:rPr>
          <w:rFonts w:asciiTheme="minorHAnsi" w:hAnsiTheme="minorHAnsi" w:cstheme="minorHAnsi"/>
        </w:rPr>
        <w:t xml:space="preserve"> This shows the differences in how they both dealt with wounded soldiers. Also, there is a difference shown in the mentality of the nurses in charge as the British V. A. D is hugely overwhelmed whilst Borden describes the lead nurse as “fastidious and fought for her patients quietly and with serenity when the crisis came”</w:t>
      </w:r>
      <w:r>
        <w:rPr>
          <w:rStyle w:val="FootnoteReference"/>
          <w:rFonts w:asciiTheme="minorHAnsi" w:hAnsiTheme="minorHAnsi" w:cstheme="minorHAnsi"/>
        </w:rPr>
        <w:footnoteReference w:id="7"/>
      </w:r>
      <w:r>
        <w:rPr>
          <w:rFonts w:asciiTheme="minorHAnsi" w:hAnsiTheme="minorHAnsi" w:cstheme="minorHAnsi"/>
        </w:rPr>
        <w:t xml:space="preserve">. There are many reasons why there could be differences with the type of care but this is one particular example. </w:t>
      </w:r>
    </w:p>
    <w:p w14:paraId="5EF63368" w14:textId="77777777" w:rsidR="00AC5F56" w:rsidRDefault="00AC5F56" w:rsidP="00AC5F56">
      <w:pPr>
        <w:pStyle w:val="NormalWeb"/>
        <w:spacing w:line="480" w:lineRule="auto"/>
        <w:rPr>
          <w:rFonts w:asciiTheme="minorHAnsi" w:hAnsiTheme="minorHAnsi" w:cstheme="minorHAnsi"/>
          <w:color w:val="000000"/>
        </w:rPr>
      </w:pPr>
      <w:r>
        <w:rPr>
          <w:rFonts w:asciiTheme="minorHAnsi" w:hAnsiTheme="minorHAnsi" w:cstheme="minorHAnsi"/>
          <w:color w:val="000000"/>
        </w:rPr>
        <w:t xml:space="preserve">Is ‘Testament of Youth’ worthy of being used as an academic aid? My answer is yes. This is because ‘Testament of Youth’ follows a good structure, includes formal language and has been peer reviewed. </w:t>
      </w:r>
      <w:r>
        <w:rPr>
          <w:rFonts w:asciiTheme="minorHAnsi" w:hAnsiTheme="minorHAnsi" w:cstheme="minorHAnsi"/>
        </w:rPr>
        <w:t xml:space="preserve">The structure allows for the book to flow in a way that helps to progress the telling of the story. The language of ‘Testament of Youth’ means that an academic and a non-academic can understand the writing without the flow of the story being interrupted. By saying ‘Testament of Youth’ has been peer reviewed I mean that it has been used by other authors/ scholars as an academic aid itself. </w:t>
      </w:r>
    </w:p>
    <w:p w14:paraId="261F108C" w14:textId="5D63B249" w:rsidR="00AC5F56" w:rsidRDefault="00AC5F56" w:rsidP="00AC5F56">
      <w:pPr>
        <w:pStyle w:val="NormalWeb"/>
        <w:spacing w:line="480" w:lineRule="auto"/>
        <w:rPr>
          <w:rFonts w:asciiTheme="minorHAnsi" w:hAnsiTheme="minorHAnsi" w:cstheme="minorHAnsi"/>
        </w:rPr>
      </w:pPr>
      <w:r>
        <w:rPr>
          <w:rFonts w:asciiTheme="minorHAnsi" w:hAnsiTheme="minorHAnsi" w:cstheme="minorHAnsi"/>
        </w:rPr>
        <w:t xml:space="preserve">For instance, historical biographer Mark Bostridge wrote several books on Vera Brittain. </w:t>
      </w:r>
      <w:r w:rsidR="004E0A1C">
        <w:rPr>
          <w:rFonts w:asciiTheme="minorHAnsi" w:hAnsiTheme="minorHAnsi" w:cstheme="minorHAnsi"/>
        </w:rPr>
        <w:t>There’re</w:t>
      </w:r>
      <w:r>
        <w:rPr>
          <w:rFonts w:asciiTheme="minorHAnsi" w:hAnsiTheme="minorHAnsi" w:cstheme="minorHAnsi"/>
        </w:rPr>
        <w:t xml:space="preserve"> also academic articles such as </w:t>
      </w:r>
      <w:r>
        <w:rPr>
          <w:rFonts w:asciiTheme="minorHAnsi" w:hAnsiTheme="minorHAnsi" w:cstheme="minorHAnsi"/>
          <w:shd w:val="clear" w:color="auto" w:fill="FFFFFF"/>
        </w:rPr>
        <w:t>Richard Badenhausen article</w:t>
      </w:r>
      <w:r w:rsidR="00F20F32">
        <w:rPr>
          <w:rStyle w:val="FootnoteReference"/>
          <w:rFonts w:asciiTheme="minorHAnsi" w:hAnsiTheme="minorHAnsi" w:cstheme="minorHAnsi"/>
          <w:shd w:val="clear" w:color="auto" w:fill="FFFFFF"/>
        </w:rPr>
        <w:footnoteReference w:id="8"/>
      </w:r>
      <w:r>
        <w:rPr>
          <w:rFonts w:asciiTheme="minorHAnsi" w:hAnsiTheme="minorHAnsi" w:cstheme="minorHAnsi"/>
          <w:shd w:val="clear" w:color="auto" w:fill="FFFFFF"/>
        </w:rPr>
        <w:t xml:space="preserve"> on how Great War memoirs encouraged mourning that uses Vera Brittain’s ‘Testament of youth ‘as a source. </w:t>
      </w:r>
      <w:r>
        <w:rPr>
          <w:rFonts w:asciiTheme="minorHAnsi" w:hAnsiTheme="minorHAnsi" w:cstheme="minorHAnsi"/>
        </w:rPr>
        <w:t>In Comparison to other academic aids, ‘Testament of Youth’ still stands up as a reliable source.</w:t>
      </w:r>
    </w:p>
    <w:p w14:paraId="10CA96B1" w14:textId="77777777" w:rsidR="00AC5F56" w:rsidRDefault="00AC5F56" w:rsidP="00AC5F56">
      <w:pPr>
        <w:pStyle w:val="NormalWeb"/>
        <w:spacing w:line="480" w:lineRule="auto"/>
        <w:rPr>
          <w:rFonts w:asciiTheme="minorHAnsi" w:hAnsiTheme="minorHAnsi" w:cstheme="minorHAnsi"/>
        </w:rPr>
      </w:pPr>
      <w:r>
        <w:rPr>
          <w:rFonts w:asciiTheme="minorHAnsi" w:hAnsiTheme="minorHAnsi" w:cstheme="minorHAnsi"/>
          <w:shd w:val="clear" w:color="auto" w:fill="FFFFFF"/>
        </w:rPr>
        <w:t xml:space="preserve">Another way of looking at a book as an academic aid is looking at the relevance and legacy of that book. ‘Testament of Youth’ is still one of the most read books on the Great War as well as still holding relevance as the book is hugely influenced by the grief of war. </w:t>
      </w:r>
    </w:p>
    <w:p w14:paraId="4703B0E2" w14:textId="77777777" w:rsidR="00AC5F56" w:rsidRDefault="00AC5F56" w:rsidP="00AC5F56">
      <w:pPr>
        <w:spacing w:line="480" w:lineRule="auto"/>
        <w:rPr>
          <w:rFonts w:cstheme="minorHAnsi"/>
          <w:sz w:val="24"/>
          <w:szCs w:val="24"/>
        </w:rPr>
      </w:pPr>
      <w:r>
        <w:rPr>
          <w:rFonts w:cstheme="minorHAnsi"/>
          <w:sz w:val="24"/>
          <w:szCs w:val="24"/>
        </w:rPr>
        <w:t xml:space="preserve">The intended audience of a book also helps determine whether a book is a good academic aid. A mass public audience is argued as being a non- academic aid but my argument is that having a book that is accessible to a wider audience isn’t necessarily a bad thing but rather supports a book to being a good academic aid as the strength of the writing is shown through having a mass audience. </w:t>
      </w:r>
      <w:r>
        <w:rPr>
          <w:rFonts w:ascii="Arial" w:hAnsi="Arial" w:cs="Arial"/>
          <w:color w:val="000000"/>
          <w:sz w:val="26"/>
          <w:szCs w:val="26"/>
          <w:u w:val="single"/>
        </w:rPr>
        <w:t xml:space="preserve"> </w:t>
      </w:r>
    </w:p>
    <w:p w14:paraId="73A5AADC" w14:textId="5C820CD9" w:rsidR="00AC5F56" w:rsidRDefault="00AC5F56" w:rsidP="00AC5F56">
      <w:pPr>
        <w:pStyle w:val="NormalWeb"/>
        <w:spacing w:line="480" w:lineRule="auto"/>
        <w:rPr>
          <w:rFonts w:asciiTheme="minorHAnsi" w:hAnsiTheme="minorHAnsi" w:cstheme="minorHAnsi"/>
        </w:rPr>
      </w:pPr>
      <w:r>
        <w:rPr>
          <w:rFonts w:asciiTheme="minorHAnsi" w:hAnsiTheme="minorHAnsi" w:cstheme="minorHAnsi"/>
        </w:rPr>
        <w:t xml:space="preserve">In conclusion, Vera Brittain’s ‘Testament of Youth’ is a text that does help our understanding of the lives of V.A. Ds at the front and their experiences of the Great War. It is also a harrowing reminder of the tragedies and losses experienced by those who stayed behind. </w:t>
      </w:r>
    </w:p>
    <w:p w14:paraId="0433C8E9" w14:textId="51AF5195" w:rsidR="006E5EF0" w:rsidRDefault="006E5EF0" w:rsidP="00AC5F56">
      <w:pPr>
        <w:pStyle w:val="NormalWeb"/>
        <w:spacing w:line="480" w:lineRule="auto"/>
        <w:rPr>
          <w:rFonts w:asciiTheme="minorHAnsi" w:hAnsiTheme="minorHAnsi" w:cstheme="minorHAnsi"/>
        </w:rPr>
      </w:pPr>
    </w:p>
    <w:p w14:paraId="4DD9B125" w14:textId="336DC77C" w:rsidR="006E5EF0" w:rsidRDefault="006E5EF0" w:rsidP="00AC5F56">
      <w:pPr>
        <w:pStyle w:val="NormalWeb"/>
        <w:spacing w:line="480" w:lineRule="auto"/>
        <w:rPr>
          <w:rFonts w:asciiTheme="minorHAnsi" w:hAnsiTheme="minorHAnsi" w:cstheme="minorHAnsi"/>
        </w:rPr>
      </w:pPr>
    </w:p>
    <w:p w14:paraId="2896F90F" w14:textId="77777777" w:rsidR="00F20F32" w:rsidRDefault="00F20F32" w:rsidP="00F20F32"/>
    <w:p w14:paraId="47806BE0" w14:textId="77777777" w:rsidR="00F20F32" w:rsidRDefault="00F20F32" w:rsidP="00F20F32"/>
    <w:p w14:paraId="26F48E2A" w14:textId="77777777" w:rsidR="00F20F32" w:rsidRDefault="00F20F32" w:rsidP="00F20F32"/>
    <w:p w14:paraId="4692680C" w14:textId="77777777" w:rsidR="00F20F32" w:rsidRDefault="00F20F32" w:rsidP="00F20F32"/>
    <w:p w14:paraId="6A8035DC" w14:textId="0A8C61D9" w:rsidR="00F20F32" w:rsidRPr="00C35E69" w:rsidRDefault="00F20F32" w:rsidP="00C35E69">
      <w:pPr>
        <w:pStyle w:val="NoSpacing"/>
        <w:rPr>
          <w:sz w:val="24"/>
          <w:szCs w:val="24"/>
        </w:rPr>
      </w:pPr>
      <w:r w:rsidRPr="00C35E69">
        <w:rPr>
          <w:sz w:val="24"/>
          <w:szCs w:val="24"/>
        </w:rPr>
        <w:t xml:space="preserve">Bibliography </w:t>
      </w:r>
    </w:p>
    <w:p w14:paraId="474999F0" w14:textId="3FD141D1" w:rsidR="00C35E69" w:rsidRPr="00C35E69" w:rsidRDefault="00C35E69" w:rsidP="00C35E69">
      <w:pPr>
        <w:pStyle w:val="NoSpacing"/>
        <w:rPr>
          <w:sz w:val="24"/>
          <w:szCs w:val="24"/>
        </w:rPr>
      </w:pPr>
      <w:r w:rsidRPr="00C35E69">
        <w:rPr>
          <w:sz w:val="24"/>
          <w:szCs w:val="24"/>
        </w:rPr>
        <w:t xml:space="preserve">Borden Mary, </w:t>
      </w:r>
      <w:r w:rsidRPr="00C35E69">
        <w:rPr>
          <w:i/>
          <w:iCs/>
          <w:sz w:val="24"/>
          <w:szCs w:val="24"/>
        </w:rPr>
        <w:t>the Forbidden Zone</w:t>
      </w:r>
      <w:r w:rsidRPr="00C35E69">
        <w:rPr>
          <w:sz w:val="24"/>
          <w:szCs w:val="24"/>
        </w:rPr>
        <w:t xml:space="preserve"> (London</w:t>
      </w:r>
      <w:r>
        <w:rPr>
          <w:sz w:val="24"/>
          <w:szCs w:val="24"/>
        </w:rPr>
        <w:t xml:space="preserve">: </w:t>
      </w:r>
      <w:r w:rsidRPr="00C35E69">
        <w:rPr>
          <w:sz w:val="24"/>
          <w:szCs w:val="24"/>
        </w:rPr>
        <w:t>Hesperus Press Limited, 2008)</w:t>
      </w:r>
    </w:p>
    <w:p w14:paraId="2A95D600" w14:textId="77777777" w:rsidR="00C35E69" w:rsidRPr="00C35E69" w:rsidRDefault="00C35E69" w:rsidP="00C35E69">
      <w:pPr>
        <w:pStyle w:val="NoSpacing"/>
        <w:rPr>
          <w:sz w:val="24"/>
          <w:szCs w:val="24"/>
        </w:rPr>
      </w:pPr>
    </w:p>
    <w:p w14:paraId="6B2F31E7" w14:textId="77777777" w:rsidR="00C35E69" w:rsidRPr="00C35E69" w:rsidRDefault="00C35E69" w:rsidP="00C35E69">
      <w:pPr>
        <w:pStyle w:val="NoSpacing"/>
        <w:rPr>
          <w:sz w:val="24"/>
          <w:szCs w:val="24"/>
        </w:rPr>
      </w:pPr>
      <w:r>
        <w:rPr>
          <w:sz w:val="24"/>
          <w:szCs w:val="24"/>
        </w:rPr>
        <w:t>Bostridge Mark, Vera Brittain and the First World War; the story of Testament of Youth (Britain: Bloomsbury continuum, 2014)</w:t>
      </w:r>
    </w:p>
    <w:p w14:paraId="1735423E" w14:textId="77777777" w:rsidR="00C35E69" w:rsidRDefault="00C35E69" w:rsidP="00C35E69">
      <w:pPr>
        <w:pStyle w:val="NoSpacing"/>
        <w:rPr>
          <w:sz w:val="24"/>
          <w:szCs w:val="24"/>
        </w:rPr>
      </w:pPr>
    </w:p>
    <w:p w14:paraId="6DA36EB7" w14:textId="0C9A5180" w:rsidR="00C35E69" w:rsidRDefault="00C35E69" w:rsidP="00C35E69">
      <w:pPr>
        <w:pStyle w:val="NoSpacing"/>
        <w:rPr>
          <w:sz w:val="24"/>
          <w:szCs w:val="24"/>
        </w:rPr>
      </w:pPr>
      <w:r w:rsidRPr="00C35E69">
        <w:rPr>
          <w:sz w:val="24"/>
          <w:szCs w:val="24"/>
        </w:rPr>
        <w:t xml:space="preserve">Brittain Vera, </w:t>
      </w:r>
      <w:r w:rsidRPr="00C35E69">
        <w:rPr>
          <w:i/>
          <w:iCs/>
          <w:sz w:val="24"/>
          <w:szCs w:val="24"/>
        </w:rPr>
        <w:t>Testament of Youth: an autobiographical study of the Years 1900 – 1925</w:t>
      </w:r>
      <w:r w:rsidRPr="00C35E69">
        <w:rPr>
          <w:sz w:val="24"/>
          <w:szCs w:val="24"/>
        </w:rPr>
        <w:t xml:space="preserve"> (London: Phoenix, 2014)</w:t>
      </w:r>
    </w:p>
    <w:p w14:paraId="77A9C8E2" w14:textId="086C42CD" w:rsidR="00C35E69" w:rsidRDefault="00C35E69" w:rsidP="00C35E69">
      <w:pPr>
        <w:pStyle w:val="NoSpacing"/>
        <w:rPr>
          <w:sz w:val="24"/>
          <w:szCs w:val="24"/>
        </w:rPr>
      </w:pPr>
    </w:p>
    <w:p w14:paraId="4793CED6" w14:textId="77777777" w:rsidR="00C35E69" w:rsidRPr="00C35E69" w:rsidRDefault="00C35E69" w:rsidP="00C35E69">
      <w:pPr>
        <w:pStyle w:val="NoSpacing"/>
        <w:rPr>
          <w:sz w:val="24"/>
          <w:szCs w:val="24"/>
        </w:rPr>
      </w:pPr>
    </w:p>
    <w:p w14:paraId="539F323B" w14:textId="119477B0" w:rsidR="00F20F32" w:rsidRPr="00C35E69" w:rsidRDefault="00F20F32" w:rsidP="00C35E69">
      <w:pPr>
        <w:pStyle w:val="NoSpacing"/>
        <w:rPr>
          <w:sz w:val="24"/>
          <w:szCs w:val="24"/>
        </w:rPr>
      </w:pPr>
      <w:r w:rsidRPr="00C35E69">
        <w:rPr>
          <w:sz w:val="24"/>
          <w:szCs w:val="24"/>
          <w:shd w:val="clear" w:color="auto" w:fill="FFFFFF"/>
        </w:rPr>
        <w:t>Badenhausen, Richard. “Mourning through Memoir: Trauma, Testimony, and Community in Vera Brittain's ‘Testament of Youth.’” </w:t>
      </w:r>
      <w:r w:rsidRPr="00C35E69">
        <w:rPr>
          <w:i/>
          <w:iCs/>
          <w:sz w:val="24"/>
          <w:szCs w:val="24"/>
          <w:shd w:val="clear" w:color="auto" w:fill="FFFFFF"/>
        </w:rPr>
        <w:t>Twentieth Century Literature</w:t>
      </w:r>
      <w:r w:rsidRPr="00C35E69">
        <w:rPr>
          <w:sz w:val="24"/>
          <w:szCs w:val="24"/>
          <w:shd w:val="clear" w:color="auto" w:fill="FFFFFF"/>
        </w:rPr>
        <w:t>, vol. 49, no. 4, 2003, pp. 421–44</w:t>
      </w:r>
      <w:r w:rsidR="00C35E69">
        <w:rPr>
          <w:sz w:val="24"/>
          <w:szCs w:val="24"/>
          <w:shd w:val="clear" w:color="auto" w:fill="FFFFFF"/>
        </w:rPr>
        <w:t xml:space="preserve">. </w:t>
      </w:r>
    </w:p>
    <w:p w14:paraId="09B6DA1E" w14:textId="46DA6DF7" w:rsidR="00C35E69" w:rsidRDefault="00C35E69" w:rsidP="00AC5F56">
      <w:pPr>
        <w:pStyle w:val="NormalWeb"/>
        <w:spacing w:line="480" w:lineRule="auto"/>
      </w:pPr>
    </w:p>
    <w:p w14:paraId="44B977FE" w14:textId="1A3D2E42" w:rsidR="00C35E69" w:rsidRDefault="00C35E69" w:rsidP="00AC5F56">
      <w:pPr>
        <w:pStyle w:val="NormalWeb"/>
        <w:spacing w:line="480" w:lineRule="auto"/>
      </w:pPr>
    </w:p>
    <w:p w14:paraId="38244B6E" w14:textId="636E904D" w:rsidR="00C35E69" w:rsidRDefault="00C35E69" w:rsidP="00AC5F56">
      <w:pPr>
        <w:pStyle w:val="NormalWeb"/>
        <w:spacing w:line="480" w:lineRule="auto"/>
      </w:pPr>
    </w:p>
    <w:p w14:paraId="23A2D5E8" w14:textId="38F4E964" w:rsidR="00C35E69" w:rsidRDefault="00C35E69" w:rsidP="00AC5F56">
      <w:pPr>
        <w:pStyle w:val="NormalWeb"/>
        <w:spacing w:line="480" w:lineRule="auto"/>
      </w:pPr>
    </w:p>
    <w:p w14:paraId="26AA7F71" w14:textId="75E7CAEB" w:rsidR="00C35E69" w:rsidRDefault="00C35E69" w:rsidP="00AC5F56">
      <w:pPr>
        <w:pStyle w:val="NormalWeb"/>
        <w:spacing w:line="480" w:lineRule="auto"/>
      </w:pPr>
    </w:p>
    <w:p w14:paraId="58609467" w14:textId="0C2A1727" w:rsidR="00C35E69" w:rsidRDefault="00C35E69" w:rsidP="00AC5F56">
      <w:pPr>
        <w:pStyle w:val="NormalWeb"/>
        <w:spacing w:line="480" w:lineRule="auto"/>
      </w:pPr>
    </w:p>
    <w:p w14:paraId="45C6DD94" w14:textId="792F4942" w:rsidR="00C35E69" w:rsidRDefault="00C35E69" w:rsidP="00AC5F56">
      <w:pPr>
        <w:pStyle w:val="NormalWeb"/>
        <w:spacing w:line="480" w:lineRule="auto"/>
      </w:pPr>
    </w:p>
    <w:p w14:paraId="261A68A8" w14:textId="5E2DBC49" w:rsidR="00C35E69" w:rsidRDefault="00C35E69" w:rsidP="00AC5F56">
      <w:pPr>
        <w:pStyle w:val="NormalWeb"/>
        <w:spacing w:line="480" w:lineRule="auto"/>
      </w:pPr>
    </w:p>
    <w:p w14:paraId="1B9D32C2" w14:textId="77777777" w:rsidR="00C35E69" w:rsidRDefault="00C35E69" w:rsidP="00AC5F56">
      <w:pPr>
        <w:pStyle w:val="NormalWeb"/>
        <w:spacing w:line="480" w:lineRule="auto"/>
        <w:rPr>
          <w:rFonts w:asciiTheme="minorHAnsi" w:hAnsiTheme="minorHAnsi" w:cstheme="minorHAnsi"/>
        </w:rPr>
      </w:pPr>
    </w:p>
    <w:p w14:paraId="06D2D830" w14:textId="61BC6873" w:rsidR="006E5EF0" w:rsidRDefault="006E5EF0" w:rsidP="00AC5F56">
      <w:pPr>
        <w:pStyle w:val="NormalWeb"/>
        <w:spacing w:line="480" w:lineRule="auto"/>
        <w:rPr>
          <w:rFonts w:asciiTheme="minorHAnsi" w:hAnsiTheme="minorHAnsi" w:cstheme="minorHAnsi"/>
        </w:rPr>
      </w:pPr>
    </w:p>
    <w:p w14:paraId="3A8FCBAC" w14:textId="77777777" w:rsidR="00C35E69" w:rsidRDefault="00C35E69" w:rsidP="00AC5F56">
      <w:pPr>
        <w:pStyle w:val="NormalWeb"/>
        <w:spacing w:line="480" w:lineRule="auto"/>
        <w:rPr>
          <w:rFonts w:asciiTheme="minorHAnsi" w:hAnsiTheme="minorHAnsi" w:cstheme="minorHAnsi"/>
          <w:u w:val="single"/>
        </w:rPr>
      </w:pPr>
    </w:p>
    <w:p w14:paraId="49316CA8" w14:textId="77777777" w:rsidR="00C35E69" w:rsidRDefault="00C35E69" w:rsidP="00AC5F56">
      <w:pPr>
        <w:pStyle w:val="NormalWeb"/>
        <w:spacing w:line="480" w:lineRule="auto"/>
        <w:rPr>
          <w:rFonts w:asciiTheme="minorHAnsi" w:hAnsiTheme="minorHAnsi" w:cstheme="minorHAnsi"/>
          <w:u w:val="single"/>
        </w:rPr>
      </w:pPr>
    </w:p>
    <w:p w14:paraId="25D971C5" w14:textId="77777777" w:rsidR="00C35E69" w:rsidRDefault="00C35E69" w:rsidP="00AC5F56">
      <w:pPr>
        <w:pStyle w:val="NormalWeb"/>
        <w:spacing w:line="480" w:lineRule="auto"/>
        <w:rPr>
          <w:rFonts w:asciiTheme="minorHAnsi" w:hAnsiTheme="minorHAnsi" w:cstheme="minorHAnsi"/>
          <w:u w:val="single"/>
        </w:rPr>
      </w:pPr>
    </w:p>
    <w:p w14:paraId="13FFFAC4" w14:textId="082245B9" w:rsidR="006E5EF0" w:rsidRDefault="006E5EF0" w:rsidP="00AC5F56">
      <w:pPr>
        <w:pStyle w:val="NormalWeb"/>
        <w:spacing w:line="480" w:lineRule="auto"/>
        <w:rPr>
          <w:rFonts w:asciiTheme="minorHAnsi" w:hAnsiTheme="minorHAnsi" w:cstheme="minorHAnsi"/>
          <w:u w:val="single"/>
        </w:rPr>
      </w:pPr>
      <w:r w:rsidRPr="006E5EF0">
        <w:rPr>
          <w:rFonts w:asciiTheme="minorHAnsi" w:hAnsiTheme="minorHAnsi" w:cstheme="minorHAnsi"/>
          <w:u w:val="single"/>
        </w:rPr>
        <w:t xml:space="preserve">Document Report </w:t>
      </w:r>
    </w:p>
    <w:p w14:paraId="3E7931F3" w14:textId="205A7157" w:rsidR="006E5EF0" w:rsidRDefault="006E5EF0" w:rsidP="006E5EF0">
      <w:r>
        <w:t>1:</w:t>
      </w:r>
      <w:r w:rsidR="002D567A">
        <w:t xml:space="preserve"> </w:t>
      </w:r>
      <w:r>
        <w:rPr>
          <w:noProof/>
        </w:rPr>
        <w:drawing>
          <wp:inline distT="0" distB="0" distL="0" distR="0" wp14:anchorId="4A7E13BD" wp14:editId="1FB707DD">
            <wp:extent cx="1866900" cy="27494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89173" cy="2782270"/>
                    </a:xfrm>
                    <a:prstGeom prst="rect">
                      <a:avLst/>
                    </a:prstGeom>
                    <a:noFill/>
                    <a:ln>
                      <a:noFill/>
                    </a:ln>
                  </pic:spPr>
                </pic:pic>
              </a:graphicData>
            </a:graphic>
          </wp:inline>
        </w:drawing>
      </w:r>
      <w:r>
        <w:t xml:space="preserve">    2:</w:t>
      </w:r>
      <w:r w:rsidR="002D567A">
        <w:t xml:space="preserve"> </w:t>
      </w:r>
      <w:r>
        <w:rPr>
          <w:noProof/>
        </w:rPr>
        <w:drawing>
          <wp:inline distT="0" distB="0" distL="0" distR="0" wp14:anchorId="54759D9A" wp14:editId="5E10ADC0">
            <wp:extent cx="1908302" cy="2752358"/>
            <wp:effectExtent l="0" t="0" r="0" b="0"/>
            <wp:docPr id="2" name="Picture 2" descr="text only. text: WOMEN OF LANCASHIRE. Do you realise that if you keep back a son or sweetheart you are prolonging the War and adding to the peril of those who have gone? E. and J. L. Milner, 'Guardian' Printing Works, Lanc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 only. text: WOMEN OF LANCASHIRE. Do you realise that if you keep back a son or sweetheart you are prolonging the War and adding to the peril of those who have gone? E. and J. L. Milner, 'Guardian' Printing Works, Lancast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78425" cy="2853497"/>
                    </a:xfrm>
                    <a:prstGeom prst="rect">
                      <a:avLst/>
                    </a:prstGeom>
                    <a:noFill/>
                    <a:ln>
                      <a:noFill/>
                    </a:ln>
                  </pic:spPr>
                </pic:pic>
              </a:graphicData>
            </a:graphic>
          </wp:inline>
        </w:drawing>
      </w:r>
    </w:p>
    <w:p w14:paraId="3AF40539" w14:textId="77777777" w:rsidR="006E5EF0" w:rsidRDefault="006E5EF0" w:rsidP="00AC5F56">
      <w:pPr>
        <w:pStyle w:val="NormalWeb"/>
        <w:spacing w:line="480" w:lineRule="auto"/>
        <w:rPr>
          <w:rFonts w:asciiTheme="minorHAnsi" w:hAnsiTheme="minorHAnsi" w:cstheme="minorHAnsi"/>
          <w:u w:val="single"/>
        </w:rPr>
      </w:pPr>
    </w:p>
    <w:p w14:paraId="6B75B1F4" w14:textId="77777777" w:rsidR="006E5EF0" w:rsidRPr="0084724B" w:rsidRDefault="006E5EF0" w:rsidP="006E5EF0">
      <w:pPr>
        <w:pStyle w:val="NormalWeb"/>
        <w:spacing w:line="480" w:lineRule="auto"/>
        <w:rPr>
          <w:rFonts w:asciiTheme="minorHAnsi" w:hAnsiTheme="minorHAnsi" w:cstheme="minorHAnsi"/>
          <w:color w:val="000000"/>
        </w:rPr>
      </w:pPr>
      <w:r w:rsidRPr="0084724B">
        <w:rPr>
          <w:rFonts w:asciiTheme="minorHAnsi" w:hAnsiTheme="minorHAnsi" w:cstheme="minorHAnsi"/>
          <w:color w:val="000000"/>
        </w:rPr>
        <w:t>This document report will focus on two propaganda posters</w:t>
      </w:r>
      <w:r>
        <w:rPr>
          <w:rFonts w:asciiTheme="minorHAnsi" w:hAnsiTheme="minorHAnsi" w:cstheme="minorHAnsi"/>
          <w:color w:val="000000"/>
        </w:rPr>
        <w:t xml:space="preserve"> of a similar nature. Both of them are used propaganda tools to aid in the recruitment of potential soldiers within Britain. </w:t>
      </w:r>
      <w:r w:rsidRPr="0084724B">
        <w:rPr>
          <w:rFonts w:asciiTheme="minorHAnsi" w:hAnsiTheme="minorHAnsi" w:cstheme="minorHAnsi"/>
          <w:color w:val="000000"/>
        </w:rPr>
        <w:t xml:space="preserve">One is a for a generalised audience and the other is designed for a very specific audience. </w:t>
      </w:r>
    </w:p>
    <w:p w14:paraId="1D38D202" w14:textId="77777777" w:rsidR="006E5EF0" w:rsidRPr="0084724B" w:rsidRDefault="006E5EF0" w:rsidP="006E5EF0">
      <w:pPr>
        <w:spacing w:line="480" w:lineRule="auto"/>
        <w:rPr>
          <w:rFonts w:cstheme="minorHAnsi"/>
          <w:sz w:val="24"/>
          <w:szCs w:val="24"/>
        </w:rPr>
      </w:pPr>
      <w:r w:rsidRPr="0084724B">
        <w:rPr>
          <w:rFonts w:cstheme="minorHAnsi"/>
          <w:sz w:val="24"/>
          <w:szCs w:val="24"/>
        </w:rPr>
        <w:t>This propaganda poster is titled Women of Britain say – “go”. It was created by a man name E. V. Kealey an artist who designed multiple First World War Propaganda Posters.</w:t>
      </w:r>
      <w:r>
        <w:rPr>
          <w:rFonts w:cstheme="minorHAnsi"/>
          <w:sz w:val="24"/>
          <w:szCs w:val="24"/>
        </w:rPr>
        <w:t xml:space="preserve"> </w:t>
      </w:r>
      <w:r w:rsidRPr="0084724B">
        <w:rPr>
          <w:rFonts w:cstheme="minorHAnsi"/>
          <w:sz w:val="24"/>
          <w:szCs w:val="24"/>
        </w:rPr>
        <w:t>The motives behind this document were to use guilt in order to recruit more men in to signing up to fight. This propaganda poster was published by the company Hill, Siffken and co. The poster first appeared in London. The intended audience of this Poster were women. This was because they were seen as some</w:t>
      </w:r>
      <w:r>
        <w:rPr>
          <w:rFonts w:cstheme="minorHAnsi"/>
          <w:sz w:val="24"/>
          <w:szCs w:val="24"/>
        </w:rPr>
        <w:t>one’s</w:t>
      </w:r>
      <w:r w:rsidRPr="0084724B">
        <w:rPr>
          <w:rFonts w:cstheme="minorHAnsi"/>
          <w:sz w:val="24"/>
          <w:szCs w:val="24"/>
        </w:rPr>
        <w:t xml:space="preserve"> mother, wife, daughter and they could guilt </w:t>
      </w:r>
      <w:r>
        <w:rPr>
          <w:rFonts w:cstheme="minorHAnsi"/>
          <w:sz w:val="24"/>
          <w:szCs w:val="24"/>
        </w:rPr>
        <w:t xml:space="preserve">trip </w:t>
      </w:r>
      <w:r w:rsidRPr="0084724B">
        <w:rPr>
          <w:rFonts w:cstheme="minorHAnsi"/>
          <w:sz w:val="24"/>
          <w:szCs w:val="24"/>
        </w:rPr>
        <w:t>the</w:t>
      </w:r>
      <w:r>
        <w:rPr>
          <w:rFonts w:cstheme="minorHAnsi"/>
          <w:sz w:val="24"/>
          <w:szCs w:val="24"/>
        </w:rPr>
        <w:t>ir</w:t>
      </w:r>
      <w:r w:rsidRPr="0084724B">
        <w:rPr>
          <w:rFonts w:cstheme="minorHAnsi"/>
          <w:sz w:val="24"/>
          <w:szCs w:val="24"/>
        </w:rPr>
        <w:t xml:space="preserve"> loved ones in to signing up. It was created in early 1915. The significance of this was that it was created to recruit more men to be soldiers as there had been a drop in voluntary recruitment since August 1914.</w:t>
      </w:r>
    </w:p>
    <w:p w14:paraId="27DD4DA7" w14:textId="77777777" w:rsidR="006E5EF0" w:rsidRPr="0084724B" w:rsidRDefault="006E5EF0" w:rsidP="006E5EF0">
      <w:pPr>
        <w:spacing w:line="480" w:lineRule="auto"/>
        <w:rPr>
          <w:rFonts w:cstheme="minorHAnsi"/>
          <w:sz w:val="24"/>
          <w:szCs w:val="24"/>
        </w:rPr>
      </w:pPr>
      <w:r w:rsidRPr="0084724B">
        <w:rPr>
          <w:rFonts w:cstheme="minorHAnsi"/>
          <w:sz w:val="24"/>
          <w:szCs w:val="24"/>
        </w:rPr>
        <w:t>From this poster we can infer that the overall style is very pre-war. It uses a traditional advertising style which we can see through the use of colours. To analyse this poster, we must first start with the text, Women of Britain say – “go”. From this it shows us that the British government intended to be very direct. Instead of being subtle, they out</w:t>
      </w:r>
      <w:r>
        <w:rPr>
          <w:rFonts w:cstheme="minorHAnsi"/>
          <w:sz w:val="24"/>
          <w:szCs w:val="24"/>
        </w:rPr>
        <w:t xml:space="preserve"> right</w:t>
      </w:r>
      <w:r w:rsidRPr="0084724B">
        <w:rPr>
          <w:rFonts w:cstheme="minorHAnsi"/>
          <w:sz w:val="24"/>
          <w:szCs w:val="24"/>
        </w:rPr>
        <w:t xml:space="preserve"> tell us that they need more men to join the British Army. Next, we must look at the main figures of the poster, a woman, her son and possibly her daughter. From this we can see that the women look into the distance with a pensive look on </w:t>
      </w:r>
      <w:r>
        <w:rPr>
          <w:rFonts w:cstheme="minorHAnsi"/>
          <w:sz w:val="24"/>
          <w:szCs w:val="24"/>
        </w:rPr>
        <w:t>their</w:t>
      </w:r>
      <w:r w:rsidRPr="0084724B">
        <w:rPr>
          <w:rFonts w:cstheme="minorHAnsi"/>
          <w:sz w:val="24"/>
          <w:szCs w:val="24"/>
        </w:rPr>
        <w:t xml:space="preserve"> face</w:t>
      </w:r>
      <w:r>
        <w:rPr>
          <w:rFonts w:cstheme="minorHAnsi"/>
          <w:sz w:val="24"/>
          <w:szCs w:val="24"/>
        </w:rPr>
        <w:t>s</w:t>
      </w:r>
      <w:r w:rsidRPr="0084724B">
        <w:rPr>
          <w:rFonts w:cstheme="minorHAnsi"/>
          <w:sz w:val="24"/>
          <w:szCs w:val="24"/>
        </w:rPr>
        <w:t>. She is holding on to</w:t>
      </w:r>
      <w:r>
        <w:rPr>
          <w:rFonts w:cstheme="minorHAnsi"/>
          <w:sz w:val="24"/>
          <w:szCs w:val="24"/>
        </w:rPr>
        <w:t xml:space="preserve"> the other</w:t>
      </w:r>
      <w:r w:rsidRPr="0084724B">
        <w:rPr>
          <w:rFonts w:cstheme="minorHAnsi"/>
          <w:sz w:val="24"/>
          <w:szCs w:val="24"/>
        </w:rPr>
        <w:t xml:space="preserve"> women. This signifies the sacrifice that women needed to make by their husband or sweetheart going to war as they are going to lose their main income provider. It also shows the uncertainty of sending the men to war as they have no </w:t>
      </w:r>
      <w:r>
        <w:rPr>
          <w:rFonts w:cstheme="minorHAnsi"/>
          <w:sz w:val="24"/>
          <w:szCs w:val="24"/>
        </w:rPr>
        <w:t>guarantee</w:t>
      </w:r>
      <w:r w:rsidRPr="0084724B">
        <w:rPr>
          <w:rFonts w:cstheme="minorHAnsi"/>
          <w:sz w:val="24"/>
          <w:szCs w:val="24"/>
        </w:rPr>
        <w:t xml:space="preserve"> whether they will return. The son is tugging at his mother’s dress, possibly questioning his father’s absence and perhaps not fully understanding why he’s gone. From here we can look at the soldiers marching. We assume the</w:t>
      </w:r>
      <w:r>
        <w:rPr>
          <w:rFonts w:cstheme="minorHAnsi"/>
          <w:sz w:val="24"/>
          <w:szCs w:val="24"/>
        </w:rPr>
        <w:t xml:space="preserve">y are </w:t>
      </w:r>
      <w:r w:rsidRPr="0084724B">
        <w:rPr>
          <w:rFonts w:cstheme="minorHAnsi"/>
          <w:sz w:val="24"/>
          <w:szCs w:val="24"/>
        </w:rPr>
        <w:t xml:space="preserve">marching off to battle, </w:t>
      </w:r>
      <w:r>
        <w:rPr>
          <w:rFonts w:cstheme="minorHAnsi"/>
          <w:sz w:val="24"/>
          <w:szCs w:val="24"/>
        </w:rPr>
        <w:t xml:space="preserve">possibly </w:t>
      </w:r>
      <w:r w:rsidRPr="0084724B">
        <w:rPr>
          <w:rFonts w:cstheme="minorHAnsi"/>
          <w:sz w:val="24"/>
          <w:szCs w:val="24"/>
        </w:rPr>
        <w:t xml:space="preserve">going to the front lines. The soldiers demonstrate the uniformity of the British army, with their pristine uniforms and marching in sync. </w:t>
      </w:r>
    </w:p>
    <w:p w14:paraId="6FF8B89C" w14:textId="77777777" w:rsidR="006E5EF0" w:rsidRPr="0084724B" w:rsidRDefault="006E5EF0" w:rsidP="006E5EF0">
      <w:pPr>
        <w:spacing w:line="480" w:lineRule="auto"/>
        <w:rPr>
          <w:rFonts w:cstheme="minorHAnsi"/>
          <w:sz w:val="24"/>
          <w:szCs w:val="24"/>
        </w:rPr>
      </w:pPr>
      <w:r w:rsidRPr="0084724B">
        <w:rPr>
          <w:rFonts w:cstheme="minorHAnsi"/>
          <w:sz w:val="24"/>
          <w:szCs w:val="24"/>
        </w:rPr>
        <w:t>Another poster that follows a similar line of propaganda is titled Women of Lancashire. This was created in 1915 by an unknown artist. Although the artist is unknown, the motives were pretty clear. The poster was created with the intent to use the women of Lancashire to guilt</w:t>
      </w:r>
      <w:r>
        <w:rPr>
          <w:rFonts w:cstheme="minorHAnsi"/>
          <w:sz w:val="24"/>
          <w:szCs w:val="24"/>
        </w:rPr>
        <w:t xml:space="preserve"> trip</w:t>
      </w:r>
      <w:r w:rsidRPr="0084724B">
        <w:rPr>
          <w:rFonts w:cstheme="minorHAnsi"/>
          <w:sz w:val="24"/>
          <w:szCs w:val="24"/>
        </w:rPr>
        <w:t xml:space="preserve"> the men of Lancashire that hadn’t signed up. Despite the lack of a known author we do know it was published by E and J L Milner Guardian Printing Works in Lancashire.  The significance of this poster is that it targets the women of Lancashire directly rather than a general poster for women of Britain as they were the intended audience. </w:t>
      </w:r>
    </w:p>
    <w:p w14:paraId="33CF3AAC" w14:textId="77777777" w:rsidR="006E5EF0" w:rsidRPr="0084724B" w:rsidRDefault="006E5EF0" w:rsidP="006E5EF0">
      <w:pPr>
        <w:spacing w:line="480" w:lineRule="auto"/>
        <w:rPr>
          <w:rFonts w:cstheme="minorHAnsi"/>
          <w:sz w:val="24"/>
          <w:szCs w:val="24"/>
        </w:rPr>
      </w:pPr>
      <w:r w:rsidRPr="0084724B">
        <w:rPr>
          <w:rFonts w:cstheme="minorHAnsi"/>
          <w:sz w:val="24"/>
          <w:szCs w:val="24"/>
        </w:rPr>
        <w:t>In analysing this poster, you need to look at the text and the image. The text reads, ‘Do you realise that if you keep back a son or sweetheart you are prolonging the war and adding to the peril of those who have gone?’ Similar to the first poster, it is telling women that they shouldn’t be selfish and instead tell your son or sweetheart to go to war as you keeping your son or sweetheart is part of the reason why the war had gone on for so long. For this poster to not have any images tell</w:t>
      </w:r>
      <w:r>
        <w:rPr>
          <w:rFonts w:cstheme="minorHAnsi"/>
          <w:sz w:val="24"/>
          <w:szCs w:val="24"/>
        </w:rPr>
        <w:t>s</w:t>
      </w:r>
      <w:r w:rsidRPr="0084724B">
        <w:rPr>
          <w:rFonts w:cstheme="minorHAnsi"/>
          <w:sz w:val="24"/>
          <w:szCs w:val="24"/>
        </w:rPr>
        <w:t xml:space="preserve"> us something in itself. It makes it simpl</w:t>
      </w:r>
      <w:r>
        <w:rPr>
          <w:rFonts w:cstheme="minorHAnsi"/>
          <w:sz w:val="24"/>
          <w:szCs w:val="24"/>
        </w:rPr>
        <w:t>e</w:t>
      </w:r>
      <w:r w:rsidRPr="0084724B">
        <w:rPr>
          <w:rFonts w:cstheme="minorHAnsi"/>
          <w:sz w:val="24"/>
          <w:szCs w:val="24"/>
        </w:rPr>
        <w:t xml:space="preserve"> so that the intended audience just focuses on the text and therefore can only interpret the poster in one way. That way is that the men of Lancashire have a duty to fight. </w:t>
      </w:r>
    </w:p>
    <w:p w14:paraId="300AB805" w14:textId="77777777" w:rsidR="006E5EF0" w:rsidRPr="0084724B" w:rsidRDefault="006E5EF0" w:rsidP="006E5EF0">
      <w:pPr>
        <w:spacing w:line="480" w:lineRule="auto"/>
        <w:rPr>
          <w:rFonts w:cstheme="minorHAnsi"/>
          <w:sz w:val="24"/>
          <w:szCs w:val="24"/>
        </w:rPr>
      </w:pPr>
      <w:r w:rsidRPr="00466410">
        <w:rPr>
          <w:rFonts w:cstheme="minorHAnsi"/>
          <w:sz w:val="24"/>
          <w:szCs w:val="24"/>
        </w:rPr>
        <w:t>In comparison, whilst this poster, Women of Britain Say – “Go” is for a general audience, the Women of Lancashire propaganda poster targets a specific group of women, which is women from Lancashire. It is unusual to have a propaganda poster for a specific region which suggests there was a lack of recruitment in Lancashire. The difference between the first propaganda poster and the second is that the ‘Women of Lancashire’ features a lot more text. This is shown by the absence of pictures which leaves a full page of text in the colour of red. We know that because the women of Britain poster</w:t>
      </w:r>
      <w:r>
        <w:rPr>
          <w:rFonts w:cstheme="minorHAnsi"/>
          <w:sz w:val="24"/>
          <w:szCs w:val="24"/>
        </w:rPr>
        <w:t xml:space="preserve">s </w:t>
      </w:r>
      <w:r w:rsidRPr="00466410">
        <w:rPr>
          <w:rFonts w:cstheme="minorHAnsi"/>
          <w:sz w:val="24"/>
          <w:szCs w:val="24"/>
        </w:rPr>
        <w:t>w</w:t>
      </w:r>
      <w:r>
        <w:rPr>
          <w:rFonts w:cstheme="minorHAnsi"/>
          <w:sz w:val="24"/>
          <w:szCs w:val="24"/>
        </w:rPr>
        <w:t xml:space="preserve">ere </w:t>
      </w:r>
      <w:r w:rsidRPr="00466410">
        <w:rPr>
          <w:rFonts w:cstheme="minorHAnsi"/>
          <w:sz w:val="24"/>
          <w:szCs w:val="24"/>
        </w:rPr>
        <w:t xml:space="preserve">created first, we can see the shift in propaganda as the war carried on. The first poster shows an almost whimsical image based on pre-war art whilst the second complete forgoes any imagery. This in a way shows the desperation of the government that they needed more men. Both posters share a similarity of the theme of guilt. They were created with the clear intention to use women whether they are mothers, wives or daughters in order to guilt </w:t>
      </w:r>
      <w:r>
        <w:rPr>
          <w:rFonts w:cstheme="minorHAnsi"/>
          <w:sz w:val="24"/>
          <w:szCs w:val="24"/>
        </w:rPr>
        <w:t xml:space="preserve">trip </w:t>
      </w:r>
      <w:r w:rsidRPr="00466410">
        <w:rPr>
          <w:rFonts w:cstheme="minorHAnsi"/>
          <w:sz w:val="24"/>
          <w:szCs w:val="24"/>
        </w:rPr>
        <w:t xml:space="preserve">fathers, husbands and son’s into signing up to fight. </w:t>
      </w:r>
    </w:p>
    <w:p w14:paraId="264261FF" w14:textId="77777777" w:rsidR="006E5EF0" w:rsidRPr="0084724B" w:rsidRDefault="006E5EF0" w:rsidP="006E5EF0">
      <w:pPr>
        <w:spacing w:line="480" w:lineRule="auto"/>
        <w:rPr>
          <w:rFonts w:cstheme="minorHAnsi"/>
          <w:sz w:val="24"/>
          <w:szCs w:val="24"/>
        </w:rPr>
      </w:pPr>
      <w:r w:rsidRPr="0084724B">
        <w:rPr>
          <w:rFonts w:cstheme="minorHAnsi"/>
          <w:sz w:val="24"/>
          <w:szCs w:val="24"/>
        </w:rPr>
        <w:t xml:space="preserve">The significance of the British government creating posters that directly targets women is something that changed as the war continued. By 1915, the large number of men signing up to volunteer had dwindled due to many factors such as the war going on longer than anticipated and the significant losses faced by the British army. Therefore, introducing a new factor in recruitment posters is an interesting tactic, specifically one that focuses on guilt. Guilt is an interesting emotion, one that could persuade reluctant men to join a war based on their mothers and wives shaming them into signing up. </w:t>
      </w:r>
    </w:p>
    <w:p w14:paraId="5BB646BB" w14:textId="77777777" w:rsidR="006E5EF0" w:rsidRPr="0084724B" w:rsidRDefault="006E5EF0" w:rsidP="006E5EF0">
      <w:pPr>
        <w:spacing w:line="480" w:lineRule="auto"/>
        <w:rPr>
          <w:rFonts w:cstheme="minorHAnsi"/>
          <w:sz w:val="24"/>
          <w:szCs w:val="24"/>
        </w:rPr>
      </w:pPr>
      <w:r w:rsidRPr="0084724B">
        <w:rPr>
          <w:rFonts w:cstheme="minorHAnsi"/>
          <w:sz w:val="24"/>
          <w:szCs w:val="24"/>
        </w:rPr>
        <w:t xml:space="preserve">In conclusion, these two propaganda posters </w:t>
      </w:r>
      <w:r>
        <w:rPr>
          <w:rFonts w:cstheme="minorHAnsi"/>
          <w:sz w:val="24"/>
          <w:szCs w:val="24"/>
        </w:rPr>
        <w:t xml:space="preserve">are an effective way to encourage men to join up a fight as guilt is a very powerful tool. In retrospect, we can assume that after the war it would be the mothers, wives and daughters who would have felt guilt for those men that were sent to war and never came back. We also know that following the outbreak of World War Two there was a shift in female propaganda posters as they were no longer using women to guilt men but rather trying to guilt women themselves who were not doing their part. Overall, both of these propaganda posters did achieve their purpose of recruiting men to war. </w:t>
      </w:r>
    </w:p>
    <w:p w14:paraId="683F9CF8" w14:textId="77777777" w:rsidR="006E5EF0" w:rsidRPr="006E5EF0" w:rsidRDefault="006E5EF0" w:rsidP="00AC5F56">
      <w:pPr>
        <w:pStyle w:val="NormalWeb"/>
        <w:spacing w:line="480" w:lineRule="auto"/>
        <w:rPr>
          <w:rFonts w:asciiTheme="minorHAnsi" w:hAnsiTheme="minorHAnsi" w:cstheme="minorHAnsi"/>
          <w:u w:val="single"/>
        </w:rPr>
      </w:pPr>
    </w:p>
    <w:p w14:paraId="5194A89A" w14:textId="50F4DAAC" w:rsidR="00AC5F56" w:rsidRDefault="00AC5F56"/>
    <w:p w14:paraId="5C75E38E" w14:textId="31A7AE15" w:rsidR="00F20F32" w:rsidRDefault="00F20F32"/>
    <w:p w14:paraId="08CE19E6" w14:textId="65C43DDB" w:rsidR="00F20F32" w:rsidRDefault="00F20F32"/>
    <w:p w14:paraId="3485E854" w14:textId="102EBC54" w:rsidR="00F20F32" w:rsidRDefault="00F20F32"/>
    <w:p w14:paraId="6BFBA5E0" w14:textId="30176788" w:rsidR="00F20F32" w:rsidRDefault="00F20F32"/>
    <w:p w14:paraId="0CEB8847" w14:textId="42D7C44A" w:rsidR="00F20F32" w:rsidRDefault="00F20F32"/>
    <w:p w14:paraId="6A922312" w14:textId="035861BA" w:rsidR="00F20F32" w:rsidRDefault="00F20F32"/>
    <w:p w14:paraId="1AD03EB3" w14:textId="76BF29F4" w:rsidR="00F20F32" w:rsidRDefault="00F20F32"/>
    <w:p w14:paraId="73FA5D80" w14:textId="77777777" w:rsidR="00F20F32" w:rsidRDefault="00F20F32"/>
    <w:sectPr w:rsidR="00F20F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00D3DD" w14:textId="77777777" w:rsidR="00AC5F56" w:rsidRDefault="00AC5F56" w:rsidP="00AC5F56">
      <w:pPr>
        <w:spacing w:after="0" w:line="240" w:lineRule="auto"/>
      </w:pPr>
      <w:r>
        <w:separator/>
      </w:r>
    </w:p>
  </w:endnote>
  <w:endnote w:type="continuationSeparator" w:id="0">
    <w:p w14:paraId="60DA2A71" w14:textId="77777777" w:rsidR="00AC5F56" w:rsidRDefault="00AC5F56" w:rsidP="00AC5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9B8A8" w14:textId="77777777" w:rsidR="00AC5F56" w:rsidRDefault="00AC5F56" w:rsidP="00AC5F56">
      <w:pPr>
        <w:spacing w:after="0" w:line="240" w:lineRule="auto"/>
      </w:pPr>
      <w:r>
        <w:separator/>
      </w:r>
    </w:p>
  </w:footnote>
  <w:footnote w:type="continuationSeparator" w:id="0">
    <w:p w14:paraId="72F05393" w14:textId="77777777" w:rsidR="00AC5F56" w:rsidRDefault="00AC5F56" w:rsidP="00AC5F56">
      <w:pPr>
        <w:spacing w:after="0" w:line="240" w:lineRule="auto"/>
      </w:pPr>
      <w:r>
        <w:continuationSeparator/>
      </w:r>
    </w:p>
  </w:footnote>
  <w:footnote w:id="1">
    <w:p w14:paraId="3598B52E" w14:textId="2AA1C4C5" w:rsidR="00AC5F56" w:rsidRDefault="00AC5F56" w:rsidP="00AC5F56">
      <w:pPr>
        <w:pStyle w:val="FootnoteText"/>
      </w:pPr>
      <w:r>
        <w:rPr>
          <w:rStyle w:val="FootnoteReference"/>
        </w:rPr>
        <w:footnoteRef/>
      </w:r>
      <w:r>
        <w:t xml:space="preserve"> Vera Brittain, </w:t>
      </w:r>
      <w:r w:rsidRPr="004E0A1C">
        <w:rPr>
          <w:i/>
          <w:iCs/>
        </w:rPr>
        <w:t>Testament of Youth</w:t>
      </w:r>
      <w:r w:rsidR="002D567A" w:rsidRPr="004E0A1C">
        <w:rPr>
          <w:i/>
          <w:iCs/>
        </w:rPr>
        <w:t>: an autobiographical study of the Years 1900 – 1925</w:t>
      </w:r>
      <w:r w:rsidR="002D567A">
        <w:t xml:space="preserve"> (</w:t>
      </w:r>
      <w:r w:rsidR="00313859">
        <w:t>London: Phoenix, 2014</w:t>
      </w:r>
      <w:r w:rsidR="002D567A">
        <w:t>), P.</w:t>
      </w:r>
      <w:r w:rsidR="00313859">
        <w:t xml:space="preserve"> 217.</w:t>
      </w:r>
    </w:p>
  </w:footnote>
  <w:footnote w:id="2">
    <w:p w14:paraId="3E6B77E8" w14:textId="54C355E1" w:rsidR="00AC5F56" w:rsidRDefault="00AC5F56" w:rsidP="00AC5F56">
      <w:pPr>
        <w:pStyle w:val="FootnoteText"/>
      </w:pPr>
      <w:r>
        <w:rPr>
          <w:rStyle w:val="FootnoteReference"/>
        </w:rPr>
        <w:footnoteRef/>
      </w:r>
      <w:r>
        <w:t xml:space="preserve"> Brittain, </w:t>
      </w:r>
      <w:r w:rsidRPr="004E0A1C">
        <w:rPr>
          <w:i/>
          <w:iCs/>
        </w:rPr>
        <w:t>Testament of Youth</w:t>
      </w:r>
      <w:r w:rsidR="002D567A">
        <w:t>,</w:t>
      </w:r>
      <w:r>
        <w:t xml:space="preserve"> </w:t>
      </w:r>
      <w:r w:rsidR="002D567A">
        <w:t>P.</w:t>
      </w:r>
      <w:r w:rsidR="00313859">
        <w:t xml:space="preserve"> 216. </w:t>
      </w:r>
    </w:p>
  </w:footnote>
  <w:footnote w:id="3">
    <w:p w14:paraId="3BE3E316" w14:textId="2CA16636" w:rsidR="00AC5F56" w:rsidRDefault="00AC5F56" w:rsidP="00AC5F56">
      <w:pPr>
        <w:pStyle w:val="FootnoteText"/>
      </w:pPr>
      <w:r>
        <w:rPr>
          <w:rStyle w:val="FootnoteReference"/>
        </w:rPr>
        <w:footnoteRef/>
      </w:r>
      <w:r>
        <w:t xml:space="preserve"> Brittain, </w:t>
      </w:r>
      <w:r w:rsidRPr="004E0A1C">
        <w:rPr>
          <w:i/>
          <w:iCs/>
        </w:rPr>
        <w:t>Testament of Youth</w:t>
      </w:r>
      <w:r w:rsidR="002D567A" w:rsidRPr="004E0A1C">
        <w:rPr>
          <w:i/>
          <w:iCs/>
        </w:rPr>
        <w:t>,</w:t>
      </w:r>
      <w:r w:rsidR="002D567A">
        <w:t xml:space="preserve"> </w:t>
      </w:r>
      <w:r>
        <w:t xml:space="preserve">P.373. </w:t>
      </w:r>
    </w:p>
  </w:footnote>
  <w:footnote w:id="4">
    <w:p w14:paraId="54CBC9EB" w14:textId="064D63DE" w:rsidR="000B058F" w:rsidRDefault="000B058F">
      <w:pPr>
        <w:pStyle w:val="FootnoteText"/>
      </w:pPr>
      <w:r>
        <w:rPr>
          <w:rStyle w:val="FootnoteReference"/>
        </w:rPr>
        <w:footnoteRef/>
      </w:r>
      <w:r>
        <w:t xml:space="preserve"> Brittain, </w:t>
      </w:r>
      <w:r w:rsidRPr="004E0A1C">
        <w:rPr>
          <w:i/>
          <w:iCs/>
        </w:rPr>
        <w:t>Testament of Youth</w:t>
      </w:r>
      <w:r>
        <w:t>, P.374.</w:t>
      </w:r>
    </w:p>
  </w:footnote>
  <w:footnote w:id="5">
    <w:p w14:paraId="308B9ABC" w14:textId="46DAE202" w:rsidR="00AC5F56" w:rsidRDefault="00AC5F56" w:rsidP="00AC5F56">
      <w:pPr>
        <w:pStyle w:val="FootnoteText"/>
      </w:pPr>
      <w:r>
        <w:rPr>
          <w:rStyle w:val="FootnoteReference"/>
        </w:rPr>
        <w:footnoteRef/>
      </w:r>
      <w:r>
        <w:t xml:space="preserve"> Brittain, </w:t>
      </w:r>
      <w:r w:rsidRPr="004E0A1C">
        <w:rPr>
          <w:i/>
          <w:iCs/>
        </w:rPr>
        <w:t>Testament of Youth</w:t>
      </w:r>
      <w:r w:rsidR="002D567A">
        <w:t xml:space="preserve">, </w:t>
      </w:r>
      <w:r>
        <w:t>P.374.</w:t>
      </w:r>
    </w:p>
  </w:footnote>
  <w:footnote w:id="6">
    <w:p w14:paraId="76BBECAB" w14:textId="6F9C3D26" w:rsidR="00AC5F56" w:rsidRDefault="00AC5F56" w:rsidP="00AC5F56">
      <w:pPr>
        <w:pStyle w:val="FootnoteText"/>
      </w:pPr>
      <w:r>
        <w:rPr>
          <w:rStyle w:val="FootnoteReference"/>
        </w:rPr>
        <w:footnoteRef/>
      </w:r>
      <w:r>
        <w:t xml:space="preserve"> Mary Borden, </w:t>
      </w:r>
      <w:r w:rsidRPr="004E0A1C">
        <w:rPr>
          <w:i/>
          <w:iCs/>
        </w:rPr>
        <w:t>the Forbidden Zone</w:t>
      </w:r>
      <w:r>
        <w:t xml:space="preserve"> (London; Hesperus Press Limited, </w:t>
      </w:r>
      <w:r w:rsidR="004E0A1C">
        <w:t>2008) P.</w:t>
      </w:r>
      <w:r>
        <w:t>49.</w:t>
      </w:r>
    </w:p>
  </w:footnote>
  <w:footnote w:id="7">
    <w:p w14:paraId="22735C2D" w14:textId="744A00FB" w:rsidR="00AC5F56" w:rsidRDefault="00AC5F56" w:rsidP="00AC5F56">
      <w:pPr>
        <w:pStyle w:val="FootnoteText"/>
      </w:pPr>
      <w:r>
        <w:rPr>
          <w:rStyle w:val="FootnoteReference"/>
        </w:rPr>
        <w:footnoteRef/>
      </w:r>
      <w:r>
        <w:t xml:space="preserve"> </w:t>
      </w:r>
      <w:r w:rsidR="004E0A1C">
        <w:t xml:space="preserve">Borden, </w:t>
      </w:r>
      <w:r w:rsidR="004E0A1C" w:rsidRPr="004E0A1C">
        <w:rPr>
          <w:i/>
          <w:iCs/>
        </w:rPr>
        <w:t>the Forbidden Zone</w:t>
      </w:r>
      <w:r w:rsidR="004E0A1C">
        <w:t>, P.</w:t>
      </w:r>
      <w:r>
        <w:t>49</w:t>
      </w:r>
      <w:r w:rsidR="004E0A1C">
        <w:t>.</w:t>
      </w:r>
    </w:p>
  </w:footnote>
  <w:footnote w:id="8">
    <w:p w14:paraId="54BB7BB3" w14:textId="6BC91544" w:rsidR="00F20F32" w:rsidRDefault="00F20F32">
      <w:pPr>
        <w:pStyle w:val="FootnoteText"/>
      </w:pPr>
      <w:r>
        <w:rPr>
          <w:rStyle w:val="FootnoteReference"/>
        </w:rPr>
        <w:footnoteRef/>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F56"/>
    <w:rsid w:val="000B058F"/>
    <w:rsid w:val="002D567A"/>
    <w:rsid w:val="00313859"/>
    <w:rsid w:val="004B52CC"/>
    <w:rsid w:val="004E0A1C"/>
    <w:rsid w:val="006E5EF0"/>
    <w:rsid w:val="00AC5F56"/>
    <w:rsid w:val="00C35E69"/>
    <w:rsid w:val="00F20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79F22"/>
  <w15:chartTrackingRefBased/>
  <w15:docId w15:val="{F7F2D4FA-CA42-4608-97AA-F7B066E80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5F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AC5F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C5F56"/>
    <w:rPr>
      <w:sz w:val="20"/>
      <w:szCs w:val="20"/>
    </w:rPr>
  </w:style>
  <w:style w:type="character" w:styleId="FootnoteReference">
    <w:name w:val="footnote reference"/>
    <w:basedOn w:val="DefaultParagraphFont"/>
    <w:uiPriority w:val="99"/>
    <w:semiHidden/>
    <w:unhideWhenUsed/>
    <w:rsid w:val="00AC5F56"/>
    <w:rPr>
      <w:vertAlign w:val="superscript"/>
    </w:rPr>
  </w:style>
  <w:style w:type="paragraph" w:styleId="NoSpacing">
    <w:name w:val="No Spacing"/>
    <w:uiPriority w:val="1"/>
    <w:qFormat/>
    <w:rsid w:val="00C35E6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2169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0D6C2-7355-4544-8E75-B9044AC86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2499</Words>
  <Characters>14248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2</cp:revision>
  <dcterms:created xsi:type="dcterms:W3CDTF">2019-11-15T20:19:00Z</dcterms:created>
  <dcterms:modified xsi:type="dcterms:W3CDTF">2019-11-15T20:19:00Z</dcterms:modified>
</cp:coreProperties>
</file>