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5Dark-Accent6"/>
        <w:tblW w:w="0" w:type="auto"/>
        <w:tblLayout w:type="fixed"/>
        <w:tblLook w:val="04A0" w:firstRow="1" w:lastRow="0" w:firstColumn="1" w:lastColumn="0" w:noHBand="0" w:noVBand="1"/>
      </w:tblPr>
      <w:tblGrid>
        <w:gridCol w:w="1220"/>
        <w:gridCol w:w="873"/>
        <w:gridCol w:w="1417"/>
        <w:gridCol w:w="1256"/>
        <w:gridCol w:w="1012"/>
        <w:gridCol w:w="1134"/>
        <w:gridCol w:w="1944"/>
      </w:tblGrid>
      <w:tr w:rsidR="00BF0C8F" w14:paraId="745B1C01" w14:textId="04EF7A5C" w:rsidTr="00BF0C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0" w:type="dxa"/>
          </w:tcPr>
          <w:p w14:paraId="6583ED5D" w14:textId="7E1878FD" w:rsidR="00BF0C8F" w:rsidRPr="00BF0C8F" w:rsidRDefault="00BF0C8F" w:rsidP="00BF0C8F">
            <w:pPr>
              <w:pStyle w:val="Heading1"/>
              <w:rPr>
                <w:rFonts w:ascii="Arial" w:hAnsi="Arial" w:cs="Arial"/>
                <w:color w:val="auto"/>
                <w:sz w:val="22"/>
                <w:szCs w:val="22"/>
              </w:rPr>
            </w:pPr>
            <w:r w:rsidRPr="00BF0C8F">
              <w:rPr>
                <w:rStyle w:val="Strong"/>
                <w:rFonts w:ascii="Arial" w:hAnsi="Arial" w:cs="Arial"/>
                <w:color w:val="auto"/>
                <w:sz w:val="22"/>
                <w:szCs w:val="22"/>
              </w:rPr>
              <w:t>Financial Ratio</w:t>
            </w:r>
          </w:p>
        </w:tc>
        <w:tc>
          <w:tcPr>
            <w:tcW w:w="873" w:type="dxa"/>
          </w:tcPr>
          <w:p w14:paraId="11360791" w14:textId="0BE66BCA" w:rsidR="00BF0C8F" w:rsidRPr="00BF0C8F" w:rsidRDefault="00BF0C8F" w:rsidP="00BF0C8F">
            <w:pPr>
              <w:pStyle w:val="Heading1"/>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F0C8F">
              <w:rPr>
                <w:rStyle w:val="Strong"/>
                <w:rFonts w:ascii="Arial" w:hAnsi="Arial" w:cs="Arial"/>
                <w:color w:val="auto"/>
                <w:sz w:val="22"/>
                <w:szCs w:val="22"/>
              </w:rPr>
              <w:t>2021</w:t>
            </w:r>
          </w:p>
        </w:tc>
        <w:tc>
          <w:tcPr>
            <w:tcW w:w="1417" w:type="dxa"/>
          </w:tcPr>
          <w:p w14:paraId="60CD060A" w14:textId="21C1CAD3" w:rsidR="00BF0C8F" w:rsidRPr="00BF0C8F" w:rsidRDefault="00BF0C8F" w:rsidP="00BF0C8F">
            <w:pPr>
              <w:pStyle w:val="Heading1"/>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F0C8F">
              <w:rPr>
                <w:rStyle w:val="Strong"/>
                <w:rFonts w:ascii="Arial" w:hAnsi="Arial" w:cs="Arial"/>
                <w:color w:val="auto"/>
                <w:sz w:val="22"/>
                <w:szCs w:val="22"/>
              </w:rPr>
              <w:t>2022</w:t>
            </w:r>
          </w:p>
        </w:tc>
        <w:tc>
          <w:tcPr>
            <w:tcW w:w="1256" w:type="dxa"/>
          </w:tcPr>
          <w:p w14:paraId="346D8899" w14:textId="228EBB19" w:rsidR="00BF0C8F" w:rsidRPr="00BF0C8F" w:rsidRDefault="00BF0C8F" w:rsidP="00BF0C8F">
            <w:pPr>
              <w:pStyle w:val="Heading1"/>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F0C8F">
              <w:rPr>
                <w:rStyle w:val="Strong"/>
                <w:rFonts w:ascii="Arial" w:hAnsi="Arial" w:cs="Arial"/>
                <w:color w:val="auto"/>
                <w:sz w:val="22"/>
                <w:szCs w:val="22"/>
              </w:rPr>
              <w:t>2023</w:t>
            </w:r>
          </w:p>
        </w:tc>
        <w:tc>
          <w:tcPr>
            <w:tcW w:w="1012" w:type="dxa"/>
          </w:tcPr>
          <w:p w14:paraId="691E1CB0" w14:textId="58AC7BA2" w:rsidR="00BF0C8F" w:rsidRPr="00BF0C8F" w:rsidRDefault="00BF0C8F" w:rsidP="00BF0C8F">
            <w:pPr>
              <w:pStyle w:val="Heading1"/>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F0C8F">
              <w:rPr>
                <w:rStyle w:val="Strong"/>
                <w:rFonts w:ascii="Arial" w:hAnsi="Arial" w:cs="Arial"/>
                <w:color w:val="auto"/>
                <w:sz w:val="22"/>
                <w:szCs w:val="22"/>
              </w:rPr>
              <w:t>2024</w:t>
            </w:r>
          </w:p>
        </w:tc>
        <w:tc>
          <w:tcPr>
            <w:tcW w:w="1134" w:type="dxa"/>
          </w:tcPr>
          <w:p w14:paraId="433F743D" w14:textId="6C0FCF9D" w:rsidR="00BF0C8F" w:rsidRPr="00BF0C8F" w:rsidRDefault="00BF0C8F" w:rsidP="00BF0C8F">
            <w:pPr>
              <w:pStyle w:val="Heading1"/>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F0C8F">
              <w:rPr>
                <w:rStyle w:val="Strong"/>
                <w:rFonts w:ascii="Arial" w:hAnsi="Arial" w:cs="Arial"/>
                <w:color w:val="auto"/>
                <w:sz w:val="22"/>
                <w:szCs w:val="22"/>
              </w:rPr>
              <w:t>2025</w:t>
            </w:r>
          </w:p>
        </w:tc>
        <w:tc>
          <w:tcPr>
            <w:tcW w:w="1944" w:type="dxa"/>
          </w:tcPr>
          <w:p w14:paraId="7235D0D8" w14:textId="359CAB1A" w:rsidR="00BF0C8F" w:rsidRPr="00BF0C8F" w:rsidRDefault="00BF0C8F" w:rsidP="00BF0C8F">
            <w:pPr>
              <w:pStyle w:val="Heading1"/>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F0C8F">
              <w:rPr>
                <w:rStyle w:val="Strong"/>
                <w:rFonts w:ascii="Arial" w:hAnsi="Arial" w:cs="Arial"/>
                <w:color w:val="auto"/>
                <w:sz w:val="22"/>
                <w:szCs w:val="22"/>
              </w:rPr>
              <w:t>Trend Analysis</w:t>
            </w:r>
          </w:p>
        </w:tc>
      </w:tr>
      <w:tr w:rsidR="00BF0C8F" w14:paraId="20CE735F" w14:textId="1599DBDE" w:rsidTr="00BF0C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0" w:type="dxa"/>
          </w:tcPr>
          <w:p w14:paraId="56D1B2FA" w14:textId="77777777" w:rsidR="00BF0C8F" w:rsidRPr="00BF0C8F" w:rsidRDefault="00BF0C8F" w:rsidP="00BF0C8F">
            <w:pPr>
              <w:pStyle w:val="Heading1"/>
              <w:rPr>
                <w:rStyle w:val="Strong"/>
                <w:rFonts w:ascii="Arial" w:hAnsi="Arial" w:cs="Arial"/>
                <w:b w:val="0"/>
                <w:bCs w:val="0"/>
                <w:color w:val="auto"/>
                <w:sz w:val="22"/>
                <w:szCs w:val="22"/>
              </w:rPr>
            </w:pPr>
          </w:p>
          <w:p w14:paraId="3F8F5DB8" w14:textId="77777777" w:rsidR="00BF0C8F" w:rsidRPr="00BF0C8F" w:rsidRDefault="00BF0C8F" w:rsidP="00BF0C8F">
            <w:pPr>
              <w:pStyle w:val="Heading1"/>
              <w:rPr>
                <w:rStyle w:val="Strong"/>
                <w:rFonts w:ascii="Arial" w:hAnsi="Arial" w:cs="Arial"/>
                <w:b w:val="0"/>
                <w:bCs w:val="0"/>
                <w:color w:val="auto"/>
                <w:sz w:val="22"/>
                <w:szCs w:val="22"/>
              </w:rPr>
            </w:pPr>
          </w:p>
          <w:p w14:paraId="1AB590A5" w14:textId="77777777" w:rsidR="00BF0C8F" w:rsidRPr="00BF0C8F" w:rsidRDefault="00BF0C8F" w:rsidP="00BF0C8F">
            <w:pPr>
              <w:pStyle w:val="Heading1"/>
              <w:rPr>
                <w:rStyle w:val="Strong"/>
                <w:rFonts w:ascii="Arial" w:hAnsi="Arial" w:cs="Arial"/>
                <w:b w:val="0"/>
                <w:bCs w:val="0"/>
                <w:color w:val="auto"/>
                <w:sz w:val="22"/>
                <w:szCs w:val="22"/>
              </w:rPr>
            </w:pPr>
          </w:p>
          <w:p w14:paraId="664E3604" w14:textId="7A0B3322" w:rsidR="00BF0C8F" w:rsidRPr="00BF0C8F" w:rsidRDefault="00BF0C8F" w:rsidP="00BF0C8F">
            <w:pPr>
              <w:pStyle w:val="Heading1"/>
              <w:rPr>
                <w:rFonts w:ascii="Arial" w:hAnsi="Arial" w:cs="Arial"/>
                <w:color w:val="auto"/>
                <w:sz w:val="22"/>
                <w:szCs w:val="22"/>
              </w:rPr>
            </w:pPr>
            <w:r w:rsidRPr="00BF0C8F">
              <w:rPr>
                <w:rStyle w:val="Strong"/>
                <w:rFonts w:ascii="Arial" w:hAnsi="Arial" w:cs="Arial"/>
                <w:color w:val="auto"/>
                <w:sz w:val="22"/>
                <w:szCs w:val="22"/>
              </w:rPr>
              <w:t>Return on Equity (ROE)</w:t>
            </w:r>
          </w:p>
        </w:tc>
        <w:tc>
          <w:tcPr>
            <w:tcW w:w="873" w:type="dxa"/>
          </w:tcPr>
          <w:p w14:paraId="7D70591F"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63864945"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71E0845"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617B27C5" w14:textId="462FFA8F"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Low</w:t>
            </w:r>
          </w:p>
        </w:tc>
        <w:tc>
          <w:tcPr>
            <w:tcW w:w="1417" w:type="dxa"/>
          </w:tcPr>
          <w:p w14:paraId="78101602"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76158AD3"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C521283"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CB1951F" w14:textId="639D025B"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Improved</w:t>
            </w:r>
          </w:p>
        </w:tc>
        <w:tc>
          <w:tcPr>
            <w:tcW w:w="1256" w:type="dxa"/>
          </w:tcPr>
          <w:p w14:paraId="0EED6E70"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6C1A23AD"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086CDC18"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3B296F5" w14:textId="53443F03"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Strong increase</w:t>
            </w:r>
          </w:p>
        </w:tc>
        <w:tc>
          <w:tcPr>
            <w:tcW w:w="1012" w:type="dxa"/>
          </w:tcPr>
          <w:p w14:paraId="17BFE708"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D1E7BC8"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0572AF84"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055626E6" w14:textId="1BC3FB79"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Stable</w:t>
            </w:r>
          </w:p>
        </w:tc>
        <w:tc>
          <w:tcPr>
            <w:tcW w:w="1134" w:type="dxa"/>
          </w:tcPr>
          <w:p w14:paraId="56863073"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3C29F983"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7FE48C1"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51EFCA0" w14:textId="0139F6A6"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Slight decline</w:t>
            </w:r>
          </w:p>
        </w:tc>
        <w:tc>
          <w:tcPr>
            <w:tcW w:w="1944" w:type="dxa"/>
          </w:tcPr>
          <w:p w14:paraId="4A948E9E" w14:textId="417A9519"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ROE improved significantly between 2021 and 2023 as profitability recovered following the pandemic. Although it decreased slightly in 2025, it remained considerably stronger than in 2021, indicating that Accor continued to generate positive returns for shareholders.</w:t>
            </w:r>
          </w:p>
        </w:tc>
      </w:tr>
      <w:tr w:rsidR="00BF0C8F" w14:paraId="39238908" w14:textId="40301B5D" w:rsidTr="00BF0C8F">
        <w:tc>
          <w:tcPr>
            <w:cnfStyle w:val="001000000000" w:firstRow="0" w:lastRow="0" w:firstColumn="1" w:lastColumn="0" w:oddVBand="0" w:evenVBand="0" w:oddHBand="0" w:evenHBand="0" w:firstRowFirstColumn="0" w:firstRowLastColumn="0" w:lastRowFirstColumn="0" w:lastRowLastColumn="0"/>
            <w:tcW w:w="1220" w:type="dxa"/>
          </w:tcPr>
          <w:p w14:paraId="2B2CD6E9" w14:textId="16B6B68D" w:rsidR="00BF0C8F" w:rsidRPr="00BF0C8F" w:rsidRDefault="00BF0C8F" w:rsidP="00BF0C8F">
            <w:pPr>
              <w:pStyle w:val="Heading1"/>
              <w:rPr>
                <w:rFonts w:ascii="Arial" w:hAnsi="Arial" w:cs="Arial"/>
                <w:color w:val="auto"/>
                <w:sz w:val="22"/>
                <w:szCs w:val="22"/>
              </w:rPr>
            </w:pPr>
            <w:r w:rsidRPr="00BF0C8F">
              <w:rPr>
                <w:rStyle w:val="Strong"/>
                <w:rFonts w:ascii="Arial" w:hAnsi="Arial" w:cs="Arial"/>
                <w:color w:val="auto"/>
                <w:sz w:val="22"/>
                <w:szCs w:val="22"/>
              </w:rPr>
              <w:t>Return on Assets (ROA)</w:t>
            </w:r>
          </w:p>
        </w:tc>
        <w:tc>
          <w:tcPr>
            <w:tcW w:w="873" w:type="dxa"/>
          </w:tcPr>
          <w:p w14:paraId="2CE5E464"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2821CF53"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723D627D" w14:textId="4A2C1DE1"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Low</w:t>
            </w:r>
          </w:p>
        </w:tc>
        <w:tc>
          <w:tcPr>
            <w:tcW w:w="1417" w:type="dxa"/>
          </w:tcPr>
          <w:p w14:paraId="50DDDFED"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54A45D2A"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37F837F1" w14:textId="6AE4552C"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Improved</w:t>
            </w:r>
          </w:p>
        </w:tc>
        <w:tc>
          <w:tcPr>
            <w:tcW w:w="1256" w:type="dxa"/>
          </w:tcPr>
          <w:p w14:paraId="78645052"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79AF3B28"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4886ECFF" w14:textId="3B6A5798"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Continued growth</w:t>
            </w:r>
          </w:p>
        </w:tc>
        <w:tc>
          <w:tcPr>
            <w:tcW w:w="1012" w:type="dxa"/>
          </w:tcPr>
          <w:p w14:paraId="2EA5D11D"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77F11B4B"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7B3EC14F" w14:textId="2A541D34"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Stable</w:t>
            </w:r>
          </w:p>
        </w:tc>
        <w:tc>
          <w:tcPr>
            <w:tcW w:w="1134" w:type="dxa"/>
          </w:tcPr>
          <w:p w14:paraId="5ECFC298"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53F4CC76"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318AE943" w14:textId="63692672"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Slight decline</w:t>
            </w:r>
          </w:p>
        </w:tc>
        <w:tc>
          <w:tcPr>
            <w:tcW w:w="1944" w:type="dxa"/>
          </w:tcPr>
          <w:p w14:paraId="1096A212" w14:textId="6323A1A3"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 xml:space="preserve">ROA followed a similar trend to ROE, demonstrating more efficient use of company assets to generate profits. The small decline in 2025 suggests lower earnings rather than inefficient asset </w:t>
            </w:r>
            <w:proofErr w:type="spellStart"/>
            <w:r w:rsidRPr="00BF0C8F">
              <w:rPr>
                <w:rFonts w:ascii="Arial" w:hAnsi="Arial" w:cs="Arial"/>
                <w:b w:val="0"/>
                <w:bCs w:val="0"/>
                <w:color w:val="auto"/>
                <w:sz w:val="22"/>
                <w:szCs w:val="22"/>
              </w:rPr>
              <w:t>utilisation</w:t>
            </w:r>
            <w:proofErr w:type="spellEnd"/>
            <w:r w:rsidRPr="00BF0C8F">
              <w:rPr>
                <w:rFonts w:ascii="Arial" w:hAnsi="Arial" w:cs="Arial"/>
                <w:b w:val="0"/>
                <w:bCs w:val="0"/>
                <w:color w:val="auto"/>
                <w:sz w:val="22"/>
                <w:szCs w:val="22"/>
              </w:rPr>
              <w:t>.</w:t>
            </w:r>
          </w:p>
        </w:tc>
      </w:tr>
      <w:tr w:rsidR="00BF0C8F" w14:paraId="60104655" w14:textId="7DD43380" w:rsidTr="00BF0C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0" w:type="dxa"/>
          </w:tcPr>
          <w:p w14:paraId="234CBBA5" w14:textId="68FCD8A8" w:rsidR="00BF0C8F" w:rsidRPr="00BF0C8F" w:rsidRDefault="00BF0C8F" w:rsidP="00BF0C8F">
            <w:pPr>
              <w:pStyle w:val="Heading1"/>
              <w:rPr>
                <w:rFonts w:ascii="Arial" w:hAnsi="Arial" w:cs="Arial"/>
                <w:color w:val="auto"/>
                <w:sz w:val="22"/>
                <w:szCs w:val="22"/>
              </w:rPr>
            </w:pPr>
            <w:r w:rsidRPr="00BF0C8F">
              <w:rPr>
                <w:rStyle w:val="Strong"/>
                <w:rFonts w:ascii="Arial" w:hAnsi="Arial" w:cs="Arial"/>
                <w:color w:val="auto"/>
                <w:sz w:val="22"/>
                <w:szCs w:val="22"/>
              </w:rPr>
              <w:t>Price-to-Earnings (P/E)</w:t>
            </w:r>
          </w:p>
        </w:tc>
        <w:tc>
          <w:tcPr>
            <w:tcW w:w="873" w:type="dxa"/>
          </w:tcPr>
          <w:p w14:paraId="5B0B19B6"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572BFAC"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70B7B2F2"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36E7DB57"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1C76435" w14:textId="5258E221"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High</w:t>
            </w:r>
          </w:p>
        </w:tc>
        <w:tc>
          <w:tcPr>
            <w:tcW w:w="1417" w:type="dxa"/>
          </w:tcPr>
          <w:p w14:paraId="753F9BA2"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5AC5510"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6C925E6A"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EBA9D7C"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695C3917" w14:textId="463D0A22"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Lower</w:t>
            </w:r>
          </w:p>
        </w:tc>
        <w:tc>
          <w:tcPr>
            <w:tcW w:w="1256" w:type="dxa"/>
          </w:tcPr>
          <w:p w14:paraId="35655ECA"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4CF5375"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7BF5642E"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7F739E2B"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12072085" w14:textId="101136E5"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Stable</w:t>
            </w:r>
          </w:p>
        </w:tc>
        <w:tc>
          <w:tcPr>
            <w:tcW w:w="1012" w:type="dxa"/>
          </w:tcPr>
          <w:p w14:paraId="22CBB2D9"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35E942F2"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0D87604A"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D274E9C"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367736C7" w14:textId="1D85B2C1"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Increased</w:t>
            </w:r>
          </w:p>
        </w:tc>
        <w:tc>
          <w:tcPr>
            <w:tcW w:w="1134" w:type="dxa"/>
          </w:tcPr>
          <w:p w14:paraId="0218861C"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E7B81B4"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9C77CA2"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3048CE3A"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167D4D6F" w14:textId="05051D7C"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Moderate</w:t>
            </w:r>
          </w:p>
        </w:tc>
        <w:tc>
          <w:tcPr>
            <w:tcW w:w="1944" w:type="dxa"/>
          </w:tcPr>
          <w:p w14:paraId="50C8A0B9" w14:textId="065DF818"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lastRenderedPageBreak/>
              <w:t xml:space="preserve">The P/E ratio fluctuated throughout the five-year period due to changes in earnings and investor </w:t>
            </w:r>
            <w:r w:rsidRPr="00BF0C8F">
              <w:rPr>
                <w:rFonts w:ascii="Arial" w:hAnsi="Arial" w:cs="Arial"/>
                <w:b w:val="0"/>
                <w:bCs w:val="0"/>
                <w:color w:val="auto"/>
                <w:sz w:val="22"/>
                <w:szCs w:val="22"/>
              </w:rPr>
              <w:lastRenderedPageBreak/>
              <w:t>expectations. Despite these fluctuations, the ratio remained relatively strong, indicating continued investor confidence in Accor's future performance.</w:t>
            </w:r>
          </w:p>
        </w:tc>
      </w:tr>
      <w:tr w:rsidR="00BF0C8F" w14:paraId="6078E330" w14:textId="3BCAB059" w:rsidTr="00BF0C8F">
        <w:tc>
          <w:tcPr>
            <w:cnfStyle w:val="001000000000" w:firstRow="0" w:lastRow="0" w:firstColumn="1" w:lastColumn="0" w:oddVBand="0" w:evenVBand="0" w:oddHBand="0" w:evenHBand="0" w:firstRowFirstColumn="0" w:firstRowLastColumn="0" w:lastRowFirstColumn="0" w:lastRowLastColumn="0"/>
            <w:tcW w:w="1220" w:type="dxa"/>
          </w:tcPr>
          <w:p w14:paraId="0098DFA5" w14:textId="77777777" w:rsidR="00BF0C8F" w:rsidRDefault="00BF0C8F" w:rsidP="00BF0C8F">
            <w:pPr>
              <w:pStyle w:val="Heading1"/>
              <w:rPr>
                <w:rStyle w:val="Strong"/>
                <w:rFonts w:ascii="Arial" w:hAnsi="Arial" w:cs="Arial"/>
                <w:b w:val="0"/>
                <w:bCs w:val="0"/>
                <w:color w:val="auto"/>
                <w:sz w:val="22"/>
                <w:szCs w:val="22"/>
              </w:rPr>
            </w:pPr>
          </w:p>
          <w:p w14:paraId="3BE6A689" w14:textId="77777777" w:rsidR="00BF0C8F" w:rsidRDefault="00BF0C8F" w:rsidP="00BF0C8F">
            <w:pPr>
              <w:pStyle w:val="Heading1"/>
              <w:rPr>
                <w:rStyle w:val="Strong"/>
                <w:rFonts w:ascii="Arial" w:hAnsi="Arial" w:cs="Arial"/>
                <w:b w:val="0"/>
                <w:bCs w:val="0"/>
                <w:color w:val="auto"/>
                <w:sz w:val="22"/>
                <w:szCs w:val="22"/>
              </w:rPr>
            </w:pPr>
          </w:p>
          <w:p w14:paraId="1512CA29" w14:textId="77777777" w:rsidR="00BF0C8F" w:rsidRDefault="00BF0C8F" w:rsidP="00BF0C8F">
            <w:pPr>
              <w:pStyle w:val="Heading1"/>
              <w:rPr>
                <w:rStyle w:val="Strong"/>
                <w:rFonts w:ascii="Arial" w:hAnsi="Arial" w:cs="Arial"/>
                <w:b w:val="0"/>
                <w:bCs w:val="0"/>
                <w:color w:val="auto"/>
                <w:sz w:val="22"/>
                <w:szCs w:val="22"/>
              </w:rPr>
            </w:pPr>
          </w:p>
          <w:p w14:paraId="6B670EC2" w14:textId="1A8FADFF" w:rsidR="00BF0C8F" w:rsidRPr="00BF0C8F" w:rsidRDefault="00BF0C8F" w:rsidP="00BF0C8F">
            <w:pPr>
              <w:pStyle w:val="Heading1"/>
              <w:rPr>
                <w:rFonts w:ascii="Arial" w:hAnsi="Arial" w:cs="Arial"/>
                <w:color w:val="auto"/>
                <w:sz w:val="22"/>
                <w:szCs w:val="22"/>
              </w:rPr>
            </w:pPr>
            <w:r w:rsidRPr="00BF0C8F">
              <w:rPr>
                <w:rStyle w:val="Strong"/>
                <w:rFonts w:ascii="Arial" w:hAnsi="Arial" w:cs="Arial"/>
                <w:color w:val="auto"/>
                <w:sz w:val="22"/>
                <w:szCs w:val="22"/>
              </w:rPr>
              <w:t>Operating Cash Flow Ratio</w:t>
            </w:r>
          </w:p>
        </w:tc>
        <w:tc>
          <w:tcPr>
            <w:tcW w:w="873" w:type="dxa"/>
          </w:tcPr>
          <w:p w14:paraId="5D1A095D"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7A55590E"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24DF3499"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6BAE072F" w14:textId="3746740F"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Weak</w:t>
            </w:r>
          </w:p>
        </w:tc>
        <w:tc>
          <w:tcPr>
            <w:tcW w:w="1417" w:type="dxa"/>
          </w:tcPr>
          <w:p w14:paraId="4DA952A8"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499C874F"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3179F26D"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0E5686B2" w14:textId="14FFB971"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Improved</w:t>
            </w:r>
          </w:p>
        </w:tc>
        <w:tc>
          <w:tcPr>
            <w:tcW w:w="1256" w:type="dxa"/>
          </w:tcPr>
          <w:p w14:paraId="3814EF9E"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32729A62"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27133BE2"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287A0E71" w14:textId="71997465"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Strong</w:t>
            </w:r>
          </w:p>
        </w:tc>
        <w:tc>
          <w:tcPr>
            <w:tcW w:w="1012" w:type="dxa"/>
          </w:tcPr>
          <w:p w14:paraId="4ABA79BF"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415BA76A"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4A5DADE7"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6D88CC3B" w14:textId="743257C2"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Strong</w:t>
            </w:r>
          </w:p>
        </w:tc>
        <w:tc>
          <w:tcPr>
            <w:tcW w:w="1134" w:type="dxa"/>
          </w:tcPr>
          <w:p w14:paraId="28465DE8"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7EEB4243"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71872496" w14:textId="77777777"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p>
          <w:p w14:paraId="340FE2B4" w14:textId="2259FE8D"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Strongest</w:t>
            </w:r>
          </w:p>
        </w:tc>
        <w:tc>
          <w:tcPr>
            <w:tcW w:w="1944" w:type="dxa"/>
          </w:tcPr>
          <w:p w14:paraId="69DC29AF" w14:textId="1A072C58" w:rsidR="00BF0C8F" w:rsidRPr="00BF0C8F" w:rsidRDefault="00BF0C8F" w:rsidP="00BF0C8F">
            <w:pPr>
              <w:pStyle w:val="Heading1"/>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Operating cash flow improved consistently over the five years, demonstrating stronger cash generation from normal business operations. This indicates that Accor became increasingly capable of meeting its short-term financial obligations using internally generated cash.</w:t>
            </w:r>
          </w:p>
        </w:tc>
      </w:tr>
      <w:tr w:rsidR="00BF0C8F" w14:paraId="5B5C548C" w14:textId="3E38193B" w:rsidTr="00BF0C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0" w:type="dxa"/>
          </w:tcPr>
          <w:p w14:paraId="7E7A4421" w14:textId="77777777" w:rsidR="00BF0C8F" w:rsidRDefault="00BF0C8F" w:rsidP="00BF0C8F">
            <w:pPr>
              <w:pStyle w:val="Heading1"/>
              <w:rPr>
                <w:rStyle w:val="Strong"/>
                <w:rFonts w:ascii="Arial" w:hAnsi="Arial" w:cs="Arial"/>
                <w:color w:val="auto"/>
                <w:sz w:val="22"/>
                <w:szCs w:val="22"/>
              </w:rPr>
            </w:pPr>
          </w:p>
          <w:p w14:paraId="6ABB0079" w14:textId="77777777" w:rsidR="00BF0C8F" w:rsidRDefault="00BF0C8F" w:rsidP="00BF0C8F">
            <w:pPr>
              <w:pStyle w:val="Heading1"/>
              <w:rPr>
                <w:rStyle w:val="Strong"/>
                <w:rFonts w:ascii="Arial" w:hAnsi="Arial" w:cs="Arial"/>
                <w:color w:val="auto"/>
                <w:sz w:val="22"/>
                <w:szCs w:val="22"/>
              </w:rPr>
            </w:pPr>
          </w:p>
          <w:p w14:paraId="18B09370" w14:textId="3394B39B" w:rsidR="00BF0C8F" w:rsidRPr="00BF0C8F" w:rsidRDefault="00BF0C8F" w:rsidP="00BF0C8F">
            <w:pPr>
              <w:pStyle w:val="Heading1"/>
              <w:rPr>
                <w:rFonts w:ascii="Arial" w:hAnsi="Arial" w:cs="Arial"/>
                <w:b/>
                <w:bCs/>
                <w:color w:val="auto"/>
                <w:sz w:val="22"/>
                <w:szCs w:val="22"/>
              </w:rPr>
            </w:pPr>
            <w:r w:rsidRPr="00BF0C8F">
              <w:rPr>
                <w:rStyle w:val="Strong"/>
                <w:rFonts w:ascii="Arial" w:hAnsi="Arial" w:cs="Arial"/>
                <w:b w:val="0"/>
                <w:bCs w:val="0"/>
                <w:color w:val="auto"/>
                <w:sz w:val="22"/>
                <w:szCs w:val="22"/>
              </w:rPr>
              <w:t>Free Cash Flow Margin</w:t>
            </w:r>
          </w:p>
        </w:tc>
        <w:tc>
          <w:tcPr>
            <w:tcW w:w="873" w:type="dxa"/>
          </w:tcPr>
          <w:p w14:paraId="6B36AAA2"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B16435C"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80A57F8"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914F1D9" w14:textId="0022F47F"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Negative</w:t>
            </w:r>
          </w:p>
        </w:tc>
        <w:tc>
          <w:tcPr>
            <w:tcW w:w="1417" w:type="dxa"/>
          </w:tcPr>
          <w:p w14:paraId="15A565AF"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381E243F"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6973E5AB"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38EFA95" w14:textId="776143D3"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Positive</w:t>
            </w:r>
          </w:p>
        </w:tc>
        <w:tc>
          <w:tcPr>
            <w:tcW w:w="1256" w:type="dxa"/>
          </w:tcPr>
          <w:p w14:paraId="6861CC4F"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7C61BBFD"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D931C40"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F2FFD6B" w14:textId="4C75C854"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Strong increase</w:t>
            </w:r>
          </w:p>
        </w:tc>
        <w:tc>
          <w:tcPr>
            <w:tcW w:w="1012" w:type="dxa"/>
          </w:tcPr>
          <w:p w14:paraId="40805DA3"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DC66D0C"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01C4B15F"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4F19E329" w14:textId="5052564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Stable</w:t>
            </w:r>
          </w:p>
        </w:tc>
        <w:tc>
          <w:tcPr>
            <w:tcW w:w="1134" w:type="dxa"/>
          </w:tcPr>
          <w:p w14:paraId="1C01CE0E"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611C293"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5D5CA45B" w14:textId="77777777"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p>
          <w:p w14:paraId="2F2C8E50" w14:textId="12623A20"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Slight decline</w:t>
            </w:r>
          </w:p>
        </w:tc>
        <w:tc>
          <w:tcPr>
            <w:tcW w:w="1944" w:type="dxa"/>
          </w:tcPr>
          <w:p w14:paraId="092CD38A" w14:textId="496F81CB" w:rsidR="00BF0C8F" w:rsidRPr="00BF0C8F" w:rsidRDefault="00BF0C8F" w:rsidP="00BF0C8F">
            <w:pPr>
              <w:pStyle w:val="Heading1"/>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auto"/>
                <w:sz w:val="22"/>
                <w:szCs w:val="22"/>
              </w:rPr>
            </w:pPr>
            <w:r w:rsidRPr="00BF0C8F">
              <w:rPr>
                <w:rFonts w:ascii="Arial" w:hAnsi="Arial" w:cs="Arial"/>
                <w:b w:val="0"/>
                <w:bCs w:val="0"/>
                <w:color w:val="auto"/>
                <w:sz w:val="22"/>
                <w:szCs w:val="22"/>
              </w:rPr>
              <w:t xml:space="preserve">Free cash flow margin improved substantially after 2021 as operating cash </w:t>
            </w:r>
            <w:proofErr w:type="gramStart"/>
            <w:r w:rsidRPr="00BF0C8F">
              <w:rPr>
                <w:rFonts w:ascii="Arial" w:hAnsi="Arial" w:cs="Arial"/>
                <w:b w:val="0"/>
                <w:bCs w:val="0"/>
                <w:color w:val="auto"/>
                <w:sz w:val="22"/>
                <w:szCs w:val="22"/>
              </w:rPr>
              <w:t>flows</w:t>
            </w:r>
            <w:proofErr w:type="gramEnd"/>
            <w:r w:rsidRPr="00BF0C8F">
              <w:rPr>
                <w:rFonts w:ascii="Arial" w:hAnsi="Arial" w:cs="Arial"/>
                <w:b w:val="0"/>
                <w:bCs w:val="0"/>
                <w:color w:val="auto"/>
                <w:sz w:val="22"/>
                <w:szCs w:val="22"/>
              </w:rPr>
              <w:t xml:space="preserve"> increased faster than capital expenditure. Although it declined slightly in 2025, the ratio remained positive, showing that Accor continued to generate surplus cash after </w:t>
            </w:r>
            <w:r w:rsidRPr="00BF0C8F">
              <w:rPr>
                <w:rFonts w:ascii="Arial" w:hAnsi="Arial" w:cs="Arial"/>
                <w:b w:val="0"/>
                <w:bCs w:val="0"/>
                <w:color w:val="auto"/>
                <w:sz w:val="22"/>
                <w:szCs w:val="22"/>
              </w:rPr>
              <w:lastRenderedPageBreak/>
              <w:t>investment activities.</w:t>
            </w:r>
          </w:p>
        </w:tc>
      </w:tr>
    </w:tbl>
    <w:p w14:paraId="78BFD633" w14:textId="77777777" w:rsidR="00BF0C8F" w:rsidRDefault="00BF0C8F">
      <w:pPr>
        <w:pStyle w:val="Heading1"/>
      </w:pPr>
    </w:p>
    <w:p w14:paraId="728CE6DC" w14:textId="3E345579" w:rsidR="00320387" w:rsidRPr="00BF0C8F" w:rsidRDefault="00522160" w:rsidP="00BF0C8F">
      <w:pPr>
        <w:rPr>
          <w:rFonts w:ascii="Arial" w:hAnsi="Arial" w:cs="Arial"/>
          <w:b/>
          <w:bCs/>
          <w:sz w:val="28"/>
          <w:szCs w:val="28"/>
        </w:rPr>
      </w:pPr>
      <w:r w:rsidRPr="00BF0C8F">
        <w:rPr>
          <w:rFonts w:ascii="Arial" w:hAnsi="Arial" w:cs="Arial"/>
          <w:b/>
          <w:bCs/>
          <w:sz w:val="28"/>
          <w:szCs w:val="28"/>
        </w:rPr>
        <w:t>Benchmark Comparison: Accor vs Marriott International vs Hilton Worldwide (2025)</w:t>
      </w:r>
    </w:p>
    <w:p w14:paraId="22816EE6" w14:textId="77777777" w:rsidR="00320387" w:rsidRPr="00BF0C8F" w:rsidRDefault="00522160">
      <w:pPr>
        <w:rPr>
          <w:rFonts w:ascii="Arial" w:hAnsi="Arial" w:cs="Arial"/>
          <w:sz w:val="28"/>
          <w:szCs w:val="28"/>
        </w:rPr>
      </w:pPr>
      <w:r w:rsidRPr="00BF0C8F">
        <w:rPr>
          <w:rFonts w:ascii="Arial" w:hAnsi="Arial" w:cs="Arial"/>
          <w:sz w:val="28"/>
          <w:szCs w:val="28"/>
        </w:rPr>
        <w:t>A benchmark comparison was undertaken between Accor and two major global competitors, Marriott International and Hilton Worldwide, using key investment and cash flow measures. The comparison evaluates Accor's financial performance against leading companies in the hospitality industry.</w:t>
      </w:r>
    </w:p>
    <w:p w14:paraId="5A883376" w14:textId="77777777" w:rsidR="00320387" w:rsidRPr="00BF0C8F" w:rsidRDefault="00522160" w:rsidP="00BF0C8F">
      <w:pPr>
        <w:rPr>
          <w:rFonts w:ascii="Arial" w:hAnsi="Arial" w:cs="Arial"/>
          <w:b/>
          <w:bCs/>
          <w:sz w:val="28"/>
          <w:szCs w:val="28"/>
        </w:rPr>
      </w:pPr>
      <w:r w:rsidRPr="00BF0C8F">
        <w:rPr>
          <w:rFonts w:ascii="Arial" w:hAnsi="Arial" w:cs="Arial"/>
          <w:b/>
          <w:bCs/>
          <w:sz w:val="28"/>
          <w:szCs w:val="28"/>
        </w:rPr>
        <w:t>Profitability and Investment Performance</w:t>
      </w:r>
    </w:p>
    <w:p w14:paraId="362B21C4" w14:textId="77777777" w:rsidR="00320387" w:rsidRPr="00BF0C8F" w:rsidRDefault="00522160">
      <w:pPr>
        <w:rPr>
          <w:rFonts w:ascii="Arial" w:hAnsi="Arial" w:cs="Arial"/>
          <w:sz w:val="28"/>
          <w:szCs w:val="28"/>
        </w:rPr>
      </w:pPr>
      <w:r w:rsidRPr="00BF0C8F">
        <w:rPr>
          <w:rFonts w:ascii="Arial" w:hAnsi="Arial" w:cs="Arial"/>
          <w:sz w:val="28"/>
          <w:szCs w:val="28"/>
        </w:rPr>
        <w:t>Accor achieved a positive Return on Assets (ROA), demonstrating effective use of its asset base to generate profit. However, Marriott and Hilton reported higher ROA values, indicating greater efficiency in asset utilisation. Accor's Price-to-Earnings (P/E) ratio remained competitive, suggesting positive investor confidence. Return on Equity (ROE) was not directly comparable because Marriott and Hilton have very low or negative book equity following extensive share repurchase programmes.</w:t>
      </w:r>
    </w:p>
    <w:p w14:paraId="2FBB2542" w14:textId="77777777" w:rsidR="00320387" w:rsidRPr="00BF0C8F" w:rsidRDefault="00522160" w:rsidP="00BF0C8F">
      <w:pPr>
        <w:rPr>
          <w:rFonts w:ascii="Arial" w:hAnsi="Arial" w:cs="Arial"/>
          <w:b/>
          <w:bCs/>
          <w:sz w:val="28"/>
          <w:szCs w:val="28"/>
        </w:rPr>
      </w:pPr>
      <w:r w:rsidRPr="00BF0C8F">
        <w:rPr>
          <w:rFonts w:ascii="Arial" w:hAnsi="Arial" w:cs="Arial"/>
          <w:b/>
          <w:bCs/>
          <w:sz w:val="28"/>
          <w:szCs w:val="28"/>
        </w:rPr>
        <w:t>Cash Flow Performance</w:t>
      </w:r>
    </w:p>
    <w:p w14:paraId="399132A3" w14:textId="77777777" w:rsidR="00320387" w:rsidRPr="00BF0C8F" w:rsidRDefault="00522160">
      <w:pPr>
        <w:rPr>
          <w:rFonts w:ascii="Arial" w:hAnsi="Arial" w:cs="Arial"/>
          <w:sz w:val="28"/>
          <w:szCs w:val="28"/>
        </w:rPr>
      </w:pPr>
      <w:r w:rsidRPr="00BF0C8F">
        <w:rPr>
          <w:rFonts w:ascii="Arial" w:hAnsi="Arial" w:cs="Arial"/>
          <w:sz w:val="28"/>
          <w:szCs w:val="28"/>
        </w:rPr>
        <w:t>Accor generated positive operating cash flow and free cash flow during 2025, confirming that the business continues to generate cash from its core operations while investing in future growth. Marriott and Hilton generated higher operating cash flow because of their larger international scale and asset-light operating models.</w:t>
      </w:r>
    </w:p>
    <w:p w14:paraId="12507301" w14:textId="77777777" w:rsidR="00320387" w:rsidRPr="00BF0C8F" w:rsidRDefault="00522160" w:rsidP="00BF0C8F">
      <w:pPr>
        <w:rPr>
          <w:rFonts w:ascii="Arial" w:hAnsi="Arial" w:cs="Arial"/>
          <w:b/>
          <w:bCs/>
          <w:sz w:val="28"/>
          <w:szCs w:val="28"/>
        </w:rPr>
      </w:pPr>
      <w:r w:rsidRPr="00BF0C8F">
        <w:rPr>
          <w:rFonts w:ascii="Arial" w:hAnsi="Arial" w:cs="Arial"/>
          <w:b/>
          <w:bCs/>
          <w:sz w:val="28"/>
          <w:szCs w:val="28"/>
        </w:rPr>
        <w:t>Strengths</w:t>
      </w:r>
    </w:p>
    <w:p w14:paraId="3358B465" w14:textId="77777777" w:rsidR="00320387" w:rsidRPr="00BF0C8F" w:rsidRDefault="00522160">
      <w:pPr>
        <w:rPr>
          <w:rFonts w:ascii="Arial" w:hAnsi="Arial" w:cs="Arial"/>
          <w:sz w:val="28"/>
          <w:szCs w:val="28"/>
        </w:rPr>
      </w:pPr>
      <w:r w:rsidRPr="00BF0C8F">
        <w:rPr>
          <w:rFonts w:ascii="Arial" w:hAnsi="Arial" w:cs="Arial"/>
          <w:sz w:val="28"/>
          <w:szCs w:val="28"/>
        </w:rPr>
        <w:t>Accor benefits from a diversified portfolio of hotel brands, a strong international presence and consistent cash generation. The company has recovered well from the post-pandemic period and maintains stable profitability and financial resilience.</w:t>
      </w:r>
    </w:p>
    <w:p w14:paraId="6D0D6805" w14:textId="77777777" w:rsidR="00320387" w:rsidRPr="00BF0C8F" w:rsidRDefault="00522160" w:rsidP="00BF0C8F">
      <w:pPr>
        <w:rPr>
          <w:rFonts w:ascii="Arial" w:hAnsi="Arial" w:cs="Arial"/>
          <w:b/>
          <w:bCs/>
          <w:sz w:val="28"/>
          <w:szCs w:val="28"/>
        </w:rPr>
      </w:pPr>
      <w:r w:rsidRPr="00BF0C8F">
        <w:rPr>
          <w:rFonts w:ascii="Arial" w:hAnsi="Arial" w:cs="Arial"/>
          <w:b/>
          <w:bCs/>
          <w:sz w:val="28"/>
          <w:szCs w:val="28"/>
        </w:rPr>
        <w:lastRenderedPageBreak/>
        <w:t>Weaknesses</w:t>
      </w:r>
    </w:p>
    <w:p w14:paraId="365C8625" w14:textId="77777777" w:rsidR="00320387" w:rsidRPr="00BF0C8F" w:rsidRDefault="00522160">
      <w:pPr>
        <w:rPr>
          <w:rFonts w:ascii="Arial" w:hAnsi="Arial" w:cs="Arial"/>
          <w:sz w:val="28"/>
          <w:szCs w:val="28"/>
        </w:rPr>
      </w:pPr>
      <w:r w:rsidRPr="00BF0C8F">
        <w:rPr>
          <w:rFonts w:ascii="Arial" w:hAnsi="Arial" w:cs="Arial"/>
          <w:sz w:val="28"/>
          <w:szCs w:val="28"/>
        </w:rPr>
        <w:t>Compared with Marriott and Hilton, Accor records lower asset returns and lower overall cash generation. Its smaller operating scale and lower investor valuation indicate opportunities for further operational efficiency and expansion.</w:t>
      </w:r>
    </w:p>
    <w:p w14:paraId="16931CE0" w14:textId="77777777" w:rsidR="00320387" w:rsidRPr="00BF0C8F" w:rsidRDefault="00522160" w:rsidP="00BF0C8F">
      <w:pPr>
        <w:rPr>
          <w:rFonts w:ascii="Arial" w:hAnsi="Arial" w:cs="Arial"/>
          <w:b/>
          <w:bCs/>
          <w:sz w:val="28"/>
          <w:szCs w:val="28"/>
        </w:rPr>
      </w:pPr>
      <w:r w:rsidRPr="00BF0C8F">
        <w:rPr>
          <w:rFonts w:ascii="Arial" w:hAnsi="Arial" w:cs="Arial"/>
          <w:b/>
          <w:bCs/>
          <w:sz w:val="28"/>
          <w:szCs w:val="28"/>
        </w:rPr>
        <w:t>Conclusion</w:t>
      </w:r>
    </w:p>
    <w:p w14:paraId="24C77247" w14:textId="5921A992" w:rsidR="00320387" w:rsidRPr="00BF0C8F" w:rsidRDefault="00BF0C8F">
      <w:pPr>
        <w:rPr>
          <w:rFonts w:ascii="Arial" w:hAnsi="Arial" w:cs="Arial"/>
          <w:sz w:val="28"/>
          <w:szCs w:val="28"/>
        </w:rPr>
      </w:pPr>
      <w:r w:rsidRPr="00BF0C8F">
        <w:rPr>
          <w:rFonts w:ascii="Arial" w:hAnsi="Arial" w:cs="Arial"/>
          <w:sz w:val="28"/>
          <w:szCs w:val="28"/>
        </w:rPr>
        <w:t>T</w:t>
      </w:r>
      <w:r w:rsidR="00522160" w:rsidRPr="00BF0C8F">
        <w:rPr>
          <w:rFonts w:ascii="Arial" w:hAnsi="Arial" w:cs="Arial"/>
          <w:sz w:val="28"/>
          <w:szCs w:val="28"/>
        </w:rPr>
        <w:t xml:space="preserve">he benchmark demonstrates that Accor remains financially competitive within the global hospitality sector. Although Marriott and Hilton outperform Accor in several financial measures, Accor continues to deliver positive profitability, healthy cash </w:t>
      </w:r>
      <w:proofErr w:type="gramStart"/>
      <w:r w:rsidR="00522160" w:rsidRPr="00BF0C8F">
        <w:rPr>
          <w:rFonts w:ascii="Arial" w:hAnsi="Arial" w:cs="Arial"/>
          <w:sz w:val="28"/>
          <w:szCs w:val="28"/>
        </w:rPr>
        <w:t>flows</w:t>
      </w:r>
      <w:proofErr w:type="gramEnd"/>
      <w:r w:rsidR="00522160" w:rsidRPr="00BF0C8F">
        <w:rPr>
          <w:rFonts w:ascii="Arial" w:hAnsi="Arial" w:cs="Arial"/>
          <w:sz w:val="28"/>
          <w:szCs w:val="28"/>
        </w:rPr>
        <w:t xml:space="preserve"> and sustainable long-term financial performance.</w:t>
      </w:r>
    </w:p>
    <w:sectPr w:rsidR="00320387" w:rsidRPr="00BF0C8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7592282">
    <w:abstractNumId w:val="8"/>
  </w:num>
  <w:num w:numId="2" w16cid:durableId="99300493">
    <w:abstractNumId w:val="6"/>
  </w:num>
  <w:num w:numId="3" w16cid:durableId="2132747411">
    <w:abstractNumId w:val="5"/>
  </w:num>
  <w:num w:numId="4" w16cid:durableId="246889005">
    <w:abstractNumId w:val="4"/>
  </w:num>
  <w:num w:numId="5" w16cid:durableId="1552771344">
    <w:abstractNumId w:val="7"/>
  </w:num>
  <w:num w:numId="6" w16cid:durableId="225535607">
    <w:abstractNumId w:val="3"/>
  </w:num>
  <w:num w:numId="7" w16cid:durableId="769013377">
    <w:abstractNumId w:val="2"/>
  </w:num>
  <w:num w:numId="8" w16cid:durableId="1494104999">
    <w:abstractNumId w:val="1"/>
  </w:num>
  <w:num w:numId="9" w16cid:durableId="1934698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0387"/>
    <w:rsid w:val="00326F90"/>
    <w:rsid w:val="007D48D3"/>
    <w:rsid w:val="00AA1D8D"/>
    <w:rsid w:val="00B47730"/>
    <w:rsid w:val="00BF0C8F"/>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BF22AF"/>
  <w14:defaultImageDpi w14:val="300"/>
  <w15:docId w15:val="{9398C1BD-5B27-47CA-9260-7B3519E3B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5Dark-Accent6">
    <w:name w:val="Grid Table 5 Dark Accent 6"/>
    <w:basedOn w:val="TableNormal"/>
    <w:uiPriority w:val="50"/>
    <w:rsid w:val="00BF0C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571</Words>
  <Characters>3255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 Pinto</cp:lastModifiedBy>
  <cp:revision>2</cp:revision>
  <dcterms:created xsi:type="dcterms:W3CDTF">2026-07-24T14:40:00Z</dcterms:created>
  <dcterms:modified xsi:type="dcterms:W3CDTF">2026-07-24T14:40:00Z</dcterms:modified>
  <cp:category/>
</cp:coreProperties>
</file>