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825922" w14:textId="77777777" w:rsidR="00195899" w:rsidRDefault="00195899" w:rsidP="00195899">
      <w:pPr>
        <w:jc w:val="center"/>
      </w:pPr>
      <w:r>
        <w:rPr>
          <w:noProof/>
          <w:lang w:val="en-US"/>
        </w:rPr>
        <w:drawing>
          <wp:inline distT="0" distB="0" distL="0" distR="0" wp14:anchorId="04B6AA3A" wp14:editId="6EAD384D">
            <wp:extent cx="1905000" cy="1133475"/>
            <wp:effectExtent l="0" t="0" r="0" b="9525"/>
            <wp:docPr id="1" name="Picture 1" descr="University of Wales, Trinity Saint David : Rankings, Fees &amp; Courses Details  | Top Universit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Rankings, Fees &amp; Courses Details  | Top Universities"/>
                    <pic:cNvPicPr>
                      <a:picLocks noChangeAspect="1" noChangeArrowheads="1"/>
                    </pic:cNvPicPr>
                  </pic:nvPicPr>
                  <pic:blipFill rotWithShape="1">
                    <a:blip r:embed="rId4">
                      <a:extLst>
                        <a:ext uri="{28A0092B-C50C-407E-A947-70E740481C1C}">
                          <a14:useLocalDpi xmlns:a14="http://schemas.microsoft.com/office/drawing/2010/main" val="0"/>
                        </a:ext>
                      </a:extLst>
                    </a:blip>
                    <a:srcRect t="29000" b="30500"/>
                    <a:stretch/>
                  </pic:blipFill>
                  <pic:spPr bwMode="auto">
                    <a:xfrm>
                      <a:off x="0" y="0"/>
                      <a:ext cx="1905000" cy="1133475"/>
                    </a:xfrm>
                    <a:prstGeom prst="rect">
                      <a:avLst/>
                    </a:prstGeom>
                    <a:noFill/>
                    <a:ln>
                      <a:noFill/>
                    </a:ln>
                    <a:extLst>
                      <a:ext uri="{53640926-AAD7-44D8-BBD7-CCE9431645EC}">
                        <a14:shadowObscured xmlns:a14="http://schemas.microsoft.com/office/drawing/2010/main"/>
                      </a:ext>
                    </a:extLst>
                  </pic:spPr>
                </pic:pic>
              </a:graphicData>
            </a:graphic>
          </wp:inline>
        </w:drawing>
      </w:r>
    </w:p>
    <w:p w14:paraId="34A23489" w14:textId="77777777" w:rsidR="00195899" w:rsidRDefault="00195899" w:rsidP="00195899">
      <w:pPr>
        <w:jc w:val="center"/>
      </w:pPr>
    </w:p>
    <w:p w14:paraId="4DC634AD" w14:textId="77777777" w:rsidR="00195899" w:rsidRDefault="00195899" w:rsidP="00195899">
      <w:pPr>
        <w:jc w:val="center"/>
      </w:pPr>
    </w:p>
    <w:p w14:paraId="47DFA092" w14:textId="77777777" w:rsidR="00195899" w:rsidRPr="00020C2D" w:rsidRDefault="00195899" w:rsidP="00195899">
      <w:pPr>
        <w:jc w:val="center"/>
        <w:rPr>
          <w:sz w:val="44"/>
          <w:szCs w:val="44"/>
        </w:rPr>
      </w:pPr>
      <w:r w:rsidRPr="00020C2D">
        <w:rPr>
          <w:sz w:val="44"/>
          <w:szCs w:val="44"/>
        </w:rPr>
        <w:t>BA International Hotel Management</w:t>
      </w:r>
    </w:p>
    <w:p w14:paraId="691FE511" w14:textId="77777777" w:rsidR="00195899" w:rsidRPr="00020C2D" w:rsidRDefault="00195899" w:rsidP="00195899">
      <w:pPr>
        <w:jc w:val="center"/>
        <w:rPr>
          <w:sz w:val="40"/>
          <w:szCs w:val="40"/>
        </w:rPr>
      </w:pPr>
      <w:r w:rsidRPr="00020C2D">
        <w:rPr>
          <w:b/>
          <w:sz w:val="40"/>
          <w:szCs w:val="40"/>
        </w:rPr>
        <w:t>Module Title:</w:t>
      </w:r>
      <w:r w:rsidRPr="00020C2D">
        <w:rPr>
          <w:sz w:val="40"/>
          <w:szCs w:val="40"/>
        </w:rPr>
        <w:t xml:space="preserve"> Entrepreneurship</w:t>
      </w:r>
    </w:p>
    <w:p w14:paraId="07A3A9D3" w14:textId="77777777" w:rsidR="00195899" w:rsidRPr="00020C2D" w:rsidRDefault="00195899" w:rsidP="00195899">
      <w:pPr>
        <w:jc w:val="center"/>
        <w:rPr>
          <w:sz w:val="40"/>
          <w:szCs w:val="40"/>
        </w:rPr>
      </w:pPr>
      <w:r w:rsidRPr="00020C2D">
        <w:rPr>
          <w:b/>
          <w:bCs/>
          <w:sz w:val="40"/>
          <w:szCs w:val="40"/>
        </w:rPr>
        <w:t>Module Code</w:t>
      </w:r>
      <w:r w:rsidRPr="00020C2D">
        <w:rPr>
          <w:sz w:val="40"/>
          <w:szCs w:val="40"/>
        </w:rPr>
        <w:t>: BMIH5001</w:t>
      </w:r>
    </w:p>
    <w:p w14:paraId="2CB6C5AA" w14:textId="77777777" w:rsidR="00195899" w:rsidRPr="00020C2D" w:rsidRDefault="00195899" w:rsidP="00195899">
      <w:pPr>
        <w:jc w:val="center"/>
        <w:rPr>
          <w:b/>
          <w:bCs/>
        </w:rPr>
      </w:pPr>
    </w:p>
    <w:p w14:paraId="7AC9E591" w14:textId="77777777" w:rsidR="00195899" w:rsidRPr="00020C2D" w:rsidRDefault="00195899" w:rsidP="00195899">
      <w:pPr>
        <w:jc w:val="center"/>
        <w:rPr>
          <w:sz w:val="32"/>
          <w:szCs w:val="32"/>
        </w:rPr>
      </w:pPr>
      <w:r w:rsidRPr="00020C2D">
        <w:rPr>
          <w:b/>
          <w:sz w:val="32"/>
          <w:szCs w:val="32"/>
        </w:rPr>
        <w:t>Topic:</w:t>
      </w:r>
      <w:r w:rsidRPr="00020C2D">
        <w:rPr>
          <w:sz w:val="32"/>
          <w:szCs w:val="32"/>
        </w:rPr>
        <w:t xml:space="preserve"> Individual Business Model Canvas with entrepreneurial reflection using appropriate academic models.</w:t>
      </w:r>
    </w:p>
    <w:p w14:paraId="2E78F193" w14:textId="77777777" w:rsidR="00195899" w:rsidRPr="00BB087F" w:rsidRDefault="00195899" w:rsidP="00195899">
      <w:pPr>
        <w:spacing w:before="240"/>
        <w:jc w:val="center"/>
        <w:rPr>
          <w:color w:val="000000" w:themeColor="text1"/>
          <w:sz w:val="32"/>
          <w:szCs w:val="32"/>
        </w:rPr>
      </w:pPr>
      <w:r w:rsidRPr="00BB087F">
        <w:rPr>
          <w:b/>
          <w:bCs/>
          <w:color w:val="000000" w:themeColor="text1"/>
          <w:sz w:val="32"/>
          <w:szCs w:val="32"/>
        </w:rPr>
        <w:t>Student Name</w:t>
      </w:r>
      <w:r w:rsidRPr="00BB087F">
        <w:rPr>
          <w:color w:val="000000" w:themeColor="text1"/>
          <w:sz w:val="32"/>
          <w:szCs w:val="32"/>
        </w:rPr>
        <w:t>: Mashuda Begum</w:t>
      </w:r>
    </w:p>
    <w:p w14:paraId="70D85EA7" w14:textId="77777777" w:rsidR="00195899" w:rsidRPr="00BB087F" w:rsidRDefault="00195899" w:rsidP="00195899">
      <w:pPr>
        <w:spacing w:before="240"/>
        <w:jc w:val="center"/>
        <w:rPr>
          <w:color w:val="000000" w:themeColor="text1"/>
          <w:sz w:val="32"/>
          <w:szCs w:val="32"/>
        </w:rPr>
      </w:pPr>
      <w:r w:rsidRPr="00BB087F">
        <w:rPr>
          <w:b/>
          <w:bCs/>
          <w:color w:val="000000" w:themeColor="text1"/>
          <w:sz w:val="32"/>
          <w:szCs w:val="32"/>
        </w:rPr>
        <w:t>Student Id</w:t>
      </w:r>
      <w:r w:rsidRPr="00BB087F">
        <w:rPr>
          <w:color w:val="000000" w:themeColor="text1"/>
          <w:sz w:val="32"/>
          <w:szCs w:val="32"/>
        </w:rPr>
        <w:t>: 2119256</w:t>
      </w:r>
    </w:p>
    <w:p w14:paraId="37B42D19" w14:textId="77777777" w:rsidR="00195899" w:rsidRDefault="00195899" w:rsidP="00195899">
      <w:pPr>
        <w:spacing w:before="240"/>
        <w:jc w:val="center"/>
        <w:rPr>
          <w:color w:val="000000" w:themeColor="text1"/>
          <w:sz w:val="32"/>
          <w:szCs w:val="32"/>
        </w:rPr>
      </w:pPr>
      <w:r w:rsidRPr="00BB087F">
        <w:rPr>
          <w:b/>
          <w:bCs/>
          <w:color w:val="000000" w:themeColor="text1"/>
          <w:sz w:val="32"/>
          <w:szCs w:val="32"/>
        </w:rPr>
        <w:t>Lecturer Name</w:t>
      </w:r>
      <w:r w:rsidRPr="00BB087F">
        <w:rPr>
          <w:color w:val="000000" w:themeColor="text1"/>
          <w:sz w:val="32"/>
          <w:szCs w:val="32"/>
        </w:rPr>
        <w:t xml:space="preserve">: </w:t>
      </w:r>
      <w:r>
        <w:rPr>
          <w:color w:val="000000" w:themeColor="text1"/>
          <w:sz w:val="32"/>
          <w:szCs w:val="32"/>
        </w:rPr>
        <w:t>Ben Chong</w:t>
      </w:r>
    </w:p>
    <w:p w14:paraId="1632D873" w14:textId="77777777" w:rsidR="00195899" w:rsidRDefault="00195899" w:rsidP="00195899">
      <w:pPr>
        <w:spacing w:before="240"/>
        <w:jc w:val="center"/>
        <w:rPr>
          <w:color w:val="000000" w:themeColor="text1"/>
          <w:sz w:val="32"/>
          <w:szCs w:val="32"/>
        </w:rPr>
      </w:pPr>
    </w:p>
    <w:p w14:paraId="37A66861" w14:textId="77777777" w:rsidR="00195899" w:rsidRDefault="00195899" w:rsidP="00195899">
      <w:pPr>
        <w:spacing w:before="240"/>
        <w:rPr>
          <w:b/>
          <w:color w:val="000000"/>
          <w:sz w:val="32"/>
          <w:szCs w:val="32"/>
          <w:highlight w:val="white"/>
        </w:rPr>
      </w:pPr>
    </w:p>
    <w:p w14:paraId="05FF1859" w14:textId="77777777" w:rsidR="00195899" w:rsidRDefault="00195899" w:rsidP="00195899">
      <w:pPr>
        <w:pStyle w:val="Heading1"/>
      </w:pPr>
    </w:p>
    <w:p w14:paraId="2655D045" w14:textId="77777777" w:rsidR="00195899" w:rsidRPr="00020C2D" w:rsidRDefault="00195899" w:rsidP="00195899"/>
    <w:p w14:paraId="4523BAE9" w14:textId="77777777" w:rsidR="00195899" w:rsidRDefault="00195899" w:rsidP="00195899">
      <w:pPr>
        <w:pStyle w:val="Heading1"/>
      </w:pPr>
      <w:r>
        <w:lastRenderedPageBreak/>
        <w:t>Part 1 Essay: Exploring the salon industry: TrendTress Salon</w:t>
      </w:r>
    </w:p>
    <w:p w14:paraId="06C6604E" w14:textId="77777777" w:rsidR="00195899" w:rsidRDefault="00195899" w:rsidP="00195899">
      <w:r>
        <w:t>For a new business venture, developing a business model canvas (BMC) is important because it will help to make sure that the entrepreneurial process is effective (Williams, 2021).  The New London-based salon will be called TrendTress Salon. Luxury and sustainability redefine the salon experience at this innovative salon. TrendTress Salon meets London's growing eco-healthy beauty needs. Newcomer TrendTress Salon can draw clients. Women and men desire quality, eco-friendly hair and beauty treatments, therefore the business thrives. TrendTress Salon London exploits London's diversity and changing tastes. The salon promotes sustainability to stand out. For social responsibility and innovation, TrendTress Salon employs eco-friendly materials and local sources (Moda and King, 2019). The salon's website and social media demonstrate its devotion to modern, convenient consumer engagement. The cutting-edge London salon TrendTress Salon combines luxury and eco-consciousness for a varied, ecologically sensitive clientele.</w:t>
      </w:r>
    </w:p>
    <w:p w14:paraId="036933C8" w14:textId="77777777" w:rsidR="00195899" w:rsidRDefault="00195899" w:rsidP="00195899">
      <w:r>
        <w:t>TrendTress Salon wants to collaborate with other similar businesses heavily. The salon ensures a steady supply of high-quality hair supplies for various hair treatments by collaborating with leading vendors. Partnering with "EcoGlow Products," a prominent eco-friendly and luxury hair care company, promotes this choice (Rickman, 2013). This contract protects TrendTress Salon's longevity and product quality. Another major partnership is with local beauty schools. The salon gains talent from internships. Through the "London Beauty Academy," TrendTress Salon gains new abilities. Salon relationships with local fashion retailers, event planners, and wedding coordinators boost awareness. Cross-promotions can give salon clients "Chic Events &amp; Co." discounts. Both firms benefit from mutual referrals and expand.</w:t>
      </w:r>
    </w:p>
    <w:p w14:paraId="75F42FE8" w14:textId="77777777" w:rsidR="00195899" w:rsidRDefault="00195899" w:rsidP="00195899">
      <w:r>
        <w:t xml:space="preserve">Key Activities outline TrendTress Salon's essential services for varied clients. Salon services include cutting, style, colouring, extensions, and specialities. The "TrendTress Signature Treatment," created with renowned trichologist Dr Samantha Styles, demonstrates this decision (Burns, 2022). A specialised clientele seeks premium and distinctive services at TrendTress Salon with this personalised treatment. Training, industry events, and fashion and beauty trends keep TrendTress Salon updated. London Fashion Week and Alex Trendsetter keep the salon modern. This proactive strategy boosts the salon's reputation and attracts stylish clientele. Good CRM is strategic (Similarweb.com, 2024). TrendTress Salon customises treatments based on customer preferences and appointments. Add a loyalty scheme for unique discounts and </w:t>
      </w:r>
      <w:r>
        <w:lastRenderedPageBreak/>
        <w:t>personalised suggestions based on past services (Barringer and Ireland, 2018). A customised strategy increases customer loyalty and satisfaction, helping the salon succeed.</w:t>
      </w:r>
    </w:p>
    <w:p w14:paraId="33DED696" w14:textId="77777777" w:rsidR="00195899" w:rsidRDefault="00195899" w:rsidP="00195899">
      <w:r>
        <w:t>TrendTress Salon needs staff, goods, and space. To provide exceptional service and customer satisfaction, the salon will hire and retain competent hairstylists, assistants, and support staff. The stylish hairstylist Sarah Mane was hired (Kuan and Yang, 2020). Sarah boosts the salon's image and draws various consumers seeking contemporary hairstyles. Good hair products are vital. From the eco-friendly brand "GlowLux Hair Solutions," the salon will buy. Through this partnership, TrendTress Salon sells high-quality, ecological materials. Salon design and equipment are essential. Salon TrendTress will retreat for hair treatments. The collaboration with LuxDeco Designs creates a luxurious and inviting atmosphere that promotes consumer satisfaction. This sensible investment attracts and retains different premium salon clients.</w:t>
      </w:r>
    </w:p>
    <w:p w14:paraId="06DB0359" w14:textId="77777777" w:rsidR="00195899" w:rsidRDefault="00195899" w:rsidP="00195899">
      <w:r>
        <w:t>TrendTress Salon's USP is premium products, customised services, and cutting-edge services. The salon offers individualised, cutting-edge hair care. The "TrendTress Custom Colour Palette," for instance, lets customers choose hair colours. Unique to TrendTress Salon, this individualised approach serves clients (Harness, Jamie and McMurray, 2020). Comfort is the salon's charm. Wonderful service makes a trip remember. Working with customer service specialist Emily Hospitality helps. Customer-focused standards and practices from Emily's expertise make TrendTress Salon visits delightful. Quality hair products are worthwhile. The unique relationship with "EcoGlow Products," known for their sustainable and high-quality products, ensures optimal results and hair health and integrity. TrendTress Salon promotes quality in all services.</w:t>
      </w:r>
    </w:p>
    <w:p w14:paraId="1B1C326B" w14:textId="77777777" w:rsidR="00195899" w:rsidRDefault="00195899" w:rsidP="00195899">
      <w:r>
        <w:t>TrendTress Salon values customer relationships through consultations, loyalty, and social media. A thorough consultation is needed to understand consumer preferences, lifestyle, and hair care needs. A complete consultation with famed hairstylist Maria Trends displays this devotion (Kokong and Naidoo, 2022). Maria tailored TrendTress Salon's services. Customer loyalty schemes foster community. The "TrendTress Royalty Club," which offers priority booking, discounts, and personal style, supports this decision. This program rewards loyalty and builds a salon community, making customers happy. Social media drives client engagement. With social media influencers like TrendyInStyle, TrendTress Salon provides style advice, before-and-after photographs, and real-time consumer feedback (Doctorado et al., 2021). Online presence boosts salon interaction with existing customers and attracts new ones seeking the newest trends and expert advice.</w:t>
      </w:r>
    </w:p>
    <w:p w14:paraId="23C6F87B" w14:textId="77777777" w:rsidR="00195899" w:rsidRDefault="00195899" w:rsidP="00195899">
      <w:r>
        <w:lastRenderedPageBreak/>
        <w:t>The TrendTress Salon targets fashion lovers, professionals, and event planners. Fashion-conscious consumers fit the salon's hair care focus. Collaboration with StyleTrendista supports this decision. StyleTrendista draws fashion-conscious hair lovers with her expertise (Jarnagin, 2020). Attracting working professionals who value grooming and will pay for quality services is crucial. Corporate connections and professional networks make TrendTress Salon a leading choice for professionals seeking convenient and high-quality grooming. Wedding and special event planners are another key market. TrendTress Salon's beauty and styling services are perfect for formal gatherings. With "Chic Events &amp; Co.," TrendTress Salon styles exceptional events. Diversified client segmentation provides TrendTress Salon with a big, stable market.</w:t>
      </w:r>
    </w:p>
    <w:p w14:paraId="233756B6" w14:textId="77777777" w:rsidR="00195899" w:rsidRDefault="00195899" w:rsidP="00195899">
      <w:r>
        <w:t>TrendTress Salon engages customers in person and online. Salons offer hair care, consultations, and products. Working with LuxDeco Designs, a renowned interior designer, makes the room welcoming and improves customer experience. Online booking simplifies appointment scheduling and service information (Juul and Byskov, 2019). Integration with the popular online booking engine BookEase is an example. This collaboration simplifies booking by presenting available slots, service details, and ongoing incentives. A user-friendly website and social media boost salon visibility. Use social media influencers like TrendyInStyle for a consistent and engaging online presence. Instagram promotes services, updates, and client communication for TrendTress Salon, increasing brand exposure and consumer engagement.</w:t>
      </w:r>
    </w:p>
    <w:p w14:paraId="1D06374C" w14:textId="77777777" w:rsidR="00195899" w:rsidRDefault="00195899" w:rsidP="00195899">
      <w:r>
        <w:t xml:space="preserve">The TrendTress Salon budget prioritises service, marketing, and staff development. The salon's hairstylist, assistant, and support personnel budget shows its service focus. This method is enhanced by contemporary hairstylist Sarah Mane (Kezic </w:t>
      </w:r>
      <w:r w:rsidRPr="00020C2D">
        <w:rPr>
          <w:i/>
          <w:iCs/>
        </w:rPr>
        <w:t>et al.,</w:t>
      </w:r>
      <w:r>
        <w:t xml:space="preserve"> 2022). Sarah boosts TrendTress Salon's credibility, but training staff ensures quality service. To retain customers, advertise, promote, and collaborate online and offline. Influencer partnerships like TrendyInStyle show this. Influencer relationships and online promotions improve TrendTress Salon's sales and industry leadership. Long-term staff development. TrendTress Salon personnel receive regularly updated industry training. This dedication to training improves service and makes the salon a beauty leader.</w:t>
      </w:r>
    </w:p>
    <w:p w14:paraId="12841469" w14:textId="77777777" w:rsidR="00195899" w:rsidRDefault="00195899" w:rsidP="00195899">
      <w:r>
        <w:t xml:space="preserve">TrendTress Salon sells hair care, luxury products, and wedding packages. Haircuts, styling, colouring, extensions, and other services ensure income. The "TrendTress Signature Treatment," created with renowned trichologist Dr Samantha Styles, supports this option (Barbour, 2023). Niche clientele seeking innovative and high-quality services enjoy this specialised treatment. Sell premium hair care products to boost sales. Examples include </w:t>
      </w:r>
      <w:r>
        <w:lastRenderedPageBreak/>
        <w:t>"EcoGlow Products," which makes high-quality, sustainable items. TrendTress Salon sells high-quality hair care products for home usage and enhances earnings. Party, wedding, and other packages please clients (McCann and Myers, 2021). Event styling packages are available from TrendTress Salon and "Chic Events &amp; Co." This customises TrendTress Salon's event hair care, making it clients' favourite. Revenue diversification supplements TrendTress Salon's large customer base and ensures financial stability.</w:t>
      </w:r>
    </w:p>
    <w:p w14:paraId="700FC3A7" w14:textId="77777777" w:rsidR="00195899" w:rsidRDefault="00195899" w:rsidP="00195899">
      <w:r>
        <w:t>London's changing beauty and hospitality business inspired TrendTress Salon. Numerous salon-boosting elements influenced these judgements. The global sustainability movement has influenced consumer preferences in several areas, including beauty (Aglan and Mansour, 2018). Environmentalists desire green beauty services. The eco-friendly techniques of TrendTress Salon and "EcoGlow Products," meet this desire. The salon's strategy is reinforced by industry data demonstrating increased eco-friendly beauty demand. The demographics of London are diverse and fashion-conscious. In this multicultural setting, TrendTress Salon can offer numerous clients with different styles. StyleTrendista and London Fashion Week help the salon stay contemporary and attract fashion lovers (Rambe, Mpiti and Khaola, 2022). Online Engagement: Beauty consumers now engage more online. TrendTress Salon's social media and user-friendly website show online connectivity. Online salon visibility increases with TrendyInStyle collaborations.</w:t>
      </w:r>
    </w:p>
    <w:p w14:paraId="27D1D0C2" w14:textId="77777777" w:rsidR="00195899" w:rsidRDefault="00195899" w:rsidP="00195899">
      <w:r>
        <w:t xml:space="preserve">Being trendy and experimenting is crucial in the fast-paced beauty market. Staff training, collaborations with industry luminaries like Dr Samantha Styles, and treatments like the "TrendTress Signature Treatment" show TrendTress Salon's innovation and skill (Williams, 2021). Industry research suggests that staying ahead of trends is crucial to competitiveness, supporting the salon's innovation approach. Customer-centric community building fosters brand loyalty and long-term relationships. TrendTress Salon's loyalty programme, consultations, and social media presence demonstrate dedication. Successful loyalty programmes and Emily Hospitality's customer service emphasise salon community and client satisfaction. Strategic collaborations with reputable suppliers, local beauty schools, and other businesses are needed for holistic corporate development. TrendTress Salon partners with "EcoGlow Products," "London Beauty Academy," and "Chic Events &amp; Co." to grow its talent, resources, and community. Similar successful industry links demonstrate this approach's corporate growth potential. TrendTress Salon was inspired by market realities, consumer trends, and London's beauty and fashion industry (Rickman, 2013). Critical analysis of these </w:t>
      </w:r>
      <w:r>
        <w:lastRenderedPageBreak/>
        <w:t>attributes indicates the salon's commitment to sustainability, innovation, customer-centricity, and strategic alliances, preparing it for beauty and hospitality competition.</w:t>
      </w:r>
    </w:p>
    <w:p w14:paraId="37427C51" w14:textId="77777777" w:rsidR="00195899" w:rsidRDefault="00195899" w:rsidP="00195899">
      <w:r>
        <w:t>In conclusion, London's TrendTress Salon follows international beauty and hospitality trends. Understanding this busy city's diversified and fashion-conscious clients complemented the salon's innovative and eco-friendly offers (Moda and King, 2019). Business Model Canvas (BMC) highlights major decisions that match market needs and trends. TrendTress Salon provides high-quality, eco-friendly treatments to Londoners' changing tastes. Partnering with eco-friendly product providers and processes follows the global trend towards eco-conscious buying. High-end services, goods, and event packages promote financial stability and customer pleasure. Collaborations with influencers, beauty professionals, and local companies boost the salon's talent, resources, and brand (McCann and Myers, 2021). Exclusive treatments and staff training make TrendTress Salon a leader. Digital platforms and a user-friendly website can help the salon stay visible and connected with its audience as online interaction rises.</w:t>
      </w:r>
    </w:p>
    <w:p w14:paraId="0CA8011A" w14:textId="77777777" w:rsidR="00195899" w:rsidRDefault="00195899" w:rsidP="00195899"/>
    <w:p w14:paraId="243EF579" w14:textId="77777777" w:rsidR="00195899" w:rsidRDefault="00195899" w:rsidP="00195899">
      <w:pPr>
        <w:pStyle w:val="Heading1"/>
      </w:pPr>
      <w:r>
        <w:t>Part 2: Reflective Essay</w:t>
      </w:r>
    </w:p>
    <w:p w14:paraId="1E5BF12F" w14:textId="77777777" w:rsidR="00195899" w:rsidRDefault="00195899" w:rsidP="00195899">
      <w:r>
        <w:t>The Gibbs reflective cycle helps me evaluate my entrepreneurial and managerial goals from my entrepreneur questionnaire responses (Hargreaves and Page, 2013). GET2 and Entrepreneurial Questionnaire are my tests. A balanced scorecard shows moderate entrepreneurship. Though cautious, I take fair chances.</w:t>
      </w:r>
    </w:p>
    <w:p w14:paraId="484063D4" w14:textId="77777777" w:rsidR="00195899" w:rsidRDefault="00195899" w:rsidP="00195899">
      <w:r>
        <w:t>My entrepreneurship questionnaire and GET2 responses reveal early self-reflection nuance. Responsibility, challenge, and profit drive me. Risk assessment and security are crucial to me. I balance options due to my ambition and caution (Santos, Marques and Ferreira, 2020). Opportunities and risks motivate me to be entrepreneurial. This balanced approach guides my strategic decisions and helps me manage entrepreneurship's complexity with a full picture of problems and opportunities.</w:t>
      </w:r>
    </w:p>
    <w:p w14:paraId="694287FE" w14:textId="77777777" w:rsidR="00195899" w:rsidRDefault="00195899" w:rsidP="00195899">
      <w:r>
        <w:t>The quiz says ambition and prudence complicate my emotions. A strong desire for challenge and responsibility indicates a proactive and opportunity-seeking mind-set. Controlled caution is sometimes wise (Muo and Azeez, 2019). This emotional conflict intentionally balances risk-taking with ambition. Impulsive decision risks and financial stability must be understood. Ambition, caution, and financial mindfulness emotionally guide my entrepreneurial strategy, helping me overcome challenges and seize opportunities.</w:t>
      </w:r>
    </w:p>
    <w:p w14:paraId="3867FC28" w14:textId="77777777" w:rsidR="00195899" w:rsidRDefault="00195899" w:rsidP="00195899">
      <w:r>
        <w:lastRenderedPageBreak/>
        <w:t>My GET2 score suggested a moderate but encouraging entrepreneurial tendency at 63%. Achievement eagerness denotes a strong desire to attain goals. A balanced entrepreneurial strategy balances freedom, creativity, and cautious risk-taking. These attributes show risk management, creativity, and autonomy (Caliendo, Goethner and Weibenberger, 2019). Entrepreneurs should value their agency because the locus of control score balances result in influence. My assessment shows a promising entrepreneur with determination, adaptability, and balanced entrepreneurial control and influence.</w:t>
      </w:r>
    </w:p>
    <w:p w14:paraId="08415F0E" w14:textId="77777777" w:rsidR="00195899" w:rsidRDefault="00195899" w:rsidP="00195899">
      <w:r>
        <w:t>Studying my entrepreneurial intuition suggests success is key. This need motivates me to take on difficulties and responsibilities as an entrepreneur. Medium autonomy scores indicate the ability to reconcile independent decision-making with collaboration, while creative inclination indicates how to blend individual thought and creative teamwork (Boldureanu et al., 2020). Entrepreneurship mixes success, independence, and innovation. This study indicates a dynamic mix of desire, adaptability, and the ability to succeed in solo and cooperative entrepreneurial activities, laying the groundwork for my success in the dynamic commercial world.</w:t>
      </w:r>
    </w:p>
    <w:p w14:paraId="4EE84B5D" w14:textId="77777777" w:rsidR="00195899" w:rsidRDefault="00195899" w:rsidP="00195899">
      <w:r>
        <w:t>Finally, the Gibbs reflective cycle revealed my business and management goals. I balance ambition, caution, and measured risk. Success inspires continually. This fantastic incentive makes me challenge myself like an entrepreneur (Kezic et al., 2022). My perspective supports my business potential and promotes logic and sensible decision-making. A complete understanding of my entrepreneurial mind-set lets me negotiate business difficulties with smart and intentional behaviour, enabling success and growth.</w:t>
      </w:r>
    </w:p>
    <w:p w14:paraId="40A0203A" w14:textId="77777777" w:rsidR="00195899" w:rsidRDefault="00195899" w:rsidP="00195899">
      <w:r>
        <w:t>My entrepreneurial experience was ambitious, cautious, and risk-taking. The GET2 exam shows a moderate but ambitious entrepreneurial bent. I desire more freedom, risk-taking, and creativity. Increase your professional network and learn (Jarnagin, 2020). My strategy is strategic goal setting, personal branding, and failure learning. A resilient and well-rounded entrepreneurial approach demands financial management and teamwork. My motivations fit this strategic action plan's entrepreneurial growth and success phases. My entrepreneurship will be guided by this reflection. As an entrepreneur, I must be creative, challenge myself, and be myself. Recognition of my need for achievement leads me to big ambitions and business.</w:t>
      </w:r>
    </w:p>
    <w:p w14:paraId="5A012B0F" w14:textId="77777777" w:rsidR="00195899" w:rsidRDefault="00195899" w:rsidP="00195899"/>
    <w:p w14:paraId="79DDBE0E" w14:textId="77777777" w:rsidR="00195899" w:rsidRDefault="00195899" w:rsidP="00195899"/>
    <w:p w14:paraId="4AD11699" w14:textId="77777777" w:rsidR="00195899" w:rsidRDefault="00195899" w:rsidP="00195899"/>
    <w:p w14:paraId="525CBAA1" w14:textId="77777777" w:rsidR="00195899" w:rsidRPr="003357EF" w:rsidRDefault="00195899" w:rsidP="00195899">
      <w:pPr>
        <w:pStyle w:val="Heading1"/>
      </w:pPr>
      <w:r>
        <w:lastRenderedPageBreak/>
        <w:t>References</w:t>
      </w:r>
    </w:p>
    <w:p w14:paraId="4A70A487" w14:textId="77777777" w:rsidR="00195899" w:rsidRDefault="00195899" w:rsidP="00195899">
      <w:pPr>
        <w:pStyle w:val="NormalWeb"/>
        <w:spacing w:before="0" w:beforeAutospacing="0" w:after="240" w:afterAutospacing="0" w:line="360" w:lineRule="auto"/>
        <w:jc w:val="both"/>
      </w:pPr>
      <w:r>
        <w:t xml:space="preserve">Aglan, M.A. and Mansour, G.N. (2018). Hair straightening products and the risk of occupational formaldehyde exposure in hairstylists. </w:t>
      </w:r>
      <w:r>
        <w:rPr>
          <w:i/>
          <w:iCs/>
        </w:rPr>
        <w:t>Drug and Chemical Toxicology</w:t>
      </w:r>
      <w:r>
        <w:t>, pp.1–8. doi:https://doi.org/10.1080/01480545.2018.1508215 [Accessed 1 Feb. 2024].</w:t>
      </w:r>
    </w:p>
    <w:p w14:paraId="5E64BA6A" w14:textId="77777777" w:rsidR="00195899" w:rsidRDefault="00195899" w:rsidP="00195899">
      <w:pPr>
        <w:pStyle w:val="NormalWeb"/>
        <w:spacing w:before="0" w:beforeAutospacing="0" w:after="240" w:afterAutospacing="0" w:line="360" w:lineRule="auto"/>
        <w:jc w:val="both"/>
      </w:pPr>
      <w:r>
        <w:t xml:space="preserve">Barbour, K. (2023). Hairdressers. </w:t>
      </w:r>
      <w:r>
        <w:rPr>
          <w:i/>
          <w:iCs/>
        </w:rPr>
        <w:t>Springer eBooks</w:t>
      </w:r>
      <w:r>
        <w:t>, pp.39–61. doi:https://doi.org/10.1007/978-3-031-33152-7_3 [Accessed 1 Feb. 2024].</w:t>
      </w:r>
    </w:p>
    <w:p w14:paraId="59505983" w14:textId="77777777" w:rsidR="00195899" w:rsidRDefault="00195899" w:rsidP="00195899">
      <w:pPr>
        <w:pStyle w:val="NormalWeb"/>
        <w:spacing w:before="0" w:beforeAutospacing="0" w:after="240" w:afterAutospacing="0" w:line="360" w:lineRule="auto"/>
        <w:jc w:val="both"/>
      </w:pPr>
      <w:r>
        <w:t xml:space="preserve">Barringer, B.R. and Ireland, R.D. (2018). </w:t>
      </w:r>
      <w:r>
        <w:rPr>
          <w:i/>
          <w:iCs/>
        </w:rPr>
        <w:t>Entrepreneurship : Successfully Launching New Ventures</w:t>
      </w:r>
      <w:r>
        <w:t>. 4th ed. New York, Ny: Pearson.</w:t>
      </w:r>
    </w:p>
    <w:p w14:paraId="7A86CABB" w14:textId="77777777" w:rsidR="00195899" w:rsidRDefault="00195899" w:rsidP="00195899">
      <w:pPr>
        <w:pStyle w:val="NormalWeb"/>
        <w:spacing w:before="0" w:beforeAutospacing="0" w:after="240" w:afterAutospacing="0" w:line="360" w:lineRule="auto"/>
        <w:jc w:val="both"/>
      </w:pPr>
      <w:r>
        <w:t xml:space="preserve">Boldureanu, G., Ionescu, A.M., Bercu, A.-M., Bedrule-Grigoruță, M.V. and Boldureanu, D. (2020). Entrepreneurship Education through Successful Entrepreneurial Models in Higher Education Institutions. </w:t>
      </w:r>
      <w:r>
        <w:rPr>
          <w:i/>
          <w:iCs/>
        </w:rPr>
        <w:t>Sustainability</w:t>
      </w:r>
      <w:r>
        <w:t>, [online] 12(3), p.1267. doi:https://doi.org/10.3390/su12031267 [Accessed 2 Feb. 2024].</w:t>
      </w:r>
    </w:p>
    <w:p w14:paraId="201C6777" w14:textId="77777777" w:rsidR="00195899" w:rsidRDefault="00195899" w:rsidP="00195899">
      <w:pPr>
        <w:pStyle w:val="NormalWeb"/>
        <w:spacing w:before="0" w:beforeAutospacing="0" w:after="240" w:afterAutospacing="0" w:line="360" w:lineRule="auto"/>
        <w:jc w:val="both"/>
      </w:pPr>
      <w:r>
        <w:t xml:space="preserve">Burns, P. (2022). </w:t>
      </w:r>
      <w:r>
        <w:rPr>
          <w:i/>
          <w:iCs/>
        </w:rPr>
        <w:t>Entrepreneurship and Small Business : start-up, Growth and Maturity</w:t>
      </w:r>
      <w:r>
        <w:t>. 5th ed. Basingstoke (Gb): Palgrave Macmillan Education, Cop.</w:t>
      </w:r>
    </w:p>
    <w:p w14:paraId="7CB9F9B2" w14:textId="77777777" w:rsidR="00195899" w:rsidRDefault="00195899" w:rsidP="00195899">
      <w:pPr>
        <w:pStyle w:val="NormalWeb"/>
        <w:spacing w:before="0" w:beforeAutospacing="0" w:after="240" w:afterAutospacing="0" w:line="360" w:lineRule="auto"/>
        <w:jc w:val="both"/>
      </w:pPr>
      <w:r>
        <w:t xml:space="preserve">Caliendo, M., Goethner, M. and Weibenberger, M. (2019). Entrepreneurial persistence beyond survival: Measurement and determinants. </w:t>
      </w:r>
      <w:r>
        <w:rPr>
          <w:i/>
          <w:iCs/>
        </w:rPr>
        <w:t>Journal of Small Business Management</w:t>
      </w:r>
      <w:r>
        <w:t>, 58(3), pp.617–647. doi:https://doi.org/10.1080/00472778.2019.1666532 [Accessed 31 Jan. 2024].</w:t>
      </w:r>
    </w:p>
    <w:p w14:paraId="05AD2E15" w14:textId="77777777" w:rsidR="00195899" w:rsidRDefault="00195899" w:rsidP="00195899">
      <w:pPr>
        <w:pStyle w:val="NormalWeb"/>
        <w:spacing w:before="0" w:beforeAutospacing="0" w:after="240" w:afterAutospacing="0" w:line="360" w:lineRule="auto"/>
        <w:jc w:val="both"/>
      </w:pPr>
      <w:r>
        <w:t xml:space="preserve">Doctorado, P., Economia, E., Empresa, Y. and Labeaga, J. (2021). </w:t>
      </w:r>
      <w:r>
        <w:rPr>
          <w:i/>
          <w:iCs/>
        </w:rPr>
        <w:t>TESIS DOCTORAL AÑO 2021 CONSUMER LOYALTY AND SUPPLIER SWITCH IN SMES: THE HAIRDRESSER CASE ANGEL LOPEZ-JAUREGUI</w:t>
      </w:r>
      <w:r>
        <w:t>. [online] Available at: http://e-spacio.uned.es/fez/eserv/tesisuned:ED-Pg-EcoyEmp-Alopez/LOPEZ_JAUREGUI_Angel_Tesis.pdf [Accessed 1 Feb. 2024].</w:t>
      </w:r>
    </w:p>
    <w:p w14:paraId="5FCD9E63" w14:textId="77777777" w:rsidR="00195899" w:rsidRDefault="00195899" w:rsidP="00195899">
      <w:pPr>
        <w:pStyle w:val="NormalWeb"/>
        <w:spacing w:before="0" w:beforeAutospacing="0" w:after="240" w:afterAutospacing="0" w:line="360" w:lineRule="auto"/>
        <w:jc w:val="both"/>
      </w:pPr>
      <w:r>
        <w:t xml:space="preserve">Hargreaves, J. and Page, L. (2013). </w:t>
      </w:r>
      <w:r>
        <w:rPr>
          <w:i/>
          <w:iCs/>
        </w:rPr>
        <w:t>Reflective practice</w:t>
      </w:r>
      <w:r>
        <w:t>. Cambridge, Uk ; Malden, Ma: Polity.</w:t>
      </w:r>
    </w:p>
    <w:p w14:paraId="6E423618" w14:textId="77777777" w:rsidR="00195899" w:rsidRDefault="00195899" w:rsidP="00195899">
      <w:pPr>
        <w:pStyle w:val="NormalWeb"/>
        <w:spacing w:before="0" w:beforeAutospacing="0" w:after="240" w:afterAutospacing="0" w:line="360" w:lineRule="auto"/>
        <w:jc w:val="both"/>
      </w:pPr>
      <w:r>
        <w:t xml:space="preserve">Harness, O.M., Jamie, K. and McMurray, R. (2020). ‘They’ve Been with Me the Whole Journey’: Temporality, Emotional Labour and Hairdressing Work. </w:t>
      </w:r>
      <w:r>
        <w:rPr>
          <w:i/>
          <w:iCs/>
        </w:rPr>
        <w:t>Work, Employment and Society</w:t>
      </w:r>
      <w:r>
        <w:t>, 35(6), p.095001702095508. doi:https://doi.org/10.1177/0950017020955081 [Accessed 30 Jan. 2024].</w:t>
      </w:r>
    </w:p>
    <w:p w14:paraId="7D2239C4" w14:textId="77777777" w:rsidR="00195899" w:rsidRDefault="00195899" w:rsidP="00195899">
      <w:pPr>
        <w:pStyle w:val="NormalWeb"/>
        <w:spacing w:before="0" w:beforeAutospacing="0" w:after="240" w:afterAutospacing="0" w:line="360" w:lineRule="auto"/>
        <w:jc w:val="both"/>
      </w:pPr>
      <w:r>
        <w:lastRenderedPageBreak/>
        <w:t xml:space="preserve">Jarnagin, R. (2020). </w:t>
      </w:r>
      <w:r>
        <w:rPr>
          <w:i/>
          <w:iCs/>
        </w:rPr>
        <w:t>BEAUTY SALON ESTABLISHMENT IN THE TWENTY-FIRST CENTURY A Project In Partial Fulfillment Of the Requirements for the Degree Master of Arts In Education Multimedia</w:t>
      </w:r>
      <w:r>
        <w:t>. [online] Available at: https://scholarworks.calstate.edu/downloads/bg257m24q [Accessed 1 Feb. 2024].</w:t>
      </w:r>
    </w:p>
    <w:p w14:paraId="250F0892" w14:textId="77777777" w:rsidR="00195899" w:rsidRDefault="00195899" w:rsidP="00195899">
      <w:pPr>
        <w:pStyle w:val="NormalWeb"/>
        <w:spacing w:before="0" w:beforeAutospacing="0" w:after="240" w:afterAutospacing="0" w:line="360" w:lineRule="auto"/>
        <w:jc w:val="both"/>
      </w:pPr>
      <w:r>
        <w:t xml:space="preserve">Juul, I. and Byskov, L.H. (2019). To be or not to be a hairdresser type? </w:t>
      </w:r>
      <w:r>
        <w:rPr>
          <w:i/>
          <w:iCs/>
        </w:rPr>
        <w:t>Journal of Vocational Education &amp; Training</w:t>
      </w:r>
      <w:r>
        <w:t>, 72(3), pp.315–332. doi:https://doi.org/10.1080/13636820.2019.1599991 [Accessed 2 Feb. 2024].</w:t>
      </w:r>
    </w:p>
    <w:p w14:paraId="4CC87FF6" w14:textId="77777777" w:rsidR="00195899" w:rsidRDefault="00195899" w:rsidP="00195899">
      <w:pPr>
        <w:pStyle w:val="NormalWeb"/>
        <w:spacing w:before="0" w:beforeAutospacing="0" w:after="240" w:afterAutospacing="0" w:line="360" w:lineRule="auto"/>
        <w:jc w:val="both"/>
      </w:pPr>
      <w:r>
        <w:t xml:space="preserve">Kezic, S., Nunez, R., Babić, Ž., Hallmann, S., Havmose, M.S., Johansen, J.D., John, S.M., Macan, M., Symanzik, C., Uter, W., Weinert, P., Turk, R., Macan, J. and van der Molen, H.F. (2022). Occupational Exposure of Hairdressers to Airborne Hazardous Chemicals: A Scoping Review. </w:t>
      </w:r>
      <w:r>
        <w:rPr>
          <w:i/>
          <w:iCs/>
        </w:rPr>
        <w:t>International Journal of Environmental Research and Public Health</w:t>
      </w:r>
      <w:r>
        <w:t>, 19(7), p.4176. doi:https://doi.org/10.3390/ijerph19074176 [Accessed 30 Jan. 2024].</w:t>
      </w:r>
    </w:p>
    <w:p w14:paraId="42E1DFAD" w14:textId="77777777" w:rsidR="00195899" w:rsidRDefault="00195899" w:rsidP="00195899">
      <w:pPr>
        <w:pStyle w:val="NormalWeb"/>
        <w:spacing w:before="0" w:beforeAutospacing="0" w:after="240" w:afterAutospacing="0" w:line="360" w:lineRule="auto"/>
        <w:jc w:val="both"/>
      </w:pPr>
      <w:r>
        <w:t xml:space="preserve">Kokong, L.N. and Naidoo, S. (2022). Digitalisation of the professional hairdressing industry and the impact on value chain stakeholders. </w:t>
      </w:r>
      <w:r>
        <w:rPr>
          <w:i/>
          <w:iCs/>
        </w:rPr>
        <w:t>SA Journal of Information Management</w:t>
      </w:r>
      <w:r>
        <w:t>, [online] 24(1). doi:https://doi.org/10.4102/sajim.v24i1.1554.</w:t>
      </w:r>
    </w:p>
    <w:p w14:paraId="6E4ECB7C" w14:textId="77777777" w:rsidR="00195899" w:rsidRDefault="00195899" w:rsidP="00195899">
      <w:pPr>
        <w:pStyle w:val="NormalWeb"/>
        <w:spacing w:before="0" w:beforeAutospacing="0" w:after="240" w:afterAutospacing="0" w:line="360" w:lineRule="auto"/>
        <w:jc w:val="both"/>
      </w:pPr>
      <w:r>
        <w:t xml:space="preserve">Kuan, N.Y. and Yang, F.C. (2020). An Application of Quantitative Strategic Planning Matrix for Small Business: A Case of a Beauty Salon. </w:t>
      </w:r>
      <w:r>
        <w:rPr>
          <w:i/>
          <w:iCs/>
        </w:rPr>
        <w:t>An International Journal</w:t>
      </w:r>
      <w:r>
        <w:t>, [online] 12(2). Available at: http://www.gbmrjournal.com/pdf/v12n2/V12N2-3.pdf [Accessed 1 Feb. 2024].</w:t>
      </w:r>
    </w:p>
    <w:p w14:paraId="5FE13381" w14:textId="77777777" w:rsidR="00195899" w:rsidRDefault="00195899" w:rsidP="00195899">
      <w:pPr>
        <w:pStyle w:val="NormalWeb"/>
        <w:spacing w:before="0" w:beforeAutospacing="0" w:after="240" w:afterAutospacing="0" w:line="360" w:lineRule="auto"/>
        <w:jc w:val="both"/>
      </w:pPr>
      <w:r>
        <w:t xml:space="preserve">McCann, H. and Myers, K. (2021). Addressing the silence: Utilising salon workers to respond to family violence. </w:t>
      </w:r>
      <w:r>
        <w:rPr>
          <w:i/>
          <w:iCs/>
        </w:rPr>
        <w:t>Journal of Sociology</w:t>
      </w:r>
      <w:r>
        <w:t>, p.144078332110310. doi:https://doi.org/10.1177/14407833211031005 [Accessed 1 Feb. 2024].</w:t>
      </w:r>
    </w:p>
    <w:p w14:paraId="5D81C596" w14:textId="77777777" w:rsidR="00195899" w:rsidRDefault="00195899" w:rsidP="00195899">
      <w:pPr>
        <w:pStyle w:val="NormalWeb"/>
        <w:spacing w:before="0" w:beforeAutospacing="0" w:after="240" w:afterAutospacing="0" w:line="360" w:lineRule="auto"/>
        <w:jc w:val="both"/>
      </w:pPr>
      <w:r>
        <w:t xml:space="preserve">Moda, H.M. and King, D. (2019). Assessment of Occupational Safety and Hygiene Perception among Afro-Caribbean Hair Salon Operators in Manchester, United Kingdom. </w:t>
      </w:r>
      <w:r>
        <w:rPr>
          <w:i/>
          <w:iCs/>
        </w:rPr>
        <w:t>International Journal of Environmental Research and Public Health</w:t>
      </w:r>
      <w:r>
        <w:t>, 16(18), p.3284. doi:https://doi.org/10.3390/ijerph16183284 [Accessed 2 Feb. 2024].</w:t>
      </w:r>
    </w:p>
    <w:p w14:paraId="5685F0A5" w14:textId="77777777" w:rsidR="00195899" w:rsidRDefault="00195899" w:rsidP="00195899">
      <w:pPr>
        <w:pStyle w:val="NormalWeb"/>
        <w:spacing w:before="0" w:beforeAutospacing="0" w:after="240" w:afterAutospacing="0" w:line="360" w:lineRule="auto"/>
        <w:jc w:val="both"/>
      </w:pPr>
      <w:r>
        <w:t xml:space="preserve">Muo, I. and Azeez, A.A. (2019). GREEN ENTREPRENEURSHIP: LITERATURE REVIEW AND AGENDA FOR FUTURE RESEARCH. </w:t>
      </w:r>
      <w:r>
        <w:rPr>
          <w:i/>
          <w:iCs/>
        </w:rPr>
        <w:t>International Journal of Entrepreneurial Knowledge</w:t>
      </w:r>
      <w:r>
        <w:t>, 7(2). doi:https://doi.org/10.37335/ijek.v7i2.90 [Accessed 2 Feb. 2024].</w:t>
      </w:r>
    </w:p>
    <w:p w14:paraId="6B6DCC05" w14:textId="77777777" w:rsidR="00195899" w:rsidRDefault="00195899" w:rsidP="00195899">
      <w:pPr>
        <w:pStyle w:val="NormalWeb"/>
        <w:spacing w:before="0" w:beforeAutospacing="0" w:after="240" w:afterAutospacing="0" w:line="360" w:lineRule="auto"/>
        <w:jc w:val="both"/>
      </w:pPr>
      <w:r>
        <w:lastRenderedPageBreak/>
        <w:t xml:space="preserve">Rambe, P., Mpiti, N. and Khaola, P. (2022). Technology acquisition and the hair salon performance: The explanatory roles of HR practices. </w:t>
      </w:r>
      <w:r>
        <w:rPr>
          <w:i/>
          <w:iCs/>
        </w:rPr>
        <w:t>SA Journal of Human Resource Management</w:t>
      </w:r>
      <w:r>
        <w:t>, [online] 20. doi:https://doi.org/10.4102/sajhrm.v20i0.1822 [Accessed 31 Jan. 2024].</w:t>
      </w:r>
    </w:p>
    <w:p w14:paraId="6E38D31A" w14:textId="77777777" w:rsidR="00195899" w:rsidRDefault="00195899" w:rsidP="00195899">
      <w:pPr>
        <w:pStyle w:val="NormalWeb"/>
        <w:spacing w:before="0" w:beforeAutospacing="0" w:after="240" w:afterAutospacing="0" w:line="360" w:lineRule="auto"/>
        <w:jc w:val="both"/>
      </w:pPr>
      <w:r>
        <w:t xml:space="preserve">Rickman, C.D. (2013). </w:t>
      </w:r>
      <w:r>
        <w:rPr>
          <w:i/>
          <w:iCs/>
        </w:rPr>
        <w:t>The Small Business Start-Up Workbook : a step-by-step guide to starting the business you’ve dreamed of</w:t>
      </w:r>
      <w:r>
        <w:t>. Oxford: How To Books.</w:t>
      </w:r>
    </w:p>
    <w:p w14:paraId="15076CE2" w14:textId="77777777" w:rsidR="00195899" w:rsidRDefault="00195899" w:rsidP="00195899">
      <w:pPr>
        <w:pStyle w:val="NormalWeb"/>
        <w:spacing w:before="0" w:beforeAutospacing="0" w:after="240" w:afterAutospacing="0" w:line="360" w:lineRule="auto"/>
        <w:jc w:val="both"/>
      </w:pPr>
      <w:r>
        <w:t xml:space="preserve">Santos, G., Marques, C.S. and Ferreira, J.J.M. (2020). Passion and perseverance as two new dimensions of an Individual Entrepreneurial Orientation scale. </w:t>
      </w:r>
      <w:r>
        <w:rPr>
          <w:i/>
          <w:iCs/>
        </w:rPr>
        <w:t>Journal of Business Research</w:t>
      </w:r>
      <w:r>
        <w:t>, [online] 112, pp.190–199. doi:https://doi.org/10.1016/j.jbusres.2020.03.016 [Accessed 29 Jan. 2024].</w:t>
      </w:r>
    </w:p>
    <w:p w14:paraId="58E8C4E2" w14:textId="77777777" w:rsidR="00195899" w:rsidRPr="00B20E7E" w:rsidRDefault="00195899" w:rsidP="00195899">
      <w:pPr>
        <w:spacing w:after="240"/>
        <w:rPr>
          <w:rFonts w:eastAsia="Times New Roman" w:cs="Times New Roman"/>
          <w:szCs w:val="24"/>
          <w:lang w:eastAsia="en-GB"/>
        </w:rPr>
      </w:pPr>
      <w:r w:rsidRPr="00B20E7E">
        <w:rPr>
          <w:rFonts w:eastAsia="Times New Roman" w:cs="Times New Roman"/>
          <w:szCs w:val="24"/>
          <w:lang w:eastAsia="en-GB"/>
        </w:rPr>
        <w:t xml:space="preserve">Similarweb.com (2024). </w:t>
      </w:r>
      <w:r w:rsidRPr="00B20E7E">
        <w:rPr>
          <w:rFonts w:eastAsia="Times New Roman" w:cs="Times New Roman"/>
          <w:i/>
          <w:iCs/>
          <w:szCs w:val="24"/>
          <w:lang w:eastAsia="en-GB"/>
        </w:rPr>
        <w:t>Sallybeauty.co.uk</w:t>
      </w:r>
      <w:r w:rsidRPr="00B20E7E">
        <w:rPr>
          <w:rFonts w:eastAsia="Times New Roman" w:cs="Times New Roman"/>
          <w:szCs w:val="24"/>
          <w:lang w:eastAsia="en-GB"/>
        </w:rPr>
        <w:t xml:space="preserve">. [online] Available at: </w:t>
      </w:r>
      <w:hyperlink r:id="rId5" w:history="1">
        <w:r w:rsidRPr="00B20E7E">
          <w:rPr>
            <w:rStyle w:val="Hyperlink"/>
            <w:rFonts w:eastAsia="Times New Roman" w:cs="Times New Roman"/>
            <w:szCs w:val="24"/>
            <w:lang w:eastAsia="en-GB"/>
          </w:rPr>
          <w:t>https://www.similarweb.com/website/sallybeauty.co.uk/competitors/</w:t>
        </w:r>
      </w:hyperlink>
      <w:r w:rsidRPr="00B20E7E">
        <w:rPr>
          <w:rFonts w:eastAsia="Times New Roman" w:cs="Times New Roman"/>
          <w:szCs w:val="24"/>
          <w:lang w:eastAsia="en-GB"/>
        </w:rPr>
        <w:t xml:space="preserve"> </w:t>
      </w:r>
      <w:r>
        <w:t>[Accessed 1 Feb. 2024]</w:t>
      </w:r>
      <w:r w:rsidRPr="00B20E7E">
        <w:rPr>
          <w:rFonts w:eastAsia="Times New Roman" w:cs="Times New Roman"/>
          <w:szCs w:val="24"/>
          <w:lang w:eastAsia="en-GB"/>
        </w:rPr>
        <w:t>.</w:t>
      </w:r>
    </w:p>
    <w:p w14:paraId="74D60770" w14:textId="77777777" w:rsidR="00195899" w:rsidRDefault="00195899" w:rsidP="00195899">
      <w:pPr>
        <w:pStyle w:val="NormalWeb"/>
        <w:spacing w:before="0" w:beforeAutospacing="0" w:after="240" w:afterAutospacing="0" w:line="360" w:lineRule="auto"/>
        <w:jc w:val="both"/>
      </w:pPr>
      <w:r>
        <w:t xml:space="preserve">Williams, S. (2021). </w:t>
      </w:r>
      <w:r>
        <w:rPr>
          <w:i/>
          <w:iCs/>
        </w:rPr>
        <w:t>The financial times guide to business start up 2010 [the only annually updated guide for entrepreneurs]</w:t>
      </w:r>
      <w:r>
        <w:t>. 32nd ed. Harlow Ft.</w:t>
      </w:r>
    </w:p>
    <w:p w14:paraId="51E83EC2" w14:textId="77777777" w:rsidR="00195899" w:rsidRDefault="00195899" w:rsidP="00195899">
      <w:pPr>
        <w:pStyle w:val="NormalWeb"/>
        <w:spacing w:before="0" w:beforeAutospacing="0" w:after="240" w:afterAutospacing="0" w:line="360" w:lineRule="auto"/>
        <w:jc w:val="both"/>
      </w:pPr>
    </w:p>
    <w:p w14:paraId="55BC880B" w14:textId="77777777" w:rsidR="00195899" w:rsidRDefault="00195899" w:rsidP="00195899">
      <w:pPr>
        <w:pStyle w:val="NormalWeb"/>
        <w:spacing w:before="0" w:beforeAutospacing="0" w:after="240" w:afterAutospacing="0" w:line="360" w:lineRule="auto"/>
        <w:jc w:val="both"/>
      </w:pPr>
    </w:p>
    <w:p w14:paraId="3CBBF998" w14:textId="77777777" w:rsidR="00195899" w:rsidRDefault="00195899" w:rsidP="00195899">
      <w:pPr>
        <w:pStyle w:val="NormalWeb"/>
        <w:spacing w:before="0" w:beforeAutospacing="0" w:after="240" w:afterAutospacing="0" w:line="360" w:lineRule="auto"/>
        <w:jc w:val="both"/>
      </w:pPr>
    </w:p>
    <w:p w14:paraId="12630FC4" w14:textId="77777777" w:rsidR="00195899" w:rsidRDefault="00195899" w:rsidP="00195899">
      <w:pPr>
        <w:pStyle w:val="NormalWeb"/>
        <w:spacing w:before="0" w:beforeAutospacing="0" w:after="240" w:afterAutospacing="0" w:line="360" w:lineRule="auto"/>
        <w:jc w:val="both"/>
      </w:pPr>
    </w:p>
    <w:p w14:paraId="7D6099FB" w14:textId="77777777" w:rsidR="00195899" w:rsidRDefault="00195899" w:rsidP="00195899">
      <w:pPr>
        <w:pStyle w:val="NormalWeb"/>
        <w:spacing w:before="0" w:beforeAutospacing="0" w:after="240" w:afterAutospacing="0" w:line="360" w:lineRule="auto"/>
        <w:jc w:val="both"/>
      </w:pPr>
    </w:p>
    <w:p w14:paraId="7E0032D5" w14:textId="77777777" w:rsidR="00195899" w:rsidRDefault="00195899" w:rsidP="00195899">
      <w:pPr>
        <w:pStyle w:val="NormalWeb"/>
        <w:spacing w:before="0" w:beforeAutospacing="0" w:after="240" w:afterAutospacing="0" w:line="360" w:lineRule="auto"/>
        <w:jc w:val="both"/>
      </w:pPr>
    </w:p>
    <w:p w14:paraId="68AB10EF" w14:textId="77777777" w:rsidR="00195899" w:rsidRDefault="00195899" w:rsidP="00195899">
      <w:pPr>
        <w:pStyle w:val="NormalWeb"/>
        <w:spacing w:before="0" w:beforeAutospacing="0" w:after="240" w:afterAutospacing="0" w:line="360" w:lineRule="auto"/>
        <w:jc w:val="both"/>
      </w:pPr>
    </w:p>
    <w:p w14:paraId="05B58EE6" w14:textId="77777777" w:rsidR="00195899" w:rsidRDefault="00195899" w:rsidP="00195899">
      <w:pPr>
        <w:pStyle w:val="NormalWeb"/>
        <w:spacing w:before="0" w:beforeAutospacing="0" w:after="240" w:afterAutospacing="0" w:line="360" w:lineRule="auto"/>
        <w:jc w:val="both"/>
      </w:pPr>
    </w:p>
    <w:p w14:paraId="2137BA84" w14:textId="77777777" w:rsidR="00195899" w:rsidRDefault="00195899" w:rsidP="00195899">
      <w:pPr>
        <w:pStyle w:val="NormalWeb"/>
        <w:spacing w:before="0" w:beforeAutospacing="0" w:after="240" w:afterAutospacing="0" w:line="360" w:lineRule="auto"/>
        <w:jc w:val="both"/>
      </w:pPr>
    </w:p>
    <w:p w14:paraId="71FB0CD4" w14:textId="77777777" w:rsidR="00195899" w:rsidRDefault="00195899" w:rsidP="00195899">
      <w:pPr>
        <w:pStyle w:val="NormalWeb"/>
        <w:spacing w:before="0" w:beforeAutospacing="0" w:after="240" w:afterAutospacing="0" w:line="360" w:lineRule="auto"/>
        <w:jc w:val="both"/>
      </w:pPr>
    </w:p>
    <w:p w14:paraId="472807AB" w14:textId="77777777" w:rsidR="00195899" w:rsidRDefault="00195899" w:rsidP="00195899">
      <w:pPr>
        <w:pStyle w:val="NormalWeb"/>
        <w:spacing w:before="0" w:beforeAutospacing="0" w:after="240" w:afterAutospacing="0" w:line="360" w:lineRule="auto"/>
        <w:jc w:val="both"/>
      </w:pPr>
    </w:p>
    <w:p w14:paraId="65BAFF43" w14:textId="77777777" w:rsidR="00195899" w:rsidRDefault="00195899" w:rsidP="00195899">
      <w:pPr>
        <w:pStyle w:val="Heading1"/>
      </w:pPr>
      <w:r>
        <w:lastRenderedPageBreak/>
        <w:t xml:space="preserve">Appendices </w:t>
      </w:r>
    </w:p>
    <w:p w14:paraId="51DFACDE" w14:textId="77777777" w:rsidR="00195899" w:rsidRPr="003357EF" w:rsidRDefault="00195899" w:rsidP="00195899">
      <w:pPr>
        <w:rPr>
          <w:b/>
        </w:rPr>
      </w:pPr>
      <w:r w:rsidRPr="003357EF">
        <w:rPr>
          <w:b/>
        </w:rPr>
        <w:t xml:space="preserve">Business Model Canvas </w:t>
      </w:r>
    </w:p>
    <w:p w14:paraId="0CF7A056" w14:textId="77777777" w:rsidR="00195899" w:rsidRDefault="00195899" w:rsidP="00195899">
      <w:pPr>
        <w:pStyle w:val="NormalWeb"/>
        <w:spacing w:before="0" w:beforeAutospacing="0" w:after="240" w:afterAutospacing="0" w:line="360" w:lineRule="auto"/>
        <w:jc w:val="both"/>
      </w:pPr>
      <w:r>
        <w:rPr>
          <w:noProof/>
          <w:lang w:val="en-US" w:eastAsia="en-US"/>
        </w:rPr>
        <w:drawing>
          <wp:inline distT="0" distB="0" distL="0" distR="0" wp14:anchorId="0655DBE3" wp14:editId="26E134F6">
            <wp:extent cx="5334000" cy="48101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srcRect l="26756" t="22750" r="27875" b="19933"/>
                    <a:stretch/>
                  </pic:blipFill>
                  <pic:spPr bwMode="auto">
                    <a:xfrm>
                      <a:off x="0" y="0"/>
                      <a:ext cx="5334000" cy="4810125"/>
                    </a:xfrm>
                    <a:prstGeom prst="rect">
                      <a:avLst/>
                    </a:prstGeom>
                    <a:ln>
                      <a:noFill/>
                    </a:ln>
                    <a:extLst>
                      <a:ext uri="{53640926-AAD7-44D8-BBD7-CCE9431645EC}">
                        <a14:shadowObscured xmlns:a14="http://schemas.microsoft.com/office/drawing/2010/main"/>
                      </a:ext>
                    </a:extLst>
                  </pic:spPr>
                </pic:pic>
              </a:graphicData>
            </a:graphic>
          </wp:inline>
        </w:drawing>
      </w:r>
    </w:p>
    <w:p w14:paraId="12CEB4FF" w14:textId="77777777" w:rsidR="00195899" w:rsidRDefault="00195899" w:rsidP="00195899">
      <w:pPr>
        <w:rPr>
          <w:b/>
        </w:rPr>
      </w:pPr>
    </w:p>
    <w:p w14:paraId="1F02657E" w14:textId="77777777" w:rsidR="00195899" w:rsidRDefault="00195899" w:rsidP="00195899">
      <w:pPr>
        <w:rPr>
          <w:b/>
        </w:rPr>
      </w:pPr>
    </w:p>
    <w:p w14:paraId="39FC57DC" w14:textId="77777777" w:rsidR="00195899" w:rsidRDefault="00195899" w:rsidP="00195899">
      <w:pPr>
        <w:rPr>
          <w:b/>
        </w:rPr>
      </w:pPr>
    </w:p>
    <w:p w14:paraId="20C35888" w14:textId="77777777" w:rsidR="00195899" w:rsidRDefault="00195899" w:rsidP="00195899">
      <w:pPr>
        <w:rPr>
          <w:b/>
        </w:rPr>
      </w:pPr>
    </w:p>
    <w:p w14:paraId="0128296F" w14:textId="77777777" w:rsidR="00195899" w:rsidRDefault="00195899" w:rsidP="00195899">
      <w:pPr>
        <w:rPr>
          <w:b/>
        </w:rPr>
      </w:pPr>
    </w:p>
    <w:p w14:paraId="7CCA3A7F" w14:textId="77777777" w:rsidR="00195899" w:rsidRDefault="00195899" w:rsidP="00195899">
      <w:pPr>
        <w:rPr>
          <w:b/>
        </w:rPr>
      </w:pPr>
    </w:p>
    <w:p w14:paraId="75331CA9" w14:textId="77777777" w:rsidR="00195899" w:rsidRDefault="00195899" w:rsidP="00195899">
      <w:pPr>
        <w:rPr>
          <w:b/>
        </w:rPr>
      </w:pPr>
    </w:p>
    <w:p w14:paraId="44DF74CF" w14:textId="77777777" w:rsidR="00195899" w:rsidRDefault="00195899" w:rsidP="00195899">
      <w:pPr>
        <w:rPr>
          <w:b/>
        </w:rPr>
      </w:pPr>
    </w:p>
    <w:p w14:paraId="4B90F4F4" w14:textId="77777777" w:rsidR="00195899" w:rsidRPr="003357EF" w:rsidRDefault="00195899" w:rsidP="00195899">
      <w:pPr>
        <w:rPr>
          <w:b/>
        </w:rPr>
      </w:pPr>
      <w:r w:rsidRPr="003357EF">
        <w:rPr>
          <w:b/>
        </w:rPr>
        <w:lastRenderedPageBreak/>
        <w:t xml:space="preserve">GET2 Results </w:t>
      </w:r>
    </w:p>
    <w:p w14:paraId="1312009F" w14:textId="77777777" w:rsidR="00195899" w:rsidRDefault="00195899" w:rsidP="00195899">
      <w:r w:rsidRPr="007B6FE6">
        <w:rPr>
          <w:noProof/>
        </w:rPr>
        <w:drawing>
          <wp:inline distT="0" distB="0" distL="0" distR="0" wp14:anchorId="28B97C43" wp14:editId="6EE0E756">
            <wp:extent cx="5731510" cy="3741420"/>
            <wp:effectExtent l="0" t="0" r="2540" b="0"/>
            <wp:docPr id="4244047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4404743" name=""/>
                    <pic:cNvPicPr/>
                  </pic:nvPicPr>
                  <pic:blipFill>
                    <a:blip r:embed="rId7"/>
                    <a:stretch>
                      <a:fillRect/>
                    </a:stretch>
                  </pic:blipFill>
                  <pic:spPr>
                    <a:xfrm>
                      <a:off x="0" y="0"/>
                      <a:ext cx="5731510" cy="3741420"/>
                    </a:xfrm>
                    <a:prstGeom prst="rect">
                      <a:avLst/>
                    </a:prstGeom>
                  </pic:spPr>
                </pic:pic>
              </a:graphicData>
            </a:graphic>
          </wp:inline>
        </w:drawing>
      </w:r>
    </w:p>
    <w:p w14:paraId="34AE8E48" w14:textId="77777777" w:rsidR="00195899" w:rsidRDefault="00195899" w:rsidP="00195899"/>
    <w:p w14:paraId="279534AD" w14:textId="77777777" w:rsidR="00195899" w:rsidRDefault="00195899" w:rsidP="00195899">
      <w:r w:rsidRPr="007B6FE6">
        <w:rPr>
          <w:noProof/>
        </w:rPr>
        <w:drawing>
          <wp:inline distT="0" distB="0" distL="0" distR="0" wp14:anchorId="4517B5A5" wp14:editId="39A047E5">
            <wp:extent cx="5731510" cy="3533775"/>
            <wp:effectExtent l="0" t="0" r="2540" b="9525"/>
            <wp:docPr id="6947727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4772707" name=""/>
                    <pic:cNvPicPr/>
                  </pic:nvPicPr>
                  <pic:blipFill>
                    <a:blip r:embed="rId8"/>
                    <a:stretch>
                      <a:fillRect/>
                    </a:stretch>
                  </pic:blipFill>
                  <pic:spPr>
                    <a:xfrm>
                      <a:off x="0" y="0"/>
                      <a:ext cx="5731510" cy="3533775"/>
                    </a:xfrm>
                    <a:prstGeom prst="rect">
                      <a:avLst/>
                    </a:prstGeom>
                  </pic:spPr>
                </pic:pic>
              </a:graphicData>
            </a:graphic>
          </wp:inline>
        </w:drawing>
      </w:r>
    </w:p>
    <w:p w14:paraId="2212A67E" w14:textId="77777777" w:rsidR="00195899" w:rsidRDefault="00195899" w:rsidP="00195899"/>
    <w:p w14:paraId="4089FADA" w14:textId="77777777" w:rsidR="00195899" w:rsidRPr="003357EF" w:rsidRDefault="00195899" w:rsidP="00195899">
      <w:pPr>
        <w:rPr>
          <w:b/>
        </w:rPr>
      </w:pPr>
      <w:r w:rsidRPr="003357EF">
        <w:rPr>
          <w:b/>
        </w:rPr>
        <w:lastRenderedPageBreak/>
        <w:t xml:space="preserve">Entrepreneur questionnaire result  </w:t>
      </w:r>
    </w:p>
    <w:p w14:paraId="08695730" w14:textId="77777777" w:rsidR="00195899" w:rsidRDefault="00195899" w:rsidP="00195899">
      <w:r>
        <w:rPr>
          <w:noProof/>
          <w:lang w:val="en-US"/>
        </w:rPr>
        <w:drawing>
          <wp:inline distT="0" distB="0" distL="0" distR="0" wp14:anchorId="54F2E492" wp14:editId="0537A0B7">
            <wp:extent cx="5353050" cy="58293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32406" t="12705" r="32029" b="6638"/>
                    <a:stretch/>
                  </pic:blipFill>
                  <pic:spPr bwMode="auto">
                    <a:xfrm>
                      <a:off x="0" y="0"/>
                      <a:ext cx="5353050" cy="5829300"/>
                    </a:xfrm>
                    <a:prstGeom prst="rect">
                      <a:avLst/>
                    </a:prstGeom>
                    <a:ln>
                      <a:noFill/>
                    </a:ln>
                    <a:extLst>
                      <a:ext uri="{53640926-AAD7-44D8-BBD7-CCE9431645EC}">
                        <a14:shadowObscured xmlns:a14="http://schemas.microsoft.com/office/drawing/2010/main"/>
                      </a:ext>
                    </a:extLst>
                  </pic:spPr>
                </pic:pic>
              </a:graphicData>
            </a:graphic>
          </wp:inline>
        </w:drawing>
      </w:r>
    </w:p>
    <w:p w14:paraId="4C4285AF" w14:textId="77777777" w:rsidR="00195899" w:rsidRDefault="00195899" w:rsidP="00195899"/>
    <w:p w14:paraId="2F0F5BB9" w14:textId="77777777" w:rsidR="00195899" w:rsidRDefault="00195899" w:rsidP="00195899"/>
    <w:p w14:paraId="7B3E972E" w14:textId="77777777" w:rsidR="00195899" w:rsidRDefault="00195899" w:rsidP="00195899"/>
    <w:p w14:paraId="2B3AAAC9" w14:textId="77777777" w:rsidR="00195899" w:rsidRDefault="00195899" w:rsidP="00195899"/>
    <w:p w14:paraId="0DE320C4" w14:textId="199871C8" w:rsidR="00422A17" w:rsidRDefault="00422A17"/>
    <w:sectPr w:rsidR="00422A17" w:rsidSect="006103A4">
      <w:footerReference w:type="default" r:id="rId1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80140724"/>
      <w:docPartObj>
        <w:docPartGallery w:val="Page Numbers (Bottom of Page)"/>
        <w:docPartUnique/>
      </w:docPartObj>
    </w:sdtPr>
    <w:sdtEndPr>
      <w:rPr>
        <w:noProof/>
      </w:rPr>
    </w:sdtEndPr>
    <w:sdtContent>
      <w:p w14:paraId="421D40A1" w14:textId="77777777" w:rsidR="00000000" w:rsidRDefault="00000000">
        <w:pPr>
          <w:pStyle w:val="Footer"/>
          <w:jc w:val="center"/>
        </w:pPr>
        <w:r>
          <w:fldChar w:fldCharType="begin"/>
        </w:r>
        <w:r>
          <w:instrText xml:space="preserve"> PAGE   \* MERGEFORMAT </w:instrText>
        </w:r>
        <w:r>
          <w:fldChar w:fldCharType="separate"/>
        </w:r>
        <w:r>
          <w:rPr>
            <w:noProof/>
          </w:rPr>
          <w:t>10</w:t>
        </w:r>
        <w:r>
          <w:rPr>
            <w:noProof/>
          </w:rPr>
          <w:fldChar w:fldCharType="end"/>
        </w:r>
      </w:p>
    </w:sdtContent>
  </w:sdt>
  <w:p w14:paraId="77454A82" w14:textId="77777777" w:rsidR="00000000" w:rsidRDefault="00000000">
    <w:pPr>
      <w:pStyle w:val="Footer"/>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38A3"/>
    <w:rsid w:val="000C38A3"/>
    <w:rsid w:val="00195899"/>
    <w:rsid w:val="00422A17"/>
    <w:rsid w:val="006103A4"/>
    <w:rsid w:val="007B16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FE96C4"/>
  <w15:chartTrackingRefBased/>
  <w15:docId w15:val="{6D5C02E3-E06B-4066-8176-142353EE5E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95899"/>
    <w:pPr>
      <w:spacing w:line="360" w:lineRule="auto"/>
      <w:jc w:val="both"/>
    </w:pPr>
    <w:rPr>
      <w:rFonts w:ascii="Times New Roman" w:hAnsi="Times New Roman"/>
      <w:kern w:val="0"/>
      <w:sz w:val="24"/>
      <w14:ligatures w14:val="none"/>
    </w:rPr>
  </w:style>
  <w:style w:type="paragraph" w:styleId="Heading1">
    <w:name w:val="heading 1"/>
    <w:basedOn w:val="Normal"/>
    <w:next w:val="Normal"/>
    <w:link w:val="Heading1Char"/>
    <w:uiPriority w:val="9"/>
    <w:qFormat/>
    <w:rsid w:val="00195899"/>
    <w:pPr>
      <w:keepNext/>
      <w:keepLines/>
      <w:spacing w:before="240" w:after="0"/>
      <w:outlineLvl w:val="0"/>
    </w:pPr>
    <w:rPr>
      <w:rFonts w:eastAsiaTheme="majorEastAsia" w:cstheme="majorBidi"/>
      <w:b/>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5899"/>
    <w:rPr>
      <w:rFonts w:ascii="Times New Roman" w:eastAsiaTheme="majorEastAsia" w:hAnsi="Times New Roman" w:cstheme="majorBidi"/>
      <w:b/>
      <w:kern w:val="0"/>
      <w:sz w:val="32"/>
      <w:szCs w:val="32"/>
      <w14:ligatures w14:val="none"/>
    </w:rPr>
  </w:style>
  <w:style w:type="paragraph" w:styleId="NormalWeb">
    <w:name w:val="Normal (Web)"/>
    <w:basedOn w:val="Normal"/>
    <w:uiPriority w:val="99"/>
    <w:semiHidden/>
    <w:unhideWhenUsed/>
    <w:rsid w:val="00195899"/>
    <w:pPr>
      <w:spacing w:before="100" w:beforeAutospacing="1" w:after="100" w:afterAutospacing="1" w:line="240" w:lineRule="auto"/>
      <w:jc w:val="left"/>
    </w:pPr>
    <w:rPr>
      <w:rFonts w:eastAsia="Times New Roman" w:cs="Times New Roman"/>
      <w:szCs w:val="24"/>
      <w:lang w:eastAsia="en-GB"/>
    </w:rPr>
  </w:style>
  <w:style w:type="paragraph" w:styleId="Footer">
    <w:name w:val="footer"/>
    <w:basedOn w:val="Normal"/>
    <w:link w:val="FooterChar"/>
    <w:uiPriority w:val="99"/>
    <w:unhideWhenUsed/>
    <w:rsid w:val="00195899"/>
    <w:pPr>
      <w:tabs>
        <w:tab w:val="center" w:pos="4680"/>
        <w:tab w:val="right" w:pos="9360"/>
      </w:tabs>
      <w:spacing w:after="0" w:line="240" w:lineRule="auto"/>
    </w:pPr>
  </w:style>
  <w:style w:type="character" w:customStyle="1" w:styleId="FooterChar">
    <w:name w:val="Footer Char"/>
    <w:basedOn w:val="DefaultParagraphFont"/>
    <w:link w:val="Footer"/>
    <w:uiPriority w:val="99"/>
    <w:rsid w:val="00195899"/>
    <w:rPr>
      <w:rFonts w:ascii="Times New Roman" w:hAnsi="Times New Roman"/>
      <w:kern w:val="0"/>
      <w:sz w:val="24"/>
      <w14:ligatures w14:val="none"/>
    </w:rPr>
  </w:style>
  <w:style w:type="character" w:styleId="Hyperlink">
    <w:name w:val="Hyperlink"/>
    <w:basedOn w:val="DefaultParagraphFont"/>
    <w:uiPriority w:val="99"/>
    <w:unhideWhenUsed/>
    <w:rsid w:val="0019589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webSettings" Target="webSettings.xml"/><Relationship Id="rId7" Type="http://schemas.openxmlformats.org/officeDocument/2006/relationships/image" Target="media/image3.png"/><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2.png"/><Relationship Id="rId11" Type="http://schemas.openxmlformats.org/officeDocument/2006/relationships/fontTable" Target="fontTable.xml"/><Relationship Id="rId5" Type="http://schemas.openxmlformats.org/officeDocument/2006/relationships/hyperlink" Target="https://www.similarweb.com/website/sallybeauty.co.uk/competitors/" TargetMode="External"/><Relationship Id="rId10" Type="http://schemas.openxmlformats.org/officeDocument/2006/relationships/footer" Target="footer1.xml"/><Relationship Id="rId4" Type="http://schemas.openxmlformats.org/officeDocument/2006/relationships/image" Target="media/image1.png"/><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13</Pages>
  <Words>3239</Words>
  <Characters>18467</Characters>
  <Application>Microsoft Office Word</Application>
  <DocSecurity>0</DocSecurity>
  <Lines>153</Lines>
  <Paragraphs>43</Paragraphs>
  <ScaleCrop>false</ScaleCrop>
  <Company/>
  <LinksUpToDate>false</LinksUpToDate>
  <CharactersWithSpaces>21663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marwah300916@gmail.com</dc:creator>
  <cp:keywords/>
  <dc:description/>
  <cp:lastModifiedBy>marwah300916@gmail.com</cp:lastModifiedBy>
  <cp:revision>2</cp:revision>
  <dcterms:created xsi:type="dcterms:W3CDTF">2024-02-05T17:13:00Z</dcterms:created>
  <dcterms:modified xsi:type="dcterms:W3CDTF">2024-02-05T17:16:00Z</dcterms:modified>
</cp:coreProperties>
</file>