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FFD6E33" w14:textId="123E2170" w:rsidR="00183A86" w:rsidRPr="002519B0" w:rsidRDefault="00EE3B06" w:rsidP="00BE7E72">
      <w:pPr>
        <w:pStyle w:val="BodyText"/>
        <w:spacing w:line="240" w:lineRule="auto"/>
        <w:ind w:left="360"/>
        <w:jc w:val="center"/>
        <w:rPr>
          <w:rFonts w:asciiTheme="minorHAnsi" w:hAnsiTheme="minorHAnsi" w:cstheme="minorHAnsi"/>
          <w:b/>
          <w:bCs/>
          <w:sz w:val="22"/>
          <w:szCs w:val="22"/>
          <w:u w:val="single"/>
        </w:rPr>
      </w:pPr>
      <w:r w:rsidRPr="002519B0">
        <w:rPr>
          <w:rFonts w:asciiTheme="minorHAnsi" w:hAnsiTheme="minorHAnsi" w:cstheme="minorHAnsi"/>
          <w:b/>
          <w:bCs/>
          <w:sz w:val="22"/>
          <w:szCs w:val="22"/>
          <w:u w:val="single"/>
        </w:rPr>
        <w:t>Was death celebrated or feared in the Middle Ages?</w:t>
      </w:r>
    </w:p>
    <w:p w14:paraId="749590C3" w14:textId="28DF8932" w:rsidR="00183A86" w:rsidRPr="002519B0" w:rsidRDefault="00183A86" w:rsidP="00BE7E72">
      <w:pPr>
        <w:pStyle w:val="BodyText"/>
        <w:spacing w:line="240" w:lineRule="auto"/>
        <w:ind w:left="360"/>
        <w:jc w:val="center"/>
        <w:rPr>
          <w:rFonts w:asciiTheme="minorHAnsi" w:hAnsiTheme="minorHAnsi" w:cstheme="minorHAnsi"/>
          <w:b/>
          <w:bCs/>
          <w:sz w:val="22"/>
          <w:szCs w:val="22"/>
          <w:u w:val="single"/>
        </w:rPr>
      </w:pPr>
    </w:p>
    <w:p w14:paraId="03B7D0ED" w14:textId="61CE51EF" w:rsidR="00183A86" w:rsidRPr="002519B0" w:rsidRDefault="00183A86" w:rsidP="002519B0">
      <w:pPr>
        <w:pStyle w:val="BodyText"/>
        <w:spacing w:line="240" w:lineRule="auto"/>
        <w:rPr>
          <w:rFonts w:asciiTheme="minorHAnsi" w:hAnsiTheme="minorHAnsi" w:cstheme="minorHAnsi"/>
          <w:sz w:val="22"/>
          <w:szCs w:val="22"/>
        </w:rPr>
      </w:pPr>
      <w:r w:rsidRPr="002519B0">
        <w:rPr>
          <w:rFonts w:asciiTheme="minorHAnsi" w:hAnsiTheme="minorHAnsi" w:cstheme="minorHAnsi"/>
          <w:sz w:val="22"/>
          <w:szCs w:val="22"/>
        </w:rPr>
        <w:t>Death</w:t>
      </w:r>
      <w:r w:rsidR="00BC3D94" w:rsidRPr="002519B0">
        <w:rPr>
          <w:rFonts w:asciiTheme="minorHAnsi" w:hAnsiTheme="minorHAnsi" w:cstheme="minorHAnsi"/>
          <w:sz w:val="22"/>
          <w:szCs w:val="22"/>
        </w:rPr>
        <w:t xml:space="preserve"> is the end of life and all biological functions in a living organism. It has always been a concept of </w:t>
      </w:r>
      <w:r w:rsidR="00E609C6" w:rsidRPr="002519B0">
        <w:rPr>
          <w:rFonts w:asciiTheme="minorHAnsi" w:hAnsiTheme="minorHAnsi" w:cstheme="minorHAnsi"/>
          <w:sz w:val="22"/>
          <w:szCs w:val="22"/>
        </w:rPr>
        <w:t>life,</w:t>
      </w:r>
      <w:r w:rsidR="00BC3D94" w:rsidRPr="002519B0">
        <w:rPr>
          <w:rFonts w:asciiTheme="minorHAnsi" w:hAnsiTheme="minorHAnsi" w:cstheme="minorHAnsi"/>
          <w:sz w:val="22"/>
          <w:szCs w:val="22"/>
        </w:rPr>
        <w:t xml:space="preserve"> and this will remain the case until the end of times. As a result, throughout history, there has been many different ideas on whether death should be celebrated or feared, and this was also the case for the middle ages. Contrary to modern times, where death is more feared than celebrate</w:t>
      </w:r>
      <w:r w:rsidR="00417691">
        <w:rPr>
          <w:rFonts w:asciiTheme="minorHAnsi" w:hAnsiTheme="minorHAnsi" w:cstheme="minorHAnsi"/>
          <w:sz w:val="22"/>
          <w:szCs w:val="22"/>
        </w:rPr>
        <w:t>d</w:t>
      </w:r>
      <w:r w:rsidR="00BC3D94" w:rsidRPr="002519B0">
        <w:rPr>
          <w:rFonts w:asciiTheme="minorHAnsi" w:hAnsiTheme="minorHAnsi" w:cstheme="minorHAnsi"/>
          <w:sz w:val="22"/>
          <w:szCs w:val="22"/>
        </w:rPr>
        <w:t>, the middle ages t</w:t>
      </w:r>
      <w:r w:rsidR="00D1553E" w:rsidRPr="002519B0">
        <w:rPr>
          <w:rFonts w:asciiTheme="minorHAnsi" w:hAnsiTheme="minorHAnsi" w:cstheme="minorHAnsi"/>
          <w:sz w:val="22"/>
          <w:szCs w:val="22"/>
        </w:rPr>
        <w:t>ypically tended to celebrate death, providing it was a slow death, thus allowing individuals to gain greater proximity to God and atone for their sins etc. However, in less cases, death was also feared in case of it being quick or in punishment, thus meaning that individuals won’t be able to prepare and atone, making their time in the afterlife more uncertain and problematic.</w:t>
      </w:r>
    </w:p>
    <w:p w14:paraId="59350821" w14:textId="6285D0BF" w:rsidR="00D1553E" w:rsidRPr="002519B0" w:rsidRDefault="00D1553E" w:rsidP="002519B0">
      <w:pPr>
        <w:pStyle w:val="BodyText"/>
        <w:spacing w:line="240" w:lineRule="auto"/>
        <w:ind w:left="360"/>
        <w:rPr>
          <w:rFonts w:asciiTheme="minorHAnsi" w:hAnsiTheme="minorHAnsi" w:cstheme="minorHAnsi"/>
          <w:sz w:val="22"/>
          <w:szCs w:val="22"/>
        </w:rPr>
      </w:pPr>
    </w:p>
    <w:p w14:paraId="7F9B0EC1" w14:textId="02D220D6" w:rsidR="005E4A55" w:rsidRPr="00124D13" w:rsidRDefault="00E609C6" w:rsidP="002519B0">
      <w:pPr>
        <w:autoSpaceDE w:val="0"/>
        <w:autoSpaceDN w:val="0"/>
        <w:adjustRightInd w:val="0"/>
        <w:rPr>
          <w:rFonts w:cstheme="minorHAnsi"/>
          <w:sz w:val="22"/>
          <w:szCs w:val="22"/>
        </w:rPr>
      </w:pPr>
      <w:r w:rsidRPr="002519B0">
        <w:rPr>
          <w:rFonts w:cstheme="minorHAnsi"/>
          <w:sz w:val="22"/>
          <w:szCs w:val="22"/>
        </w:rPr>
        <w:t xml:space="preserve">The concept of the celebration of death in the middle ages, primarily lies with the manner in which how you die. In </w:t>
      </w:r>
      <w:r w:rsidR="00BE7E72" w:rsidRPr="002519B0">
        <w:rPr>
          <w:rFonts w:cstheme="minorHAnsi"/>
          <w:i/>
          <w:iCs/>
          <w:sz w:val="22"/>
          <w:szCs w:val="22"/>
        </w:rPr>
        <w:t>Dealing with the Dead, Mor</w:t>
      </w:r>
      <w:r w:rsidR="00B0109C" w:rsidRPr="002519B0">
        <w:rPr>
          <w:rFonts w:cstheme="minorHAnsi"/>
          <w:i/>
          <w:iCs/>
          <w:sz w:val="22"/>
          <w:szCs w:val="22"/>
        </w:rPr>
        <w:t>tal</w:t>
      </w:r>
      <w:r w:rsidR="00BE7E72" w:rsidRPr="002519B0">
        <w:rPr>
          <w:rFonts w:cstheme="minorHAnsi"/>
          <w:i/>
          <w:iCs/>
          <w:sz w:val="22"/>
          <w:szCs w:val="22"/>
        </w:rPr>
        <w:t xml:space="preserve">ity and Community in Medieval and Early Modern Europe, </w:t>
      </w:r>
      <w:r w:rsidR="00BE7E72" w:rsidRPr="002519B0">
        <w:rPr>
          <w:rFonts w:cstheme="minorHAnsi"/>
          <w:sz w:val="22"/>
          <w:szCs w:val="22"/>
        </w:rPr>
        <w:t>by Thea Tomaini, they argue that “a ‘good death’ in the middle ages was not a quick death: ideally, one should have time to get one’s earthly and spiritual affairs in order and thereby transition from the community of the living to the community of the saved in the afterlife.”</w:t>
      </w:r>
      <w:r w:rsidR="00BE7E72" w:rsidRPr="002519B0">
        <w:rPr>
          <w:rStyle w:val="FootnoteReference"/>
          <w:rFonts w:cstheme="minorHAnsi"/>
          <w:sz w:val="22"/>
          <w:szCs w:val="22"/>
        </w:rPr>
        <w:footnoteReference w:id="1"/>
      </w:r>
      <w:r w:rsidR="005E4A55" w:rsidRPr="002519B0">
        <w:rPr>
          <w:rFonts w:cstheme="minorHAnsi"/>
          <w:sz w:val="22"/>
          <w:szCs w:val="22"/>
        </w:rPr>
        <w:t xml:space="preserve"> This therefore highlights, that a long death was deemed desirable, contrary to the beliefs held today, due to the religious requirements of preparing for death and the afterlife, as set out in the bible. The preparations, “often included the Last Rites with a confession for the dying, administering the Eucharist as viaticum, and praying </w:t>
      </w:r>
      <w:r w:rsidR="005E4A55" w:rsidRPr="00124D13">
        <w:rPr>
          <w:rFonts w:cstheme="minorHAnsi"/>
          <w:sz w:val="22"/>
          <w:szCs w:val="22"/>
        </w:rPr>
        <w:t>and chanting Psalms at the deathbed. After death, these rituals continued through prayers over the corpse and at the graveside, and through votive masses meant ‘fulfil the penitential obligations incurred by sin.”</w:t>
      </w:r>
      <w:r w:rsidR="00C17468" w:rsidRPr="00124D13">
        <w:rPr>
          <w:rStyle w:val="FootnoteReference"/>
          <w:rFonts w:cstheme="minorHAnsi"/>
          <w:sz w:val="22"/>
          <w:szCs w:val="22"/>
        </w:rPr>
        <w:footnoteReference w:id="2"/>
      </w:r>
      <w:r w:rsidR="00C17468" w:rsidRPr="00124D13">
        <w:rPr>
          <w:rFonts w:cstheme="minorHAnsi"/>
          <w:sz w:val="22"/>
          <w:szCs w:val="22"/>
        </w:rPr>
        <w:t xml:space="preserve"> These practices were vital in during the process of dying in the Middle Ages, as it would prepare your soul for the afterlife, but also aid in one’s salvation</w:t>
      </w:r>
      <w:r w:rsidR="00016AC4">
        <w:rPr>
          <w:rFonts w:cstheme="minorHAnsi"/>
          <w:sz w:val="22"/>
          <w:szCs w:val="22"/>
        </w:rPr>
        <w:t>, “which</w:t>
      </w:r>
      <w:r w:rsidR="00C17468" w:rsidRPr="00124D13">
        <w:rPr>
          <w:rFonts w:cstheme="minorHAnsi"/>
          <w:sz w:val="22"/>
          <w:szCs w:val="22"/>
        </w:rPr>
        <w:t xml:space="preserve"> </w:t>
      </w:r>
      <w:r w:rsidR="00016AC4" w:rsidRPr="00016AC4">
        <w:rPr>
          <w:rFonts w:cstheme="minorHAnsi"/>
          <w:sz w:val="22"/>
          <w:szCs w:val="22"/>
        </w:rPr>
        <w:t>was achieved through obedience to the ‘will of God’ as set out in canonical texts, and living a good life on earth.</w:t>
      </w:r>
      <w:r w:rsidR="00016AC4">
        <w:rPr>
          <w:rFonts w:cstheme="minorHAnsi"/>
          <w:sz w:val="22"/>
          <w:szCs w:val="22"/>
        </w:rPr>
        <w:t>”</w:t>
      </w:r>
      <w:r w:rsidR="00016AC4">
        <w:rPr>
          <w:rStyle w:val="FootnoteReference"/>
          <w:rFonts w:cstheme="minorHAnsi"/>
          <w:sz w:val="22"/>
          <w:szCs w:val="22"/>
        </w:rPr>
        <w:footnoteReference w:id="3"/>
      </w:r>
      <w:r w:rsidR="00612AEE">
        <w:rPr>
          <w:rFonts w:cstheme="minorHAnsi"/>
          <w:sz w:val="22"/>
          <w:szCs w:val="22"/>
        </w:rPr>
        <w:t xml:space="preserve"> </w:t>
      </w:r>
      <w:r w:rsidR="00C17468" w:rsidRPr="00124D13">
        <w:rPr>
          <w:rFonts w:cstheme="minorHAnsi"/>
          <w:sz w:val="22"/>
          <w:szCs w:val="22"/>
        </w:rPr>
        <w:t>This process can be deemed as a celebration of death, as it aids in your spirituality and closeness with God, through the process of the Last Rites, which was something that was heavily desired in the Middle Ages.</w:t>
      </w:r>
      <w:r w:rsidR="00612AEE">
        <w:rPr>
          <w:rFonts w:cstheme="minorHAnsi"/>
          <w:sz w:val="22"/>
          <w:szCs w:val="22"/>
        </w:rPr>
        <w:t xml:space="preserve"> Alongside this, “sometimes at the point of death, a saintly individual </w:t>
      </w:r>
      <w:r w:rsidR="00612AEE" w:rsidRPr="00016AC4">
        <w:rPr>
          <w:rFonts w:cstheme="minorHAnsi"/>
          <w:sz w:val="22"/>
          <w:szCs w:val="22"/>
        </w:rPr>
        <w:t>might indeed proceed straight to heaven (and this was automatic for those who were deemed martyrs for the faith, such as Archbishop Thomas Becket, murdered in his cathedral in 1170)</w:t>
      </w:r>
      <w:r w:rsidR="00612AEE">
        <w:rPr>
          <w:rFonts w:cstheme="minorHAnsi"/>
          <w:sz w:val="22"/>
          <w:szCs w:val="22"/>
        </w:rPr>
        <w:t>.”</w:t>
      </w:r>
      <w:r w:rsidR="00612AEE">
        <w:rPr>
          <w:rStyle w:val="FootnoteReference"/>
          <w:rFonts w:cstheme="minorHAnsi"/>
          <w:sz w:val="22"/>
          <w:szCs w:val="22"/>
        </w:rPr>
        <w:footnoteReference w:id="4"/>
      </w:r>
      <w:r w:rsidR="00612AEE">
        <w:rPr>
          <w:rFonts w:cstheme="minorHAnsi"/>
          <w:sz w:val="22"/>
          <w:szCs w:val="22"/>
        </w:rPr>
        <w:t xml:space="preserve"> This naturally was a reason to celebrate death, as it demonstrates that these people we good in life, not just by being good Christians but upholding their faith in spite of challenges and looking after people less fortunate than themselves.</w:t>
      </w:r>
    </w:p>
    <w:p w14:paraId="3E2CBB47" w14:textId="335C784F" w:rsidR="002519B0" w:rsidRDefault="002519B0" w:rsidP="002519B0">
      <w:pPr>
        <w:autoSpaceDE w:val="0"/>
        <w:autoSpaceDN w:val="0"/>
        <w:adjustRightInd w:val="0"/>
        <w:rPr>
          <w:rFonts w:cstheme="minorHAnsi"/>
          <w:sz w:val="22"/>
          <w:szCs w:val="22"/>
        </w:rPr>
      </w:pPr>
    </w:p>
    <w:p w14:paraId="5E2B175A" w14:textId="2A592DE5" w:rsidR="00C4129E" w:rsidRPr="00124D13" w:rsidRDefault="002519B0" w:rsidP="002519B0">
      <w:pPr>
        <w:autoSpaceDE w:val="0"/>
        <w:autoSpaceDN w:val="0"/>
        <w:adjustRightInd w:val="0"/>
        <w:rPr>
          <w:rFonts w:cstheme="minorHAnsi"/>
          <w:color w:val="000000" w:themeColor="text1"/>
          <w:sz w:val="22"/>
          <w:szCs w:val="22"/>
          <w:shd w:val="clear" w:color="auto" w:fill="FFFFFF"/>
        </w:rPr>
      </w:pPr>
      <w:r w:rsidRPr="00124D13">
        <w:rPr>
          <w:rFonts w:cstheme="minorHAnsi"/>
          <w:sz w:val="22"/>
          <w:szCs w:val="22"/>
        </w:rPr>
        <w:t xml:space="preserve">Similarly, to Eurocentric ideas on death in the middle ages, the Muslim’s in the Middle East also viewed that a long death should be celebrated but for different reasons. When the Plague reached the Middle East, they shared the Christian view that “the disease was considered </w:t>
      </w:r>
      <w:r w:rsidR="00417691" w:rsidRPr="00124D13">
        <w:rPr>
          <w:rFonts w:cstheme="minorHAnsi"/>
          <w:sz w:val="22"/>
          <w:szCs w:val="22"/>
        </w:rPr>
        <w:t>a</w:t>
      </w:r>
      <w:r w:rsidRPr="00124D13">
        <w:rPr>
          <w:rFonts w:cstheme="minorHAnsi"/>
          <w:sz w:val="22"/>
          <w:szCs w:val="22"/>
        </w:rPr>
        <w:t xml:space="preserve"> punishment by God </w:t>
      </w:r>
      <w:r w:rsidR="00685876" w:rsidRPr="00124D13">
        <w:rPr>
          <w:rFonts w:cstheme="minorHAnsi"/>
          <w:sz w:val="22"/>
          <w:szCs w:val="22"/>
        </w:rPr>
        <w:t>on mankind. However, this view changed after the Advent of Islam in 610CE.”</w:t>
      </w:r>
      <w:r w:rsidR="00685876" w:rsidRPr="00124D13">
        <w:rPr>
          <w:rStyle w:val="FootnoteReference"/>
          <w:rFonts w:cstheme="minorHAnsi"/>
          <w:sz w:val="22"/>
          <w:szCs w:val="22"/>
        </w:rPr>
        <w:footnoteReference w:id="5"/>
      </w:r>
      <w:r w:rsidR="00685876" w:rsidRPr="00124D13">
        <w:rPr>
          <w:rFonts w:cstheme="minorHAnsi"/>
          <w:sz w:val="22"/>
          <w:szCs w:val="22"/>
        </w:rPr>
        <w:t xml:space="preserve"> </w:t>
      </w:r>
      <w:r w:rsidR="000802DE" w:rsidRPr="00124D13">
        <w:rPr>
          <w:rFonts w:cstheme="minorHAnsi"/>
          <w:sz w:val="22"/>
          <w:szCs w:val="22"/>
        </w:rPr>
        <w:t>After this, it was viewed as a martyrdom and mercy on Muslims, this was because “in the customary list of the five Muslim martyrdoms, death by plague and by battle are always included; they are equal in Allah’s favour and the believer is assured of reaching paradise.”</w:t>
      </w:r>
      <w:r w:rsidR="000802DE" w:rsidRPr="00124D13">
        <w:rPr>
          <w:rStyle w:val="FootnoteReference"/>
          <w:rFonts w:cstheme="minorHAnsi"/>
          <w:sz w:val="22"/>
          <w:szCs w:val="22"/>
        </w:rPr>
        <w:footnoteReference w:id="6"/>
      </w:r>
      <w:r w:rsidR="00C4129E" w:rsidRPr="00124D13">
        <w:rPr>
          <w:rFonts w:cstheme="minorHAnsi"/>
          <w:sz w:val="22"/>
          <w:szCs w:val="22"/>
        </w:rPr>
        <w:t xml:space="preserve"> This </w:t>
      </w:r>
      <w:r w:rsidR="004D4093" w:rsidRPr="00124D13">
        <w:rPr>
          <w:rFonts w:cstheme="minorHAnsi"/>
          <w:sz w:val="22"/>
          <w:szCs w:val="22"/>
        </w:rPr>
        <w:t>concept of martyrdom through death by</w:t>
      </w:r>
      <w:r w:rsidR="00016AC4">
        <w:rPr>
          <w:rFonts w:cstheme="minorHAnsi"/>
          <w:sz w:val="22"/>
          <w:szCs w:val="22"/>
        </w:rPr>
        <w:t xml:space="preserve"> </w:t>
      </w:r>
      <w:r w:rsidR="004D4093" w:rsidRPr="00124D13">
        <w:rPr>
          <w:rFonts w:cstheme="minorHAnsi"/>
          <w:sz w:val="22"/>
          <w:szCs w:val="22"/>
        </w:rPr>
        <w:t xml:space="preserve">Plague, links heavily to the concept of Jihad in Islam. Jihad is an Arabic word </w:t>
      </w:r>
      <w:r w:rsidR="00C4129E" w:rsidRPr="00124D13">
        <w:rPr>
          <w:rFonts w:cstheme="minorHAnsi"/>
          <w:color w:val="000000" w:themeColor="text1"/>
          <w:sz w:val="22"/>
          <w:szCs w:val="22"/>
          <w:shd w:val="clear" w:color="auto" w:fill="FFFFFF"/>
        </w:rPr>
        <w:t>that means "exerting", "striving", or "struggling", particularly with a praiseworthy aim.</w:t>
      </w:r>
      <w:r w:rsidR="004D4093" w:rsidRPr="00124D13">
        <w:rPr>
          <w:rFonts w:cstheme="minorHAnsi"/>
          <w:color w:val="000000" w:themeColor="text1"/>
          <w:sz w:val="22"/>
          <w:szCs w:val="22"/>
          <w:shd w:val="clear" w:color="auto" w:fill="FFFFFF"/>
        </w:rPr>
        <w:t xml:space="preserve"> In an Islamic context, it involves any effort to make personal and social life conform with God’s guidance, such as an internal struggle against evil in oneself. This therefore heavily links to the concept of plague and disease, and therefore shows that Muslim’s infected with the disease are battling almost a ‘Holy War’ inside themselves against evil, hence why they are considered martyrs if they die. </w:t>
      </w:r>
      <w:r w:rsidR="00E759AB" w:rsidRPr="00124D13">
        <w:rPr>
          <w:rFonts w:cstheme="minorHAnsi"/>
          <w:color w:val="000000" w:themeColor="text1"/>
          <w:sz w:val="22"/>
          <w:szCs w:val="22"/>
          <w:shd w:val="clear" w:color="auto" w:fill="FFFFFF"/>
        </w:rPr>
        <w:t>Therefore, this shows that death was celebrated in the Middle Ages as martyrdom through death by disease was an event to be celebrated as you would be deemed at righteous and holy, not just in Allah’s eyes but to all those who knew the deceased as well and would be forever known as a hero and defender of Islam.</w:t>
      </w:r>
    </w:p>
    <w:p w14:paraId="51839B98" w14:textId="40F4ECFC" w:rsidR="00E759AB" w:rsidRPr="00124D13" w:rsidRDefault="00E759AB" w:rsidP="002519B0">
      <w:pPr>
        <w:autoSpaceDE w:val="0"/>
        <w:autoSpaceDN w:val="0"/>
        <w:adjustRightInd w:val="0"/>
        <w:rPr>
          <w:rFonts w:cstheme="minorHAnsi"/>
          <w:color w:val="000000" w:themeColor="text1"/>
          <w:sz w:val="22"/>
          <w:szCs w:val="22"/>
          <w:shd w:val="clear" w:color="auto" w:fill="FFFFFF"/>
        </w:rPr>
      </w:pPr>
    </w:p>
    <w:p w14:paraId="3DA7299D" w14:textId="77777777" w:rsidR="00467D6B" w:rsidRDefault="00124D13" w:rsidP="00124D13">
      <w:pPr>
        <w:autoSpaceDE w:val="0"/>
        <w:autoSpaceDN w:val="0"/>
        <w:adjustRightInd w:val="0"/>
        <w:rPr>
          <w:rFonts w:cstheme="minorHAnsi"/>
          <w:color w:val="000000" w:themeColor="text1"/>
          <w:sz w:val="22"/>
          <w:szCs w:val="22"/>
          <w:shd w:val="clear" w:color="auto" w:fill="FFFFFF"/>
        </w:rPr>
      </w:pPr>
      <w:r w:rsidRPr="00124D13">
        <w:rPr>
          <w:rFonts w:cstheme="minorHAnsi"/>
          <w:color w:val="000000" w:themeColor="text1"/>
          <w:sz w:val="22"/>
          <w:szCs w:val="22"/>
          <w:shd w:val="clear" w:color="auto" w:fill="FFFFFF"/>
        </w:rPr>
        <w:t>However,</w:t>
      </w:r>
      <w:r w:rsidR="00E759AB" w:rsidRPr="00124D13">
        <w:rPr>
          <w:rFonts w:cstheme="minorHAnsi"/>
          <w:color w:val="000000" w:themeColor="text1"/>
          <w:sz w:val="22"/>
          <w:szCs w:val="22"/>
          <w:shd w:val="clear" w:color="auto" w:fill="FFFFFF"/>
        </w:rPr>
        <w:t xml:space="preserve"> the concept of death being celebrated in the Middle Ages can be disputed. For example, in Europe, a quick death was heavily feared. </w:t>
      </w:r>
      <w:r>
        <w:rPr>
          <w:rFonts w:cstheme="minorHAnsi"/>
          <w:color w:val="000000" w:themeColor="text1"/>
          <w:sz w:val="22"/>
          <w:szCs w:val="22"/>
          <w:shd w:val="clear" w:color="auto" w:fill="FFFFFF"/>
        </w:rPr>
        <w:t xml:space="preserve">This was because “commitments to care for the dead in the afterlife were contingent on the preparations an individual made prior to dying, ensuring his place in this continuum between the living and the dead. Failure to prepare would result in damage to material and social bonds in this world, but also hinder one’s </w:t>
      </w:r>
      <w:r>
        <w:rPr>
          <w:rFonts w:cstheme="minorHAnsi"/>
          <w:color w:val="000000" w:themeColor="text1"/>
          <w:sz w:val="22"/>
          <w:szCs w:val="22"/>
          <w:shd w:val="clear" w:color="auto" w:fill="FFFFFF"/>
        </w:rPr>
        <w:lastRenderedPageBreak/>
        <w:t>salvation in the next.”</w:t>
      </w:r>
      <w:r>
        <w:rPr>
          <w:rStyle w:val="FootnoteReference"/>
          <w:rFonts w:cstheme="minorHAnsi"/>
          <w:color w:val="000000" w:themeColor="text1"/>
          <w:sz w:val="22"/>
          <w:szCs w:val="22"/>
          <w:shd w:val="clear" w:color="auto" w:fill="FFFFFF"/>
        </w:rPr>
        <w:footnoteReference w:id="7"/>
      </w:r>
      <w:r w:rsidR="005332D7">
        <w:rPr>
          <w:rFonts w:cstheme="minorHAnsi"/>
          <w:color w:val="000000" w:themeColor="text1"/>
          <w:sz w:val="22"/>
          <w:szCs w:val="22"/>
          <w:shd w:val="clear" w:color="auto" w:fill="FFFFFF"/>
        </w:rPr>
        <w:t xml:space="preserve"> As a result of a quick death, these preparations would be unable to be executed properly, as result in the consequences as stated by the source. A quick death was often viewed as a punishment from God due to the belief that they are preventing you from preparing and being accepted into heaven.</w:t>
      </w:r>
      <w:r w:rsidR="00467D6B">
        <w:rPr>
          <w:rFonts w:cstheme="minorHAnsi"/>
          <w:color w:val="000000" w:themeColor="text1"/>
          <w:sz w:val="22"/>
          <w:szCs w:val="22"/>
          <w:shd w:val="clear" w:color="auto" w:fill="FFFFFF"/>
        </w:rPr>
        <w:t xml:space="preserve"> However, there is some irony with this. Criminals who were condemned to die, were still allowed time to repent for their sins, despite deemed a sinner in God’s eyes, so ironically this was deemed as a more desirable death as you were at least given time to be forgiven and repent despite being a sinner. </w:t>
      </w:r>
    </w:p>
    <w:p w14:paraId="128AC7C2" w14:textId="6E12DED0" w:rsidR="000802DE" w:rsidRDefault="00467D6B" w:rsidP="000802DE">
      <w:pPr>
        <w:autoSpaceDE w:val="0"/>
        <w:autoSpaceDN w:val="0"/>
        <w:adjustRightInd w:val="0"/>
        <w:rPr>
          <w:rFonts w:cstheme="minorHAnsi"/>
          <w:color w:val="000000" w:themeColor="text1"/>
          <w:sz w:val="22"/>
          <w:szCs w:val="22"/>
          <w:shd w:val="clear" w:color="auto" w:fill="FFFFFF"/>
        </w:rPr>
      </w:pPr>
      <w:r>
        <w:rPr>
          <w:rFonts w:cstheme="minorHAnsi"/>
          <w:color w:val="000000" w:themeColor="text1"/>
          <w:sz w:val="22"/>
          <w:szCs w:val="22"/>
          <w:shd w:val="clear" w:color="auto" w:fill="FFFFFF"/>
        </w:rPr>
        <w:t xml:space="preserve">In the Middle Ages, </w:t>
      </w:r>
      <w:r w:rsidR="005332D7">
        <w:rPr>
          <w:rFonts w:cstheme="minorHAnsi"/>
          <w:color w:val="000000" w:themeColor="text1"/>
          <w:sz w:val="22"/>
          <w:szCs w:val="22"/>
          <w:shd w:val="clear" w:color="auto" w:fill="FFFFFF"/>
        </w:rPr>
        <w:t>“</w:t>
      </w:r>
      <w:r>
        <w:rPr>
          <w:rFonts w:cstheme="minorHAnsi"/>
          <w:sz w:val="22"/>
          <w:szCs w:val="22"/>
        </w:rPr>
        <w:t>d</w:t>
      </w:r>
      <w:r w:rsidR="00124D13" w:rsidRPr="00124D13">
        <w:rPr>
          <w:rFonts w:cstheme="minorHAnsi"/>
          <w:sz w:val="22"/>
          <w:szCs w:val="22"/>
        </w:rPr>
        <w:t xml:space="preserve">ying suddenly was feared to the extent that, by the </w:t>
      </w:r>
      <w:r w:rsidR="005332D7" w:rsidRPr="00124D13">
        <w:rPr>
          <w:rFonts w:cstheme="minorHAnsi"/>
          <w:sz w:val="22"/>
          <w:szCs w:val="22"/>
        </w:rPr>
        <w:t xml:space="preserve">later Middle Ages, popular </w:t>
      </w:r>
      <w:r w:rsidRPr="00124D13">
        <w:rPr>
          <w:rFonts w:cstheme="minorHAnsi"/>
          <w:sz w:val="22"/>
          <w:szCs w:val="22"/>
        </w:rPr>
        <w:t>beliefs had developed that</w:t>
      </w:r>
      <w:r w:rsidR="00124D13" w:rsidRPr="00124D13">
        <w:rPr>
          <w:rFonts w:cstheme="minorHAnsi"/>
          <w:sz w:val="22"/>
          <w:szCs w:val="22"/>
        </w:rPr>
        <w:t xml:space="preserve"> one might prevent </w:t>
      </w:r>
      <w:r w:rsidRPr="00124D13">
        <w:rPr>
          <w:rFonts w:cstheme="minorHAnsi"/>
          <w:sz w:val="22"/>
          <w:szCs w:val="22"/>
        </w:rPr>
        <w:t>sudden death</w:t>
      </w:r>
      <w:r w:rsidR="00124D13" w:rsidRPr="00124D13">
        <w:rPr>
          <w:rFonts w:cstheme="minorHAnsi"/>
          <w:sz w:val="22"/>
          <w:szCs w:val="22"/>
        </w:rPr>
        <w:t xml:space="preserve"> by “looking at St. Christopher [...] and seeing the raised host,” but those protections lasted only for that </w:t>
      </w:r>
      <w:r w:rsidRPr="00124D13">
        <w:rPr>
          <w:rFonts w:cstheme="minorHAnsi"/>
          <w:sz w:val="22"/>
          <w:szCs w:val="22"/>
        </w:rPr>
        <w:t xml:space="preserve">single </w:t>
      </w:r>
      <w:r>
        <w:rPr>
          <w:rFonts w:cstheme="minorHAnsi"/>
          <w:sz w:val="22"/>
          <w:szCs w:val="22"/>
        </w:rPr>
        <w:t>day</w:t>
      </w:r>
      <w:r w:rsidR="00124D13" w:rsidRPr="00124D13">
        <w:rPr>
          <w:rFonts w:cstheme="minorHAnsi"/>
          <w:sz w:val="22"/>
          <w:szCs w:val="22"/>
        </w:rPr>
        <w:t>.</w:t>
      </w:r>
      <w:r w:rsidR="005332D7">
        <w:rPr>
          <w:rFonts w:cstheme="minorHAnsi"/>
          <w:sz w:val="22"/>
          <w:szCs w:val="22"/>
        </w:rPr>
        <w:t>”</w:t>
      </w:r>
      <w:r w:rsidR="005332D7">
        <w:rPr>
          <w:rStyle w:val="FootnoteReference"/>
          <w:rFonts w:cstheme="minorHAnsi"/>
          <w:sz w:val="22"/>
          <w:szCs w:val="22"/>
        </w:rPr>
        <w:footnoteReference w:id="8"/>
      </w:r>
      <w:r w:rsidR="005332D7">
        <w:rPr>
          <w:rFonts w:cstheme="minorHAnsi"/>
          <w:sz w:val="22"/>
          <w:szCs w:val="22"/>
        </w:rPr>
        <w:t xml:space="preserve"> </w:t>
      </w:r>
      <w:r>
        <w:rPr>
          <w:rFonts w:cstheme="minorHAnsi"/>
          <w:sz w:val="22"/>
          <w:szCs w:val="22"/>
        </w:rPr>
        <w:t xml:space="preserve">This again highlights the fear of a quick death in the middle ages as individuals would do anything to escape the unknown and lack of protection in the afterlife, which comes with this death. Perhaps it could be argued that this is the case today, hence it is one of the many reasons individuals choose to follow a religion or spiritual belief. </w:t>
      </w:r>
      <w:r w:rsidR="00417691">
        <w:rPr>
          <w:rFonts w:cstheme="minorHAnsi"/>
          <w:sz w:val="22"/>
          <w:szCs w:val="22"/>
        </w:rPr>
        <w:t xml:space="preserve">Also, the fear of a quick death could perhaps send a message to all, as a warning to what happens to those who do not worship God and pray regularly. </w:t>
      </w:r>
    </w:p>
    <w:p w14:paraId="64FACD6B" w14:textId="04A76574" w:rsidR="00417691" w:rsidRDefault="00417691" w:rsidP="000802DE">
      <w:pPr>
        <w:autoSpaceDE w:val="0"/>
        <w:autoSpaceDN w:val="0"/>
        <w:adjustRightInd w:val="0"/>
        <w:rPr>
          <w:rFonts w:cstheme="minorHAnsi"/>
          <w:color w:val="000000" w:themeColor="text1"/>
          <w:sz w:val="22"/>
          <w:szCs w:val="22"/>
          <w:shd w:val="clear" w:color="auto" w:fill="FFFFFF"/>
        </w:rPr>
      </w:pPr>
    </w:p>
    <w:p w14:paraId="229EFC7D" w14:textId="456C9759" w:rsidR="00183A86" w:rsidRDefault="00417691" w:rsidP="00167E36">
      <w:pPr>
        <w:autoSpaceDE w:val="0"/>
        <w:autoSpaceDN w:val="0"/>
        <w:adjustRightInd w:val="0"/>
        <w:rPr>
          <w:rFonts w:cstheme="minorHAnsi"/>
          <w:sz w:val="22"/>
          <w:szCs w:val="22"/>
        </w:rPr>
      </w:pPr>
      <w:r>
        <w:rPr>
          <w:rFonts w:cstheme="minorHAnsi"/>
          <w:color w:val="000000" w:themeColor="text1"/>
          <w:sz w:val="22"/>
          <w:szCs w:val="22"/>
          <w:shd w:val="clear" w:color="auto" w:fill="FFFFFF"/>
        </w:rPr>
        <w:t xml:space="preserve">In the Middle East, death was sometimes feared, but again only links to those who have sinned. </w:t>
      </w:r>
      <w:r w:rsidR="00167E36">
        <w:rPr>
          <w:rFonts w:cstheme="minorHAnsi"/>
          <w:color w:val="000000" w:themeColor="text1"/>
          <w:sz w:val="22"/>
          <w:szCs w:val="22"/>
          <w:shd w:val="clear" w:color="auto" w:fill="FFFFFF"/>
        </w:rPr>
        <w:t>Again,</w:t>
      </w:r>
      <w:r>
        <w:rPr>
          <w:rFonts w:cstheme="minorHAnsi"/>
          <w:color w:val="000000" w:themeColor="text1"/>
          <w:sz w:val="22"/>
          <w:szCs w:val="22"/>
          <w:shd w:val="clear" w:color="auto" w:fill="FFFFFF"/>
        </w:rPr>
        <w:t xml:space="preserve"> looking at the times when the Plague hit the Middle East, </w:t>
      </w:r>
      <w:r w:rsidR="00167E36">
        <w:rPr>
          <w:rFonts w:cstheme="minorHAnsi"/>
          <w:color w:val="000000" w:themeColor="text1"/>
          <w:sz w:val="22"/>
          <w:szCs w:val="22"/>
          <w:shd w:val="clear" w:color="auto" w:fill="FFFFFF"/>
        </w:rPr>
        <w:t>“</w:t>
      </w:r>
      <w:r>
        <w:rPr>
          <w:rFonts w:cstheme="minorHAnsi"/>
          <w:color w:val="000000" w:themeColor="text1"/>
          <w:sz w:val="22"/>
          <w:szCs w:val="22"/>
          <w:shd w:val="clear" w:color="auto" w:fill="FFFFFF"/>
        </w:rPr>
        <w:t xml:space="preserve">the disease was </w:t>
      </w:r>
      <w:r w:rsidR="00167E36">
        <w:rPr>
          <w:rFonts w:cstheme="minorHAnsi"/>
          <w:color w:val="000000" w:themeColor="text1"/>
          <w:sz w:val="22"/>
          <w:szCs w:val="22"/>
          <w:shd w:val="clear" w:color="auto" w:fill="FFFFFF"/>
        </w:rPr>
        <w:t>considered a martyrdom from God for a Muslim and a punishment for an infidel or criminal.”</w:t>
      </w:r>
      <w:r w:rsidR="00167E36">
        <w:rPr>
          <w:rStyle w:val="FootnoteReference"/>
          <w:rFonts w:cstheme="minorHAnsi"/>
          <w:color w:val="000000" w:themeColor="text1"/>
          <w:sz w:val="22"/>
          <w:szCs w:val="22"/>
          <w:shd w:val="clear" w:color="auto" w:fill="FFFFFF"/>
        </w:rPr>
        <w:footnoteReference w:id="9"/>
      </w:r>
      <w:r w:rsidR="00167E36">
        <w:rPr>
          <w:rFonts w:cstheme="minorHAnsi"/>
          <w:color w:val="000000" w:themeColor="text1"/>
          <w:sz w:val="22"/>
          <w:szCs w:val="22"/>
          <w:shd w:val="clear" w:color="auto" w:fill="FFFFFF"/>
        </w:rPr>
        <w:t xml:space="preserve"> This concept solely links to the Quran and the “theological point of view that only God can cause Plague or other diseases,”</w:t>
      </w:r>
      <w:r w:rsidR="00167E36">
        <w:rPr>
          <w:rStyle w:val="FootnoteReference"/>
          <w:rFonts w:cstheme="minorHAnsi"/>
          <w:color w:val="000000" w:themeColor="text1"/>
          <w:sz w:val="22"/>
          <w:szCs w:val="22"/>
          <w:shd w:val="clear" w:color="auto" w:fill="FFFFFF"/>
        </w:rPr>
        <w:footnoteReference w:id="10"/>
      </w:r>
      <w:r w:rsidR="00167E36">
        <w:rPr>
          <w:rFonts w:cstheme="minorHAnsi"/>
          <w:color w:val="000000" w:themeColor="text1"/>
          <w:sz w:val="22"/>
          <w:szCs w:val="22"/>
          <w:shd w:val="clear" w:color="auto" w:fill="FFFFFF"/>
        </w:rPr>
        <w:t xml:space="preserve"> so therefore is interpreted as a test of faith. Those who are loyal Muslim’s will pray to Allah and Muhammed for salvation not just for themselves but for others, whereas those who don’t are being punished via pain and suffering for their grave sins. This is demonstrated on multiple occasions in the Old Testament. For example, </w:t>
      </w:r>
      <w:r w:rsidR="00167E36">
        <w:rPr>
          <w:rFonts w:cstheme="minorHAnsi"/>
          <w:sz w:val="22"/>
          <w:szCs w:val="22"/>
        </w:rPr>
        <w:t>“</w:t>
      </w:r>
      <w:r w:rsidR="002519B0" w:rsidRPr="002519B0">
        <w:rPr>
          <w:rFonts w:cstheme="minorHAnsi"/>
          <w:sz w:val="22"/>
          <w:szCs w:val="22"/>
        </w:rPr>
        <w:t xml:space="preserve">David’s numbering of his people </w:t>
      </w:r>
      <w:r w:rsidR="00167E36">
        <w:rPr>
          <w:rFonts w:cstheme="minorHAnsi"/>
          <w:sz w:val="22"/>
          <w:szCs w:val="22"/>
        </w:rPr>
        <w:t xml:space="preserve">(in Israel) </w:t>
      </w:r>
      <w:r w:rsidR="002519B0" w:rsidRPr="002519B0">
        <w:rPr>
          <w:rFonts w:cstheme="minorHAnsi"/>
          <w:sz w:val="22"/>
          <w:szCs w:val="22"/>
        </w:rPr>
        <w:t xml:space="preserve">offended God, and in retribution for his presumption, David was given the choice of enduring seven years of famine, three months of flight before his enemies, or three days of pestilence. He chose the pestilence, and seven thousand people died. </w:t>
      </w:r>
      <w:r w:rsidR="00167E36">
        <w:rPr>
          <w:rFonts w:cstheme="minorHAnsi"/>
          <w:sz w:val="22"/>
          <w:szCs w:val="22"/>
        </w:rPr>
        <w:t>Similarly, God punished the Pharaoh with Plagues for not giving Moses and Aaron freedom to leave Egypt.”</w:t>
      </w:r>
      <w:r w:rsidR="00167E36">
        <w:rPr>
          <w:rStyle w:val="FootnoteReference"/>
          <w:rFonts w:cstheme="minorHAnsi"/>
          <w:sz w:val="22"/>
          <w:szCs w:val="22"/>
        </w:rPr>
        <w:footnoteReference w:id="11"/>
      </w:r>
      <w:r w:rsidR="00167E36">
        <w:rPr>
          <w:rFonts w:cstheme="minorHAnsi"/>
          <w:sz w:val="22"/>
          <w:szCs w:val="22"/>
        </w:rPr>
        <w:t xml:space="preserve"> </w:t>
      </w:r>
      <w:r w:rsidR="00887D0C">
        <w:rPr>
          <w:rFonts w:cstheme="minorHAnsi"/>
          <w:sz w:val="22"/>
          <w:szCs w:val="22"/>
        </w:rPr>
        <w:t xml:space="preserve">These tales, were written intentionally to demonstrate to all those who follow Abrahamic religions what happens if you abandon God. You will be punished in the most torturous way of all. This therefore shows that death was heavily feared, as because death by disease was viewed as made by God, many would be unsure if they were being punished by God for being a sinner or an infidel or being viewed as a martyr. This uncertainty in how God views people would strike fear in them as there could be no confirmation as to where you would most likely end up after death. </w:t>
      </w:r>
    </w:p>
    <w:p w14:paraId="71F71A14" w14:textId="2FB06EEC" w:rsidR="002337F1" w:rsidRPr="002337F1" w:rsidRDefault="002337F1" w:rsidP="002337F1">
      <w:pPr>
        <w:rPr>
          <w:rFonts w:cstheme="minorHAnsi"/>
          <w:sz w:val="22"/>
          <w:szCs w:val="22"/>
        </w:rPr>
      </w:pPr>
    </w:p>
    <w:p w14:paraId="4EEE9E16" w14:textId="337770B2" w:rsidR="006C67DD" w:rsidRDefault="002337F1" w:rsidP="002337F1">
      <w:pPr>
        <w:rPr>
          <w:rFonts w:cstheme="minorHAnsi"/>
          <w:sz w:val="22"/>
          <w:szCs w:val="22"/>
        </w:rPr>
      </w:pPr>
      <w:r>
        <w:rPr>
          <w:rFonts w:cstheme="minorHAnsi"/>
          <w:sz w:val="22"/>
          <w:szCs w:val="22"/>
        </w:rPr>
        <w:t xml:space="preserve">Although overall death was celebrated more than it was feared, </w:t>
      </w:r>
      <w:r w:rsidR="007935CC">
        <w:rPr>
          <w:rFonts w:cstheme="minorHAnsi"/>
          <w:sz w:val="22"/>
          <w:szCs w:val="22"/>
        </w:rPr>
        <w:t xml:space="preserve">but </w:t>
      </w:r>
      <w:r>
        <w:rPr>
          <w:rFonts w:cstheme="minorHAnsi"/>
          <w:sz w:val="22"/>
          <w:szCs w:val="22"/>
        </w:rPr>
        <w:t xml:space="preserve">an alternative viewpoint is that there were much worse fates than death. Disease was greatly feared during the Middle </w:t>
      </w:r>
      <w:r w:rsidR="006C67DD">
        <w:rPr>
          <w:rFonts w:cstheme="minorHAnsi"/>
          <w:sz w:val="22"/>
          <w:szCs w:val="22"/>
        </w:rPr>
        <w:t>Ages because</w:t>
      </w:r>
      <w:r>
        <w:rPr>
          <w:rFonts w:cstheme="minorHAnsi"/>
          <w:sz w:val="22"/>
          <w:szCs w:val="22"/>
        </w:rPr>
        <w:t xml:space="preserve"> nobody knew where it came from, so it was viewed as punishment from God. Leprosy was a disease that was deemed as a fate worse than death. This was because it is a disease that takes years for the symptoms to fully </w:t>
      </w:r>
      <w:r w:rsidR="006C67DD">
        <w:rPr>
          <w:rFonts w:cstheme="minorHAnsi"/>
          <w:sz w:val="22"/>
          <w:szCs w:val="22"/>
        </w:rPr>
        <w:t>develop and</w:t>
      </w:r>
      <w:r>
        <w:rPr>
          <w:rFonts w:cstheme="minorHAnsi"/>
          <w:sz w:val="22"/>
          <w:szCs w:val="22"/>
        </w:rPr>
        <w:t xml:space="preserve"> would lead to tissue loss where skin would fall off and your cartilage would shrink, leading to deformities in the fingers, </w:t>
      </w:r>
      <w:r w:rsidR="006C67DD">
        <w:rPr>
          <w:rFonts w:cstheme="minorHAnsi"/>
          <w:sz w:val="22"/>
          <w:szCs w:val="22"/>
        </w:rPr>
        <w:t>nose,</w:t>
      </w:r>
      <w:r>
        <w:rPr>
          <w:rFonts w:cstheme="minorHAnsi"/>
          <w:sz w:val="22"/>
          <w:szCs w:val="22"/>
        </w:rPr>
        <w:t xml:space="preserve"> and ears. Because of the way the disease progressed, there was a lot of stigma around it, and the infectiousness of it, so those infected where outcasted from society and sent to live in a Leper’s House </w:t>
      </w:r>
      <w:r w:rsidR="006C67DD">
        <w:rPr>
          <w:rFonts w:cstheme="minorHAnsi"/>
          <w:sz w:val="22"/>
          <w:szCs w:val="22"/>
        </w:rPr>
        <w:t xml:space="preserve">with others who were infected to </w:t>
      </w:r>
      <w:r w:rsidR="000E425A">
        <w:rPr>
          <w:rFonts w:cstheme="minorHAnsi"/>
          <w:sz w:val="22"/>
          <w:szCs w:val="22"/>
        </w:rPr>
        <w:t>them</w:t>
      </w:r>
      <w:r w:rsidR="006C67DD">
        <w:rPr>
          <w:rFonts w:cstheme="minorHAnsi"/>
          <w:sz w:val="22"/>
          <w:szCs w:val="22"/>
        </w:rPr>
        <w:t xml:space="preserve"> could be treated by the church. Although those infected with the Plague weren’t outcasted like those with Leprosy, similarly, infected houses were marked with a Red Cross to warn others of the disease, thus creating stigma as some Christians in Europe believed that only sinners would be inflicted with such a dreadful disease. </w:t>
      </w:r>
    </w:p>
    <w:p w14:paraId="41798414" w14:textId="6DCCDB43" w:rsidR="003B41EA" w:rsidRPr="003B41EA" w:rsidRDefault="003B41EA" w:rsidP="003B41EA">
      <w:pPr>
        <w:rPr>
          <w:rFonts w:cstheme="minorHAnsi"/>
          <w:sz w:val="22"/>
          <w:szCs w:val="22"/>
        </w:rPr>
      </w:pPr>
    </w:p>
    <w:p w14:paraId="67049E09" w14:textId="372FB37C" w:rsidR="003B41EA" w:rsidRDefault="003B41EA" w:rsidP="003B41EA">
      <w:pPr>
        <w:rPr>
          <w:rFonts w:cstheme="minorHAnsi"/>
          <w:sz w:val="22"/>
          <w:szCs w:val="22"/>
        </w:rPr>
      </w:pPr>
    </w:p>
    <w:p w14:paraId="3C056B52" w14:textId="36F3095F" w:rsidR="003B41EA" w:rsidRDefault="003B41EA" w:rsidP="003B41EA">
      <w:pPr>
        <w:rPr>
          <w:rFonts w:cstheme="minorHAnsi"/>
          <w:sz w:val="22"/>
          <w:szCs w:val="22"/>
        </w:rPr>
      </w:pPr>
    </w:p>
    <w:p w14:paraId="24BB6086" w14:textId="4372B472" w:rsidR="003B41EA" w:rsidRDefault="003B41EA" w:rsidP="003B41EA">
      <w:pPr>
        <w:rPr>
          <w:rFonts w:cstheme="minorHAnsi"/>
          <w:sz w:val="22"/>
          <w:szCs w:val="22"/>
        </w:rPr>
      </w:pPr>
    </w:p>
    <w:p w14:paraId="228142FF" w14:textId="53F3F259" w:rsidR="003B41EA" w:rsidRDefault="003B41EA" w:rsidP="003B41EA">
      <w:pPr>
        <w:rPr>
          <w:rFonts w:cstheme="minorHAnsi"/>
          <w:sz w:val="22"/>
          <w:szCs w:val="22"/>
        </w:rPr>
      </w:pPr>
    </w:p>
    <w:p w14:paraId="50A525A2" w14:textId="6AA1A7DE" w:rsidR="003B41EA" w:rsidRDefault="003B41EA" w:rsidP="003B41EA">
      <w:pPr>
        <w:rPr>
          <w:rFonts w:cstheme="minorHAnsi"/>
          <w:sz w:val="22"/>
          <w:szCs w:val="22"/>
        </w:rPr>
      </w:pPr>
    </w:p>
    <w:p w14:paraId="56B1DEB1" w14:textId="00B90D7D" w:rsidR="003B41EA" w:rsidRDefault="003B41EA" w:rsidP="003B41EA">
      <w:pPr>
        <w:rPr>
          <w:rFonts w:cstheme="minorHAnsi"/>
          <w:sz w:val="22"/>
          <w:szCs w:val="22"/>
        </w:rPr>
      </w:pPr>
    </w:p>
    <w:p w14:paraId="56471813" w14:textId="00737C6E" w:rsidR="003B41EA" w:rsidRDefault="003B41EA" w:rsidP="003B41EA">
      <w:pPr>
        <w:rPr>
          <w:rFonts w:cstheme="minorHAnsi"/>
          <w:sz w:val="22"/>
          <w:szCs w:val="22"/>
        </w:rPr>
      </w:pPr>
    </w:p>
    <w:p w14:paraId="697939A3" w14:textId="6AA50C76" w:rsidR="003B41EA" w:rsidRDefault="003B41EA" w:rsidP="003B41EA">
      <w:pPr>
        <w:rPr>
          <w:rFonts w:cstheme="minorHAnsi"/>
          <w:sz w:val="22"/>
          <w:szCs w:val="22"/>
        </w:rPr>
      </w:pPr>
    </w:p>
    <w:p w14:paraId="58DC05E6" w14:textId="0BDB2C23" w:rsidR="003B41EA" w:rsidRDefault="003B41EA" w:rsidP="003B41EA">
      <w:pPr>
        <w:rPr>
          <w:rFonts w:cstheme="minorHAnsi"/>
          <w:sz w:val="22"/>
          <w:szCs w:val="22"/>
        </w:rPr>
      </w:pPr>
    </w:p>
    <w:p w14:paraId="7238FD8C" w14:textId="39736A3D" w:rsidR="003B41EA" w:rsidRPr="003B41EA" w:rsidRDefault="003B41EA" w:rsidP="003B41EA">
      <w:pPr>
        <w:jc w:val="center"/>
        <w:rPr>
          <w:rFonts w:cstheme="minorHAnsi"/>
          <w:b/>
          <w:bCs/>
          <w:sz w:val="22"/>
          <w:szCs w:val="22"/>
          <w:u w:val="single"/>
        </w:rPr>
      </w:pPr>
      <w:r w:rsidRPr="003B41EA">
        <w:rPr>
          <w:rFonts w:cstheme="minorHAnsi"/>
          <w:b/>
          <w:bCs/>
          <w:sz w:val="22"/>
          <w:szCs w:val="22"/>
          <w:u w:val="single"/>
        </w:rPr>
        <w:lastRenderedPageBreak/>
        <w:t>Bibliography</w:t>
      </w:r>
    </w:p>
    <w:p w14:paraId="1BBF8B64" w14:textId="1E533E04" w:rsidR="003B41EA" w:rsidRPr="003B41EA" w:rsidRDefault="003B41EA" w:rsidP="003B41EA">
      <w:pPr>
        <w:jc w:val="center"/>
        <w:rPr>
          <w:rFonts w:cstheme="minorHAnsi"/>
          <w:b/>
          <w:bCs/>
          <w:sz w:val="22"/>
          <w:szCs w:val="22"/>
          <w:u w:val="single"/>
        </w:rPr>
      </w:pPr>
    </w:p>
    <w:p w14:paraId="7A7EEC40" w14:textId="2A010046" w:rsidR="003B41EA" w:rsidRPr="003B41EA" w:rsidRDefault="003B41EA" w:rsidP="003B41EA">
      <w:pPr>
        <w:rPr>
          <w:rFonts w:cstheme="minorHAnsi"/>
          <w:sz w:val="22"/>
          <w:szCs w:val="22"/>
        </w:rPr>
      </w:pPr>
      <w:r w:rsidRPr="003B41EA">
        <w:rPr>
          <w:rFonts w:cstheme="minorHAnsi"/>
          <w:sz w:val="22"/>
          <w:szCs w:val="22"/>
        </w:rPr>
        <w:t>Tomaini, Thea. “</w:t>
      </w:r>
      <w:r w:rsidRPr="003B41EA">
        <w:rPr>
          <w:rFonts w:cstheme="minorHAnsi"/>
          <w:b/>
          <w:bCs/>
          <w:sz w:val="22"/>
          <w:szCs w:val="22"/>
        </w:rPr>
        <w:t>Dealing with the Dead, Mortality and Community in Medieval and Early Modern Europe</w:t>
      </w:r>
      <w:r w:rsidRPr="003B41EA">
        <w:rPr>
          <w:rFonts w:cstheme="minorHAnsi"/>
          <w:sz w:val="22"/>
          <w:szCs w:val="22"/>
        </w:rPr>
        <w:t xml:space="preserve">” Koninklijke ﻿Brill﻿ </w:t>
      </w:r>
      <w:r w:rsidR="000E425A" w:rsidRPr="003B41EA">
        <w:rPr>
          <w:rFonts w:cstheme="minorHAnsi"/>
          <w:sz w:val="22"/>
          <w:szCs w:val="22"/>
        </w:rPr>
        <w:t>NV</w:t>
      </w:r>
      <w:r w:rsidRPr="003B41EA">
        <w:rPr>
          <w:rFonts w:cstheme="minorHAnsi"/>
          <w:sz w:val="22"/>
          <w:szCs w:val="22"/>
        </w:rPr>
        <w:t>, ﻿Leiden,﻿ The﻿ Netherlands, (2018). [accessed 20</w:t>
      </w:r>
      <w:r w:rsidRPr="003B41EA">
        <w:rPr>
          <w:rFonts w:cstheme="minorHAnsi"/>
          <w:sz w:val="22"/>
          <w:szCs w:val="22"/>
          <w:vertAlign w:val="superscript"/>
        </w:rPr>
        <w:t>th</w:t>
      </w:r>
      <w:r w:rsidRPr="003B41EA">
        <w:rPr>
          <w:rFonts w:cstheme="minorHAnsi"/>
          <w:sz w:val="22"/>
          <w:szCs w:val="22"/>
        </w:rPr>
        <w:t xml:space="preserve"> Nov 2024 via </w:t>
      </w:r>
      <w:hyperlink r:id="rId8" w:history="1">
        <w:r w:rsidRPr="003B41EA">
          <w:rPr>
            <w:rStyle w:val="Hyperlink"/>
            <w:rFonts w:cstheme="minorHAnsi"/>
            <w:sz w:val="22"/>
            <w:szCs w:val="22"/>
          </w:rPr>
          <w:t>https://librarysearch.uwtsd.ac.uk/discovery/search?vid=44WHELF_UWTSD:44WHELF_UWTSD_VU1</w:t>
        </w:r>
      </w:hyperlink>
      <w:r w:rsidRPr="003B41EA">
        <w:rPr>
          <w:rFonts w:cstheme="minorHAnsi"/>
          <w:sz w:val="22"/>
          <w:szCs w:val="22"/>
        </w:rPr>
        <w:t>]</w:t>
      </w:r>
    </w:p>
    <w:p w14:paraId="38BAC39C" w14:textId="6FEF05E5" w:rsidR="003B41EA" w:rsidRPr="003B41EA" w:rsidRDefault="003B41EA" w:rsidP="003B41EA">
      <w:pPr>
        <w:rPr>
          <w:rFonts w:cstheme="minorHAnsi"/>
          <w:sz w:val="22"/>
          <w:szCs w:val="22"/>
        </w:rPr>
      </w:pPr>
    </w:p>
    <w:p w14:paraId="3FC2144F" w14:textId="48F3148F" w:rsidR="003B41EA" w:rsidRDefault="003B41EA" w:rsidP="003B41EA">
      <w:pPr>
        <w:rPr>
          <w:rStyle w:val="Hyperlink"/>
          <w:sz w:val="22"/>
          <w:szCs w:val="22"/>
        </w:rPr>
      </w:pPr>
      <w:r w:rsidRPr="003B41EA">
        <w:rPr>
          <w:sz w:val="22"/>
          <w:szCs w:val="22"/>
        </w:rPr>
        <w:t>Nilsson Stutz, Liv and Tarlow, Sarah “</w:t>
      </w:r>
      <w:r w:rsidRPr="003B41EA">
        <w:rPr>
          <w:b/>
          <w:bCs/>
          <w:sz w:val="22"/>
          <w:szCs w:val="22"/>
        </w:rPr>
        <w:t xml:space="preserve">The Oxford Handbook of the </w:t>
      </w:r>
      <w:r w:rsidR="000E425A" w:rsidRPr="003B41EA">
        <w:rPr>
          <w:b/>
          <w:bCs/>
          <w:sz w:val="22"/>
          <w:szCs w:val="22"/>
        </w:rPr>
        <w:t>Archaeology</w:t>
      </w:r>
      <w:r w:rsidRPr="003B41EA">
        <w:rPr>
          <w:b/>
          <w:bCs/>
          <w:sz w:val="22"/>
          <w:szCs w:val="22"/>
        </w:rPr>
        <w:t xml:space="preserve"> of Death and Burial</w:t>
      </w:r>
      <w:r w:rsidRPr="003B41EA">
        <w:rPr>
          <w:sz w:val="22"/>
          <w:szCs w:val="22"/>
        </w:rPr>
        <w:t>” Oxford University Press, Oxford, UK (2013) [accessed 20</w:t>
      </w:r>
      <w:r w:rsidRPr="003B41EA">
        <w:rPr>
          <w:sz w:val="22"/>
          <w:szCs w:val="22"/>
          <w:vertAlign w:val="superscript"/>
        </w:rPr>
        <w:t>th</w:t>
      </w:r>
      <w:r w:rsidRPr="003B41EA">
        <w:rPr>
          <w:sz w:val="22"/>
          <w:szCs w:val="22"/>
        </w:rPr>
        <w:t xml:space="preserve"> Nov 2024 via </w:t>
      </w:r>
      <w:hyperlink r:id="rId9" w:history="1">
        <w:r w:rsidRPr="003B41EA">
          <w:rPr>
            <w:rStyle w:val="Hyperlink"/>
            <w:sz w:val="22"/>
            <w:szCs w:val="22"/>
          </w:rPr>
          <w:t>https://academic.oup.com/edited-volume/38604/chapter-abstract/334707878?redirectedFrom=fulltext</w:t>
        </w:r>
      </w:hyperlink>
      <w:r w:rsidRPr="003B41EA">
        <w:rPr>
          <w:sz w:val="22"/>
          <w:szCs w:val="22"/>
        </w:rPr>
        <w:t>]</w:t>
      </w:r>
    </w:p>
    <w:p w14:paraId="388BED4E" w14:textId="6B1B88DF" w:rsidR="003B41EA" w:rsidRPr="003B41EA" w:rsidRDefault="003B41EA" w:rsidP="003B41EA">
      <w:pPr>
        <w:rPr>
          <w:rStyle w:val="Hyperlink"/>
          <w:sz w:val="22"/>
          <w:szCs w:val="22"/>
        </w:rPr>
      </w:pPr>
    </w:p>
    <w:p w14:paraId="1A5ED46A" w14:textId="4307B4A8" w:rsidR="003B41EA" w:rsidRPr="003B41EA" w:rsidRDefault="003B41EA" w:rsidP="003B41EA">
      <w:pPr>
        <w:rPr>
          <w:rFonts w:cstheme="minorHAnsi"/>
          <w:sz w:val="22"/>
          <w:szCs w:val="22"/>
        </w:rPr>
      </w:pPr>
      <w:r w:rsidRPr="003B41EA">
        <w:rPr>
          <w:sz w:val="22"/>
          <w:szCs w:val="22"/>
        </w:rPr>
        <w:t>Dols, Michael W. “</w:t>
      </w:r>
      <w:r w:rsidRPr="003B41EA">
        <w:rPr>
          <w:b/>
          <w:bCs/>
          <w:sz w:val="22"/>
          <w:szCs w:val="22"/>
        </w:rPr>
        <w:t>The Black Death in the Middle East</w:t>
      </w:r>
      <w:r w:rsidRPr="003B41EA">
        <w:rPr>
          <w:sz w:val="22"/>
          <w:szCs w:val="22"/>
        </w:rPr>
        <w:t>” p? Princeton University Press, Princeton, New Jersey, USA (1977) [accessed 20</w:t>
      </w:r>
      <w:r w:rsidRPr="003B41EA">
        <w:rPr>
          <w:sz w:val="22"/>
          <w:szCs w:val="22"/>
          <w:vertAlign w:val="superscript"/>
        </w:rPr>
        <w:t>th</w:t>
      </w:r>
      <w:r w:rsidRPr="003B41EA">
        <w:rPr>
          <w:sz w:val="22"/>
          <w:szCs w:val="22"/>
        </w:rPr>
        <w:t xml:space="preserve"> Nov 2024 via </w:t>
      </w:r>
      <w:hyperlink r:id="rId10" w:anchor="page=4" w:history="1">
        <w:r w:rsidRPr="003B41EA">
          <w:rPr>
            <w:rStyle w:val="Hyperlink"/>
            <w:sz w:val="22"/>
            <w:szCs w:val="22"/>
          </w:rPr>
          <w:t>https://www-fulcrum-org.</w:t>
        </w:r>
        <w:r w:rsidRPr="007750B3">
          <w:rPr>
            <w:rStyle w:val="Hyperlink"/>
            <w:b/>
            <w:bCs/>
            <w:sz w:val="22"/>
            <w:szCs w:val="22"/>
          </w:rPr>
          <w:t>ezproxy</w:t>
        </w:r>
        <w:r w:rsidRPr="003B41EA">
          <w:rPr>
            <w:rStyle w:val="Hyperlink"/>
            <w:sz w:val="22"/>
            <w:szCs w:val="22"/>
          </w:rPr>
          <w:t>.uwtsd.ac.uk/epubs/7w62fb76k?locale=en#page=4</w:t>
        </w:r>
      </w:hyperlink>
      <w:r w:rsidRPr="003B41EA">
        <w:rPr>
          <w:sz w:val="22"/>
          <w:szCs w:val="22"/>
        </w:rPr>
        <w:t>]</w:t>
      </w:r>
    </w:p>
    <w:sectPr w:rsidR="003B41EA" w:rsidRPr="003B41EA" w:rsidSect="00EE3B06">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F79D72E" w14:textId="77777777" w:rsidR="004F57DF" w:rsidRDefault="004F57DF" w:rsidP="00BE7E72">
      <w:r>
        <w:separator/>
      </w:r>
    </w:p>
  </w:endnote>
  <w:endnote w:type="continuationSeparator" w:id="0">
    <w:p w14:paraId="5C18D644" w14:textId="77777777" w:rsidR="004F57DF" w:rsidRDefault="004F57DF" w:rsidP="00BE7E7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Garamond">
    <w:panose1 w:val="02020404030301010803"/>
    <w:charset w:val="00"/>
    <w:family w:val="roman"/>
    <w:pitch w:val="variable"/>
    <w:sig w:usb0="00000287" w:usb1="00000002" w:usb2="00000000" w:usb3="00000000" w:csb0="0000009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B79D048" w14:textId="77777777" w:rsidR="004F57DF" w:rsidRDefault="004F57DF" w:rsidP="00BE7E72">
      <w:r>
        <w:separator/>
      </w:r>
    </w:p>
  </w:footnote>
  <w:footnote w:type="continuationSeparator" w:id="0">
    <w:p w14:paraId="5629CF91" w14:textId="77777777" w:rsidR="004F57DF" w:rsidRDefault="004F57DF" w:rsidP="00BE7E72">
      <w:r>
        <w:continuationSeparator/>
      </w:r>
    </w:p>
  </w:footnote>
  <w:footnote w:id="1">
    <w:p w14:paraId="67AE6668" w14:textId="354F28D1" w:rsidR="000802DE" w:rsidRPr="005332D7" w:rsidRDefault="00BE7E72" w:rsidP="000802DE">
      <w:pPr>
        <w:pStyle w:val="NormalWeb"/>
        <w:spacing w:after="0" w:afterAutospacing="0"/>
        <w:rPr>
          <w:rFonts w:asciiTheme="minorHAnsi" w:hAnsiTheme="minorHAnsi" w:cstheme="minorHAnsi"/>
          <w:sz w:val="16"/>
          <w:szCs w:val="16"/>
        </w:rPr>
      </w:pPr>
      <w:r w:rsidRPr="005332D7">
        <w:rPr>
          <w:rStyle w:val="FootnoteReference"/>
          <w:rFonts w:asciiTheme="minorHAnsi" w:hAnsiTheme="minorHAnsi" w:cstheme="minorHAnsi"/>
          <w:sz w:val="16"/>
          <w:szCs w:val="16"/>
        </w:rPr>
        <w:footnoteRef/>
      </w:r>
      <w:r w:rsidRPr="005332D7">
        <w:rPr>
          <w:rFonts w:asciiTheme="minorHAnsi" w:hAnsiTheme="minorHAnsi" w:cstheme="minorHAnsi"/>
          <w:sz w:val="16"/>
          <w:szCs w:val="16"/>
        </w:rPr>
        <w:t xml:space="preserve"> Tomaini, Thea. “</w:t>
      </w:r>
      <w:r w:rsidRPr="005332D7">
        <w:rPr>
          <w:rFonts w:asciiTheme="minorHAnsi" w:hAnsiTheme="minorHAnsi" w:cstheme="minorHAnsi"/>
          <w:b/>
          <w:bCs/>
          <w:sz w:val="16"/>
          <w:szCs w:val="16"/>
        </w:rPr>
        <w:t>Dealing with the Dead, Mor</w:t>
      </w:r>
      <w:r w:rsidR="00B0109C" w:rsidRPr="005332D7">
        <w:rPr>
          <w:rFonts w:asciiTheme="minorHAnsi" w:hAnsiTheme="minorHAnsi" w:cstheme="minorHAnsi"/>
          <w:b/>
          <w:bCs/>
          <w:sz w:val="16"/>
          <w:szCs w:val="16"/>
        </w:rPr>
        <w:t>tal</w:t>
      </w:r>
      <w:r w:rsidRPr="005332D7">
        <w:rPr>
          <w:rFonts w:asciiTheme="minorHAnsi" w:hAnsiTheme="minorHAnsi" w:cstheme="minorHAnsi"/>
          <w:b/>
          <w:bCs/>
          <w:sz w:val="16"/>
          <w:szCs w:val="16"/>
        </w:rPr>
        <w:t>ity and Community in Medieval and Early Modern Europe</w:t>
      </w:r>
      <w:r w:rsidRPr="005332D7">
        <w:rPr>
          <w:rFonts w:asciiTheme="minorHAnsi" w:hAnsiTheme="minorHAnsi" w:cstheme="minorHAnsi"/>
          <w:sz w:val="16"/>
          <w:szCs w:val="16"/>
        </w:rPr>
        <w:t xml:space="preserve">” </w:t>
      </w:r>
      <w:r w:rsidR="001E76FB" w:rsidRPr="005332D7">
        <w:rPr>
          <w:rFonts w:asciiTheme="minorHAnsi" w:hAnsiTheme="minorHAnsi" w:cstheme="minorHAnsi"/>
          <w:sz w:val="16"/>
          <w:szCs w:val="16"/>
        </w:rPr>
        <w:t>Koninklijke ﻿Brill﻿</w:t>
      </w:r>
      <w:r w:rsidR="00C4129E" w:rsidRPr="005332D7">
        <w:rPr>
          <w:rFonts w:asciiTheme="minorHAnsi" w:hAnsiTheme="minorHAnsi" w:cstheme="minorHAnsi"/>
          <w:sz w:val="16"/>
          <w:szCs w:val="16"/>
        </w:rPr>
        <w:t xml:space="preserve"> </w:t>
      </w:r>
      <w:r w:rsidR="000E425A" w:rsidRPr="005332D7">
        <w:rPr>
          <w:rFonts w:asciiTheme="minorHAnsi" w:hAnsiTheme="minorHAnsi" w:cstheme="minorHAnsi"/>
          <w:sz w:val="16"/>
          <w:szCs w:val="16"/>
        </w:rPr>
        <w:t>NV</w:t>
      </w:r>
      <w:r w:rsidR="001E76FB" w:rsidRPr="005332D7">
        <w:rPr>
          <w:rFonts w:asciiTheme="minorHAnsi" w:hAnsiTheme="minorHAnsi" w:cstheme="minorHAnsi"/>
          <w:sz w:val="16"/>
          <w:szCs w:val="16"/>
        </w:rPr>
        <w:t>,</w:t>
      </w:r>
      <w:r w:rsidR="00C4129E" w:rsidRPr="005332D7">
        <w:rPr>
          <w:rFonts w:asciiTheme="minorHAnsi" w:hAnsiTheme="minorHAnsi" w:cstheme="minorHAnsi"/>
          <w:sz w:val="16"/>
          <w:szCs w:val="16"/>
        </w:rPr>
        <w:t xml:space="preserve"> </w:t>
      </w:r>
      <w:r w:rsidR="001E76FB" w:rsidRPr="005332D7">
        <w:rPr>
          <w:rFonts w:asciiTheme="minorHAnsi" w:hAnsiTheme="minorHAnsi" w:cstheme="minorHAnsi"/>
          <w:sz w:val="16"/>
          <w:szCs w:val="16"/>
        </w:rPr>
        <w:t>﻿Leiden,﻿ The﻿ Netherlands, (2018). [accessed 20</w:t>
      </w:r>
      <w:r w:rsidR="001E76FB" w:rsidRPr="005332D7">
        <w:rPr>
          <w:rFonts w:asciiTheme="minorHAnsi" w:hAnsiTheme="minorHAnsi" w:cstheme="minorHAnsi"/>
          <w:sz w:val="16"/>
          <w:szCs w:val="16"/>
          <w:vertAlign w:val="superscript"/>
        </w:rPr>
        <w:t>th</w:t>
      </w:r>
      <w:r w:rsidR="001E76FB" w:rsidRPr="005332D7">
        <w:rPr>
          <w:rFonts w:asciiTheme="minorHAnsi" w:hAnsiTheme="minorHAnsi" w:cstheme="minorHAnsi"/>
          <w:sz w:val="16"/>
          <w:szCs w:val="16"/>
        </w:rPr>
        <w:t xml:space="preserve"> Nov 2024</w:t>
      </w:r>
      <w:r w:rsidR="002519B0" w:rsidRPr="005332D7">
        <w:rPr>
          <w:rFonts w:asciiTheme="minorHAnsi" w:hAnsiTheme="minorHAnsi" w:cstheme="minorHAnsi"/>
          <w:sz w:val="16"/>
          <w:szCs w:val="16"/>
        </w:rPr>
        <w:t xml:space="preserve"> via </w:t>
      </w:r>
      <w:hyperlink r:id="rId1" w:history="1">
        <w:r w:rsidR="002519B0" w:rsidRPr="005332D7">
          <w:rPr>
            <w:rStyle w:val="Hyperlink"/>
            <w:rFonts w:asciiTheme="minorHAnsi" w:hAnsiTheme="minorHAnsi" w:cstheme="minorHAnsi"/>
            <w:sz w:val="16"/>
            <w:szCs w:val="16"/>
          </w:rPr>
          <w:t>https://librarysearch.uwtsd.ac.uk/discovery/search?vid=44WHELF_UWTSD:44WHELF_UWTSD_VU1</w:t>
        </w:r>
      </w:hyperlink>
      <w:r w:rsidR="00685876" w:rsidRPr="005332D7">
        <w:rPr>
          <w:rFonts w:asciiTheme="minorHAnsi" w:hAnsiTheme="minorHAnsi" w:cstheme="minorHAnsi"/>
          <w:sz w:val="16"/>
          <w:szCs w:val="16"/>
        </w:rPr>
        <w:t>]</w:t>
      </w:r>
    </w:p>
  </w:footnote>
  <w:footnote w:id="2">
    <w:p w14:paraId="393A844F" w14:textId="49968A1C" w:rsidR="00C17468" w:rsidRPr="005332D7" w:rsidRDefault="00C17468">
      <w:pPr>
        <w:pStyle w:val="FootnoteText"/>
        <w:rPr>
          <w:sz w:val="16"/>
          <w:szCs w:val="16"/>
        </w:rPr>
      </w:pPr>
      <w:r w:rsidRPr="005332D7">
        <w:rPr>
          <w:rStyle w:val="FootnoteReference"/>
          <w:sz w:val="16"/>
          <w:szCs w:val="16"/>
        </w:rPr>
        <w:footnoteRef/>
      </w:r>
      <w:r w:rsidRPr="005332D7">
        <w:rPr>
          <w:sz w:val="16"/>
          <w:szCs w:val="16"/>
        </w:rPr>
        <w:t xml:space="preserve"> ibid</w:t>
      </w:r>
    </w:p>
  </w:footnote>
  <w:footnote w:id="3">
    <w:p w14:paraId="7E0185C2" w14:textId="5895A008" w:rsidR="00016AC4" w:rsidRPr="00016AC4" w:rsidRDefault="00016AC4">
      <w:pPr>
        <w:pStyle w:val="FootnoteText"/>
        <w:rPr>
          <w:sz w:val="16"/>
          <w:szCs w:val="16"/>
        </w:rPr>
      </w:pPr>
      <w:r>
        <w:rPr>
          <w:rStyle w:val="FootnoteReference"/>
        </w:rPr>
        <w:footnoteRef/>
      </w:r>
      <w:r>
        <w:t xml:space="preserve"> </w:t>
      </w:r>
      <w:r>
        <w:rPr>
          <w:sz w:val="16"/>
          <w:szCs w:val="16"/>
        </w:rPr>
        <w:t>Nilsson Stutz, Liv and Tarlow, Sarah “</w:t>
      </w:r>
      <w:r>
        <w:rPr>
          <w:b/>
          <w:bCs/>
          <w:sz w:val="16"/>
          <w:szCs w:val="16"/>
        </w:rPr>
        <w:t xml:space="preserve">The Oxford Handbook of the </w:t>
      </w:r>
      <w:r w:rsidR="000E425A">
        <w:rPr>
          <w:b/>
          <w:bCs/>
          <w:sz w:val="16"/>
          <w:szCs w:val="16"/>
        </w:rPr>
        <w:t>Archaeology</w:t>
      </w:r>
      <w:r>
        <w:rPr>
          <w:b/>
          <w:bCs/>
          <w:sz w:val="16"/>
          <w:szCs w:val="16"/>
        </w:rPr>
        <w:t xml:space="preserve"> of Death and Burial</w:t>
      </w:r>
      <w:r>
        <w:rPr>
          <w:sz w:val="16"/>
          <w:szCs w:val="16"/>
        </w:rPr>
        <w:t>” Oxford University Press, Ox</w:t>
      </w:r>
      <w:r w:rsidR="00612AEE">
        <w:rPr>
          <w:sz w:val="16"/>
          <w:szCs w:val="16"/>
        </w:rPr>
        <w:t>ford, UK (2013) [accessed 20</w:t>
      </w:r>
      <w:r w:rsidR="00612AEE" w:rsidRPr="00612AEE">
        <w:rPr>
          <w:sz w:val="16"/>
          <w:szCs w:val="16"/>
          <w:vertAlign w:val="superscript"/>
        </w:rPr>
        <w:t>th</w:t>
      </w:r>
      <w:r w:rsidR="00612AEE">
        <w:rPr>
          <w:sz w:val="16"/>
          <w:szCs w:val="16"/>
        </w:rPr>
        <w:t xml:space="preserve"> Nov 2024 via </w:t>
      </w:r>
      <w:hyperlink r:id="rId2" w:history="1">
        <w:r w:rsidR="00612AEE" w:rsidRPr="003A4F29">
          <w:rPr>
            <w:rStyle w:val="Hyperlink"/>
            <w:sz w:val="16"/>
            <w:szCs w:val="16"/>
          </w:rPr>
          <w:t>https://academic.oup.com/edited-volume/38604/chapter-abstract/334707878?redirectedFrom=fulltext</w:t>
        </w:r>
      </w:hyperlink>
      <w:r w:rsidR="00612AEE">
        <w:rPr>
          <w:sz w:val="16"/>
          <w:szCs w:val="16"/>
        </w:rPr>
        <w:t xml:space="preserve">] </w:t>
      </w:r>
    </w:p>
  </w:footnote>
  <w:footnote w:id="4">
    <w:p w14:paraId="180E165E" w14:textId="4D47A477" w:rsidR="00612AEE" w:rsidRPr="00612AEE" w:rsidRDefault="00612AEE">
      <w:pPr>
        <w:pStyle w:val="FootnoteText"/>
        <w:rPr>
          <w:sz w:val="16"/>
          <w:szCs w:val="16"/>
        </w:rPr>
      </w:pPr>
      <w:r>
        <w:rPr>
          <w:rStyle w:val="FootnoteReference"/>
        </w:rPr>
        <w:footnoteRef/>
      </w:r>
      <w:r>
        <w:t xml:space="preserve"> </w:t>
      </w:r>
      <w:r>
        <w:rPr>
          <w:sz w:val="16"/>
          <w:szCs w:val="16"/>
        </w:rPr>
        <w:t>ibid</w:t>
      </w:r>
    </w:p>
  </w:footnote>
  <w:footnote w:id="5">
    <w:p w14:paraId="374ACD06" w14:textId="0AB4532A" w:rsidR="00685876" w:rsidRPr="005332D7" w:rsidRDefault="00685876">
      <w:pPr>
        <w:pStyle w:val="FootnoteText"/>
        <w:rPr>
          <w:sz w:val="16"/>
          <w:szCs w:val="16"/>
        </w:rPr>
      </w:pPr>
      <w:r w:rsidRPr="005332D7">
        <w:rPr>
          <w:rStyle w:val="FootnoteReference"/>
          <w:sz w:val="16"/>
          <w:szCs w:val="16"/>
        </w:rPr>
        <w:footnoteRef/>
      </w:r>
      <w:r w:rsidR="00612AEE">
        <w:rPr>
          <w:sz w:val="16"/>
          <w:szCs w:val="16"/>
        </w:rPr>
        <w:t xml:space="preserve"> </w:t>
      </w:r>
      <w:r w:rsidRPr="005332D7">
        <w:rPr>
          <w:sz w:val="16"/>
          <w:szCs w:val="16"/>
        </w:rPr>
        <w:t>Dols, Michael W. “</w:t>
      </w:r>
      <w:r w:rsidRPr="005332D7">
        <w:rPr>
          <w:b/>
          <w:bCs/>
          <w:sz w:val="16"/>
          <w:szCs w:val="16"/>
        </w:rPr>
        <w:t>The Black Death in the Middle East</w:t>
      </w:r>
      <w:r w:rsidRPr="005332D7">
        <w:rPr>
          <w:sz w:val="16"/>
          <w:szCs w:val="16"/>
        </w:rPr>
        <w:t>” p? Princeton University Press, Princeton, New Jersey, USA (1977) [accessed 20</w:t>
      </w:r>
      <w:r w:rsidRPr="005332D7">
        <w:rPr>
          <w:sz w:val="16"/>
          <w:szCs w:val="16"/>
          <w:vertAlign w:val="superscript"/>
        </w:rPr>
        <w:t>th</w:t>
      </w:r>
      <w:r w:rsidRPr="005332D7">
        <w:rPr>
          <w:sz w:val="16"/>
          <w:szCs w:val="16"/>
        </w:rPr>
        <w:t xml:space="preserve"> Nov 2024 via </w:t>
      </w:r>
      <w:hyperlink r:id="rId3" w:anchor="page=4" w:history="1">
        <w:r w:rsidRPr="005332D7">
          <w:rPr>
            <w:rStyle w:val="Hyperlink"/>
            <w:sz w:val="16"/>
            <w:szCs w:val="16"/>
          </w:rPr>
          <w:t>https://www-fulcrum-org.ezproxy.uwtsd.ac.uk/epubs/7w62fb76k?locale=en#page=4</w:t>
        </w:r>
      </w:hyperlink>
      <w:r w:rsidRPr="005332D7">
        <w:rPr>
          <w:sz w:val="16"/>
          <w:szCs w:val="16"/>
        </w:rPr>
        <w:t xml:space="preserve">] </w:t>
      </w:r>
    </w:p>
  </w:footnote>
  <w:footnote w:id="6">
    <w:p w14:paraId="29617B15" w14:textId="3F3D1C21" w:rsidR="000802DE" w:rsidRPr="005332D7" w:rsidRDefault="000802DE">
      <w:pPr>
        <w:pStyle w:val="FootnoteText"/>
        <w:rPr>
          <w:sz w:val="16"/>
          <w:szCs w:val="16"/>
        </w:rPr>
      </w:pPr>
      <w:r w:rsidRPr="005332D7">
        <w:rPr>
          <w:rStyle w:val="FootnoteReference"/>
          <w:sz w:val="16"/>
          <w:szCs w:val="16"/>
        </w:rPr>
        <w:footnoteRef/>
      </w:r>
      <w:r w:rsidRPr="005332D7">
        <w:rPr>
          <w:sz w:val="16"/>
          <w:szCs w:val="16"/>
        </w:rPr>
        <w:t xml:space="preserve"> ibid</w:t>
      </w:r>
    </w:p>
  </w:footnote>
  <w:footnote w:id="7">
    <w:p w14:paraId="2561FA60" w14:textId="6B417A90" w:rsidR="00124D13" w:rsidRPr="005332D7" w:rsidRDefault="00124D13">
      <w:pPr>
        <w:pStyle w:val="FootnoteText"/>
        <w:rPr>
          <w:rFonts w:cstheme="minorHAnsi"/>
          <w:sz w:val="16"/>
          <w:szCs w:val="16"/>
        </w:rPr>
      </w:pPr>
      <w:r w:rsidRPr="005332D7">
        <w:rPr>
          <w:rStyle w:val="FootnoteReference"/>
          <w:sz w:val="16"/>
          <w:szCs w:val="16"/>
        </w:rPr>
        <w:footnoteRef/>
      </w:r>
      <w:r w:rsidRPr="005332D7">
        <w:rPr>
          <w:sz w:val="16"/>
          <w:szCs w:val="16"/>
        </w:rPr>
        <w:t xml:space="preserve"> </w:t>
      </w:r>
      <w:r w:rsidRPr="005332D7">
        <w:rPr>
          <w:rFonts w:cstheme="minorHAnsi"/>
          <w:sz w:val="16"/>
          <w:szCs w:val="16"/>
        </w:rPr>
        <w:t>Tomaini, Thea. “</w:t>
      </w:r>
      <w:r w:rsidRPr="005332D7">
        <w:rPr>
          <w:rFonts w:cstheme="minorHAnsi"/>
          <w:b/>
          <w:bCs/>
          <w:sz w:val="16"/>
          <w:szCs w:val="16"/>
        </w:rPr>
        <w:t>Dealing with the Dead, Mortality and Community in Medieval and Early Modern Europe</w:t>
      </w:r>
      <w:r w:rsidRPr="005332D7">
        <w:rPr>
          <w:rFonts w:cstheme="minorHAnsi"/>
          <w:sz w:val="16"/>
          <w:szCs w:val="16"/>
        </w:rPr>
        <w:t xml:space="preserve">” Koninklijke ﻿Brill﻿ </w:t>
      </w:r>
      <w:r w:rsidR="000E425A" w:rsidRPr="005332D7">
        <w:rPr>
          <w:rFonts w:cstheme="minorHAnsi"/>
          <w:sz w:val="16"/>
          <w:szCs w:val="16"/>
        </w:rPr>
        <w:t>NV</w:t>
      </w:r>
      <w:r w:rsidRPr="005332D7">
        <w:rPr>
          <w:rFonts w:cstheme="minorHAnsi"/>
          <w:sz w:val="16"/>
          <w:szCs w:val="16"/>
        </w:rPr>
        <w:t>, ﻿Leiden,﻿ The﻿ Netherlands, (2018). [accessed 20</w:t>
      </w:r>
      <w:r w:rsidRPr="005332D7">
        <w:rPr>
          <w:rFonts w:cstheme="minorHAnsi"/>
          <w:sz w:val="16"/>
          <w:szCs w:val="16"/>
          <w:vertAlign w:val="superscript"/>
        </w:rPr>
        <w:t>th</w:t>
      </w:r>
      <w:r w:rsidRPr="005332D7">
        <w:rPr>
          <w:rFonts w:cstheme="minorHAnsi"/>
          <w:sz w:val="16"/>
          <w:szCs w:val="16"/>
        </w:rPr>
        <w:t xml:space="preserve"> Nov 2024 via </w:t>
      </w:r>
      <w:hyperlink r:id="rId4" w:history="1">
        <w:r w:rsidRPr="005332D7">
          <w:rPr>
            <w:rStyle w:val="Hyperlink"/>
            <w:rFonts w:cstheme="minorHAnsi"/>
            <w:sz w:val="16"/>
            <w:szCs w:val="16"/>
          </w:rPr>
          <w:t>https://librarysearch.uwtsd.ac.uk/discovery/search?vid=44WHELF_UWTSD:44WHELF_UWTSD_VU1</w:t>
        </w:r>
      </w:hyperlink>
      <w:r w:rsidRPr="005332D7">
        <w:rPr>
          <w:rFonts w:cstheme="minorHAnsi"/>
          <w:sz w:val="16"/>
          <w:szCs w:val="16"/>
        </w:rPr>
        <w:t>]</w:t>
      </w:r>
    </w:p>
  </w:footnote>
  <w:footnote w:id="8">
    <w:p w14:paraId="0B53FAA0" w14:textId="7A27AE6F" w:rsidR="005332D7" w:rsidRPr="00167E36" w:rsidRDefault="005332D7">
      <w:pPr>
        <w:pStyle w:val="FootnoteText"/>
        <w:rPr>
          <w:sz w:val="16"/>
          <w:szCs w:val="16"/>
        </w:rPr>
      </w:pPr>
      <w:r w:rsidRPr="00167E36">
        <w:rPr>
          <w:rStyle w:val="FootnoteReference"/>
          <w:sz w:val="16"/>
          <w:szCs w:val="16"/>
        </w:rPr>
        <w:footnoteRef/>
      </w:r>
      <w:r w:rsidRPr="00167E36">
        <w:rPr>
          <w:sz w:val="16"/>
          <w:szCs w:val="16"/>
        </w:rPr>
        <w:t xml:space="preserve"> ibid</w:t>
      </w:r>
    </w:p>
  </w:footnote>
  <w:footnote w:id="9">
    <w:p w14:paraId="079648E7" w14:textId="4ADDBD26" w:rsidR="00167E36" w:rsidRPr="00167E36" w:rsidRDefault="00167E36">
      <w:pPr>
        <w:pStyle w:val="FootnoteText"/>
        <w:rPr>
          <w:sz w:val="16"/>
          <w:szCs w:val="16"/>
        </w:rPr>
      </w:pPr>
      <w:r w:rsidRPr="00167E36">
        <w:rPr>
          <w:rStyle w:val="FootnoteReference"/>
          <w:sz w:val="16"/>
          <w:szCs w:val="16"/>
        </w:rPr>
        <w:footnoteRef/>
      </w:r>
      <w:r w:rsidRPr="00167E36">
        <w:rPr>
          <w:sz w:val="16"/>
          <w:szCs w:val="16"/>
        </w:rPr>
        <w:t xml:space="preserve"> Dols, Michael W. “</w:t>
      </w:r>
      <w:r w:rsidRPr="00167E36">
        <w:rPr>
          <w:b/>
          <w:bCs/>
          <w:sz w:val="16"/>
          <w:szCs w:val="16"/>
        </w:rPr>
        <w:t>The Black Death in the Middle East</w:t>
      </w:r>
      <w:r w:rsidRPr="00167E36">
        <w:rPr>
          <w:sz w:val="16"/>
          <w:szCs w:val="16"/>
        </w:rPr>
        <w:t>” p? Princeton University Press, Princeton, New Jersey, USA (1977) [accessed 20</w:t>
      </w:r>
      <w:r w:rsidRPr="00167E36">
        <w:rPr>
          <w:sz w:val="16"/>
          <w:szCs w:val="16"/>
          <w:vertAlign w:val="superscript"/>
        </w:rPr>
        <w:t>th</w:t>
      </w:r>
      <w:r w:rsidRPr="00167E36">
        <w:rPr>
          <w:sz w:val="16"/>
          <w:szCs w:val="16"/>
        </w:rPr>
        <w:t xml:space="preserve"> Nov 2024 via </w:t>
      </w:r>
      <w:hyperlink r:id="rId5" w:anchor="page=4" w:history="1">
        <w:r w:rsidRPr="00167E36">
          <w:rPr>
            <w:rStyle w:val="Hyperlink"/>
            <w:sz w:val="16"/>
            <w:szCs w:val="16"/>
          </w:rPr>
          <w:t>https://www-fulcrum-org.ezproxy.uwtsd.ac.uk/epubs/7w62fb76k?locale=en#page=4</w:t>
        </w:r>
      </w:hyperlink>
      <w:r w:rsidRPr="00167E36">
        <w:rPr>
          <w:sz w:val="16"/>
          <w:szCs w:val="16"/>
        </w:rPr>
        <w:t>]</w:t>
      </w:r>
    </w:p>
  </w:footnote>
  <w:footnote w:id="10">
    <w:p w14:paraId="33CF8AE4" w14:textId="5BA6300E" w:rsidR="00167E36" w:rsidRDefault="00167E36">
      <w:pPr>
        <w:pStyle w:val="FootnoteText"/>
      </w:pPr>
      <w:r w:rsidRPr="00167E36">
        <w:rPr>
          <w:rStyle w:val="FootnoteReference"/>
          <w:sz w:val="16"/>
          <w:szCs w:val="16"/>
        </w:rPr>
        <w:footnoteRef/>
      </w:r>
      <w:r w:rsidRPr="00167E36">
        <w:rPr>
          <w:sz w:val="16"/>
          <w:szCs w:val="16"/>
        </w:rPr>
        <w:t xml:space="preserve"> ibid</w:t>
      </w:r>
    </w:p>
  </w:footnote>
  <w:footnote w:id="11">
    <w:p w14:paraId="7C4673DF" w14:textId="53974E57" w:rsidR="00167E36" w:rsidRDefault="00167E36">
      <w:pPr>
        <w:pStyle w:val="FootnoteText"/>
      </w:pPr>
      <w:r>
        <w:rPr>
          <w:rStyle w:val="FootnoteReference"/>
        </w:rPr>
        <w:footnoteRef/>
      </w:r>
      <w:r>
        <w:t xml:space="preserve"> “”</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00001"/>
    <w:multiLevelType w:val="hybridMultilevel"/>
    <w:tmpl w:val="FFFFFFFF"/>
    <w:lvl w:ilvl="0" w:tplc="00000001">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15:restartNumberingAfterBreak="0">
    <w:nsid w:val="00000007"/>
    <w:multiLevelType w:val="singleLevel"/>
    <w:tmpl w:val="00000007"/>
    <w:name w:val="WW8Num7"/>
    <w:lvl w:ilvl="0">
      <w:start w:val="1"/>
      <w:numFmt w:val="decimal"/>
      <w:lvlText w:val="%1"/>
      <w:lvlJc w:val="left"/>
      <w:pPr>
        <w:tabs>
          <w:tab w:val="num" w:pos="0"/>
        </w:tabs>
        <w:ind w:left="720" w:hanging="360"/>
      </w:pPr>
      <w:rPr>
        <w:rFonts w:hint="default"/>
      </w:rPr>
    </w:lvl>
  </w:abstractNum>
  <w:abstractNum w:abstractNumId="2" w15:restartNumberingAfterBreak="0">
    <w:nsid w:val="06662E6B"/>
    <w:multiLevelType w:val="hybridMultilevel"/>
    <w:tmpl w:val="11AC589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78F801D7"/>
    <w:multiLevelType w:val="hybridMultilevel"/>
    <w:tmpl w:val="9DA2E4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80131064">
    <w:abstractNumId w:val="1"/>
  </w:num>
  <w:num w:numId="2" w16cid:durableId="758796056">
    <w:abstractNumId w:val="0"/>
  </w:num>
  <w:num w:numId="3" w16cid:durableId="2039037181">
    <w:abstractNumId w:val="2"/>
  </w:num>
  <w:num w:numId="4" w16cid:durableId="1057781777">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E3B06"/>
    <w:rsid w:val="00016AC4"/>
    <w:rsid w:val="000802DE"/>
    <w:rsid w:val="000E425A"/>
    <w:rsid w:val="00124D13"/>
    <w:rsid w:val="001620DF"/>
    <w:rsid w:val="00167E36"/>
    <w:rsid w:val="00183A86"/>
    <w:rsid w:val="001E76FB"/>
    <w:rsid w:val="002337F1"/>
    <w:rsid w:val="002519B0"/>
    <w:rsid w:val="003B41EA"/>
    <w:rsid w:val="003B52AE"/>
    <w:rsid w:val="00417691"/>
    <w:rsid w:val="0043074D"/>
    <w:rsid w:val="00467D6B"/>
    <w:rsid w:val="004D4093"/>
    <w:rsid w:val="004F57DF"/>
    <w:rsid w:val="005332D7"/>
    <w:rsid w:val="00565389"/>
    <w:rsid w:val="005E4A55"/>
    <w:rsid w:val="00610B70"/>
    <w:rsid w:val="00612AEE"/>
    <w:rsid w:val="00672883"/>
    <w:rsid w:val="00685876"/>
    <w:rsid w:val="006C67DD"/>
    <w:rsid w:val="007750B3"/>
    <w:rsid w:val="007935CC"/>
    <w:rsid w:val="008225A5"/>
    <w:rsid w:val="00887D0C"/>
    <w:rsid w:val="00B0109C"/>
    <w:rsid w:val="00BC3D94"/>
    <w:rsid w:val="00BE7E72"/>
    <w:rsid w:val="00C17468"/>
    <w:rsid w:val="00C4129E"/>
    <w:rsid w:val="00D1553E"/>
    <w:rsid w:val="00E609C6"/>
    <w:rsid w:val="00E759AB"/>
    <w:rsid w:val="00EE3B0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028AEB"/>
  <w15:chartTrackingRefBased/>
  <w15:docId w15:val="{8B6B0D68-4460-5740-BDB6-8BEDF99275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link w:val="BodyTextChar"/>
    <w:rsid w:val="00EE3B06"/>
    <w:pPr>
      <w:suppressAutoHyphens/>
      <w:spacing w:line="276" w:lineRule="auto"/>
    </w:pPr>
    <w:rPr>
      <w:rFonts w:ascii="Garamond" w:eastAsia="Times New Roman" w:hAnsi="Garamond" w:cs="Garamond"/>
      <w:lang w:eastAsia="zh-CN"/>
    </w:rPr>
  </w:style>
  <w:style w:type="character" w:customStyle="1" w:styleId="BodyTextChar">
    <w:name w:val="Body Text Char"/>
    <w:basedOn w:val="DefaultParagraphFont"/>
    <w:link w:val="BodyText"/>
    <w:rsid w:val="00EE3B06"/>
    <w:rPr>
      <w:rFonts w:ascii="Garamond" w:eastAsia="Times New Roman" w:hAnsi="Garamond" w:cs="Garamond"/>
      <w:lang w:eastAsia="zh-CN"/>
    </w:rPr>
  </w:style>
  <w:style w:type="character" w:styleId="Hyperlink">
    <w:name w:val="Hyperlink"/>
    <w:basedOn w:val="DefaultParagraphFont"/>
    <w:uiPriority w:val="99"/>
    <w:unhideWhenUsed/>
    <w:rsid w:val="00BC3D94"/>
    <w:rPr>
      <w:color w:val="0000FF"/>
      <w:u w:val="single"/>
    </w:rPr>
  </w:style>
  <w:style w:type="paragraph" w:styleId="NormalWeb">
    <w:name w:val="Normal (Web)"/>
    <w:basedOn w:val="Normal"/>
    <w:uiPriority w:val="99"/>
    <w:unhideWhenUsed/>
    <w:rsid w:val="00E609C6"/>
    <w:pPr>
      <w:spacing w:before="100" w:beforeAutospacing="1" w:after="100" w:afterAutospacing="1"/>
    </w:pPr>
    <w:rPr>
      <w:rFonts w:ascii="Times New Roman" w:eastAsia="Times New Roman" w:hAnsi="Times New Roman" w:cs="Times New Roman"/>
      <w:lang w:eastAsia="en-GB"/>
    </w:rPr>
  </w:style>
  <w:style w:type="paragraph" w:styleId="FootnoteText">
    <w:name w:val="footnote text"/>
    <w:basedOn w:val="Normal"/>
    <w:link w:val="FootnoteTextChar"/>
    <w:uiPriority w:val="99"/>
    <w:semiHidden/>
    <w:unhideWhenUsed/>
    <w:rsid w:val="00BE7E72"/>
    <w:rPr>
      <w:sz w:val="20"/>
      <w:szCs w:val="20"/>
    </w:rPr>
  </w:style>
  <w:style w:type="character" w:customStyle="1" w:styleId="FootnoteTextChar">
    <w:name w:val="Footnote Text Char"/>
    <w:basedOn w:val="DefaultParagraphFont"/>
    <w:link w:val="FootnoteText"/>
    <w:uiPriority w:val="99"/>
    <w:semiHidden/>
    <w:rsid w:val="00BE7E72"/>
    <w:rPr>
      <w:sz w:val="20"/>
      <w:szCs w:val="20"/>
    </w:rPr>
  </w:style>
  <w:style w:type="character" w:styleId="FootnoteReference">
    <w:name w:val="footnote reference"/>
    <w:basedOn w:val="DefaultParagraphFont"/>
    <w:uiPriority w:val="99"/>
    <w:semiHidden/>
    <w:unhideWhenUsed/>
    <w:rsid w:val="00BE7E72"/>
    <w:rPr>
      <w:vertAlign w:val="superscript"/>
    </w:rPr>
  </w:style>
  <w:style w:type="paragraph" w:styleId="Header">
    <w:name w:val="header"/>
    <w:basedOn w:val="Normal"/>
    <w:link w:val="HeaderChar"/>
    <w:uiPriority w:val="99"/>
    <w:unhideWhenUsed/>
    <w:rsid w:val="00C17468"/>
    <w:pPr>
      <w:tabs>
        <w:tab w:val="center" w:pos="4513"/>
        <w:tab w:val="right" w:pos="9026"/>
      </w:tabs>
    </w:pPr>
  </w:style>
  <w:style w:type="character" w:customStyle="1" w:styleId="HeaderChar">
    <w:name w:val="Header Char"/>
    <w:basedOn w:val="DefaultParagraphFont"/>
    <w:link w:val="Header"/>
    <w:uiPriority w:val="99"/>
    <w:rsid w:val="00C17468"/>
  </w:style>
  <w:style w:type="paragraph" w:styleId="Footer">
    <w:name w:val="footer"/>
    <w:basedOn w:val="Normal"/>
    <w:link w:val="FooterChar"/>
    <w:uiPriority w:val="99"/>
    <w:unhideWhenUsed/>
    <w:rsid w:val="00C17468"/>
    <w:pPr>
      <w:tabs>
        <w:tab w:val="center" w:pos="4513"/>
        <w:tab w:val="right" w:pos="9026"/>
      </w:tabs>
    </w:pPr>
  </w:style>
  <w:style w:type="character" w:customStyle="1" w:styleId="FooterChar">
    <w:name w:val="Footer Char"/>
    <w:basedOn w:val="DefaultParagraphFont"/>
    <w:link w:val="Footer"/>
    <w:uiPriority w:val="99"/>
    <w:rsid w:val="00C17468"/>
  </w:style>
  <w:style w:type="character" w:styleId="UnresolvedMention">
    <w:name w:val="Unresolved Mention"/>
    <w:basedOn w:val="DefaultParagraphFont"/>
    <w:uiPriority w:val="99"/>
    <w:semiHidden/>
    <w:unhideWhenUsed/>
    <w:rsid w:val="002519B0"/>
    <w:rPr>
      <w:color w:val="605E5C"/>
      <w:shd w:val="clear" w:color="auto" w:fill="E1DFDD"/>
    </w:rPr>
  </w:style>
  <w:style w:type="character" w:styleId="FollowedHyperlink">
    <w:name w:val="FollowedHyperlink"/>
    <w:basedOn w:val="DefaultParagraphFont"/>
    <w:uiPriority w:val="99"/>
    <w:semiHidden/>
    <w:unhideWhenUsed/>
    <w:rsid w:val="002519B0"/>
    <w:rPr>
      <w:color w:val="954F72" w:themeColor="followedHyperlink"/>
      <w:u w:val="single"/>
    </w:rPr>
  </w:style>
  <w:style w:type="paragraph" w:styleId="ListParagraph">
    <w:name w:val="List Paragraph"/>
    <w:basedOn w:val="Normal"/>
    <w:uiPriority w:val="34"/>
    <w:qFormat/>
    <w:rsid w:val="002519B0"/>
    <w:pPr>
      <w:ind w:left="720"/>
      <w:contextualSpacing/>
    </w:pPr>
  </w:style>
  <w:style w:type="character" w:styleId="Emphasis">
    <w:name w:val="Emphasis"/>
    <w:basedOn w:val="DefaultParagraphFont"/>
    <w:uiPriority w:val="20"/>
    <w:qFormat/>
    <w:rsid w:val="00C4129E"/>
    <w:rPr>
      <w:i/>
      <w:iCs/>
    </w:rPr>
  </w:style>
  <w:style w:type="character" w:customStyle="1" w:styleId="delimiter">
    <w:name w:val="delimiter"/>
    <w:basedOn w:val="DefaultParagraphFont"/>
    <w:rsid w:val="00016AC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2160671">
      <w:bodyDiv w:val="1"/>
      <w:marLeft w:val="0"/>
      <w:marRight w:val="0"/>
      <w:marTop w:val="0"/>
      <w:marBottom w:val="0"/>
      <w:divBdr>
        <w:top w:val="none" w:sz="0" w:space="0" w:color="auto"/>
        <w:left w:val="none" w:sz="0" w:space="0" w:color="auto"/>
        <w:bottom w:val="none" w:sz="0" w:space="0" w:color="auto"/>
        <w:right w:val="none" w:sz="0" w:space="0" w:color="auto"/>
      </w:divBdr>
      <w:divsChild>
        <w:div w:id="606541795">
          <w:marLeft w:val="0"/>
          <w:marRight w:val="0"/>
          <w:marTop w:val="0"/>
          <w:marBottom w:val="0"/>
          <w:divBdr>
            <w:top w:val="none" w:sz="0" w:space="0" w:color="auto"/>
            <w:left w:val="none" w:sz="0" w:space="0" w:color="auto"/>
            <w:bottom w:val="none" w:sz="0" w:space="0" w:color="auto"/>
            <w:right w:val="none" w:sz="0" w:space="0" w:color="auto"/>
          </w:divBdr>
        </w:div>
        <w:div w:id="1606496339">
          <w:marLeft w:val="0"/>
          <w:marRight w:val="0"/>
          <w:marTop w:val="0"/>
          <w:marBottom w:val="0"/>
          <w:divBdr>
            <w:top w:val="none" w:sz="0" w:space="0" w:color="auto"/>
            <w:left w:val="none" w:sz="0" w:space="0" w:color="auto"/>
            <w:bottom w:val="none" w:sz="0" w:space="0" w:color="auto"/>
            <w:right w:val="none" w:sz="0" w:space="0" w:color="auto"/>
          </w:divBdr>
        </w:div>
      </w:divsChild>
    </w:div>
    <w:div w:id="1550847879">
      <w:bodyDiv w:val="1"/>
      <w:marLeft w:val="0"/>
      <w:marRight w:val="0"/>
      <w:marTop w:val="0"/>
      <w:marBottom w:val="0"/>
      <w:divBdr>
        <w:top w:val="none" w:sz="0" w:space="0" w:color="auto"/>
        <w:left w:val="none" w:sz="0" w:space="0" w:color="auto"/>
        <w:bottom w:val="none" w:sz="0" w:space="0" w:color="auto"/>
        <w:right w:val="none" w:sz="0" w:space="0" w:color="auto"/>
      </w:divBdr>
      <w:divsChild>
        <w:div w:id="635990120">
          <w:marLeft w:val="0"/>
          <w:marRight w:val="0"/>
          <w:marTop w:val="0"/>
          <w:marBottom w:val="0"/>
          <w:divBdr>
            <w:top w:val="none" w:sz="0" w:space="0" w:color="auto"/>
            <w:left w:val="none" w:sz="0" w:space="0" w:color="auto"/>
            <w:bottom w:val="none" w:sz="0" w:space="0" w:color="auto"/>
            <w:right w:val="none" w:sz="0" w:space="0" w:color="auto"/>
          </w:divBdr>
          <w:divsChild>
            <w:div w:id="587693636">
              <w:marLeft w:val="0"/>
              <w:marRight w:val="0"/>
              <w:marTop w:val="0"/>
              <w:marBottom w:val="0"/>
              <w:divBdr>
                <w:top w:val="none" w:sz="0" w:space="0" w:color="auto"/>
                <w:left w:val="none" w:sz="0" w:space="0" w:color="auto"/>
                <w:bottom w:val="none" w:sz="0" w:space="0" w:color="auto"/>
                <w:right w:val="none" w:sz="0" w:space="0" w:color="auto"/>
              </w:divBdr>
              <w:divsChild>
                <w:div w:id="7338153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71258860">
      <w:bodyDiv w:val="1"/>
      <w:marLeft w:val="0"/>
      <w:marRight w:val="0"/>
      <w:marTop w:val="0"/>
      <w:marBottom w:val="0"/>
      <w:divBdr>
        <w:top w:val="none" w:sz="0" w:space="0" w:color="auto"/>
        <w:left w:val="none" w:sz="0" w:space="0" w:color="auto"/>
        <w:bottom w:val="none" w:sz="0" w:space="0" w:color="auto"/>
        <w:right w:val="none" w:sz="0" w:space="0" w:color="auto"/>
      </w:divBdr>
      <w:divsChild>
        <w:div w:id="509294365">
          <w:marLeft w:val="0"/>
          <w:marRight w:val="0"/>
          <w:marTop w:val="0"/>
          <w:marBottom w:val="0"/>
          <w:divBdr>
            <w:top w:val="none" w:sz="0" w:space="0" w:color="auto"/>
            <w:left w:val="none" w:sz="0" w:space="0" w:color="auto"/>
            <w:bottom w:val="none" w:sz="0" w:space="0" w:color="auto"/>
            <w:right w:val="none" w:sz="0" w:space="0" w:color="auto"/>
          </w:divBdr>
          <w:divsChild>
            <w:div w:id="1817795411">
              <w:marLeft w:val="0"/>
              <w:marRight w:val="0"/>
              <w:marTop w:val="0"/>
              <w:marBottom w:val="0"/>
              <w:divBdr>
                <w:top w:val="none" w:sz="0" w:space="0" w:color="auto"/>
                <w:left w:val="none" w:sz="0" w:space="0" w:color="auto"/>
                <w:bottom w:val="none" w:sz="0" w:space="0" w:color="auto"/>
                <w:right w:val="none" w:sz="0" w:space="0" w:color="auto"/>
              </w:divBdr>
              <w:divsChild>
                <w:div w:id="2169381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92030755">
      <w:bodyDiv w:val="1"/>
      <w:marLeft w:val="0"/>
      <w:marRight w:val="0"/>
      <w:marTop w:val="0"/>
      <w:marBottom w:val="0"/>
      <w:divBdr>
        <w:top w:val="none" w:sz="0" w:space="0" w:color="auto"/>
        <w:left w:val="none" w:sz="0" w:space="0" w:color="auto"/>
        <w:bottom w:val="none" w:sz="0" w:space="0" w:color="auto"/>
        <w:right w:val="none" w:sz="0" w:space="0" w:color="auto"/>
      </w:divBdr>
      <w:divsChild>
        <w:div w:id="1416129263">
          <w:marLeft w:val="0"/>
          <w:marRight w:val="0"/>
          <w:marTop w:val="0"/>
          <w:marBottom w:val="0"/>
          <w:divBdr>
            <w:top w:val="none" w:sz="0" w:space="0" w:color="auto"/>
            <w:left w:val="none" w:sz="0" w:space="0" w:color="auto"/>
            <w:bottom w:val="none" w:sz="0" w:space="0" w:color="auto"/>
            <w:right w:val="none" w:sz="0" w:space="0" w:color="auto"/>
          </w:divBdr>
        </w:div>
        <w:div w:id="6490315">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librarysearch.uwtsd.ac.uk/discovery/search?vid=44WHELF_UWTSD:44WHELF_UWTSD_VU1"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yperlink" Target="https://www-fulcrum-org.ezproxy.uwtsd.ac.uk/epubs/7w62fb76k?locale=en" TargetMode="External"/><Relationship Id="rId4" Type="http://schemas.openxmlformats.org/officeDocument/2006/relationships/settings" Target="settings.xml"/><Relationship Id="rId9" Type="http://schemas.openxmlformats.org/officeDocument/2006/relationships/hyperlink" Target="https://academic.oup.com/edited-volume/38604/chapter-abstract/334707878?redirectedFrom=fulltext" TargetMode="External"/></Relationships>
</file>

<file path=word/_rels/footnotes.xml.rels><?xml version="1.0" encoding="UTF-8" standalone="yes"?>
<Relationships xmlns="http://schemas.openxmlformats.org/package/2006/relationships"><Relationship Id="rId3" Type="http://schemas.openxmlformats.org/officeDocument/2006/relationships/hyperlink" Target="https://www-fulcrum-org.ezproxy.uwtsd.ac.uk/epubs/7w62fb76k?locale=en" TargetMode="External"/><Relationship Id="rId2" Type="http://schemas.openxmlformats.org/officeDocument/2006/relationships/hyperlink" Target="https://academic.oup.com/edited-volume/38604/chapter-abstract/334707878?redirectedFrom=fulltext" TargetMode="External"/><Relationship Id="rId1" Type="http://schemas.openxmlformats.org/officeDocument/2006/relationships/hyperlink" Target="https://librarysearch.uwtsd.ac.uk/discovery/search?vid=44WHELF_UWTSD:44WHELF_UWTSD_VU1" TargetMode="External"/><Relationship Id="rId5" Type="http://schemas.openxmlformats.org/officeDocument/2006/relationships/hyperlink" Target="https://www-fulcrum-org.ezproxy.uwtsd.ac.uk/epubs/7w62fb76k?locale=en" TargetMode="External"/><Relationship Id="rId4" Type="http://schemas.openxmlformats.org/officeDocument/2006/relationships/hyperlink" Target="https://librarysearch.uwtsd.ac.uk/discovery/search?vid=44WHELF_UWTSD:44WHELF_UWTSD_VU1" TargetMode="External"/></Relationships>
</file>

<file path=word/theme/theme1.xml><?xml version="1.0" encoding="utf-8"?>
<a:theme xmlns:a="http://schemas.openxmlformats.org/drawingml/2006/main" name="Office Theme 2013 - 2022">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2013 - 2022"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9569EFA9-27BA-2E4A-87E6-2221C1FA2FF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186</TotalTime>
  <Pages>3</Pages>
  <Words>1528</Words>
  <Characters>8710</Characters>
  <Application>Microsoft Office Word</Application>
  <DocSecurity>0</DocSecurity>
  <Lines>72</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10218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Harriet Ross (2400978)</dc:creator>
  <cp:keywords/>
  <dc:description/>
  <cp:lastModifiedBy>Harriet Ross (2400978)</cp:lastModifiedBy>
  <cp:revision>13</cp:revision>
  <dcterms:created xsi:type="dcterms:W3CDTF">2024-11-20T11:21:00Z</dcterms:created>
  <dcterms:modified xsi:type="dcterms:W3CDTF">2024-11-22T10:32:00Z</dcterms:modified>
</cp:coreProperties>
</file>