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45215220"/>
        <w:docPartObj>
          <w:docPartGallery w:val="Cover Pages"/>
          <w:docPartUnique/>
        </w:docPartObj>
      </w:sdtPr>
      <w:sdtEndPr>
        <w:rPr>
          <w:rFonts w:ascii="Arial" w:hAnsi="Arial" w:cs="Arial"/>
          <w:sz w:val="32"/>
          <w:szCs w:val="32"/>
        </w:rPr>
      </w:sdtEndPr>
      <w:sdtContent>
        <w:p w14:paraId="511D8D5A" w14:textId="0A1AB0E8" w:rsidR="00B447A6" w:rsidRPr="00FF429C" w:rsidRDefault="00FF429C">
          <w:pPr>
            <w:rPr>
              <w:rFonts w:ascii="Arial" w:hAnsi="Arial" w:cs="Arial"/>
              <w:sz w:val="24"/>
              <w:szCs w:val="24"/>
            </w:rPr>
          </w:pPr>
          <w:r w:rsidRPr="00FF429C">
            <w:rPr>
              <w:rFonts w:ascii="Arial" w:hAnsi="Arial" w:cs="Arial"/>
              <w:sz w:val="24"/>
              <w:szCs w:val="24"/>
            </w:rPr>
            <w:t>Irina-Diana Buture</w:t>
          </w:r>
        </w:p>
        <w:p w14:paraId="7AAE46DE" w14:textId="158E325E" w:rsidR="00FF429C" w:rsidRPr="00FF429C" w:rsidRDefault="00FF429C">
          <w:pPr>
            <w:rPr>
              <w:rFonts w:ascii="Arial" w:hAnsi="Arial" w:cs="Arial"/>
              <w:sz w:val="24"/>
              <w:szCs w:val="24"/>
            </w:rPr>
          </w:pPr>
          <w:r w:rsidRPr="00FF429C">
            <w:rPr>
              <w:rFonts w:ascii="Arial" w:hAnsi="Arial" w:cs="Arial"/>
              <w:sz w:val="24"/>
              <w:szCs w:val="24"/>
            </w:rPr>
            <w:t>2239006</w:t>
          </w:r>
        </w:p>
        <w:p w14:paraId="2378D079" w14:textId="5C3D0671" w:rsidR="00FF429C" w:rsidRPr="00FF429C" w:rsidRDefault="00FF429C">
          <w:pPr>
            <w:rPr>
              <w:rFonts w:ascii="Arial" w:hAnsi="Arial" w:cs="Arial"/>
              <w:sz w:val="24"/>
              <w:szCs w:val="24"/>
            </w:rPr>
          </w:pPr>
          <w:r w:rsidRPr="00FF429C">
            <w:rPr>
              <w:rFonts w:ascii="Arial" w:hAnsi="Arial" w:cs="Arial"/>
              <w:sz w:val="24"/>
              <w:szCs w:val="24"/>
            </w:rPr>
            <w:t>Personnel Resourcing &amp; Development</w:t>
          </w:r>
        </w:p>
        <w:p w14:paraId="56ABDC1B" w14:textId="683DD598" w:rsidR="00FF429C" w:rsidRPr="00FF429C" w:rsidRDefault="00FF429C">
          <w:pPr>
            <w:rPr>
              <w:rFonts w:ascii="Arial" w:hAnsi="Arial" w:cs="Arial"/>
              <w:sz w:val="24"/>
              <w:szCs w:val="24"/>
            </w:rPr>
          </w:pPr>
          <w:r w:rsidRPr="00FF429C">
            <w:rPr>
              <w:rFonts w:ascii="Arial" w:hAnsi="Arial" w:cs="Arial"/>
              <w:sz w:val="24"/>
              <w:szCs w:val="24"/>
            </w:rPr>
            <w:t>BMIH5005</w:t>
          </w:r>
        </w:p>
        <w:p w14:paraId="2E1DA3CF" w14:textId="794A5B17" w:rsidR="00FF429C" w:rsidRDefault="00FF429C">
          <w:pPr>
            <w:rPr>
              <w:rFonts w:ascii="Arial" w:hAnsi="Arial" w:cs="Arial"/>
              <w:sz w:val="24"/>
              <w:szCs w:val="24"/>
            </w:rPr>
          </w:pPr>
          <w:r w:rsidRPr="00FF429C">
            <w:rPr>
              <w:rFonts w:ascii="Arial" w:hAnsi="Arial" w:cs="Arial"/>
              <w:sz w:val="24"/>
              <w:szCs w:val="24"/>
            </w:rPr>
            <w:t>Scott James</w:t>
          </w:r>
        </w:p>
        <w:p w14:paraId="63A57DC1" w14:textId="77777777" w:rsidR="00FF429C" w:rsidRDefault="00FF429C" w:rsidP="00FF429C">
          <w:pPr>
            <w:jc w:val="center"/>
            <w:rPr>
              <w:rFonts w:ascii="Arial" w:hAnsi="Arial" w:cs="Arial"/>
              <w:sz w:val="24"/>
              <w:szCs w:val="24"/>
            </w:rPr>
          </w:pPr>
        </w:p>
        <w:p w14:paraId="5A5E121B" w14:textId="3A9B422D" w:rsidR="00FF429C" w:rsidRPr="00FF429C" w:rsidRDefault="00FF429C" w:rsidP="00FF429C">
          <w:pPr>
            <w:jc w:val="center"/>
            <w:rPr>
              <w:rFonts w:ascii="Arial" w:hAnsi="Arial" w:cs="Arial"/>
              <w:sz w:val="36"/>
              <w:szCs w:val="36"/>
            </w:rPr>
          </w:pPr>
          <w:r w:rsidRPr="00FF429C">
            <w:rPr>
              <w:rFonts w:ascii="Arial" w:hAnsi="Arial" w:cs="Arial"/>
              <w:sz w:val="36"/>
              <w:szCs w:val="36"/>
            </w:rPr>
            <w:t>Analyse the impacts of socio-economic force on employees’ performance management and monitoring in different work modes: Hospitality HR’s perspective</w:t>
          </w:r>
        </w:p>
        <w:p w14:paraId="0CFFAF55" w14:textId="77777777" w:rsidR="00FF429C" w:rsidRDefault="00FF429C" w:rsidP="007A7F34">
          <w:pPr>
            <w:rPr>
              <w:rFonts w:ascii="Arial" w:hAnsi="Arial" w:cs="Arial"/>
              <w:sz w:val="32"/>
              <w:szCs w:val="32"/>
            </w:rPr>
          </w:pPr>
        </w:p>
        <w:p w14:paraId="45F6B431" w14:textId="77777777" w:rsidR="00FF429C" w:rsidRDefault="00FF429C" w:rsidP="007A7F34">
          <w:pPr>
            <w:rPr>
              <w:rFonts w:ascii="Arial" w:hAnsi="Arial" w:cs="Arial"/>
              <w:sz w:val="32"/>
              <w:szCs w:val="32"/>
            </w:rPr>
          </w:pPr>
        </w:p>
        <w:p w14:paraId="43869B2A" w14:textId="47F610FE" w:rsidR="00FF429C" w:rsidRDefault="00000000" w:rsidP="007A7F34">
          <w:pPr>
            <w:rPr>
              <w:rFonts w:ascii="Arial" w:hAnsi="Arial" w:cs="Arial"/>
              <w:sz w:val="32"/>
              <w:szCs w:val="32"/>
            </w:rPr>
          </w:pPr>
        </w:p>
      </w:sdtContent>
    </w:sdt>
    <w:p w14:paraId="2AC4AAB2" w14:textId="77777777" w:rsidR="00FF429C" w:rsidRPr="002907BE" w:rsidRDefault="00FF429C" w:rsidP="00FF429C">
      <w:pPr>
        <w:rPr>
          <w:rFonts w:ascii="Arial" w:hAnsi="Arial" w:cs="Arial"/>
          <w:sz w:val="24"/>
          <w:szCs w:val="24"/>
        </w:rPr>
      </w:pPr>
    </w:p>
    <w:p w14:paraId="4462DE02"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Introduction</w:t>
      </w:r>
    </w:p>
    <w:p w14:paraId="1FEBC73F"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This research proposal aims to investigate the influence of socioeconomic forces on employee performance management at Marriott Hotels, with an emphasis on various work modes. The proposal will provide a brief history of the Marriott Hotel chain, analyse pertinent socioeconomic factors, discuss industry trends such as retention and turnover rates, and examine the rise of different work modes within the hospitality sector over the past five years. Furthermore, it will illustrate industry examples, specifically examining Marriott’s strategies for managing employee performance.</w:t>
      </w:r>
    </w:p>
    <w:p w14:paraId="33479188" w14:textId="77777777" w:rsidR="009C68BB" w:rsidRPr="00C36704" w:rsidRDefault="009C68BB" w:rsidP="009C68BB">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Background: Marriott International – Origins and Early Growth (1927–1956)</w:t>
      </w:r>
    </w:p>
    <w:p w14:paraId="5BA6D97C"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Marriott International traces its origins to May 1927, when founders J. Willard and Alice Sheets Marriott launched an A&amp;W Root Beer franchise in Washington, D.C. to provide refreshments during the capital’s hot, humid summers. These initial years, spanning from 1927 to 1956, marked a formative period characterised by innovation and a dedication to customer satisfaction, laying the foundation for Marriott’s rise to a global leader in hospitality (Mills, 2018). This early growth phase established Marriott’s commitment to quality and adaptability, values that would become cornerstones of its enduring success in the hospitality industry (Mills &amp; Collins, 2020).</w:t>
      </w:r>
    </w:p>
    <w:p w14:paraId="2AF2440A" w14:textId="77777777" w:rsidR="009C68BB" w:rsidRPr="00C36704" w:rsidRDefault="009C68BB" w:rsidP="009C68BB">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Socioeconomic Factors (PESTLE Analysis)</w:t>
      </w:r>
    </w:p>
    <w:p w14:paraId="2B28ECE1" w14:textId="77777777" w:rsidR="009C68BB" w:rsidRPr="00C36704" w:rsidRDefault="009C68BB" w:rsidP="009C68BB">
      <w:p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Political Factors</w:t>
      </w:r>
    </w:p>
    <w:p w14:paraId="5C1444E2"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lastRenderedPageBreak/>
        <w:t>Political stability and governmental policies are crucial in the hospitality industry, impacting regulations around labour laws, health and safety, and environmental requirements. Operating in diverse countries, Marriott must navigate varying political landscapes and compliance mandates, adapting its practices to meet local legislative demands (Anxo et al., 2006).</w:t>
      </w:r>
    </w:p>
    <w:p w14:paraId="10A38771" w14:textId="77777777" w:rsidR="009C68BB" w:rsidRPr="00C36704" w:rsidRDefault="009C68BB" w:rsidP="009C68BB">
      <w:p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Economic Factors</w:t>
      </w:r>
    </w:p>
    <w:p w14:paraId="6C8FBEC2"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Economic conditions—such as inflation, recession, and exchange rates—profoundly affect consumer spending and travel patterns. In economic downturns, luxury hotel bookings generally decline, impacting revenues and necessitating cost-cutting strategies. Conversely, periods of economic growth often yield higher occupancy rates and increased profitability (Lewis et al., 2007).</w:t>
      </w:r>
    </w:p>
    <w:p w14:paraId="619607F8" w14:textId="77777777" w:rsidR="009C68BB" w:rsidRPr="00C36704" w:rsidRDefault="009C68BB" w:rsidP="009C68BB">
      <w:p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Social Factors</w:t>
      </w:r>
    </w:p>
    <w:p w14:paraId="53BC99B9"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Social trends, including shifts in consumer preferences and work-life balance expectations, influence both customer and employee behaviours in hospitality. For example, the rise of “experiential travel,” where guests seek unique experiences, prompts hotels like Marriott to innovate their offerings. Moreover, heightened awareness around work-life balance has influenced employee expectations, leading to a broader acceptance of flexible work modes (House et al., 2004).</w:t>
      </w:r>
    </w:p>
    <w:p w14:paraId="056225E1" w14:textId="77777777" w:rsidR="009C68BB" w:rsidRPr="00C36704" w:rsidRDefault="009C68BB" w:rsidP="009C68BB">
      <w:p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Technological Factors</w:t>
      </w:r>
    </w:p>
    <w:p w14:paraId="2153C9C9"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Technological advances have transformed the hospitality industry, enhancing guest experiences and operational efficiency. Modern management heavily relies on automation, online booking, and data analytics. For employees, technology has redefined roles, demanding ongoing training to keep pace with evolving tools and systems (</w:t>
      </w:r>
      <w:proofErr w:type="spellStart"/>
      <w:r w:rsidRPr="00C36704">
        <w:rPr>
          <w:rFonts w:ascii="Arial" w:eastAsia="Times New Roman" w:hAnsi="Arial" w:cs="Arial"/>
          <w:kern w:val="0"/>
          <w:sz w:val="24"/>
          <w:szCs w:val="24"/>
          <w:lang w:eastAsia="en-GB"/>
          <w14:ligatures w14:val="none"/>
        </w:rPr>
        <w:t>Gudykunst</w:t>
      </w:r>
      <w:proofErr w:type="spellEnd"/>
      <w:r w:rsidRPr="00C36704">
        <w:rPr>
          <w:rFonts w:ascii="Arial" w:eastAsia="Times New Roman" w:hAnsi="Arial" w:cs="Arial"/>
          <w:kern w:val="0"/>
          <w:sz w:val="24"/>
          <w:szCs w:val="24"/>
          <w:lang w:eastAsia="en-GB"/>
          <w14:ligatures w14:val="none"/>
        </w:rPr>
        <w:t xml:space="preserve"> &amp; Kim, 2003).</w:t>
      </w:r>
    </w:p>
    <w:p w14:paraId="2670DB78" w14:textId="77777777" w:rsidR="009C68BB" w:rsidRPr="00C36704" w:rsidRDefault="009C68BB" w:rsidP="009C68BB">
      <w:p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Environmental Factors</w:t>
      </w:r>
    </w:p>
    <w:p w14:paraId="52A04DF4"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Sustainability has become increasingly significant in hospitality, with eco-conscious guests seeking hotels that implement green initiatives. Marriott’s environmental strategy includes reducing its carbon footprint and enhancing sustainability practices across its locations, aligning with both customer expectations and broader societal shifts towards environmental responsibility (Trompenaars &amp; Hampden-Turner, 1997).</w:t>
      </w:r>
    </w:p>
    <w:p w14:paraId="6ADB6ECB" w14:textId="77777777" w:rsidR="009C68BB" w:rsidRPr="00C36704" w:rsidRDefault="009C68BB" w:rsidP="009C68BB">
      <w:p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Legal Factors</w:t>
      </w:r>
    </w:p>
    <w:p w14:paraId="7F3643D3"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Compliance with diverse legal standards across countries is essential for Marriott’s global operations, covering aspects like labour rights, employment contracts, and health regulations. Marriott’s legal framework is designed to ensure adherence to these varying legal standards, which is necessary for a company with a multinational presence (Hofstede, 2001).</w:t>
      </w:r>
    </w:p>
    <w:p w14:paraId="5FD4ED03" w14:textId="77777777" w:rsidR="009C68BB" w:rsidRPr="00C36704" w:rsidRDefault="009C68BB" w:rsidP="009C68BB">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Industry Trends</w:t>
      </w:r>
    </w:p>
    <w:p w14:paraId="06957392" w14:textId="77777777" w:rsidR="009C68BB" w:rsidRPr="00C36704" w:rsidRDefault="009C68BB" w:rsidP="009C68BB">
      <w:p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Retention and Turnover Rates</w:t>
      </w:r>
    </w:p>
    <w:p w14:paraId="2E7F5599"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lastRenderedPageBreak/>
        <w:t>Retention and turnover rates are critical in hospitality, affecting operational stability and service quality. Employee turnover in this sector often exceeds 70% annually, driven by factors like seasonal employment and work conditions. To mitigate these effects, Marriott has implemented retention strategies such as career development programmes, competitive pay, and a supportive work culture (Lewis, 2006).</w:t>
      </w:r>
    </w:p>
    <w:p w14:paraId="660392D7" w14:textId="77777777" w:rsidR="009C68BB" w:rsidRPr="00C36704" w:rsidRDefault="009C68BB" w:rsidP="009C68BB">
      <w:pPr>
        <w:spacing w:before="100" w:beforeAutospacing="1" w:after="100" w:afterAutospacing="1" w:line="240" w:lineRule="auto"/>
        <w:outlineLvl w:val="3"/>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Emergence of Different Work Modes</w:t>
      </w:r>
    </w:p>
    <w:p w14:paraId="32252E27" w14:textId="77777777" w:rsidR="009C68BB" w:rsidRPr="00C36704" w:rsidRDefault="009C68BB" w:rsidP="009C68BB">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Traditional Full-Time Employment</w:t>
      </w:r>
      <w:r w:rsidRPr="00C36704">
        <w:rPr>
          <w:rFonts w:ascii="Arial" w:eastAsia="Times New Roman" w:hAnsi="Arial" w:cs="Arial"/>
          <w:kern w:val="0"/>
          <w:sz w:val="24"/>
          <w:szCs w:val="24"/>
          <w:lang w:eastAsia="en-GB"/>
          <w14:ligatures w14:val="none"/>
        </w:rPr>
        <w:t>: The hospitality sector has traditionally relied on fixed full-time employment to ensure consistent service delivery. However, this model is gradually evolving to accommodate flexibility.</w:t>
      </w:r>
    </w:p>
    <w:p w14:paraId="57686529" w14:textId="77777777" w:rsidR="009C68BB" w:rsidRPr="00C36704" w:rsidRDefault="009C68BB" w:rsidP="009C68BB">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Part-Time and Seasonal Work</w:t>
      </w:r>
      <w:r w:rsidRPr="00C36704">
        <w:rPr>
          <w:rFonts w:ascii="Arial" w:eastAsia="Times New Roman" w:hAnsi="Arial" w:cs="Arial"/>
          <w:kern w:val="0"/>
          <w:sz w:val="24"/>
          <w:szCs w:val="24"/>
          <w:lang w:eastAsia="en-GB"/>
          <w14:ligatures w14:val="none"/>
        </w:rPr>
        <w:t>: Part-time and seasonal employment models help address fluctuations in customer demand but can affect service consistency. Marriott uses these models for positions that support short-term demand peaks.</w:t>
      </w:r>
    </w:p>
    <w:p w14:paraId="5AFDAB50" w14:textId="77777777" w:rsidR="009C68BB" w:rsidRPr="00C36704" w:rsidRDefault="009C68BB" w:rsidP="009C68BB">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Remote Work</w:t>
      </w:r>
      <w:r w:rsidRPr="00C36704">
        <w:rPr>
          <w:rFonts w:ascii="Arial" w:eastAsia="Times New Roman" w:hAnsi="Arial" w:cs="Arial"/>
          <w:kern w:val="0"/>
          <w:sz w:val="24"/>
          <w:szCs w:val="24"/>
          <w:lang w:eastAsia="en-GB"/>
          <w14:ligatures w14:val="none"/>
        </w:rPr>
        <w:t>: The COVID-19 pandemic accelerated the adoption of remote work in hospitality, particularly for administrative roles. Remote work has improved flexibility and cost management but presents challenges in collaboration and maintaining company culture (Anxo et al., 2006).</w:t>
      </w:r>
    </w:p>
    <w:p w14:paraId="50A1F899" w14:textId="77777777" w:rsidR="009C68BB" w:rsidRPr="00C36704" w:rsidRDefault="009C68BB" w:rsidP="009C68BB">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Hybrid Work Models</w:t>
      </w:r>
      <w:r w:rsidRPr="00C36704">
        <w:rPr>
          <w:rFonts w:ascii="Arial" w:eastAsia="Times New Roman" w:hAnsi="Arial" w:cs="Arial"/>
          <w:kern w:val="0"/>
          <w:sz w:val="24"/>
          <w:szCs w:val="24"/>
          <w:lang w:eastAsia="en-GB"/>
          <w14:ligatures w14:val="none"/>
        </w:rPr>
        <w:t>: Combining on-site and remote work, hybrid models have gained popularity for roles like marketing and customer service, enabling Marriott to retain talent and improve flexibility without compromising service.</w:t>
      </w:r>
    </w:p>
    <w:p w14:paraId="70CAEBEE" w14:textId="77777777" w:rsidR="009C68BB" w:rsidRPr="00C36704" w:rsidRDefault="009C68BB" w:rsidP="009C68BB">
      <w:pPr>
        <w:numPr>
          <w:ilvl w:val="0"/>
          <w:numId w:val="2"/>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Gig Economy and Freelance Work</w:t>
      </w:r>
      <w:r w:rsidRPr="00C36704">
        <w:rPr>
          <w:rFonts w:ascii="Arial" w:eastAsia="Times New Roman" w:hAnsi="Arial" w:cs="Arial"/>
          <w:kern w:val="0"/>
          <w:sz w:val="24"/>
          <w:szCs w:val="24"/>
          <w:lang w:eastAsia="en-GB"/>
          <w14:ligatures w14:val="none"/>
        </w:rPr>
        <w:t>: The gig economy has also influenced hospitality, offering Marriott cost-effective ways to manage fluctuating demand through temporary staffing solutions (Lewis et al., 2007).</w:t>
      </w:r>
    </w:p>
    <w:p w14:paraId="33CA0E4F" w14:textId="77777777" w:rsidR="009C68BB" w:rsidRPr="00C36704" w:rsidRDefault="009C68BB" w:rsidP="009C68BB">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Industry Examples: Marriott’s Approach to Managing Employee Performance</w:t>
      </w:r>
    </w:p>
    <w:p w14:paraId="6993C87C"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Marriott’s HR strategies include the following initiatives:</w:t>
      </w:r>
    </w:p>
    <w:p w14:paraId="657F2A71" w14:textId="77777777" w:rsidR="009C68BB" w:rsidRPr="00C36704" w:rsidRDefault="009C68BB" w:rsidP="009C68BB">
      <w:pPr>
        <w:numPr>
          <w:ilvl w:val="0"/>
          <w:numId w:val="3"/>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Career Development Programmes</w:t>
      </w:r>
      <w:r w:rsidRPr="00C36704">
        <w:rPr>
          <w:rFonts w:ascii="Arial" w:eastAsia="Times New Roman" w:hAnsi="Arial" w:cs="Arial"/>
          <w:kern w:val="0"/>
          <w:sz w:val="24"/>
          <w:szCs w:val="24"/>
          <w:lang w:eastAsia="en-GB"/>
          <w14:ligatures w14:val="none"/>
        </w:rPr>
        <w:t>: Marriott supports employee growth through extensive training, leadership development, and mentorship, fostering long-term engagement (House et al., 2004).</w:t>
      </w:r>
    </w:p>
    <w:p w14:paraId="5A8C1262" w14:textId="77777777" w:rsidR="009C68BB" w:rsidRPr="00C36704" w:rsidRDefault="009C68BB" w:rsidP="009C68BB">
      <w:pPr>
        <w:numPr>
          <w:ilvl w:val="0"/>
          <w:numId w:val="3"/>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Competitive Compensation and Benefits</w:t>
      </w:r>
      <w:r w:rsidRPr="00C36704">
        <w:rPr>
          <w:rFonts w:ascii="Arial" w:eastAsia="Times New Roman" w:hAnsi="Arial" w:cs="Arial"/>
          <w:kern w:val="0"/>
          <w:sz w:val="24"/>
          <w:szCs w:val="24"/>
          <w:lang w:eastAsia="en-GB"/>
          <w14:ligatures w14:val="none"/>
        </w:rPr>
        <w:t>: Marriott offers attractive compensation and benefits, including health insurance, retirement plans, and employee discounts, which positively affect retention.</w:t>
      </w:r>
    </w:p>
    <w:p w14:paraId="4AAA1191" w14:textId="77777777" w:rsidR="009C68BB" w:rsidRPr="00C36704" w:rsidRDefault="009C68BB" w:rsidP="009C68BB">
      <w:pPr>
        <w:numPr>
          <w:ilvl w:val="0"/>
          <w:numId w:val="3"/>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Employee Engagement and Recognition</w:t>
      </w:r>
      <w:r w:rsidRPr="00C36704">
        <w:rPr>
          <w:rFonts w:ascii="Arial" w:eastAsia="Times New Roman" w:hAnsi="Arial" w:cs="Arial"/>
          <w:kern w:val="0"/>
          <w:sz w:val="24"/>
          <w:szCs w:val="24"/>
          <w:lang w:eastAsia="en-GB"/>
          <w14:ligatures w14:val="none"/>
        </w:rPr>
        <w:t>: Engagement is pivotal to Marriott’s performance strategy, incorporating regular feedback and recognition programmes, such as the "Spirit to Serve" awards, to motivate employees (Lewis et al., 2007).</w:t>
      </w:r>
    </w:p>
    <w:p w14:paraId="7970CAF4" w14:textId="77777777" w:rsidR="009C68BB" w:rsidRPr="00C36704" w:rsidRDefault="009C68BB" w:rsidP="009C68BB">
      <w:pPr>
        <w:numPr>
          <w:ilvl w:val="0"/>
          <w:numId w:val="3"/>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Flexibility and Work-Life Balance</w:t>
      </w:r>
      <w:r w:rsidRPr="00C36704">
        <w:rPr>
          <w:rFonts w:ascii="Arial" w:eastAsia="Times New Roman" w:hAnsi="Arial" w:cs="Arial"/>
          <w:kern w:val="0"/>
          <w:sz w:val="24"/>
          <w:szCs w:val="24"/>
          <w:lang w:eastAsia="en-GB"/>
          <w14:ligatures w14:val="none"/>
        </w:rPr>
        <w:t>: Marriott’s flexible work arrangements, such as remote options for eligible roles, meet the diverse needs of its workforce, supporting a healthy work-life balance.</w:t>
      </w:r>
    </w:p>
    <w:p w14:paraId="7726E654" w14:textId="77777777" w:rsidR="009C68BB" w:rsidRPr="00C36704" w:rsidRDefault="009C68BB" w:rsidP="009C68BB">
      <w:pPr>
        <w:numPr>
          <w:ilvl w:val="0"/>
          <w:numId w:val="3"/>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Technological Integration</w:t>
      </w:r>
      <w:r w:rsidRPr="00C36704">
        <w:rPr>
          <w:rFonts w:ascii="Arial" w:eastAsia="Times New Roman" w:hAnsi="Arial" w:cs="Arial"/>
          <w:kern w:val="0"/>
          <w:sz w:val="24"/>
          <w:szCs w:val="24"/>
          <w:lang w:eastAsia="en-GB"/>
          <w14:ligatures w14:val="none"/>
        </w:rPr>
        <w:t>: Marriott integrates technology in HR management, using advanced systems for scheduling, payroll, and performance tracking. Digital tools facilitate team communication and support employee engagement (Trompenaars &amp; Hampden-Turner, 1997).</w:t>
      </w:r>
    </w:p>
    <w:p w14:paraId="2A5F0FBD" w14:textId="77777777" w:rsidR="009C68BB" w:rsidRPr="00C36704" w:rsidRDefault="009C68BB" w:rsidP="009C68BB">
      <w:pPr>
        <w:numPr>
          <w:ilvl w:val="0"/>
          <w:numId w:val="3"/>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Diversity and Inclusion</w:t>
      </w:r>
      <w:r w:rsidRPr="00C36704">
        <w:rPr>
          <w:rFonts w:ascii="Arial" w:eastAsia="Times New Roman" w:hAnsi="Arial" w:cs="Arial"/>
          <w:kern w:val="0"/>
          <w:sz w:val="24"/>
          <w:szCs w:val="24"/>
          <w:lang w:eastAsia="en-GB"/>
          <w14:ligatures w14:val="none"/>
        </w:rPr>
        <w:t>: Marriott promotes a culture of inclusivity, reflected in its hiring and training policies. A diverse workplace fosters creativity and enhances Marriott’s service quality.</w:t>
      </w:r>
    </w:p>
    <w:p w14:paraId="1BEB9CCE" w14:textId="77777777" w:rsidR="009C68BB" w:rsidRPr="00C36704" w:rsidRDefault="009C68BB" w:rsidP="009C68BB">
      <w:pPr>
        <w:numPr>
          <w:ilvl w:val="0"/>
          <w:numId w:val="3"/>
        </w:num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lastRenderedPageBreak/>
        <w:t>Sustainability and Corporate Social Responsibility</w:t>
      </w:r>
      <w:r w:rsidRPr="00C36704">
        <w:rPr>
          <w:rFonts w:ascii="Arial" w:eastAsia="Times New Roman" w:hAnsi="Arial" w:cs="Arial"/>
          <w:kern w:val="0"/>
          <w:sz w:val="24"/>
          <w:szCs w:val="24"/>
          <w:lang w:eastAsia="en-GB"/>
          <w14:ligatures w14:val="none"/>
        </w:rPr>
        <w:t>: Marriott’s sustainability initiatives resonate with employees and customers who value environmental impact. Through its focus on CSR, Marriott attracts both environmentally conscious guests and employees committed to making a positive impact (Hofstede, 2001).</w:t>
      </w:r>
    </w:p>
    <w:p w14:paraId="38EB47D4" w14:textId="77777777" w:rsidR="009C68BB" w:rsidRPr="00C36704" w:rsidRDefault="009C68BB" w:rsidP="009C68BB">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C36704">
        <w:rPr>
          <w:rFonts w:ascii="Arial" w:eastAsia="Times New Roman" w:hAnsi="Arial" w:cs="Arial"/>
          <w:b/>
          <w:bCs/>
          <w:kern w:val="0"/>
          <w:sz w:val="24"/>
          <w:szCs w:val="24"/>
          <w:lang w:eastAsia="en-GB"/>
          <w14:ligatures w14:val="none"/>
        </w:rPr>
        <w:t>Conclusion</w:t>
      </w:r>
    </w:p>
    <w:p w14:paraId="352F6450"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The socioeconomic factors affecting employee performance management at Marriott are multifaceted, spanning political, economic, social, technological, environmental, and legal dimensions. In an industry where high turnover and diverse work modes are prevalent, Marriott has proactively addressed these challenges with strategies in career development, compensation, employee engagement, and technology. Through flexible work arrangements, inclusivity, and sustainability initiatives, Marriott aligns its HR strategies with the evolving needs of its workforce, ensuring continued success in a competitive market.</w:t>
      </w:r>
    </w:p>
    <w:p w14:paraId="762811CC"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b/>
          <w:bCs/>
          <w:kern w:val="0"/>
          <w:sz w:val="24"/>
          <w:szCs w:val="24"/>
          <w:lang w:eastAsia="en-GB"/>
          <w14:ligatures w14:val="none"/>
        </w:rPr>
        <w:t>References</w:t>
      </w:r>
    </w:p>
    <w:p w14:paraId="7A3FBCE9"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 xml:space="preserve">Anxo, D., Fagan, C., Smith, M., </w:t>
      </w:r>
      <w:proofErr w:type="spellStart"/>
      <w:r w:rsidRPr="00C36704">
        <w:rPr>
          <w:rFonts w:ascii="Arial" w:eastAsia="Times New Roman" w:hAnsi="Arial" w:cs="Arial"/>
          <w:kern w:val="0"/>
          <w:sz w:val="24"/>
          <w:szCs w:val="24"/>
          <w:lang w:eastAsia="en-GB"/>
          <w14:ligatures w14:val="none"/>
        </w:rPr>
        <w:t>Letablier</w:t>
      </w:r>
      <w:proofErr w:type="spellEnd"/>
      <w:r w:rsidRPr="00C36704">
        <w:rPr>
          <w:rFonts w:ascii="Arial" w:eastAsia="Times New Roman" w:hAnsi="Arial" w:cs="Arial"/>
          <w:kern w:val="0"/>
          <w:sz w:val="24"/>
          <w:szCs w:val="24"/>
          <w:lang w:eastAsia="en-GB"/>
          <w14:ligatures w14:val="none"/>
        </w:rPr>
        <w:t xml:space="preserve">, M. T., &amp; </w:t>
      </w:r>
      <w:proofErr w:type="spellStart"/>
      <w:r w:rsidRPr="00C36704">
        <w:rPr>
          <w:rFonts w:ascii="Arial" w:eastAsia="Times New Roman" w:hAnsi="Arial" w:cs="Arial"/>
          <w:kern w:val="0"/>
          <w:sz w:val="24"/>
          <w:szCs w:val="24"/>
          <w:lang w:eastAsia="en-GB"/>
          <w14:ligatures w14:val="none"/>
        </w:rPr>
        <w:t>Perraudin</w:t>
      </w:r>
      <w:proofErr w:type="spellEnd"/>
      <w:r w:rsidRPr="00C36704">
        <w:rPr>
          <w:rFonts w:ascii="Arial" w:eastAsia="Times New Roman" w:hAnsi="Arial" w:cs="Arial"/>
          <w:kern w:val="0"/>
          <w:sz w:val="24"/>
          <w:szCs w:val="24"/>
          <w:lang w:eastAsia="en-GB"/>
          <w14:ligatures w14:val="none"/>
        </w:rPr>
        <w:t xml:space="preserve">, C. (2006). </w:t>
      </w:r>
      <w:r w:rsidRPr="00C36704">
        <w:rPr>
          <w:rFonts w:ascii="Arial" w:eastAsia="Times New Roman" w:hAnsi="Arial" w:cs="Arial"/>
          <w:i/>
          <w:iCs/>
          <w:kern w:val="0"/>
          <w:sz w:val="24"/>
          <w:szCs w:val="24"/>
          <w:lang w:eastAsia="en-GB"/>
          <w14:ligatures w14:val="none"/>
        </w:rPr>
        <w:t>Part-time Work in European Companies: Establishment Survey on Working Time 2004–2005</w:t>
      </w:r>
      <w:r w:rsidRPr="00C36704">
        <w:rPr>
          <w:rFonts w:ascii="Arial" w:eastAsia="Times New Roman" w:hAnsi="Arial" w:cs="Arial"/>
          <w:kern w:val="0"/>
          <w:sz w:val="24"/>
          <w:szCs w:val="24"/>
          <w:lang w:eastAsia="en-GB"/>
          <w14:ligatures w14:val="none"/>
        </w:rPr>
        <w:t>. European Foundation for the Improvement of Living and Working Conditions.</w:t>
      </w:r>
    </w:p>
    <w:p w14:paraId="7A3F35F2"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proofErr w:type="spellStart"/>
      <w:r w:rsidRPr="00C36704">
        <w:rPr>
          <w:rFonts w:ascii="Arial" w:eastAsia="Times New Roman" w:hAnsi="Arial" w:cs="Arial"/>
          <w:kern w:val="0"/>
          <w:sz w:val="24"/>
          <w:szCs w:val="24"/>
          <w:lang w:eastAsia="en-GB"/>
          <w14:ligatures w14:val="none"/>
        </w:rPr>
        <w:t>Gudykunst</w:t>
      </w:r>
      <w:proofErr w:type="spellEnd"/>
      <w:r w:rsidRPr="00C36704">
        <w:rPr>
          <w:rFonts w:ascii="Arial" w:eastAsia="Times New Roman" w:hAnsi="Arial" w:cs="Arial"/>
          <w:kern w:val="0"/>
          <w:sz w:val="24"/>
          <w:szCs w:val="24"/>
          <w:lang w:eastAsia="en-GB"/>
          <w14:ligatures w14:val="none"/>
        </w:rPr>
        <w:t xml:space="preserve">, W. B., &amp; Kim, Y. Y. (2003). </w:t>
      </w:r>
      <w:r w:rsidRPr="00C36704">
        <w:rPr>
          <w:rFonts w:ascii="Arial" w:eastAsia="Times New Roman" w:hAnsi="Arial" w:cs="Arial"/>
          <w:i/>
          <w:iCs/>
          <w:kern w:val="0"/>
          <w:sz w:val="24"/>
          <w:szCs w:val="24"/>
          <w:lang w:eastAsia="en-GB"/>
          <w14:ligatures w14:val="none"/>
        </w:rPr>
        <w:t>Communicating with Strangers: An Approach to Intercultural Communication</w:t>
      </w:r>
      <w:r w:rsidRPr="00C36704">
        <w:rPr>
          <w:rFonts w:ascii="Arial" w:eastAsia="Times New Roman" w:hAnsi="Arial" w:cs="Arial"/>
          <w:kern w:val="0"/>
          <w:sz w:val="24"/>
          <w:szCs w:val="24"/>
          <w:lang w:eastAsia="en-GB"/>
          <w14:ligatures w14:val="none"/>
        </w:rPr>
        <w:t>. McGraw-Hill.</w:t>
      </w:r>
    </w:p>
    <w:p w14:paraId="66057621"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 xml:space="preserve">Hall, E. T. (1976). </w:t>
      </w:r>
      <w:r w:rsidRPr="00C36704">
        <w:rPr>
          <w:rFonts w:ascii="Arial" w:eastAsia="Times New Roman" w:hAnsi="Arial" w:cs="Arial"/>
          <w:i/>
          <w:iCs/>
          <w:kern w:val="0"/>
          <w:sz w:val="24"/>
          <w:szCs w:val="24"/>
          <w:lang w:eastAsia="en-GB"/>
          <w14:ligatures w14:val="none"/>
        </w:rPr>
        <w:t>Beyond Culture</w:t>
      </w:r>
      <w:r w:rsidRPr="00C36704">
        <w:rPr>
          <w:rFonts w:ascii="Arial" w:eastAsia="Times New Roman" w:hAnsi="Arial" w:cs="Arial"/>
          <w:kern w:val="0"/>
          <w:sz w:val="24"/>
          <w:szCs w:val="24"/>
          <w:lang w:eastAsia="en-GB"/>
          <w14:ligatures w14:val="none"/>
        </w:rPr>
        <w:t>. Anchor Books.</w:t>
      </w:r>
    </w:p>
    <w:p w14:paraId="7A91BB82"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 xml:space="preserve">Hofstede, G. (2001). </w:t>
      </w:r>
      <w:r w:rsidRPr="00C36704">
        <w:rPr>
          <w:rFonts w:ascii="Arial" w:eastAsia="Times New Roman" w:hAnsi="Arial" w:cs="Arial"/>
          <w:i/>
          <w:iCs/>
          <w:kern w:val="0"/>
          <w:sz w:val="24"/>
          <w:szCs w:val="24"/>
          <w:lang w:eastAsia="en-GB"/>
          <w14:ligatures w14:val="none"/>
        </w:rPr>
        <w:t>Culture's Consequences: Comparing Values, Behaviours, Institutions, and Organisations Across Nations</w:t>
      </w:r>
      <w:r w:rsidRPr="00C36704">
        <w:rPr>
          <w:rFonts w:ascii="Arial" w:eastAsia="Times New Roman" w:hAnsi="Arial" w:cs="Arial"/>
          <w:kern w:val="0"/>
          <w:sz w:val="24"/>
          <w:szCs w:val="24"/>
          <w:lang w:eastAsia="en-GB"/>
          <w14:ligatures w14:val="none"/>
        </w:rPr>
        <w:t>. Sage Publications.</w:t>
      </w:r>
    </w:p>
    <w:p w14:paraId="43D35D2B"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 xml:space="preserve">House, R. J., Hanges, P. J., Javidan, M., Dorfman, P. W., &amp; Gupta, V. (2004). </w:t>
      </w:r>
      <w:r w:rsidRPr="00C36704">
        <w:rPr>
          <w:rFonts w:ascii="Arial" w:eastAsia="Times New Roman" w:hAnsi="Arial" w:cs="Arial"/>
          <w:i/>
          <w:iCs/>
          <w:kern w:val="0"/>
          <w:sz w:val="24"/>
          <w:szCs w:val="24"/>
          <w:lang w:eastAsia="en-GB"/>
          <w14:ligatures w14:val="none"/>
        </w:rPr>
        <w:t>Culture, Leadership, and Organisations: The GLOBE Study of 62 Societies</w:t>
      </w:r>
      <w:r w:rsidRPr="00C36704">
        <w:rPr>
          <w:rFonts w:ascii="Arial" w:eastAsia="Times New Roman" w:hAnsi="Arial" w:cs="Arial"/>
          <w:kern w:val="0"/>
          <w:sz w:val="24"/>
          <w:szCs w:val="24"/>
          <w:lang w:eastAsia="en-GB"/>
          <w14:ligatures w14:val="none"/>
        </w:rPr>
        <w:t>. Sage Publications.</w:t>
      </w:r>
    </w:p>
    <w:p w14:paraId="1EAA06AD"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 xml:space="preserve">Lewis, R. D. (2006). </w:t>
      </w:r>
      <w:r w:rsidRPr="00C36704">
        <w:rPr>
          <w:rFonts w:ascii="Arial" w:eastAsia="Times New Roman" w:hAnsi="Arial" w:cs="Arial"/>
          <w:i/>
          <w:iCs/>
          <w:kern w:val="0"/>
          <w:sz w:val="24"/>
          <w:szCs w:val="24"/>
          <w:lang w:eastAsia="en-GB"/>
          <w14:ligatures w14:val="none"/>
        </w:rPr>
        <w:t>When Cultures Collide: Leading Across Cultures</w:t>
      </w:r>
      <w:r w:rsidRPr="00C36704">
        <w:rPr>
          <w:rFonts w:ascii="Arial" w:eastAsia="Times New Roman" w:hAnsi="Arial" w:cs="Arial"/>
          <w:kern w:val="0"/>
          <w:sz w:val="24"/>
          <w:szCs w:val="24"/>
          <w:lang w:eastAsia="en-GB"/>
          <w14:ligatures w14:val="none"/>
        </w:rPr>
        <w:t>. Nicholas Brealey International.</w:t>
      </w:r>
    </w:p>
    <w:p w14:paraId="7BCEDC55"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 xml:space="preserve">Lewis, S., Gambles, R., &amp; Rapoport, R. (2007). The constraints of a work-life balance approach: An international perspective. </w:t>
      </w:r>
      <w:r w:rsidRPr="00C36704">
        <w:rPr>
          <w:rFonts w:ascii="Arial" w:eastAsia="Times New Roman" w:hAnsi="Arial" w:cs="Arial"/>
          <w:i/>
          <w:iCs/>
          <w:kern w:val="0"/>
          <w:sz w:val="24"/>
          <w:szCs w:val="24"/>
          <w:lang w:eastAsia="en-GB"/>
          <w14:ligatures w14:val="none"/>
        </w:rPr>
        <w:t>The International Journal of Human Resource Management</w:t>
      </w:r>
      <w:r w:rsidRPr="00C36704">
        <w:rPr>
          <w:rFonts w:ascii="Arial" w:eastAsia="Times New Roman" w:hAnsi="Arial" w:cs="Arial"/>
          <w:kern w:val="0"/>
          <w:sz w:val="24"/>
          <w:szCs w:val="24"/>
          <w:lang w:eastAsia="en-GB"/>
          <w14:ligatures w14:val="none"/>
        </w:rPr>
        <w:t>, 18(3), 360–373.</w:t>
      </w:r>
    </w:p>
    <w:p w14:paraId="49E79FA4"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 xml:space="preserve">Mills, M., &amp; Collins, B. (2020). </w:t>
      </w:r>
      <w:r w:rsidRPr="00C36704">
        <w:rPr>
          <w:rFonts w:ascii="Arial" w:eastAsia="Times New Roman" w:hAnsi="Arial" w:cs="Arial"/>
          <w:i/>
          <w:iCs/>
          <w:kern w:val="0"/>
          <w:sz w:val="24"/>
          <w:szCs w:val="24"/>
          <w:lang w:eastAsia="en-GB"/>
          <w14:ligatures w14:val="none"/>
        </w:rPr>
        <w:t>The Marriott Way: Business Strategies and Hospitality Innovations</w:t>
      </w:r>
      <w:r w:rsidRPr="00C36704">
        <w:rPr>
          <w:rFonts w:ascii="Arial" w:eastAsia="Times New Roman" w:hAnsi="Arial" w:cs="Arial"/>
          <w:kern w:val="0"/>
          <w:sz w:val="24"/>
          <w:szCs w:val="24"/>
          <w:lang w:eastAsia="en-GB"/>
          <w14:ligatures w14:val="none"/>
        </w:rPr>
        <w:t>. HarperCollins.</w:t>
      </w:r>
    </w:p>
    <w:p w14:paraId="55E42CAB" w14:textId="77777777" w:rsidR="009C68BB" w:rsidRPr="00C36704" w:rsidRDefault="009C68BB" w:rsidP="009C68BB">
      <w:pPr>
        <w:spacing w:before="100" w:beforeAutospacing="1" w:after="100" w:afterAutospacing="1" w:line="240" w:lineRule="auto"/>
        <w:rPr>
          <w:rFonts w:ascii="Arial" w:eastAsia="Times New Roman" w:hAnsi="Arial" w:cs="Arial"/>
          <w:kern w:val="0"/>
          <w:sz w:val="24"/>
          <w:szCs w:val="24"/>
          <w:lang w:eastAsia="en-GB"/>
          <w14:ligatures w14:val="none"/>
        </w:rPr>
      </w:pPr>
      <w:r w:rsidRPr="00C36704">
        <w:rPr>
          <w:rFonts w:ascii="Arial" w:eastAsia="Times New Roman" w:hAnsi="Arial" w:cs="Arial"/>
          <w:kern w:val="0"/>
          <w:sz w:val="24"/>
          <w:szCs w:val="24"/>
          <w:lang w:eastAsia="en-GB"/>
          <w14:ligatures w14:val="none"/>
        </w:rPr>
        <w:t xml:space="preserve">Trompenaars, F., &amp; Hampden-Turner, C. (1997). </w:t>
      </w:r>
      <w:r w:rsidRPr="00C36704">
        <w:rPr>
          <w:rFonts w:ascii="Arial" w:eastAsia="Times New Roman" w:hAnsi="Arial" w:cs="Arial"/>
          <w:i/>
          <w:iCs/>
          <w:kern w:val="0"/>
          <w:sz w:val="24"/>
          <w:szCs w:val="24"/>
          <w:lang w:eastAsia="en-GB"/>
          <w14:ligatures w14:val="none"/>
        </w:rPr>
        <w:t>Riding the Waves of Culture: Understanding Diversity in Global Business</w:t>
      </w:r>
      <w:r w:rsidRPr="00C36704">
        <w:rPr>
          <w:rFonts w:ascii="Arial" w:eastAsia="Times New Roman" w:hAnsi="Arial" w:cs="Arial"/>
          <w:kern w:val="0"/>
          <w:sz w:val="24"/>
          <w:szCs w:val="24"/>
          <w:lang w:eastAsia="en-GB"/>
          <w14:ligatures w14:val="none"/>
        </w:rPr>
        <w:t>. McGraw-Hill.</w:t>
      </w:r>
    </w:p>
    <w:p w14:paraId="2D929103" w14:textId="77777777" w:rsidR="009C68BB" w:rsidRDefault="009C68BB" w:rsidP="009C68BB"/>
    <w:p w14:paraId="0918397A" w14:textId="77777777" w:rsidR="00F30722" w:rsidRDefault="00F30722" w:rsidP="00F30722">
      <w:pPr>
        <w:rPr>
          <w:rFonts w:ascii="Arial" w:hAnsi="Arial" w:cs="Arial"/>
          <w:sz w:val="24"/>
          <w:szCs w:val="24"/>
          <w:lang w:val="en-US"/>
        </w:rPr>
      </w:pPr>
    </w:p>
    <w:p w14:paraId="0F510BCF" w14:textId="77777777" w:rsidR="00B15985" w:rsidRDefault="00B15985" w:rsidP="00F30722">
      <w:pPr>
        <w:rPr>
          <w:rFonts w:ascii="Arial" w:hAnsi="Arial" w:cs="Arial"/>
          <w:sz w:val="24"/>
          <w:szCs w:val="24"/>
          <w:lang w:val="en-US"/>
        </w:rPr>
      </w:pPr>
    </w:p>
    <w:p w14:paraId="7111008B" w14:textId="77777777" w:rsidR="00B34DDA" w:rsidRDefault="00B34DDA" w:rsidP="00B447A6">
      <w:pPr>
        <w:rPr>
          <w:rFonts w:ascii="Arial" w:hAnsi="Arial" w:cs="Arial"/>
          <w:sz w:val="24"/>
          <w:szCs w:val="24"/>
          <w:lang w:val="en-US"/>
        </w:rPr>
      </w:pPr>
    </w:p>
    <w:p w14:paraId="4F51080D" w14:textId="77777777" w:rsidR="00B34DDA" w:rsidRDefault="00B34DDA" w:rsidP="00B447A6">
      <w:pPr>
        <w:rPr>
          <w:rFonts w:ascii="Arial" w:hAnsi="Arial" w:cs="Arial"/>
          <w:sz w:val="24"/>
          <w:szCs w:val="24"/>
          <w:lang w:val="en-US"/>
        </w:rPr>
      </w:pPr>
    </w:p>
    <w:p w14:paraId="35E9CC1C" w14:textId="77777777" w:rsidR="00B34DDA" w:rsidRDefault="00B34DDA" w:rsidP="00B447A6">
      <w:pPr>
        <w:rPr>
          <w:rFonts w:ascii="Arial" w:hAnsi="Arial" w:cs="Arial"/>
          <w:sz w:val="24"/>
          <w:szCs w:val="24"/>
          <w:lang w:val="en-US"/>
        </w:rPr>
      </w:pPr>
    </w:p>
    <w:p w14:paraId="39A23939" w14:textId="77777777" w:rsidR="00B34DDA" w:rsidRDefault="00B34DDA" w:rsidP="00B447A6">
      <w:pPr>
        <w:rPr>
          <w:rFonts w:ascii="Arial" w:hAnsi="Arial" w:cs="Arial"/>
          <w:sz w:val="24"/>
          <w:szCs w:val="24"/>
          <w:lang w:val="en-US"/>
        </w:rPr>
      </w:pPr>
    </w:p>
    <w:p w14:paraId="3AC4A981" w14:textId="23AF5705" w:rsidR="00B34DDA" w:rsidRDefault="00B34DDA" w:rsidP="00B447A6">
      <w:pPr>
        <w:rPr>
          <w:rFonts w:ascii="Arial" w:hAnsi="Arial" w:cs="Arial"/>
          <w:sz w:val="24"/>
          <w:szCs w:val="24"/>
          <w:lang w:val="en-US"/>
        </w:rPr>
      </w:pPr>
    </w:p>
    <w:p w14:paraId="6523F488" w14:textId="77777777" w:rsidR="0014521F" w:rsidRDefault="0014521F" w:rsidP="00806C88">
      <w:pPr>
        <w:rPr>
          <w:rFonts w:ascii="Arial" w:hAnsi="Arial" w:cs="Arial"/>
          <w:sz w:val="24"/>
          <w:szCs w:val="24"/>
        </w:rPr>
      </w:pPr>
    </w:p>
    <w:sectPr w:rsidR="0014521F" w:rsidSect="00B447A6">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2B0E41"/>
    <w:multiLevelType w:val="multilevel"/>
    <w:tmpl w:val="205C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136937"/>
    <w:multiLevelType w:val="hybridMultilevel"/>
    <w:tmpl w:val="57B660B0"/>
    <w:lvl w:ilvl="0" w:tplc="B35693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0A24E5"/>
    <w:multiLevelType w:val="multilevel"/>
    <w:tmpl w:val="225A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3340636">
    <w:abstractNumId w:val="1"/>
  </w:num>
  <w:num w:numId="2" w16cid:durableId="2025521834">
    <w:abstractNumId w:val="0"/>
  </w:num>
  <w:num w:numId="3" w16cid:durableId="2070954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7A6"/>
    <w:rsid w:val="0002674A"/>
    <w:rsid w:val="000A56C0"/>
    <w:rsid w:val="000C09B5"/>
    <w:rsid w:val="000C3EE2"/>
    <w:rsid w:val="000D3E8D"/>
    <w:rsid w:val="0013351A"/>
    <w:rsid w:val="0014521F"/>
    <w:rsid w:val="00193E89"/>
    <w:rsid w:val="003054B0"/>
    <w:rsid w:val="00326473"/>
    <w:rsid w:val="00484E7E"/>
    <w:rsid w:val="005117A0"/>
    <w:rsid w:val="006A145A"/>
    <w:rsid w:val="007A7F34"/>
    <w:rsid w:val="007B6575"/>
    <w:rsid w:val="007C6819"/>
    <w:rsid w:val="007C7EAD"/>
    <w:rsid w:val="00806C88"/>
    <w:rsid w:val="008956D1"/>
    <w:rsid w:val="009C68BB"/>
    <w:rsid w:val="00B15985"/>
    <w:rsid w:val="00B34DDA"/>
    <w:rsid w:val="00B447A6"/>
    <w:rsid w:val="00D126BF"/>
    <w:rsid w:val="00E1174B"/>
    <w:rsid w:val="00E235CE"/>
    <w:rsid w:val="00F30722"/>
    <w:rsid w:val="00F32D37"/>
    <w:rsid w:val="00FF4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61441"/>
  <w15:chartTrackingRefBased/>
  <w15:docId w15:val="{890410C2-11DA-4BD3-B16E-B90C1DF6F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9C"/>
  </w:style>
  <w:style w:type="paragraph" w:styleId="Heading2">
    <w:name w:val="heading 2"/>
    <w:basedOn w:val="Normal"/>
    <w:link w:val="Heading2Char"/>
    <w:uiPriority w:val="9"/>
    <w:qFormat/>
    <w:rsid w:val="007C7EA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7C7EAD"/>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p-filename">
    <w:name w:val="fp-filename"/>
    <w:basedOn w:val="DefaultParagraphFont"/>
    <w:rsid w:val="00B447A6"/>
  </w:style>
  <w:style w:type="paragraph" w:styleId="NoSpacing">
    <w:name w:val="No Spacing"/>
    <w:link w:val="NoSpacingChar"/>
    <w:uiPriority w:val="1"/>
    <w:qFormat/>
    <w:rsid w:val="00B447A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447A6"/>
    <w:rPr>
      <w:rFonts w:eastAsiaTheme="minorEastAsia"/>
      <w:kern w:val="0"/>
      <w:lang w:val="en-US"/>
      <w14:ligatures w14:val="none"/>
    </w:rPr>
  </w:style>
  <w:style w:type="character" w:styleId="Hyperlink">
    <w:name w:val="Hyperlink"/>
    <w:basedOn w:val="DefaultParagraphFont"/>
    <w:uiPriority w:val="99"/>
    <w:unhideWhenUsed/>
    <w:rsid w:val="00806C88"/>
    <w:rPr>
      <w:color w:val="0563C1" w:themeColor="hyperlink"/>
      <w:u w:val="single"/>
    </w:rPr>
  </w:style>
  <w:style w:type="character" w:styleId="UnresolvedMention">
    <w:name w:val="Unresolved Mention"/>
    <w:basedOn w:val="DefaultParagraphFont"/>
    <w:uiPriority w:val="99"/>
    <w:semiHidden/>
    <w:unhideWhenUsed/>
    <w:rsid w:val="00806C88"/>
    <w:rPr>
      <w:color w:val="605E5C"/>
      <w:shd w:val="clear" w:color="auto" w:fill="E1DFDD"/>
    </w:rPr>
  </w:style>
  <w:style w:type="paragraph" w:styleId="ListParagraph">
    <w:name w:val="List Paragraph"/>
    <w:basedOn w:val="Normal"/>
    <w:uiPriority w:val="34"/>
    <w:qFormat/>
    <w:rsid w:val="00193E89"/>
    <w:pPr>
      <w:ind w:left="720"/>
      <w:contextualSpacing/>
    </w:pPr>
  </w:style>
  <w:style w:type="character" w:customStyle="1" w:styleId="Heading2Char">
    <w:name w:val="Heading 2 Char"/>
    <w:basedOn w:val="DefaultParagraphFont"/>
    <w:link w:val="Heading2"/>
    <w:uiPriority w:val="9"/>
    <w:rsid w:val="007C7EAD"/>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7C7EAD"/>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7C7E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883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1213</Words>
  <Characters>8144</Characters>
  <Application>Microsoft Office Word</Application>
  <DocSecurity>0</DocSecurity>
  <Lines>135</Lines>
  <Paragraphs>55</Paragraphs>
  <ScaleCrop>false</ScaleCrop>
  <HeadingPairs>
    <vt:vector size="2" baseType="variant">
      <vt:variant>
        <vt:lpstr>Title</vt:lpstr>
      </vt:variant>
      <vt:variant>
        <vt:i4>1</vt:i4>
      </vt:variant>
    </vt:vector>
  </HeadingPairs>
  <TitlesOfParts>
    <vt:vector size="1" baseType="lpstr">
      <vt:lpstr>Analyzing the impacts of socio-economic force on employees’ performance management and monitoring in different work modes: Hospitality HR’s perspective</vt:lpstr>
    </vt:vector>
  </TitlesOfParts>
  <Company/>
  <LinksUpToDate>false</LinksUpToDate>
  <CharactersWithSpaces>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the impacts of socio-economic force on employees’ performance management and monitoring in different work modes: Hospitality HR’s perspective</dc:title>
  <dc:subject>Irina-Diana Buture (2239006)</dc:subject>
  <dc:creator/>
  <cp:keywords/>
  <dc:description/>
  <cp:lastModifiedBy>Irina Buture</cp:lastModifiedBy>
  <cp:revision>10</cp:revision>
  <dcterms:created xsi:type="dcterms:W3CDTF">2024-06-03T15:26:00Z</dcterms:created>
  <dcterms:modified xsi:type="dcterms:W3CDTF">2024-11-07T12:19:00Z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bb2b3b2a-0032-4838-a107-639a154b5f5b</vt:lpwstr>
  </property>
</Properties>
</file>