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DEF601">
      <w:pPr>
        <w:keepNext w:val="0"/>
        <w:keepLines w:val="0"/>
        <w:widowControl/>
        <w:suppressLineNumbers w:val="0"/>
        <w:jc w:val="center"/>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bCs/>
          <w:color w:val="000000"/>
          <w:kern w:val="0"/>
          <w:sz w:val="41"/>
          <w:szCs w:val="41"/>
          <w:lang w:val="en-US" w:eastAsia="zh-CN" w:bidi="ar"/>
        </w:rPr>
        <w:t>University of Wales Trinity Saint David</w:t>
      </w:r>
    </w:p>
    <w:p w14:paraId="0B2A5400">
      <w:pPr>
        <w:keepNext w:val="0"/>
        <w:keepLines w:val="0"/>
        <w:widowControl/>
        <w:suppressLineNumbers w:val="0"/>
        <w:jc w:val="center"/>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bCs/>
          <w:color w:val="000000"/>
          <w:kern w:val="0"/>
          <w:sz w:val="41"/>
          <w:szCs w:val="41"/>
          <w:lang w:val="en-US" w:eastAsia="zh-CN" w:bidi="ar"/>
        </w:rPr>
        <w:t>Introduction to Public Health</w:t>
      </w:r>
    </w:p>
    <w:p w14:paraId="3721D738">
      <w:pPr>
        <w:keepNext w:val="0"/>
        <w:keepLines w:val="0"/>
        <w:widowControl/>
        <w:suppressLineNumbers w:val="0"/>
        <w:jc w:val="center"/>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bCs/>
          <w:color w:val="000000"/>
          <w:kern w:val="0"/>
          <w:sz w:val="41"/>
          <w:szCs w:val="41"/>
          <w:lang w:val="en-US" w:eastAsia="zh-CN" w:bidi="ar"/>
        </w:rPr>
        <w:t>Couse Code: LCHS4008</w:t>
      </w:r>
    </w:p>
    <w:p w14:paraId="76A68C18">
      <w:pPr>
        <w:keepNext w:val="0"/>
        <w:keepLines w:val="0"/>
        <w:widowControl/>
        <w:suppressLineNumbers w:val="0"/>
        <w:jc w:val="center"/>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bCs/>
          <w:color w:val="000000"/>
          <w:kern w:val="0"/>
          <w:sz w:val="41"/>
          <w:szCs w:val="41"/>
          <w:lang w:val="en-US" w:eastAsia="zh-CN" w:bidi="ar"/>
        </w:rPr>
        <w:t>Component 1:</w:t>
      </w:r>
    </w:p>
    <w:p w14:paraId="2D83C918">
      <w:pPr>
        <w:keepNext w:val="0"/>
        <w:keepLines w:val="0"/>
        <w:widowControl/>
        <w:suppressLineNumbers w:val="0"/>
        <w:jc w:val="left"/>
        <w:rPr>
          <w:rFonts w:hint="default" w:ascii="Calibri" w:hAnsi="Calibri" w:eastAsia="Calibri-Bold" w:cs="Calibri"/>
          <w:b/>
          <w:bCs/>
          <w:color w:val="000000"/>
          <w:kern w:val="0"/>
          <w:sz w:val="41"/>
          <w:szCs w:val="41"/>
          <w:lang w:val="en-US" w:eastAsia="zh-CN" w:bidi="ar"/>
        </w:rPr>
      </w:pPr>
    </w:p>
    <w:p w14:paraId="51AEC0B8">
      <w:pPr>
        <w:keepNext w:val="0"/>
        <w:keepLines w:val="0"/>
        <w:widowControl/>
        <w:suppressLineNumbers w:val="0"/>
        <w:jc w:val="left"/>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bCs/>
          <w:color w:val="000000"/>
          <w:kern w:val="0"/>
          <w:sz w:val="41"/>
          <w:szCs w:val="41"/>
          <w:lang w:val="en-US" w:eastAsia="zh-CN" w:bidi="ar"/>
        </w:rPr>
        <w:t>Group Members</w:t>
      </w:r>
    </w:p>
    <w:p w14:paraId="5C4FE8CC">
      <w:pPr>
        <w:keepNext w:val="0"/>
        <w:keepLines w:val="0"/>
        <w:widowControl/>
        <w:suppressLineNumbers w:val="0"/>
        <w:jc w:val="left"/>
        <w:rPr>
          <w:rFonts w:hint="default" w:ascii="Calibri" w:hAnsi="Calibri" w:eastAsia="Calibri-Bold" w:cs="Calibri"/>
          <w:b/>
          <w:bCs/>
          <w:color w:val="000000"/>
          <w:kern w:val="0"/>
          <w:sz w:val="41"/>
          <w:szCs w:val="41"/>
          <w:lang w:val="en-US" w:eastAsia="zh-CN" w:bidi="ar"/>
        </w:rPr>
      </w:pPr>
    </w:p>
    <w:p w14:paraId="6C0F1945">
      <w:pPr>
        <w:keepNext w:val="0"/>
        <w:keepLines w:val="0"/>
        <w:widowControl/>
        <w:numPr>
          <w:ilvl w:val="0"/>
          <w:numId w:val="1"/>
        </w:numPr>
        <w:suppressLineNumbers w:val="0"/>
        <w:ind w:left="92" w:leftChars="0" w:firstLine="0" w:firstLineChars="0"/>
        <w:jc w:val="left"/>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val="0"/>
          <w:bCs w:val="0"/>
          <w:color w:val="000000"/>
          <w:kern w:val="0"/>
          <w:sz w:val="41"/>
          <w:szCs w:val="41"/>
          <w:lang w:val="en-US" w:eastAsia="zh-CN" w:bidi="ar"/>
        </w:rPr>
        <w:t xml:space="preserve">Zinabu Tikuye    </w:t>
      </w:r>
      <w:r>
        <w:rPr>
          <w:rFonts w:hint="default" w:ascii="Calibri" w:hAnsi="Calibri" w:eastAsia="Calibri-Bold" w:cs="Calibri"/>
          <w:b/>
          <w:bCs/>
          <w:color w:val="000000"/>
          <w:kern w:val="0"/>
          <w:sz w:val="41"/>
          <w:szCs w:val="41"/>
          <w:lang w:val="en-US" w:eastAsia="zh-CN" w:bidi="ar"/>
        </w:rPr>
        <w:t xml:space="preserve">                   ID:</w:t>
      </w:r>
      <w:r>
        <w:rPr>
          <w:rFonts w:hint="default" w:ascii="Calibri" w:hAnsi="Calibri" w:eastAsia="Calibri-Bold" w:cs="Calibri"/>
          <w:b w:val="0"/>
          <w:bCs w:val="0"/>
          <w:color w:val="000000"/>
          <w:kern w:val="0"/>
          <w:sz w:val="41"/>
          <w:szCs w:val="41"/>
          <w:lang w:val="en-US" w:eastAsia="zh-CN" w:bidi="ar"/>
        </w:rPr>
        <w:t>2538640</w:t>
      </w:r>
    </w:p>
    <w:p w14:paraId="11F21AF0">
      <w:pPr>
        <w:keepNext w:val="0"/>
        <w:keepLines w:val="0"/>
        <w:widowControl/>
        <w:numPr>
          <w:ilvl w:val="0"/>
          <w:numId w:val="1"/>
        </w:numPr>
        <w:suppressLineNumbers w:val="0"/>
        <w:ind w:left="92" w:leftChars="0" w:firstLine="0" w:firstLineChars="0"/>
        <w:jc w:val="left"/>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val="0"/>
          <w:bCs w:val="0"/>
          <w:color w:val="000000"/>
          <w:kern w:val="0"/>
          <w:sz w:val="41"/>
          <w:szCs w:val="41"/>
          <w:lang w:val="en-US" w:eastAsia="zh-CN" w:bidi="ar"/>
        </w:rPr>
        <w:t>Evelin Monu                         ID: 2537502</w:t>
      </w:r>
    </w:p>
    <w:p w14:paraId="2BBD3F21">
      <w:pPr>
        <w:keepNext w:val="0"/>
        <w:keepLines w:val="0"/>
        <w:widowControl/>
        <w:numPr>
          <w:ilvl w:val="0"/>
          <w:numId w:val="1"/>
        </w:numPr>
        <w:suppressLineNumbers w:val="0"/>
        <w:ind w:left="92" w:leftChars="0" w:firstLine="0" w:firstLineChars="0"/>
        <w:jc w:val="left"/>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val="0"/>
          <w:bCs w:val="0"/>
          <w:color w:val="000000"/>
          <w:kern w:val="0"/>
          <w:sz w:val="41"/>
          <w:szCs w:val="41"/>
          <w:lang w:val="en-US" w:eastAsia="zh-CN" w:bidi="ar"/>
        </w:rPr>
        <w:t>Fauzia Abdul                         ID:2533698</w:t>
      </w:r>
    </w:p>
    <w:p w14:paraId="09164631">
      <w:pPr>
        <w:keepNext w:val="0"/>
        <w:keepLines w:val="0"/>
        <w:widowControl/>
        <w:numPr>
          <w:ilvl w:val="0"/>
          <w:numId w:val="1"/>
        </w:numPr>
        <w:suppressLineNumbers w:val="0"/>
        <w:ind w:left="92" w:leftChars="0" w:firstLine="0" w:firstLineChars="0"/>
        <w:jc w:val="left"/>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val="0"/>
          <w:bCs w:val="0"/>
          <w:color w:val="000000"/>
          <w:kern w:val="0"/>
          <w:sz w:val="41"/>
          <w:szCs w:val="41"/>
          <w:lang w:val="en-US" w:eastAsia="zh-CN" w:bidi="ar"/>
        </w:rPr>
        <w:t>Beniah Arijel juau Warren  ID 2540018</w:t>
      </w:r>
    </w:p>
    <w:p w14:paraId="7B19B973">
      <w:pPr>
        <w:keepNext w:val="0"/>
        <w:keepLines w:val="0"/>
        <w:widowControl/>
        <w:suppressLineNumbers w:val="0"/>
        <w:jc w:val="left"/>
        <w:rPr>
          <w:rFonts w:hint="default" w:ascii="Calibri" w:hAnsi="Calibri" w:eastAsia="Calibri-Bold" w:cs="Calibri"/>
          <w:b/>
          <w:bCs/>
          <w:color w:val="000000"/>
          <w:kern w:val="0"/>
          <w:sz w:val="41"/>
          <w:szCs w:val="41"/>
          <w:lang w:val="en-US" w:eastAsia="zh-CN" w:bidi="ar"/>
        </w:rPr>
      </w:pPr>
    </w:p>
    <w:p w14:paraId="51737B94">
      <w:pPr>
        <w:keepNext w:val="0"/>
        <w:keepLines w:val="0"/>
        <w:widowControl/>
        <w:suppressLineNumbers w:val="0"/>
        <w:jc w:val="left"/>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bCs/>
          <w:color w:val="000000"/>
          <w:kern w:val="0"/>
          <w:sz w:val="41"/>
          <w:szCs w:val="41"/>
          <w:lang w:val="en-US" w:eastAsia="zh-CN" w:bidi="ar"/>
        </w:rPr>
        <w:t>Lecture: Aishat Bakre</w:t>
      </w:r>
    </w:p>
    <w:p w14:paraId="5E4CC2D6">
      <w:pPr>
        <w:keepNext w:val="0"/>
        <w:keepLines w:val="0"/>
        <w:widowControl/>
        <w:suppressLineNumbers w:val="0"/>
        <w:jc w:val="left"/>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bCs/>
          <w:color w:val="000000"/>
          <w:kern w:val="0"/>
          <w:sz w:val="41"/>
          <w:szCs w:val="41"/>
          <w:lang w:val="en-US" w:eastAsia="zh-CN" w:bidi="ar"/>
        </w:rPr>
        <w:t xml:space="preserve">Date: </w:t>
      </w:r>
      <w:r>
        <w:rPr>
          <w:rFonts w:hint="default" w:ascii="Calibri" w:hAnsi="Calibri" w:eastAsia="Calibri-Bold" w:cs="Calibri"/>
          <w:b w:val="0"/>
          <w:bCs w:val="0"/>
          <w:color w:val="000000"/>
          <w:kern w:val="0"/>
          <w:sz w:val="41"/>
          <w:szCs w:val="41"/>
          <w:lang w:val="en-US" w:eastAsia="zh-CN" w:bidi="ar"/>
        </w:rPr>
        <w:t>October 2026</w:t>
      </w:r>
    </w:p>
    <w:p w14:paraId="00B180EB">
      <w:pPr>
        <w:keepNext w:val="0"/>
        <w:keepLines w:val="0"/>
        <w:widowControl/>
        <w:suppressLineNumbers w:val="0"/>
        <w:jc w:val="left"/>
        <w:rPr>
          <w:rFonts w:hint="default" w:ascii="Calibri" w:hAnsi="Calibri" w:eastAsia="Calibri-Bold" w:cs="Calibri"/>
          <w:b/>
          <w:bCs/>
          <w:color w:val="000000"/>
          <w:kern w:val="0"/>
          <w:sz w:val="41"/>
          <w:szCs w:val="41"/>
          <w:lang w:val="en-US" w:eastAsia="zh-CN" w:bidi="ar"/>
        </w:rPr>
      </w:pPr>
      <w:r>
        <w:rPr>
          <w:rFonts w:hint="default" w:ascii="Calibri" w:hAnsi="Calibri" w:eastAsia="Calibri-Bold" w:cs="Calibri"/>
          <w:b/>
          <w:bCs/>
          <w:color w:val="000000"/>
          <w:kern w:val="0"/>
          <w:sz w:val="41"/>
          <w:szCs w:val="41"/>
          <w:lang w:val="en-US" w:eastAsia="zh-CN" w:bidi="ar"/>
        </w:rPr>
        <w:t xml:space="preserve"> Quay Place, Bimingham.</w:t>
      </w:r>
    </w:p>
    <w:p w14:paraId="70ED1B56">
      <w:pPr>
        <w:spacing w:line="360" w:lineRule="auto"/>
        <w:jc w:val="both"/>
        <w:rPr>
          <w:rFonts w:ascii="Arial" w:hAnsi="Arial" w:cs="Arial"/>
          <w:b/>
          <w:bCs/>
        </w:rPr>
      </w:pPr>
      <w:bookmarkStart w:id="0" w:name="_GoBack"/>
      <w:bookmarkEnd w:id="0"/>
    </w:p>
    <w:p w14:paraId="2028753A">
      <w:pPr>
        <w:spacing w:line="360" w:lineRule="auto"/>
        <w:jc w:val="both"/>
        <w:rPr>
          <w:rFonts w:ascii="Arial" w:hAnsi="Arial" w:cs="Arial"/>
          <w:b/>
          <w:bCs/>
        </w:rPr>
      </w:pPr>
    </w:p>
    <w:p w14:paraId="0202B006">
      <w:pPr>
        <w:spacing w:line="360" w:lineRule="auto"/>
        <w:jc w:val="both"/>
        <w:rPr>
          <w:rFonts w:ascii="Arial" w:hAnsi="Arial" w:cs="Arial"/>
          <w:b/>
          <w:bCs/>
        </w:rPr>
      </w:pPr>
    </w:p>
    <w:p w14:paraId="6584B8E1">
      <w:pPr>
        <w:spacing w:line="360" w:lineRule="auto"/>
        <w:jc w:val="both"/>
        <w:rPr>
          <w:rFonts w:ascii="Arial" w:hAnsi="Arial" w:cs="Arial"/>
          <w:b/>
          <w:bCs/>
        </w:rPr>
      </w:pPr>
      <w:r>
        <w:rPr>
          <w:rFonts w:ascii="Arial" w:hAnsi="Arial" w:cs="Arial"/>
          <w:b/>
          <w:bCs/>
        </w:rPr>
        <w:t>1. Introduction</w:t>
      </w:r>
    </w:p>
    <w:p w14:paraId="2FB5800F">
      <w:pPr>
        <w:spacing w:line="360" w:lineRule="auto"/>
        <w:jc w:val="both"/>
        <w:rPr>
          <w:rFonts w:ascii="Arial" w:hAnsi="Arial" w:cs="Arial"/>
        </w:rPr>
      </w:pPr>
      <w:r>
        <w:rPr>
          <w:rFonts w:ascii="Arial" w:hAnsi="Arial" w:cs="Arial"/>
        </w:rPr>
        <w:t>Rotavirus is a leading cause of acute gastroenteritis in children under five in the UK, characterised by severe diarrhoea, vomiting, fever, abdominal pain, and dehydration (NHS, 2024). The case study of Mary, aged three, reflects typical rotavirus presentation, including a high temperature of 40°C, stomach cramps, vomiting, and reduced oral intake, which are consistent with UK clinical descriptions of rotavirus infection (UKHSA, 2024). Rotavirus spreads primarily through the faecal</w:t>
      </w:r>
      <w:r>
        <w:rPr>
          <w:rFonts w:ascii="Arial" w:hAnsi="Arial" w:cs="Arial"/>
        </w:rPr>
        <w:noBreakHyphen/>
      </w:r>
      <w:r>
        <w:rPr>
          <w:rFonts w:ascii="Arial" w:hAnsi="Arial" w:cs="Arial"/>
        </w:rPr>
        <w:t>oral route, often via contaminated hands, toys, surfaces, nappies, and occasionally respiratory droplets, making it highly transmissible in childcare environments (NHS, 2024). Although the UK introduced routine rotavirus vaccination in 2013, outbreaks still occur, particularly in winter months, placing pressure on NHS paediatric services (UKHSA, 2023). Effective public health management requires robust measurement, monitoring, and control strategies aligned with national policy frameworks such as the HM Treasury Green Book (HM Treasury, 2022).</w:t>
      </w:r>
    </w:p>
    <w:p w14:paraId="60FE7DA3">
      <w:pPr>
        <w:spacing w:line="360" w:lineRule="auto"/>
        <w:jc w:val="both"/>
        <w:rPr>
          <w:rFonts w:ascii="Arial" w:hAnsi="Arial" w:cs="Arial"/>
          <w:b/>
          <w:bCs/>
        </w:rPr>
      </w:pPr>
      <w:r>
        <w:rPr>
          <w:rFonts w:ascii="Arial" w:hAnsi="Arial" w:cs="Arial"/>
          <w:b/>
          <w:bCs/>
        </w:rPr>
        <w:t>2. Measuring Rotavirus Outbreaks</w:t>
      </w:r>
    </w:p>
    <w:p w14:paraId="1E26CD47">
      <w:pPr>
        <w:spacing w:line="360" w:lineRule="auto"/>
        <w:jc w:val="both"/>
        <w:rPr>
          <w:rFonts w:ascii="Arial" w:hAnsi="Arial" w:cs="Arial"/>
        </w:rPr>
      </w:pPr>
      <w:r>
        <w:rPr>
          <w:rFonts w:ascii="Arial" w:hAnsi="Arial" w:cs="Arial"/>
        </w:rPr>
        <w:t>Accurate measurement of rotavirus outbreaks is essential for understanding disease burden and informing public health interventions (UKHSA, 2024). Epidemiological indicators such as incidence and prevalence rates allow health authorities to quantify the number of new and existing cases within a defined population, supporting evidence</w:t>
      </w:r>
      <w:r>
        <w:rPr>
          <w:rFonts w:ascii="Arial" w:hAnsi="Arial" w:cs="Arial"/>
        </w:rPr>
        <w:noBreakHyphen/>
      </w:r>
      <w:r>
        <w:rPr>
          <w:rFonts w:ascii="Arial" w:hAnsi="Arial" w:cs="Arial"/>
        </w:rPr>
        <w:t>based decision</w:t>
      </w:r>
      <w:r>
        <w:rPr>
          <w:rFonts w:ascii="Arial" w:hAnsi="Arial" w:cs="Arial"/>
        </w:rPr>
        <w:noBreakHyphen/>
      </w:r>
      <w:r>
        <w:rPr>
          <w:rFonts w:ascii="Arial" w:hAnsi="Arial" w:cs="Arial"/>
        </w:rPr>
        <w:t>making (ONS, 2025). Laboratory confirmation of rotavirus in stool samples provides definitive diagnosis, ensuring that reported cases meet standardised criteria for surveillance accuracy (UKHSA, 2024). Attack rates, calculated as the proportion of individuals who become ill within a specific setting such as a nursery, help identify high</w:t>
      </w:r>
      <w:r>
        <w:rPr>
          <w:rFonts w:ascii="Arial" w:hAnsi="Arial" w:cs="Arial"/>
        </w:rPr>
        <w:noBreakHyphen/>
      </w:r>
      <w:r>
        <w:rPr>
          <w:rFonts w:ascii="Arial" w:hAnsi="Arial" w:cs="Arial"/>
        </w:rPr>
        <w:t>risk environments and transmission patterns (UKHSA, 2023). Hospital Episode Statistics (HES) from NHS Digital provide data on paediatric admissions for dehydration and gastroenteritis, enabling assessment of outbreak severity and healthcare utilisation (NHS, 2024). Severity scoring tools, such as the Vesikari score, support clinicians in evaluating dehydration risk and guiding treatment decisions (NHS, 2024). According to Green Book principles, high</w:t>
      </w:r>
      <w:r>
        <w:rPr>
          <w:rFonts w:ascii="Arial" w:hAnsi="Arial" w:cs="Arial"/>
        </w:rPr>
        <w:noBreakHyphen/>
      </w:r>
      <w:r>
        <w:rPr>
          <w:rFonts w:ascii="Arial" w:hAnsi="Arial" w:cs="Arial"/>
        </w:rPr>
        <w:t>quality measurement requires reliable data, clear metrics, and proportionality to ensure that interventions are cost</w:t>
      </w:r>
      <w:r>
        <w:rPr>
          <w:rFonts w:ascii="Arial" w:hAnsi="Arial" w:cs="Arial"/>
        </w:rPr>
        <w:noBreakHyphen/>
      </w:r>
      <w:r>
        <w:rPr>
          <w:rFonts w:ascii="Arial" w:hAnsi="Arial" w:cs="Arial"/>
        </w:rPr>
        <w:t>effective and appropriately targeted (HM Treasury, 2022). However, rotavirus measurement is limited by under</w:t>
      </w:r>
      <w:r>
        <w:rPr>
          <w:rFonts w:ascii="Arial" w:hAnsi="Arial" w:cs="Arial"/>
        </w:rPr>
        <w:noBreakHyphen/>
      </w:r>
      <w:r>
        <w:rPr>
          <w:rFonts w:ascii="Arial" w:hAnsi="Arial" w:cs="Arial"/>
        </w:rPr>
        <w:t>reporting in community settings, where many cases are managed at home and never reach clinical surveillance systems (UKHSA, 2024).</w:t>
      </w:r>
    </w:p>
    <w:p w14:paraId="519DE852">
      <w:pPr>
        <w:spacing w:line="360" w:lineRule="auto"/>
        <w:jc w:val="both"/>
        <w:rPr>
          <w:rFonts w:ascii="Arial" w:hAnsi="Arial" w:cs="Arial"/>
          <w:b/>
          <w:bCs/>
        </w:rPr>
      </w:pPr>
      <w:r>
        <w:rPr>
          <w:rFonts w:ascii="Arial" w:hAnsi="Arial" w:cs="Arial"/>
          <w:b/>
          <w:bCs/>
        </w:rPr>
        <w:t>3. Monitoring Rotavirus Outbreaks</w:t>
      </w:r>
    </w:p>
    <w:p w14:paraId="31E66F3A">
      <w:pPr>
        <w:spacing w:line="360" w:lineRule="auto"/>
        <w:jc w:val="both"/>
        <w:rPr>
          <w:rFonts w:ascii="Arial" w:hAnsi="Arial" w:cs="Arial"/>
        </w:rPr>
      </w:pPr>
      <w:r>
        <w:rPr>
          <w:rFonts w:ascii="Arial" w:hAnsi="Arial" w:cs="Arial"/>
        </w:rPr>
        <w:t>Monitoring involves continuous observation of disease trends to detect outbreaks early and guide timely interventions (UKHSA, 2023). Routine laboratory surveillance provides weekly updates on rotavirus</w:t>
      </w:r>
      <w:r>
        <w:rPr>
          <w:rFonts w:ascii="Arial" w:hAnsi="Arial" w:cs="Arial"/>
        </w:rPr>
        <w:noBreakHyphen/>
      </w:r>
      <w:r>
        <w:rPr>
          <w:rFonts w:ascii="Arial" w:hAnsi="Arial" w:cs="Arial"/>
        </w:rPr>
        <w:t>positive stool samples, enabling identification of seasonal peaks and geographic clusters (UKHSA, 2024). Syndromic surveillance systems, including NHS 111 call data, GP consultations, and emergency department attendances for diarrhoea and vomiting, offer real</w:t>
      </w:r>
      <w:r>
        <w:rPr>
          <w:rFonts w:ascii="Arial" w:hAnsi="Arial" w:cs="Arial"/>
        </w:rPr>
        <w:noBreakHyphen/>
      </w:r>
      <w:r>
        <w:rPr>
          <w:rFonts w:ascii="Arial" w:hAnsi="Arial" w:cs="Arial"/>
        </w:rPr>
        <w:t>time insights into community symptom trends (NHS, 2024). Environmental monitoring in childcare settings, such as tracking absences, recording clusters of gastrointestinal symptoms, and conducting hygiene audits, helps identify early signs of transmission (UKHSA, 2023). Vulnerable groups, particularly children under five, require enhanced monitoring due to higher risk of dehydration and hospitalisation (NHS, 2024). According to Green Book guidance, effective monitoring must be continuous, timely, and proportionate to risk, ensuring that resources are allocated efficiently (HM Treasury, 2022). Despite strong national surveillance systems, monitoring gaps persist due to reliance on passive reporting, limited formal reporting mechanisms in nurseries, and delayed healthcare</w:t>
      </w:r>
      <w:r>
        <w:rPr>
          <w:rFonts w:ascii="Arial" w:hAnsi="Arial" w:cs="Arial"/>
        </w:rPr>
        <w:noBreakHyphen/>
      </w:r>
      <w:r>
        <w:rPr>
          <w:rFonts w:ascii="Arial" w:hAnsi="Arial" w:cs="Arial"/>
        </w:rPr>
        <w:t>seeking behaviour among parents (UKHSA, 2024).</w:t>
      </w:r>
    </w:p>
    <w:p w14:paraId="7045CAF3">
      <w:pPr>
        <w:spacing w:line="360" w:lineRule="auto"/>
        <w:jc w:val="both"/>
        <w:rPr>
          <w:rFonts w:ascii="Arial" w:hAnsi="Arial" w:cs="Arial"/>
          <w:b/>
          <w:bCs/>
        </w:rPr>
      </w:pPr>
      <w:r>
        <w:rPr>
          <w:rFonts w:ascii="Arial" w:hAnsi="Arial" w:cs="Arial"/>
          <w:b/>
          <w:bCs/>
        </w:rPr>
        <w:t>4. Controlling Rotavirus Outbreaks</w:t>
      </w:r>
    </w:p>
    <w:p w14:paraId="4087C609">
      <w:pPr>
        <w:spacing w:line="360" w:lineRule="auto"/>
        <w:jc w:val="both"/>
        <w:rPr>
          <w:rFonts w:ascii="Arial" w:hAnsi="Arial" w:cs="Arial"/>
        </w:rPr>
      </w:pPr>
      <w:r>
        <w:rPr>
          <w:rFonts w:ascii="Arial" w:hAnsi="Arial" w:cs="Arial"/>
        </w:rPr>
        <w:t>Control strategies aim to reduce transmission, protect vulnerable children, and minimise NHS burden (UKHSA, 2023). Vaccination remains the most effective long</w:t>
      </w:r>
      <w:r>
        <w:rPr>
          <w:rFonts w:ascii="Arial" w:hAnsi="Arial" w:cs="Arial"/>
        </w:rPr>
        <w:noBreakHyphen/>
      </w:r>
      <w:r>
        <w:rPr>
          <w:rFonts w:ascii="Arial" w:hAnsi="Arial" w:cs="Arial"/>
        </w:rPr>
        <w:t>term control measure, with the UK’s Rotarix vaccine achieving over 90% coverage and significantly reducing severe rotavirus cases since its introduction in 2013 (UKHSA, 2024). Infection prevention and control (IPC) measures, including rigorous handwashing with soap and water, are essential because alcohol</w:t>
      </w:r>
      <w:r>
        <w:rPr>
          <w:rFonts w:ascii="Arial" w:hAnsi="Arial" w:cs="Arial"/>
        </w:rPr>
        <w:noBreakHyphen/>
      </w:r>
      <w:r>
        <w:rPr>
          <w:rFonts w:ascii="Arial" w:hAnsi="Arial" w:cs="Arial"/>
        </w:rPr>
        <w:t>based gels are less effective against rotavirus (NHS, 2024). Environmental cleaning using chlorine</w:t>
      </w:r>
      <w:r>
        <w:rPr>
          <w:rFonts w:ascii="Arial" w:hAnsi="Arial" w:cs="Arial"/>
        </w:rPr>
        <w:noBreakHyphen/>
      </w:r>
      <w:r>
        <w:rPr>
          <w:rFonts w:ascii="Arial" w:hAnsi="Arial" w:cs="Arial"/>
        </w:rPr>
        <w:t>based disinfectants on surfaces, toys, toilets, and nappy</w:t>
      </w:r>
      <w:r>
        <w:rPr>
          <w:rFonts w:ascii="Arial" w:hAnsi="Arial" w:cs="Arial"/>
        </w:rPr>
        <w:noBreakHyphen/>
      </w:r>
      <w:r>
        <w:rPr>
          <w:rFonts w:ascii="Arial" w:hAnsi="Arial" w:cs="Arial"/>
        </w:rPr>
        <w:t>changing areas reduces viral contamination and transmission risk (UKHSA, 2023). Exclusion policies requiring children with diarrhoea or vomiting to remain at home for 48 hours after symptoms resolve help prevent spread in childcare settings (NHS, 2024). Safe nappy disposal and proper sanitation practices further reduce faecal contamination and environmental transmission (UKHSA, 2024). Outbreak management in nurseries includes immediate notification to local UKHSA Health Protection Teams, isolation of symptomatic children, enhanced cleaning schedules, and temporary closure when attack rates are high (UKHSA, 2023). Public health communication plays a critical role in educating parents about dehydration signs, oral rehydration, and the importance of keeping sick children at home (NHS, 2024). Green Book principles emphasise cost</w:t>
      </w:r>
      <w:r>
        <w:rPr>
          <w:rFonts w:ascii="Arial" w:hAnsi="Arial" w:cs="Arial"/>
        </w:rPr>
        <w:noBreakHyphen/>
      </w:r>
      <w:r>
        <w:rPr>
          <w:rFonts w:ascii="Arial" w:hAnsi="Arial" w:cs="Arial"/>
        </w:rPr>
        <w:t>effectiveness, noting that vaccination is highly cost</w:t>
      </w:r>
      <w:r>
        <w:rPr>
          <w:rFonts w:ascii="Arial" w:hAnsi="Arial" w:cs="Arial"/>
        </w:rPr>
        <w:noBreakHyphen/>
      </w:r>
      <w:r>
        <w:rPr>
          <w:rFonts w:ascii="Arial" w:hAnsi="Arial" w:cs="Arial"/>
        </w:rPr>
        <w:t>effective, enhanced cleaning is moderately cost</w:t>
      </w:r>
      <w:r>
        <w:rPr>
          <w:rFonts w:ascii="Arial" w:hAnsi="Arial" w:cs="Arial"/>
        </w:rPr>
        <w:noBreakHyphen/>
      </w:r>
      <w:r>
        <w:rPr>
          <w:rFonts w:ascii="Arial" w:hAnsi="Arial" w:cs="Arial"/>
        </w:rPr>
        <w:t>effective, and temporary closures are costly but sometimes necessary to protect public health (HM Treasury, 2022).</w:t>
      </w:r>
    </w:p>
    <w:p w14:paraId="33C5278E">
      <w:pPr>
        <w:spacing w:line="360" w:lineRule="auto"/>
        <w:jc w:val="both"/>
        <w:rPr>
          <w:rFonts w:ascii="Arial" w:hAnsi="Arial" w:cs="Arial"/>
          <w:b/>
          <w:bCs/>
        </w:rPr>
      </w:pPr>
      <w:r>
        <w:rPr>
          <w:rFonts w:ascii="Arial" w:hAnsi="Arial" w:cs="Arial"/>
          <w:b/>
          <w:bCs/>
        </w:rPr>
        <w:t>5. Factors Influencing Health and Wellbeing</w:t>
      </w:r>
    </w:p>
    <w:p w14:paraId="2D8B35B9">
      <w:pPr>
        <w:spacing w:line="360" w:lineRule="auto"/>
        <w:jc w:val="both"/>
        <w:rPr>
          <w:rFonts w:ascii="Arial" w:hAnsi="Arial" w:cs="Arial"/>
        </w:rPr>
      </w:pPr>
      <w:r>
        <w:rPr>
          <w:rFonts w:ascii="Arial" w:hAnsi="Arial" w:cs="Arial"/>
        </w:rPr>
        <w:t>Health and wellbeing outcomes during rotavirus outbreaks are influenced by multiple factors, including age, hydration status, socioeconomic conditions, childcare attendance, and parental health literacy (UKHSA, 2024). Young children, particularly infants and toddlers, are more vulnerable to dehydration due to higher fluid requirements and lower physiological reserves (NHS, 2024). Socioeconomic deprivation increases transmission risk through crowded housing, limited access to hygiene facilities, and reduced ability to take time off work to care for sick children (ONS, 2025). Childcare attendance increases exposure to contaminated surfaces and shared toys, facilitating rapid transmission (UKHSA, 2023). Parental health literacy affects early recognition of symptoms and timely access to healthcare, influencing disease severity and outcomes (NHS, 2024). The assessment also requires discussion of coronary heart disease (CHD), which is influenced by factors such as smoking, poor diet, physical inactivity, high blood pressure, high cholesterol, obesity, stress, and socioeconomic deprivation (ONS, 2025). CHD remains the leading cause of death in the UK, highlighting the need for integrated public health strategies addressing both infectious diseases like rotavirus and chronic conditions like CHD (ONS, 2025). Both conditions require prevention, early detection, behaviour change, and community education to improve population health outcomes (HM Treasury, 2022).</w:t>
      </w:r>
    </w:p>
    <w:p w14:paraId="5098CA74">
      <w:pPr>
        <w:spacing w:line="360" w:lineRule="auto"/>
        <w:jc w:val="both"/>
        <w:rPr>
          <w:rFonts w:ascii="Arial" w:hAnsi="Arial" w:cs="Arial"/>
          <w:b/>
          <w:bCs/>
        </w:rPr>
      </w:pPr>
      <w:r>
        <w:rPr>
          <w:rFonts w:ascii="Arial" w:hAnsi="Arial" w:cs="Arial"/>
          <w:b/>
          <w:bCs/>
        </w:rPr>
        <w:t>6. Health Education for the Community</w:t>
      </w:r>
    </w:p>
    <w:p w14:paraId="109BB297">
      <w:pPr>
        <w:spacing w:line="360" w:lineRule="auto"/>
        <w:jc w:val="both"/>
        <w:rPr>
          <w:rFonts w:ascii="Arial" w:hAnsi="Arial" w:cs="Arial"/>
        </w:rPr>
      </w:pPr>
      <w:r>
        <w:rPr>
          <w:rFonts w:ascii="Arial" w:hAnsi="Arial" w:cs="Arial"/>
        </w:rPr>
        <w:t xml:space="preserve">Health education is essential for reducing rotavirus transmission and improving community health outcomes (UKHSA, 2024). Key rotavirus messages include promoting vaccination, emphasising handwashing with soap and water, encouraging regular cleaning of toys and surfaces, advising parents to keep sick children at home, teaching recognition of dehydration signs, and explaining when to seek medical help (NHS, 2024). </w:t>
      </w:r>
      <w:r>
        <w:rPr>
          <w:rFonts w:hint="default" w:ascii="Arial" w:hAnsi="Arial" w:cs="Arial"/>
          <w:lang w:val="en-US"/>
        </w:rPr>
        <w:t>Coronary Heart Diseases (</w:t>
      </w:r>
      <w:r>
        <w:rPr>
          <w:rFonts w:ascii="Arial" w:hAnsi="Arial" w:cs="Arial"/>
        </w:rPr>
        <w:t>CHD</w:t>
      </w:r>
      <w:r>
        <w:rPr>
          <w:rFonts w:hint="default" w:ascii="Arial" w:hAnsi="Arial" w:cs="Arial"/>
          <w:lang w:val="en-US"/>
        </w:rPr>
        <w:t>)</w:t>
      </w:r>
      <w:r>
        <w:rPr>
          <w:rFonts w:ascii="Arial" w:hAnsi="Arial" w:cs="Arial"/>
        </w:rPr>
        <w:t xml:space="preserve"> education messages include adopting a balanced diet, reducing salt and saturated fat intake, engaging in regular physical activity, stopping smoking, managing stress, and attending NHS health checks (ONS, 2025). Integrated health education campaigns can address both infectious and chronic diseases, improving overall community wellbeing and reducing long</w:t>
      </w:r>
      <w:r>
        <w:rPr>
          <w:rFonts w:ascii="Arial" w:hAnsi="Arial" w:cs="Arial"/>
        </w:rPr>
        <w:noBreakHyphen/>
      </w:r>
      <w:r>
        <w:rPr>
          <w:rFonts w:ascii="Arial" w:hAnsi="Arial" w:cs="Arial"/>
        </w:rPr>
        <w:t>term healthcare costs (HM Treasury, 2022).</w:t>
      </w:r>
    </w:p>
    <w:p w14:paraId="401EF44B">
      <w:pPr>
        <w:spacing w:line="360" w:lineRule="auto"/>
        <w:jc w:val="both"/>
        <w:rPr>
          <w:rFonts w:ascii="Arial" w:hAnsi="Arial" w:cs="Arial"/>
          <w:b/>
          <w:bCs/>
        </w:rPr>
      </w:pPr>
      <w:r>
        <w:rPr>
          <w:rFonts w:ascii="Arial" w:hAnsi="Arial" w:cs="Arial"/>
          <w:b/>
          <w:bCs/>
        </w:rPr>
        <w:t>7. Strategic Recommendations</w:t>
      </w:r>
    </w:p>
    <w:p w14:paraId="7E8EA5E0">
      <w:pPr>
        <w:spacing w:line="360" w:lineRule="auto"/>
        <w:jc w:val="both"/>
        <w:rPr>
          <w:rFonts w:ascii="Arial" w:hAnsi="Arial" w:cs="Arial"/>
        </w:rPr>
      </w:pPr>
      <w:r>
        <w:rPr>
          <w:rFonts w:ascii="Arial" w:hAnsi="Arial" w:cs="Arial"/>
        </w:rPr>
        <w:t>Strengthening community surveillance through mandatory reporting of gastroenteritis clusters in childcare settings would improve early outbreak detection (UKHSA, 2024). Implementing digital reporting tools for nurseries would streamline communication with health protection teams (NHS, 2024). Enhancing public health communication through targeted winter campaigns and multilingual materials would increase parental awareness and compliance (UKHSA, 2023). Providing standardised cleaning protocols and training for childcare staff would improve IPC practices and reduce transmission (NHS, 2024). Maintaining high vaccination coverage through evidence</w:t>
      </w:r>
      <w:r>
        <w:rPr>
          <w:rFonts w:ascii="Arial" w:hAnsi="Arial" w:cs="Arial"/>
        </w:rPr>
        <w:noBreakHyphen/>
      </w:r>
      <w:r>
        <w:rPr>
          <w:rFonts w:ascii="Arial" w:hAnsi="Arial" w:cs="Arial"/>
        </w:rPr>
        <w:t>based communication addressing vaccine hesitancy remains essential for long</w:t>
      </w:r>
      <w:r>
        <w:rPr>
          <w:rFonts w:ascii="Arial" w:hAnsi="Arial" w:cs="Arial"/>
        </w:rPr>
        <w:noBreakHyphen/>
      </w:r>
      <w:r>
        <w:rPr>
          <w:rFonts w:ascii="Arial" w:hAnsi="Arial" w:cs="Arial"/>
        </w:rPr>
        <w:t>term control (UKHSA, 2024). Integrating infectious and chronic disease strategies, such as combining rotavirus and CHD education at community health events, would strengthen public health impact and align with Green Book principles of cost</w:t>
      </w:r>
      <w:r>
        <w:rPr>
          <w:rFonts w:ascii="Arial" w:hAnsi="Arial" w:cs="Arial"/>
        </w:rPr>
        <w:noBreakHyphen/>
      </w:r>
      <w:r>
        <w:rPr>
          <w:rFonts w:ascii="Arial" w:hAnsi="Arial" w:cs="Arial"/>
        </w:rPr>
        <w:t>effective intervention design (HM Treasury, 2022).</w:t>
      </w:r>
    </w:p>
    <w:p w14:paraId="417E9143">
      <w:pPr>
        <w:spacing w:line="360" w:lineRule="auto"/>
        <w:jc w:val="both"/>
        <w:rPr>
          <w:rFonts w:ascii="Arial" w:hAnsi="Arial" w:cs="Arial"/>
          <w:b/>
          <w:bCs/>
        </w:rPr>
      </w:pPr>
      <w:r>
        <w:rPr>
          <w:rFonts w:ascii="Arial" w:hAnsi="Arial" w:cs="Arial"/>
          <w:b/>
          <w:bCs/>
        </w:rPr>
        <w:t>8. Conclusion</w:t>
      </w:r>
    </w:p>
    <w:p w14:paraId="2F97A02A">
      <w:pPr>
        <w:spacing w:line="360" w:lineRule="auto"/>
        <w:jc w:val="both"/>
        <w:rPr>
          <w:rFonts w:ascii="Arial" w:hAnsi="Arial" w:cs="Arial"/>
        </w:rPr>
      </w:pPr>
      <w:r>
        <w:rPr>
          <w:rFonts w:ascii="Arial" w:hAnsi="Arial" w:cs="Arial"/>
        </w:rPr>
        <w:t>Rotavirus remains a significant public health concern in the UK, particularly for young children, requiring robust measurement, monitoring, and control strategies aligned with national policy frameworks (UKHSA, 2024). The case of Mary highlights the importance of early recognition, hydration, and timely medical intervention (NHS, 2024). Applying Green Book principles ensures that interventions are evidence</w:t>
      </w:r>
      <w:r>
        <w:rPr>
          <w:rFonts w:ascii="Arial" w:hAnsi="Arial" w:cs="Arial"/>
        </w:rPr>
        <w:noBreakHyphen/>
      </w:r>
      <w:r>
        <w:rPr>
          <w:rFonts w:ascii="Arial" w:hAnsi="Arial" w:cs="Arial"/>
        </w:rPr>
        <w:t>based, cost</w:t>
      </w:r>
      <w:r>
        <w:rPr>
          <w:rFonts w:ascii="Arial" w:hAnsi="Arial" w:cs="Arial"/>
        </w:rPr>
        <w:noBreakHyphen/>
      </w:r>
      <w:r>
        <w:rPr>
          <w:rFonts w:ascii="Arial" w:hAnsi="Arial" w:cs="Arial"/>
        </w:rPr>
        <w:t>effective, and proportionate to risk (HM Treasury, 2022). Broader public health strategies must also address chronic diseases such as CHD, which continue to impact community wellbeing (ONS, 2025). This strategic report provides decision</w:t>
      </w:r>
      <w:r>
        <w:rPr>
          <w:rFonts w:ascii="Arial" w:hAnsi="Arial" w:cs="Arial"/>
        </w:rPr>
        <w:noBreakHyphen/>
      </w:r>
      <w:r>
        <w:rPr>
          <w:rFonts w:ascii="Arial" w:hAnsi="Arial" w:cs="Arial"/>
        </w:rPr>
        <w:t>makers with a comprehensive, evidence</w:t>
      </w:r>
      <w:r>
        <w:rPr>
          <w:rFonts w:ascii="Arial" w:hAnsi="Arial" w:cs="Arial"/>
        </w:rPr>
        <w:noBreakHyphen/>
      </w:r>
      <w:r>
        <w:rPr>
          <w:rFonts w:ascii="Arial" w:hAnsi="Arial" w:cs="Arial"/>
        </w:rPr>
        <w:t>based framework to reduce rotavirus transmission, protect vulnerable children, and strengthen community health (UKHSA, 2024).</w:t>
      </w:r>
    </w:p>
    <w:p w14:paraId="21FBCCFB">
      <w:pPr>
        <w:spacing w:line="360" w:lineRule="auto"/>
        <w:jc w:val="both"/>
        <w:rPr>
          <w:rFonts w:ascii="Arial" w:hAnsi="Arial" w:cs="Arial"/>
        </w:rPr>
      </w:pPr>
      <w:r>
        <w:rPr>
          <w:rFonts w:ascii="Arial" w:hAnsi="Arial" w:cs="Arial"/>
        </w:rPr>
        <w:t xml:space="preserve"> </w:t>
      </w:r>
    </w:p>
    <w:p w14:paraId="769FDCE2">
      <w:pPr>
        <w:spacing w:line="360" w:lineRule="auto"/>
        <w:jc w:val="both"/>
        <w:rPr>
          <w:rFonts w:ascii="Arial" w:hAnsi="Arial" w:cs="Arial"/>
        </w:rPr>
      </w:pPr>
    </w:p>
    <w:p w14:paraId="3C704A9B">
      <w:pPr>
        <w:spacing w:line="360" w:lineRule="auto"/>
        <w:jc w:val="both"/>
        <w:rPr>
          <w:rFonts w:ascii="Arial" w:hAnsi="Arial" w:cs="Arial"/>
        </w:rPr>
      </w:pPr>
    </w:p>
    <w:p w14:paraId="5FE404A7">
      <w:pPr>
        <w:spacing w:line="360" w:lineRule="auto"/>
        <w:jc w:val="both"/>
        <w:rPr>
          <w:rFonts w:ascii="Arial" w:hAnsi="Arial" w:cs="Arial"/>
        </w:rPr>
      </w:pPr>
    </w:p>
    <w:p w14:paraId="354E8331">
      <w:pPr>
        <w:spacing w:line="360" w:lineRule="auto"/>
        <w:jc w:val="both"/>
        <w:rPr>
          <w:rFonts w:ascii="Arial" w:hAnsi="Arial" w:cs="Arial"/>
        </w:rPr>
      </w:pPr>
    </w:p>
    <w:p w14:paraId="7CD2A7A1">
      <w:pPr>
        <w:spacing w:line="360" w:lineRule="auto"/>
        <w:jc w:val="both"/>
        <w:rPr>
          <w:rFonts w:ascii="Arial" w:hAnsi="Arial" w:cs="Arial"/>
        </w:rPr>
      </w:pPr>
    </w:p>
    <w:p w14:paraId="19845D84">
      <w:pPr>
        <w:spacing w:line="360" w:lineRule="auto"/>
        <w:jc w:val="both"/>
        <w:rPr>
          <w:rFonts w:ascii="Arial" w:hAnsi="Arial" w:cs="Arial"/>
        </w:rPr>
      </w:pPr>
    </w:p>
    <w:p w14:paraId="6FDE3DCF">
      <w:pPr>
        <w:spacing w:line="360" w:lineRule="auto"/>
        <w:jc w:val="both"/>
        <w:rPr>
          <w:rFonts w:ascii="Arial" w:hAnsi="Arial" w:cs="Arial"/>
        </w:rPr>
      </w:pPr>
    </w:p>
    <w:p w14:paraId="69F54A10">
      <w:pPr>
        <w:spacing w:line="360" w:lineRule="auto"/>
        <w:jc w:val="both"/>
        <w:rPr>
          <w:rFonts w:ascii="Arial" w:hAnsi="Arial" w:cs="Arial"/>
        </w:rPr>
      </w:pPr>
    </w:p>
    <w:p w14:paraId="35874FB5">
      <w:pPr>
        <w:spacing w:line="360" w:lineRule="auto"/>
        <w:jc w:val="both"/>
        <w:rPr>
          <w:rFonts w:ascii="Arial" w:hAnsi="Arial" w:cs="Arial"/>
        </w:rPr>
      </w:pPr>
    </w:p>
    <w:p w14:paraId="439F9DDF">
      <w:pPr>
        <w:spacing w:line="360" w:lineRule="auto"/>
        <w:jc w:val="both"/>
        <w:rPr>
          <w:rFonts w:ascii="Arial" w:hAnsi="Arial" w:cs="Arial"/>
        </w:rPr>
      </w:pPr>
    </w:p>
    <w:p w14:paraId="697DCAD1">
      <w:pPr>
        <w:spacing w:line="360" w:lineRule="auto"/>
        <w:jc w:val="both"/>
        <w:rPr>
          <w:rFonts w:ascii="Arial" w:hAnsi="Arial" w:cs="Arial"/>
        </w:rPr>
      </w:pPr>
    </w:p>
    <w:p w14:paraId="72BC5002">
      <w:pPr>
        <w:spacing w:line="360" w:lineRule="auto"/>
        <w:jc w:val="both"/>
        <w:rPr>
          <w:rFonts w:ascii="Arial" w:hAnsi="Arial" w:cs="Arial"/>
        </w:rPr>
      </w:pPr>
    </w:p>
    <w:p w14:paraId="325DC90F">
      <w:pPr>
        <w:spacing w:line="360" w:lineRule="auto"/>
        <w:jc w:val="both"/>
        <w:rPr>
          <w:rFonts w:ascii="Arial" w:hAnsi="Arial" w:cs="Arial"/>
        </w:rPr>
      </w:pPr>
    </w:p>
    <w:p w14:paraId="6A2FD2A2">
      <w:pPr>
        <w:spacing w:line="360" w:lineRule="auto"/>
        <w:jc w:val="both"/>
        <w:rPr>
          <w:rFonts w:ascii="Arial" w:hAnsi="Arial" w:cs="Arial"/>
        </w:rPr>
      </w:pPr>
    </w:p>
    <w:p w14:paraId="5B7D3A79">
      <w:pPr>
        <w:spacing w:line="360" w:lineRule="auto"/>
        <w:jc w:val="both"/>
        <w:rPr>
          <w:rFonts w:ascii="Arial" w:hAnsi="Arial" w:cs="Arial"/>
        </w:rPr>
      </w:pPr>
    </w:p>
    <w:p w14:paraId="1F3A6C9E">
      <w:pPr>
        <w:spacing w:line="360" w:lineRule="auto"/>
        <w:jc w:val="both"/>
        <w:rPr>
          <w:rFonts w:ascii="Arial" w:hAnsi="Arial" w:cs="Arial"/>
        </w:rPr>
      </w:pPr>
    </w:p>
    <w:p w14:paraId="1B7BE9CE">
      <w:pPr>
        <w:spacing w:line="360" w:lineRule="auto"/>
        <w:jc w:val="both"/>
        <w:rPr>
          <w:rFonts w:ascii="Arial" w:hAnsi="Arial" w:cs="Arial"/>
        </w:rPr>
      </w:pPr>
    </w:p>
    <w:p w14:paraId="4786DD22">
      <w:pPr>
        <w:spacing w:line="360" w:lineRule="auto"/>
        <w:jc w:val="both"/>
        <w:rPr>
          <w:rFonts w:ascii="Arial" w:hAnsi="Arial" w:cs="Arial"/>
        </w:rPr>
      </w:pPr>
      <w:r>
        <w:rPr>
          <w:rFonts w:ascii="Arial" w:hAnsi="Arial" w:cs="Arial"/>
        </w:rPr>
        <w:t>Harvard</w:t>
      </w:r>
      <w:r>
        <w:rPr>
          <w:rFonts w:ascii="Cambria Math" w:hAnsi="Cambria Math" w:cs="Cambria Math"/>
        </w:rPr>
        <w:t>‑</w:t>
      </w:r>
      <w:r>
        <w:rPr>
          <w:rFonts w:ascii="Arial" w:hAnsi="Arial" w:cs="Arial"/>
        </w:rPr>
        <w:t>Style Reference List with Accessible Links</w:t>
      </w:r>
    </w:p>
    <w:p w14:paraId="66F29944">
      <w:pPr>
        <w:spacing w:line="360" w:lineRule="auto"/>
        <w:jc w:val="both"/>
        <w:rPr>
          <w:rFonts w:ascii="Arial" w:hAnsi="Arial" w:cs="Arial"/>
        </w:rPr>
      </w:pPr>
      <w:r>
        <w:rPr>
          <w:rFonts w:ascii="Arial" w:hAnsi="Arial" w:cs="Arial"/>
        </w:rPr>
        <w:t xml:space="preserve">1. HM Treasury The Green Book (2022), The Green Book:  Central Government Guidance on Appraisal and Evaluation. London: HM Government. Available at: </w:t>
      </w:r>
      <w:r>
        <w:fldChar w:fldCharType="begin"/>
      </w:r>
      <w:r>
        <w:instrText xml:space="preserve"> HYPERLINK "https://www.gov.uk/government/publications/the-green-book" </w:instrText>
      </w:r>
      <w:r>
        <w:fldChar w:fldCharType="separate"/>
      </w:r>
      <w:r>
        <w:rPr>
          <w:rStyle w:val="15"/>
          <w:rFonts w:ascii="Arial" w:hAnsi="Arial" w:cs="Arial"/>
        </w:rPr>
        <w:t>https://www.gov.uk/government/publications/the-green-book</w:t>
      </w:r>
      <w:r>
        <w:rPr>
          <w:rStyle w:val="15"/>
          <w:rFonts w:ascii="Arial" w:hAnsi="Arial" w:cs="Arial"/>
        </w:rPr>
        <w:fldChar w:fldCharType="end"/>
      </w:r>
      <w:r>
        <w:rPr>
          <w:rFonts w:ascii="Arial" w:hAnsi="Arial" w:cs="Arial"/>
        </w:rPr>
        <w:t>. (Accessed: 01 October 2026)</w:t>
      </w:r>
    </w:p>
    <w:p w14:paraId="79E758DF">
      <w:pPr>
        <w:spacing w:line="360" w:lineRule="auto"/>
        <w:jc w:val="both"/>
        <w:rPr>
          <w:rFonts w:ascii="Arial" w:hAnsi="Arial" w:cs="Arial"/>
        </w:rPr>
      </w:pPr>
      <w:r>
        <w:rPr>
          <w:rFonts w:ascii="Arial" w:hAnsi="Arial" w:cs="Arial"/>
        </w:rPr>
        <w:t xml:space="preserve">2. UK Health Security Agency (UKHSA) – Gastrointestinal Infections Surveillance UK Health Security Agency (2023) Gastrointestinal infections: annual summary and surveillance reports. Available at: </w:t>
      </w:r>
      <w:r>
        <w:fldChar w:fldCharType="begin"/>
      </w:r>
      <w:r>
        <w:instrText xml:space="preserve"> HYPERLINK "https://www.gov.uk/government/collections/gastrointestinal-infections-annual-reports" </w:instrText>
      </w:r>
      <w:r>
        <w:fldChar w:fldCharType="separate"/>
      </w:r>
      <w:r>
        <w:rPr>
          <w:rStyle w:val="15"/>
          <w:rFonts w:ascii="Arial" w:hAnsi="Arial" w:cs="Arial"/>
        </w:rPr>
        <w:t>https://www.gov.uk/government/collections/gastrointestinal-infections-annual-reports</w:t>
      </w:r>
      <w:r>
        <w:rPr>
          <w:rStyle w:val="15"/>
          <w:rFonts w:ascii="Arial" w:hAnsi="Arial" w:cs="Arial"/>
        </w:rPr>
        <w:fldChar w:fldCharType="end"/>
      </w:r>
      <w:r>
        <w:rPr>
          <w:rFonts w:ascii="Arial" w:hAnsi="Arial" w:cs="Arial"/>
        </w:rPr>
        <w:t xml:space="preserve"> (gov.uk in Bing). (Accessed: 01 October 2026)</w:t>
      </w:r>
    </w:p>
    <w:p w14:paraId="24A6E97F">
      <w:pPr>
        <w:spacing w:line="360" w:lineRule="auto"/>
        <w:jc w:val="both"/>
        <w:rPr>
          <w:rFonts w:ascii="Arial" w:hAnsi="Arial" w:cs="Arial"/>
        </w:rPr>
      </w:pPr>
      <w:r>
        <w:rPr>
          <w:rFonts w:ascii="Arial" w:hAnsi="Arial" w:cs="Arial"/>
        </w:rPr>
        <w:t xml:space="preserve">3. NHS England – Rotavirus Information: NHS (2024) Rotavirus: symptoms, causes, treatment and vaccination. Available at: </w:t>
      </w:r>
      <w:r>
        <w:fldChar w:fldCharType="begin"/>
      </w:r>
      <w:r>
        <w:instrText xml:space="preserve"> HYPERLINK "https://www.nhs.uk/conditions/rotavirus/" </w:instrText>
      </w:r>
      <w:r>
        <w:fldChar w:fldCharType="separate"/>
      </w:r>
      <w:r>
        <w:rPr>
          <w:rStyle w:val="15"/>
          <w:rFonts w:ascii="Arial" w:hAnsi="Arial" w:cs="Arial"/>
        </w:rPr>
        <w:t>https://www.nhs.uk/conditions/rotavirus/</w:t>
      </w:r>
      <w:r>
        <w:rPr>
          <w:rStyle w:val="15"/>
          <w:rFonts w:ascii="Arial" w:hAnsi="Arial" w:cs="Arial"/>
        </w:rPr>
        <w:fldChar w:fldCharType="end"/>
      </w:r>
      <w:r>
        <w:rPr>
          <w:rFonts w:ascii="Arial" w:hAnsi="Arial" w:cs="Arial"/>
        </w:rPr>
        <w:t>. (Accessed: 01 October 2026)</w:t>
      </w:r>
    </w:p>
    <w:p w14:paraId="32586A34">
      <w:pPr>
        <w:spacing w:line="360" w:lineRule="auto"/>
        <w:jc w:val="both"/>
        <w:rPr>
          <w:rFonts w:ascii="Arial" w:hAnsi="Arial" w:cs="Arial"/>
        </w:rPr>
      </w:pPr>
      <w:r>
        <w:rPr>
          <w:rFonts w:ascii="Arial" w:hAnsi="Arial" w:cs="Arial"/>
        </w:rPr>
        <w:t>4. Office for National Statistics (ONS) – Coronary Heart Disease Statistics</w:t>
      </w:r>
    </w:p>
    <w:p w14:paraId="04EF2828">
      <w:pPr>
        <w:spacing w:line="360" w:lineRule="auto"/>
        <w:jc w:val="both"/>
        <w:rPr>
          <w:rFonts w:ascii="Arial" w:hAnsi="Arial" w:cs="Arial"/>
        </w:rPr>
      </w:pPr>
      <w:r>
        <w:rPr>
          <w:rFonts w:ascii="Arial" w:hAnsi="Arial" w:cs="Arial"/>
        </w:rPr>
        <w:t>Office for National Statistics (2025) Deaths registered in England and Wales: leading causes including coronary heart disease.</w:t>
      </w:r>
    </w:p>
    <w:p w14:paraId="65E44325">
      <w:pPr>
        <w:spacing w:line="360" w:lineRule="auto"/>
        <w:jc w:val="both"/>
        <w:rPr>
          <w:rFonts w:ascii="Arial" w:hAnsi="Arial" w:cs="Arial"/>
        </w:rPr>
      </w:pPr>
      <w:r>
        <w:rPr>
          <w:rFonts w:ascii="Arial" w:hAnsi="Arial" w:cs="Arial"/>
        </w:rPr>
        <w:t xml:space="preserve">Available at: https://www.ons.gov.uk/peoplepopulationandcommunity/healthandsocialcare/causesofdeath (ons.gov.uk in Bing)  </w:t>
      </w:r>
    </w:p>
    <w:p w14:paraId="3EA8BD14">
      <w:pPr>
        <w:spacing w:line="360" w:lineRule="auto"/>
        <w:jc w:val="both"/>
        <w:rPr>
          <w:rFonts w:ascii="Arial" w:hAnsi="Arial" w:cs="Arial"/>
        </w:rPr>
      </w:pPr>
      <w:r>
        <w:rPr>
          <w:rFonts w:ascii="Arial" w:hAnsi="Arial" w:cs="Arial"/>
        </w:rPr>
        <w:t>(Accessed: 01 October 2026)</w:t>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86"/>
    <w:family w:val="swiss"/>
    <w:pitch w:val="default"/>
    <w:sig w:usb0="00000000" w:usb1="00000000" w:usb2="00000000" w:usb3="00000000" w:csb0="0000019F" w:csb1="00000000"/>
  </w:font>
  <w:font w:name="Aptos">
    <w:altName w:val="Segoe UI"/>
    <w:panose1 w:val="00000000000000000000"/>
    <w:charset w:val="00"/>
    <w:family w:val="auto"/>
    <w:pitch w:val="default"/>
    <w:sig w:usb0="00000000" w:usb1="00000000" w:usb2="00000000" w:usb3="00000000" w:csb0="00000000" w:csb1="00000000"/>
  </w:font>
  <w:font w:name="Aptos Display">
    <w:altName w:val="Segoe UI Variable Display"/>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 w:name="Segoe UI Variable Display">
    <w:panose1 w:val="00000000000000000000"/>
    <w:charset w:val="00"/>
    <w:family w:val="auto"/>
    <w:pitch w:val="default"/>
    <w:sig w:usb0="A00002FF" w:usb1="0000000B" w:usb2="00000000" w:usb3="00000000" w:csb0="2000019F" w:csb1="00000000"/>
  </w:font>
  <w:font w:name="Calibri-Bol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90859688"/>
      <w:docPartObj>
        <w:docPartGallery w:val="AutoText"/>
      </w:docPartObj>
    </w:sdtPr>
    <w:sdtContent>
      <w:p w14:paraId="4370E613">
        <w:pPr>
          <w:pStyle w:val="13"/>
          <w:jc w:val="right"/>
        </w:pPr>
        <w:r>
          <w:fldChar w:fldCharType="begin"/>
        </w:r>
        <w:r>
          <w:instrText xml:space="preserve"> PAGE   \* MERGEFORMAT </w:instrText>
        </w:r>
        <w:r>
          <w:fldChar w:fldCharType="separate"/>
        </w:r>
        <w:r>
          <w:t>2</w:t>
        </w:r>
        <w:r>
          <w:fldChar w:fldCharType="end"/>
        </w:r>
      </w:p>
    </w:sdtContent>
  </w:sdt>
  <w:p w14:paraId="79F965A3">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5166013"/>
    <w:multiLevelType w:val="singleLevel"/>
    <w:tmpl w:val="05166013"/>
    <w:lvl w:ilvl="0" w:tentative="0">
      <w:start w:val="1"/>
      <w:numFmt w:val="decimal"/>
      <w:suff w:val="space"/>
      <w:lvlText w:val="%1."/>
      <w:lvlJc w:val="left"/>
      <w:pPr>
        <w:ind w:left="92" w:leftChars="0" w:firstLine="0" w:firstLineChars="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5CB"/>
    <w:rsid w:val="00187926"/>
    <w:rsid w:val="001F75CB"/>
    <w:rsid w:val="0031468C"/>
    <w:rsid w:val="003938D6"/>
    <w:rsid w:val="00556A1F"/>
    <w:rsid w:val="00742A09"/>
    <w:rsid w:val="008D1F78"/>
    <w:rsid w:val="00FF4846"/>
    <w:rsid w:val="177B0D14"/>
    <w:rsid w:val="34711EF3"/>
    <w:rsid w:val="4CF5694E"/>
    <w:rsid w:val="7AB63422"/>
    <w:rsid w:val="7BA178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US" w:eastAsia="en-US" w:bidi="ar-SA"/>
      <w14:ligatures w14:val="standardContextual"/>
    </w:rPr>
  </w:style>
  <w:style w:type="paragraph" w:styleId="2">
    <w:name w:val="heading 1"/>
    <w:basedOn w:val="1"/>
    <w:next w:val="1"/>
    <w:link w:val="18"/>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9"/>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0"/>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1"/>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2"/>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3"/>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4"/>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5"/>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6"/>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37"/>
    <w:unhideWhenUsed/>
    <w:qFormat/>
    <w:uiPriority w:val="99"/>
    <w:pPr>
      <w:tabs>
        <w:tab w:val="center" w:pos="4680"/>
        <w:tab w:val="right" w:pos="9360"/>
      </w:tabs>
      <w:spacing w:after="0" w:line="240" w:lineRule="auto"/>
    </w:pPr>
  </w:style>
  <w:style w:type="paragraph" w:styleId="14">
    <w:name w:val="header"/>
    <w:basedOn w:val="1"/>
    <w:link w:val="36"/>
    <w:unhideWhenUsed/>
    <w:uiPriority w:val="99"/>
    <w:pPr>
      <w:tabs>
        <w:tab w:val="center" w:pos="4680"/>
        <w:tab w:val="right" w:pos="9360"/>
      </w:tabs>
      <w:spacing w:after="0" w:line="240" w:lineRule="auto"/>
    </w:pPr>
  </w:style>
  <w:style w:type="character" w:styleId="15">
    <w:name w:val="Hyperlink"/>
    <w:basedOn w:val="11"/>
    <w:unhideWhenUsed/>
    <w:qFormat/>
    <w:uiPriority w:val="99"/>
    <w:rPr>
      <w:color w:val="467886" w:themeColor="hyperlink"/>
      <w:u w:val="single"/>
      <w14:textFill>
        <w14:solidFill>
          <w14:schemeClr w14:val="hlink"/>
        </w14:solidFill>
      </w14:textFill>
    </w:rPr>
  </w:style>
  <w:style w:type="paragraph" w:styleId="16">
    <w:name w:val="Subtitle"/>
    <w:basedOn w:val="1"/>
    <w:next w:val="1"/>
    <w:link w:val="28"/>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27"/>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8">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19">
    <w:name w:val="Heading 2 Char"/>
    <w:basedOn w:val="11"/>
    <w:link w:val="3"/>
    <w:semiHidden/>
    <w:uiPriority w:val="9"/>
    <w:rPr>
      <w:rFonts w:asciiTheme="majorHAnsi" w:hAnsiTheme="majorHAnsi" w:eastAsiaTheme="majorEastAsia" w:cstheme="majorBidi"/>
      <w:color w:val="104862" w:themeColor="accent1" w:themeShade="BF"/>
      <w:sz w:val="32"/>
      <w:szCs w:val="32"/>
    </w:rPr>
  </w:style>
  <w:style w:type="character" w:customStyle="1" w:styleId="20">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1">
    <w:name w:val="Heading 4 Char"/>
    <w:basedOn w:val="11"/>
    <w:link w:val="5"/>
    <w:semiHidden/>
    <w:qFormat/>
    <w:uiPriority w:val="9"/>
    <w:rPr>
      <w:rFonts w:eastAsiaTheme="majorEastAsia" w:cstheme="majorBidi"/>
      <w:i/>
      <w:iCs/>
      <w:color w:val="104862" w:themeColor="accent1" w:themeShade="BF"/>
    </w:rPr>
  </w:style>
  <w:style w:type="character" w:customStyle="1" w:styleId="22">
    <w:name w:val="Heading 5 Char"/>
    <w:basedOn w:val="11"/>
    <w:link w:val="6"/>
    <w:semiHidden/>
    <w:qFormat/>
    <w:uiPriority w:val="9"/>
    <w:rPr>
      <w:rFonts w:eastAsiaTheme="majorEastAsia" w:cstheme="majorBidi"/>
      <w:color w:val="104862" w:themeColor="accent1" w:themeShade="BF"/>
    </w:rPr>
  </w:style>
  <w:style w:type="character" w:customStyle="1" w:styleId="23">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4">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5">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6">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7">
    <w:name w:val="Title Char"/>
    <w:basedOn w:val="11"/>
    <w:link w:val="17"/>
    <w:uiPriority w:val="10"/>
    <w:rPr>
      <w:rFonts w:asciiTheme="majorHAnsi" w:hAnsiTheme="majorHAnsi" w:eastAsiaTheme="majorEastAsia" w:cstheme="majorBidi"/>
      <w:spacing w:val="-10"/>
      <w:kern w:val="28"/>
      <w:sz w:val="56"/>
      <w:szCs w:val="56"/>
    </w:rPr>
  </w:style>
  <w:style w:type="character" w:customStyle="1" w:styleId="28">
    <w:name w:val="Subtitle Cha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9">
    <w:name w:val="Quote"/>
    <w:basedOn w:val="1"/>
    <w:next w:val="1"/>
    <w:link w:val="3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0">
    <w:name w:val="Quote Char"/>
    <w:basedOn w:val="11"/>
    <w:link w:val="29"/>
    <w:qFormat/>
    <w:uiPriority w:val="29"/>
    <w:rPr>
      <w:i/>
      <w:iCs/>
      <w:color w:val="404040" w:themeColor="text1" w:themeTint="BF"/>
      <w14:textFill>
        <w14:solidFill>
          <w14:schemeClr w14:val="tx1">
            <w14:lumMod w14:val="75000"/>
            <w14:lumOff w14:val="25000"/>
          </w14:schemeClr>
        </w14:solidFill>
      </w14:textFill>
    </w:rPr>
  </w:style>
  <w:style w:type="paragraph" w:styleId="31">
    <w:name w:val="List Paragraph"/>
    <w:basedOn w:val="1"/>
    <w:qFormat/>
    <w:uiPriority w:val="34"/>
    <w:pPr>
      <w:ind w:left="720"/>
      <w:contextualSpacing/>
    </w:pPr>
  </w:style>
  <w:style w:type="character" w:customStyle="1" w:styleId="32">
    <w:name w:val="Intense Emphasis"/>
    <w:basedOn w:val="11"/>
    <w:qFormat/>
    <w:uiPriority w:val="21"/>
    <w:rPr>
      <w:i/>
      <w:iCs/>
      <w:color w:val="104862" w:themeColor="accent1" w:themeShade="BF"/>
    </w:rPr>
  </w:style>
  <w:style w:type="paragraph" w:styleId="33">
    <w:name w:val="Intense Quote"/>
    <w:basedOn w:val="1"/>
    <w:next w:val="1"/>
    <w:link w:val="34"/>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4">
    <w:name w:val="Intense Quote Char"/>
    <w:basedOn w:val="11"/>
    <w:link w:val="33"/>
    <w:qFormat/>
    <w:uiPriority w:val="30"/>
    <w:rPr>
      <w:i/>
      <w:iCs/>
      <w:color w:val="104862" w:themeColor="accent1" w:themeShade="BF"/>
    </w:rPr>
  </w:style>
  <w:style w:type="character" w:customStyle="1" w:styleId="35">
    <w:name w:val="Intense Reference"/>
    <w:basedOn w:val="11"/>
    <w:qFormat/>
    <w:uiPriority w:val="32"/>
    <w:rPr>
      <w:b/>
      <w:bCs/>
      <w:smallCaps/>
      <w:color w:val="104862" w:themeColor="accent1" w:themeShade="BF"/>
      <w:spacing w:val="5"/>
    </w:rPr>
  </w:style>
  <w:style w:type="character" w:customStyle="1" w:styleId="36">
    <w:name w:val="Header Char"/>
    <w:basedOn w:val="11"/>
    <w:link w:val="14"/>
    <w:qFormat/>
    <w:uiPriority w:val="99"/>
  </w:style>
  <w:style w:type="character" w:customStyle="1" w:styleId="37">
    <w:name w:val="Footer Char"/>
    <w:basedOn w:val="11"/>
    <w:link w:val="13"/>
    <w:qFormat/>
    <w:uiPriority w:val="99"/>
  </w:style>
  <w:style w:type="character" w:customStyle="1" w:styleId="38">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7</Pages>
  <Words>1401</Words>
  <Characters>9638</Characters>
  <Lines>80</Lines>
  <Paragraphs>22</Paragraphs>
  <TotalTime>9</TotalTime>
  <ScaleCrop>false</ScaleCrop>
  <LinksUpToDate>false</LinksUpToDate>
  <CharactersWithSpaces>11019</CharactersWithSpaces>
  <Application>WPS Office_12.1.0.28485_F1E327BC-269C-435d-A152-05C5408002CA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2026-10-01T08:15:00Z</dcterms:created>
  <dc:creator>Zinabu Tikuye</dc:creator>
  <cp:lastModifiedBy>WPS_1785436738</cp:lastModifiedBy>
  <dcterms:modified xsi:type="dcterms:W3CDTF">2026-10-08T11:10:15Z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eyJoZGlkIjoiYmY5NTJkNTRkMDdkNWM2ODM1NDFhNTZjODA0ODUxZTYiLCJ1c2VySWQiOiIzODQ4Mjk1MDA1OTQzIn0=</vt:lpwstr>
  </property>
  <property fmtid="{D5CDD505-2E9C-101B-9397-08002B2CF9AE}" pid="3" name="KSOProductBuildVer">
    <vt:lpwstr>1033-12.1.0.28485</vt:lpwstr>
  </property>
  <property fmtid="{D5CDD505-2E9C-101B-9397-08002B2CF9AE}" pid="4" name="ICV">
    <vt:lpwstr>30DE486EF8014E029B2D861DCFD8A1E3_13</vt:lpwstr>
  </property>
</Properties>
</file>