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pStyle w:val="14"/>
        <w:spacing w:before="240" w:after="240"/>
        <w:jc w:val="both"/>
        <w:rPr>
          <w:sz w:val="24"/>
        </w:rPr>
      </w:pPr>
      <w:bookmarkStart w:id="0" w:name="_k5i21yzc67fr" w:colFirst="0" w:colLast="0"/>
      <w:bookmarkEnd w:id="0"/>
    </w:p>
    <w:p w14:paraId="00000002">
      <w:pPr>
        <w:pStyle w:val="14"/>
        <w:spacing w:before="240" w:after="240"/>
        <w:jc w:val="both"/>
        <w:rPr>
          <w:sz w:val="24"/>
        </w:rPr>
      </w:pPr>
      <w:bookmarkStart w:id="1" w:name="_icyjw3slwekl" w:colFirst="0" w:colLast="0"/>
      <w:bookmarkEnd w:id="1"/>
    </w:p>
    <w:p w14:paraId="00000003">
      <w:pPr>
        <w:pStyle w:val="14"/>
        <w:spacing w:before="240" w:after="240"/>
        <w:jc w:val="both"/>
        <w:rPr>
          <w:sz w:val="24"/>
        </w:rPr>
      </w:pPr>
      <w:bookmarkStart w:id="2" w:name="_ds121xlk3a5c" w:colFirst="0" w:colLast="0"/>
      <w:bookmarkEnd w:id="2"/>
    </w:p>
    <w:p w14:paraId="00000004">
      <w:pPr>
        <w:pStyle w:val="14"/>
        <w:spacing w:before="240" w:after="240"/>
        <w:jc w:val="both"/>
        <w:rPr>
          <w:sz w:val="24"/>
        </w:rPr>
      </w:pPr>
      <w:bookmarkStart w:id="3" w:name="_ep089mjx41ij" w:colFirst="0" w:colLast="0"/>
      <w:bookmarkEnd w:id="3"/>
    </w:p>
    <w:p w14:paraId="00000005">
      <w:pPr>
        <w:pStyle w:val="14"/>
        <w:spacing w:before="240" w:after="240"/>
        <w:jc w:val="both"/>
        <w:rPr>
          <w:sz w:val="24"/>
        </w:rPr>
      </w:pPr>
      <w:bookmarkStart w:id="4" w:name="_h98tilskg0bq" w:colFirst="0" w:colLast="0"/>
      <w:bookmarkEnd w:id="4"/>
    </w:p>
    <w:p w14:paraId="1AE8C4A5">
      <w:pPr>
        <w:pStyle w:val="14"/>
        <w:spacing w:before="240" w:after="240"/>
        <w:jc w:val="both"/>
        <w:rPr>
          <w:sz w:val="24"/>
        </w:rPr>
      </w:pPr>
      <w:bookmarkStart w:id="5" w:name="_5oxriedsbzmh" w:colFirst="0" w:colLast="0"/>
      <w:bookmarkEnd w:id="5"/>
    </w:p>
    <w:p w14:paraId="2A08BDE9">
      <w:pPr>
        <w:pStyle w:val="14"/>
        <w:ind w:firstLine="0" w:firstLineChars="0"/>
        <w:rPr>
          <w:color w:val="000000" w:themeColor="text1"/>
          <w:sz w:val="44"/>
          <w:szCs w:val="44"/>
          <w14:textFill>
            <w14:solidFill>
              <w14:schemeClr w14:val="tx1"/>
            </w14:solidFill>
          </w14:textFill>
        </w:rPr>
      </w:pPr>
      <w:r>
        <w:rPr>
          <w:color w:val="000000" w:themeColor="text1"/>
          <w:sz w:val="44"/>
          <w:szCs w:val="44"/>
          <w14:textFill>
            <w14:solidFill>
              <w14:schemeClr w14:val="tx1"/>
            </w14:solidFill>
          </w14:textFill>
        </w:rPr>
        <w:t>ANALYSIS OF REMOTE WORKER’S PERFORMANCE</w:t>
      </w:r>
    </w:p>
    <w:p w14:paraId="20F2B1A8">
      <w:pPr>
        <w:rPr>
          <w:color w:val="000000" w:themeColor="text1"/>
          <w:sz w:val="44"/>
          <w:szCs w:val="44"/>
          <w14:textFill>
            <w14:solidFill>
              <w14:schemeClr w14:val="tx1"/>
            </w14:solidFill>
          </w14:textFill>
        </w:rPr>
      </w:pPr>
    </w:p>
    <w:p w14:paraId="6EB60DAD">
      <w:pPr>
        <w:rPr>
          <w:rFonts w:hint="default"/>
          <w:color w:val="000000" w:themeColor="text1"/>
          <w:sz w:val="44"/>
          <w:szCs w:val="44"/>
          <w14:textFill>
            <w14:solidFill>
              <w14:schemeClr w14:val="tx1"/>
            </w14:solidFill>
          </w14:textFill>
        </w:rPr>
      </w:pPr>
    </w:p>
    <w:p w14:paraId="44F5EB9E">
      <w:pPr>
        <w:rPr>
          <w:rFonts w:hint="default"/>
          <w:color w:val="000000" w:themeColor="text1"/>
          <w:sz w:val="44"/>
          <w:szCs w:val="44"/>
          <w14:textFill>
            <w14:solidFill>
              <w14:schemeClr w14:val="tx1"/>
            </w14:solidFill>
          </w14:textFill>
        </w:rPr>
      </w:pPr>
      <w:r>
        <w:rPr>
          <w:rFonts w:hint="default"/>
          <w:color w:val="000000" w:themeColor="text1"/>
          <w:sz w:val="44"/>
          <w:szCs w:val="44"/>
          <w14:textFill>
            <w14:solidFill>
              <w14:schemeClr w14:val="tx1"/>
            </w14:solidFill>
          </w14:textFill>
        </w:rPr>
        <w:t>Name: Jannat</w:t>
      </w:r>
    </w:p>
    <w:p w14:paraId="5DACFF24">
      <w:pPr>
        <w:rPr>
          <w:rFonts w:hint="default"/>
          <w:color w:val="000000" w:themeColor="text1"/>
          <w:sz w:val="44"/>
          <w:szCs w:val="44"/>
          <w14:textFill>
            <w14:solidFill>
              <w14:schemeClr w14:val="tx1"/>
            </w14:solidFill>
          </w14:textFill>
        </w:rPr>
      </w:pPr>
      <w:r>
        <w:rPr>
          <w:rFonts w:hint="default"/>
          <w:color w:val="000000" w:themeColor="text1"/>
          <w:sz w:val="44"/>
          <w:szCs w:val="44"/>
          <w14:textFill>
            <w14:solidFill>
              <w14:schemeClr w14:val="tx1"/>
            </w14:solidFill>
          </w14:textFill>
        </w:rPr>
        <w:t>Student ID- 2239865</w:t>
      </w:r>
    </w:p>
    <w:p w14:paraId="25BC778A">
      <w:pPr>
        <w:rPr>
          <w:rFonts w:hint="default"/>
          <w:color w:val="000000" w:themeColor="text1"/>
          <w:sz w:val="44"/>
          <w:szCs w:val="44"/>
          <w14:textFill>
            <w14:solidFill>
              <w14:schemeClr w14:val="tx1"/>
            </w14:solidFill>
          </w14:textFill>
        </w:rPr>
      </w:pPr>
      <w:r>
        <w:rPr>
          <w:rFonts w:hint="default"/>
          <w:color w:val="000000" w:themeColor="text1"/>
          <w:sz w:val="44"/>
          <w:szCs w:val="44"/>
          <w14:textFill>
            <w14:solidFill>
              <w14:schemeClr w14:val="tx1"/>
            </w14:solidFill>
          </w14:textFill>
        </w:rPr>
        <w:t>Module code: LCBB5004</w:t>
      </w:r>
    </w:p>
    <w:p w14:paraId="639E1880">
      <w:pPr>
        <w:rPr>
          <w:rFonts w:hint="default"/>
          <w:color w:val="000000" w:themeColor="text1"/>
          <w:sz w:val="44"/>
          <w:szCs w:val="44"/>
          <w14:textFill>
            <w14:solidFill>
              <w14:schemeClr w14:val="tx1"/>
            </w14:solidFill>
          </w14:textFill>
        </w:rPr>
      </w:pPr>
      <w:r>
        <w:rPr>
          <w:rFonts w:hint="default"/>
          <w:color w:val="000000" w:themeColor="text1"/>
          <w:sz w:val="44"/>
          <w:szCs w:val="44"/>
          <w14:textFill>
            <w14:solidFill>
              <w14:schemeClr w14:val="tx1"/>
            </w14:solidFill>
          </w14:textFill>
        </w:rPr>
        <w:t>Module name: Managing People</w:t>
      </w:r>
    </w:p>
    <w:p w14:paraId="04A9A845">
      <w:pPr>
        <w:rPr>
          <w:rFonts w:hint="default"/>
          <w:color w:val="000000" w:themeColor="text1"/>
          <w:sz w:val="44"/>
          <w:szCs w:val="44"/>
          <w14:textFill>
            <w14:solidFill>
              <w14:schemeClr w14:val="tx1"/>
            </w14:solidFill>
          </w14:textFill>
        </w:rPr>
      </w:pPr>
      <w:r>
        <w:rPr>
          <w:rFonts w:hint="default"/>
          <w:color w:val="000000" w:themeColor="text1"/>
          <w:sz w:val="44"/>
          <w:szCs w:val="44"/>
          <w14:textFill>
            <w14:solidFill>
              <w14:schemeClr w14:val="tx1"/>
            </w14:solidFill>
          </w14:textFill>
        </w:rPr>
        <w:t>Lecturer:</w:t>
      </w:r>
      <w:r>
        <w:rPr>
          <w:rFonts w:hint="default"/>
          <w:color w:val="000000" w:themeColor="text1"/>
          <w:sz w:val="44"/>
          <w:szCs w:val="44"/>
          <w:lang w:val="en-US"/>
          <w14:textFill>
            <w14:solidFill>
              <w14:schemeClr w14:val="tx1"/>
            </w14:solidFill>
          </w14:textFill>
        </w:rPr>
        <w:t xml:space="preserve">  Dr.</w:t>
      </w:r>
      <w:r>
        <w:rPr>
          <w:rFonts w:hint="default"/>
          <w:color w:val="000000" w:themeColor="text1"/>
          <w:sz w:val="44"/>
          <w:szCs w:val="44"/>
          <w14:textFill>
            <w14:solidFill>
              <w14:schemeClr w14:val="tx1"/>
            </w14:solidFill>
          </w14:textFill>
        </w:rPr>
        <w:t xml:space="preserve"> Samuel Abah</w:t>
      </w:r>
    </w:p>
    <w:p w14:paraId="26182596">
      <w:pPr>
        <w:rPr>
          <w:color w:val="000000" w:themeColor="text1"/>
          <w:sz w:val="44"/>
          <w:szCs w:val="44"/>
          <w14:textFill>
            <w14:solidFill>
              <w14:schemeClr w14:val="tx1"/>
            </w14:solidFill>
          </w14:textFill>
        </w:rPr>
      </w:pPr>
      <w:bookmarkStart w:id="18" w:name="_GoBack"/>
      <w:bookmarkEnd w:id="18"/>
    </w:p>
    <w:p w14:paraId="071720D4">
      <w:pPr>
        <w:spacing w:before="240" w:after="240"/>
        <w:rPr>
          <w:b/>
          <w:szCs w:val="32"/>
        </w:rPr>
      </w:pPr>
      <w:r>
        <w:br w:type="page"/>
      </w:r>
    </w:p>
    <w:sdt>
      <w:sdtPr>
        <w:rPr>
          <w:rFonts w:ascii="Times New Roman" w:hAnsi="Times New Roman" w:eastAsia="Times New Roman" w:cs="Times New Roman"/>
          <w:color w:val="auto"/>
          <w:sz w:val="24"/>
          <w:szCs w:val="24"/>
          <w:lang w:val="en-GB" w:eastAsia="en-IN"/>
        </w:rPr>
        <w:id w:val="709769096"/>
        <w:docPartObj>
          <w:docPartGallery w:val="Table of Contents"/>
          <w:docPartUnique/>
        </w:docPartObj>
      </w:sdtPr>
      <w:sdtEndPr>
        <w:rPr>
          <w:rFonts w:ascii="Times New Roman" w:hAnsi="Times New Roman" w:eastAsia="Times New Roman" w:cs="Times New Roman"/>
          <w:b/>
          <w:bCs/>
          <w:color w:val="auto"/>
          <w:sz w:val="24"/>
          <w:szCs w:val="24"/>
          <w:lang w:val="en-GB" w:eastAsia="en-IN"/>
        </w:rPr>
      </w:sdtEndPr>
      <w:sdtContent>
        <w:p w14:paraId="755C7CBA">
          <w:pPr>
            <w:pStyle w:val="20"/>
            <w:spacing w:after="240" w:line="360" w:lineRule="auto"/>
            <w:jc w:val="both"/>
            <w:rPr>
              <w:rFonts w:ascii="Times New Roman" w:hAnsi="Times New Roman" w:cs="Times New Roman"/>
              <w:b/>
              <w:bCs/>
              <w:color w:val="auto"/>
              <w:sz w:val="24"/>
              <w:szCs w:val="28"/>
            </w:rPr>
          </w:pPr>
          <w:r>
            <w:rPr>
              <w:rFonts w:ascii="Times New Roman" w:hAnsi="Times New Roman" w:cs="Times New Roman"/>
              <w:b/>
              <w:bCs/>
              <w:color w:val="auto"/>
              <w:sz w:val="24"/>
              <w:szCs w:val="28"/>
            </w:rPr>
            <w:t>Table of Contents</w:t>
          </w:r>
        </w:p>
        <w:p w14:paraId="4A5FD7DF">
          <w:pPr>
            <w:pStyle w:val="15"/>
            <w:tabs>
              <w:tab w:val="right" w:leader="dot" w:pos="9019"/>
            </w:tabs>
            <w:rPr>
              <w:rFonts w:asciiTheme="minorHAnsi" w:hAnsiTheme="minorHAnsi" w:eastAsiaTheme="minorEastAsia" w:cstheme="minorBidi"/>
              <w:sz w:val="22"/>
              <w:szCs w:val="22"/>
              <w:lang w:val="en-IN"/>
            </w:rPr>
          </w:pPr>
          <w:r>
            <w:fldChar w:fldCharType="begin"/>
          </w:r>
          <w:r>
            <w:instrText xml:space="preserve"> TOC \o "1-3" \h \z \u </w:instrText>
          </w:r>
          <w:r>
            <w:fldChar w:fldCharType="separate"/>
          </w:r>
          <w:r>
            <w:fldChar w:fldCharType="begin"/>
          </w:r>
          <w:r>
            <w:instrText xml:space="preserve"> HYPERLINK \l "_Toc175215363" </w:instrText>
          </w:r>
          <w:r>
            <w:fldChar w:fldCharType="separate"/>
          </w:r>
          <w:r>
            <w:rPr>
              <w:rStyle w:val="12"/>
            </w:rPr>
            <w:t>Introduction</w:t>
          </w:r>
          <w:r>
            <w:tab/>
          </w:r>
          <w:r>
            <w:fldChar w:fldCharType="begin"/>
          </w:r>
          <w:r>
            <w:instrText xml:space="preserve"> PAGEREF _Toc175215363 \h </w:instrText>
          </w:r>
          <w:r>
            <w:fldChar w:fldCharType="separate"/>
          </w:r>
          <w:r>
            <w:t>3</w:t>
          </w:r>
          <w:r>
            <w:fldChar w:fldCharType="end"/>
          </w:r>
          <w:r>
            <w:fldChar w:fldCharType="end"/>
          </w:r>
        </w:p>
        <w:p w14:paraId="59E968C4">
          <w:pPr>
            <w:pStyle w:val="15"/>
            <w:tabs>
              <w:tab w:val="right" w:leader="dot" w:pos="9019"/>
            </w:tabs>
            <w:rPr>
              <w:rFonts w:asciiTheme="minorHAnsi" w:hAnsiTheme="minorHAnsi" w:eastAsiaTheme="minorEastAsia" w:cstheme="minorBidi"/>
              <w:sz w:val="22"/>
              <w:szCs w:val="22"/>
              <w:lang w:val="en-IN"/>
            </w:rPr>
          </w:pPr>
          <w:r>
            <w:fldChar w:fldCharType="begin"/>
          </w:r>
          <w:r>
            <w:instrText xml:space="preserve"> HYPERLINK \l "_Toc175215364" </w:instrText>
          </w:r>
          <w:r>
            <w:fldChar w:fldCharType="separate"/>
          </w:r>
          <w:r>
            <w:rPr>
              <w:rStyle w:val="12"/>
            </w:rPr>
            <w:t>Discussion</w:t>
          </w:r>
          <w:r>
            <w:tab/>
          </w:r>
          <w:r>
            <w:fldChar w:fldCharType="begin"/>
          </w:r>
          <w:r>
            <w:instrText xml:space="preserve"> PAGEREF _Toc175215364 \h </w:instrText>
          </w:r>
          <w:r>
            <w:fldChar w:fldCharType="separate"/>
          </w:r>
          <w:r>
            <w:t>3</w:t>
          </w:r>
          <w:r>
            <w:fldChar w:fldCharType="end"/>
          </w:r>
          <w:r>
            <w:fldChar w:fldCharType="end"/>
          </w:r>
        </w:p>
        <w:p w14:paraId="6A65107A">
          <w:pPr>
            <w:pStyle w:val="16"/>
            <w:tabs>
              <w:tab w:val="right" w:leader="dot" w:pos="9019"/>
            </w:tabs>
          </w:pPr>
          <w:r>
            <w:fldChar w:fldCharType="begin"/>
          </w:r>
          <w:r>
            <w:instrText xml:space="preserve"> HYPERLINK \l "_Toc175215365" </w:instrText>
          </w:r>
          <w:r>
            <w:fldChar w:fldCharType="separate"/>
          </w:r>
          <w:r>
            <w:rPr>
              <w:rStyle w:val="12"/>
            </w:rPr>
            <w:t>Evaluation of Technology's role in Appraising Remote worker’s performance</w:t>
          </w:r>
          <w:r>
            <w:tab/>
          </w:r>
          <w:r>
            <w:fldChar w:fldCharType="begin"/>
          </w:r>
          <w:r>
            <w:instrText xml:space="preserve"> PAGEREF _Toc175215365 \h </w:instrText>
          </w:r>
          <w:r>
            <w:fldChar w:fldCharType="separate"/>
          </w:r>
          <w:r>
            <w:t>3</w:t>
          </w:r>
          <w:r>
            <w:fldChar w:fldCharType="end"/>
          </w:r>
          <w:r>
            <w:fldChar w:fldCharType="end"/>
          </w:r>
        </w:p>
        <w:p w14:paraId="4235FA07">
          <w:pPr>
            <w:pStyle w:val="16"/>
            <w:tabs>
              <w:tab w:val="right" w:leader="dot" w:pos="9019"/>
            </w:tabs>
          </w:pPr>
          <w:r>
            <w:fldChar w:fldCharType="begin"/>
          </w:r>
          <w:r>
            <w:instrText xml:space="preserve"> HYPERLINK \l "_Toc175215366" </w:instrText>
          </w:r>
          <w:r>
            <w:fldChar w:fldCharType="separate"/>
          </w:r>
          <w:r>
            <w:rPr>
              <w:rStyle w:val="12"/>
            </w:rPr>
            <w:t>Identification of four different performance measurement techniques for remote workers</w:t>
          </w:r>
          <w:r>
            <w:tab/>
          </w:r>
          <w:r>
            <w:fldChar w:fldCharType="begin"/>
          </w:r>
          <w:r>
            <w:instrText xml:space="preserve"> PAGEREF _Toc175215366 \h </w:instrText>
          </w:r>
          <w:r>
            <w:fldChar w:fldCharType="separate"/>
          </w:r>
          <w:r>
            <w:t>4</w:t>
          </w:r>
          <w:r>
            <w:fldChar w:fldCharType="end"/>
          </w:r>
          <w:r>
            <w:fldChar w:fldCharType="end"/>
          </w:r>
        </w:p>
        <w:p w14:paraId="2BC5B2FD">
          <w:pPr>
            <w:pStyle w:val="16"/>
            <w:tabs>
              <w:tab w:val="right" w:leader="dot" w:pos="9019"/>
            </w:tabs>
          </w:pPr>
          <w:r>
            <w:fldChar w:fldCharType="begin"/>
          </w:r>
          <w:r>
            <w:instrText xml:space="preserve"> HYPERLINK \l "_Toc175215367" </w:instrText>
          </w:r>
          <w:r>
            <w:fldChar w:fldCharType="separate"/>
          </w:r>
          <w:r>
            <w:rPr>
              <w:rStyle w:val="12"/>
            </w:rPr>
            <w:t>Identification of four appraisal tools in evaluating remote workers' performance</w:t>
          </w:r>
          <w:r>
            <w:tab/>
          </w:r>
          <w:r>
            <w:fldChar w:fldCharType="begin"/>
          </w:r>
          <w:r>
            <w:instrText xml:space="preserve"> PAGEREF _Toc175215367 \h </w:instrText>
          </w:r>
          <w:r>
            <w:fldChar w:fldCharType="separate"/>
          </w:r>
          <w:r>
            <w:t>6</w:t>
          </w:r>
          <w:r>
            <w:fldChar w:fldCharType="end"/>
          </w:r>
          <w:r>
            <w:fldChar w:fldCharType="end"/>
          </w:r>
        </w:p>
        <w:p w14:paraId="5A706295">
          <w:pPr>
            <w:pStyle w:val="15"/>
            <w:tabs>
              <w:tab w:val="right" w:leader="dot" w:pos="9019"/>
            </w:tabs>
            <w:rPr>
              <w:rFonts w:asciiTheme="minorHAnsi" w:hAnsiTheme="minorHAnsi" w:eastAsiaTheme="minorEastAsia" w:cstheme="minorBidi"/>
              <w:sz w:val="22"/>
              <w:szCs w:val="22"/>
              <w:lang w:val="en-IN"/>
            </w:rPr>
          </w:pPr>
          <w:r>
            <w:fldChar w:fldCharType="begin"/>
          </w:r>
          <w:r>
            <w:instrText xml:space="preserve"> HYPERLINK \l "_Toc175215368" </w:instrText>
          </w:r>
          <w:r>
            <w:fldChar w:fldCharType="separate"/>
          </w:r>
          <w:r>
            <w:rPr>
              <w:rStyle w:val="12"/>
            </w:rPr>
            <w:t>Conclusion</w:t>
          </w:r>
          <w:r>
            <w:tab/>
          </w:r>
          <w:r>
            <w:fldChar w:fldCharType="begin"/>
          </w:r>
          <w:r>
            <w:instrText xml:space="preserve"> PAGEREF _Toc175215368 \h </w:instrText>
          </w:r>
          <w:r>
            <w:fldChar w:fldCharType="separate"/>
          </w:r>
          <w:r>
            <w:t>8</w:t>
          </w:r>
          <w:r>
            <w:fldChar w:fldCharType="end"/>
          </w:r>
          <w:r>
            <w:fldChar w:fldCharType="end"/>
          </w:r>
        </w:p>
        <w:p w14:paraId="2482E3B2">
          <w:pPr>
            <w:pStyle w:val="15"/>
            <w:tabs>
              <w:tab w:val="right" w:leader="dot" w:pos="9019"/>
            </w:tabs>
            <w:rPr>
              <w:rFonts w:asciiTheme="minorHAnsi" w:hAnsiTheme="minorHAnsi" w:eastAsiaTheme="minorEastAsia" w:cstheme="minorBidi"/>
              <w:sz w:val="22"/>
              <w:szCs w:val="22"/>
              <w:lang w:val="en-IN"/>
            </w:rPr>
          </w:pPr>
          <w:r>
            <w:fldChar w:fldCharType="begin"/>
          </w:r>
          <w:r>
            <w:instrText xml:space="preserve"> HYPERLINK \l "_Toc175215369" </w:instrText>
          </w:r>
          <w:r>
            <w:fldChar w:fldCharType="separate"/>
          </w:r>
          <w:r>
            <w:rPr>
              <w:rStyle w:val="12"/>
            </w:rPr>
            <w:t>References</w:t>
          </w:r>
          <w:r>
            <w:tab/>
          </w:r>
          <w:r>
            <w:fldChar w:fldCharType="begin"/>
          </w:r>
          <w:r>
            <w:instrText xml:space="preserve"> PAGEREF _Toc175215369 \h </w:instrText>
          </w:r>
          <w:r>
            <w:fldChar w:fldCharType="separate"/>
          </w:r>
          <w:r>
            <w:t>9</w:t>
          </w:r>
          <w:r>
            <w:fldChar w:fldCharType="end"/>
          </w:r>
          <w:r>
            <w:fldChar w:fldCharType="end"/>
          </w:r>
        </w:p>
        <w:p w14:paraId="7829D78A">
          <w:pPr>
            <w:spacing w:before="240" w:after="240"/>
          </w:pPr>
          <w:r>
            <w:rPr>
              <w:b/>
              <w:bCs/>
            </w:rPr>
            <w:fldChar w:fldCharType="end"/>
          </w:r>
        </w:p>
      </w:sdtContent>
    </w:sdt>
    <w:p w14:paraId="00000006">
      <w:pPr>
        <w:pStyle w:val="14"/>
        <w:spacing w:before="240" w:after="240"/>
        <w:jc w:val="both"/>
        <w:rPr>
          <w:sz w:val="24"/>
        </w:rPr>
      </w:pPr>
      <w:r>
        <w:rPr>
          <w:sz w:val="24"/>
        </w:rPr>
        <w:br w:type="page"/>
      </w:r>
    </w:p>
    <w:p w14:paraId="00000007">
      <w:pPr>
        <w:pStyle w:val="2"/>
        <w:spacing w:before="240" w:after="240"/>
        <w:rPr>
          <w:sz w:val="24"/>
        </w:rPr>
      </w:pPr>
      <w:bookmarkStart w:id="6" w:name="_l8j48u1xp30p" w:colFirst="0" w:colLast="0"/>
      <w:bookmarkEnd w:id="6"/>
      <w:bookmarkStart w:id="7" w:name="_Toc175215363"/>
      <w:r>
        <w:rPr>
          <w:sz w:val="24"/>
        </w:rPr>
        <w:t>Introduction</w:t>
      </w:r>
      <w:bookmarkEnd w:id="7"/>
    </w:p>
    <w:p w14:paraId="00000008">
      <w:pPr>
        <w:spacing w:before="240" w:after="240"/>
      </w:pPr>
      <w:r>
        <w:t xml:space="preserve">The employment landscape portrayed its shift towards remote work that guides organisations to manage and appreciate employee performance through monitoring their productivity. In this assessment, the influence of technology is discussed briefly with appraising remote employees and further illustrated performance measurement and appraisal tools. </w:t>
      </w:r>
    </w:p>
    <w:p w14:paraId="00000009">
      <w:pPr>
        <w:pStyle w:val="2"/>
        <w:spacing w:before="240" w:after="240"/>
        <w:rPr>
          <w:sz w:val="24"/>
        </w:rPr>
      </w:pPr>
      <w:bookmarkStart w:id="8" w:name="_accp6bowxy76" w:colFirst="0" w:colLast="0"/>
      <w:bookmarkEnd w:id="8"/>
      <w:bookmarkStart w:id="9" w:name="_Toc175215364"/>
      <w:r>
        <w:rPr>
          <w:sz w:val="24"/>
        </w:rPr>
        <w:t>Discussion</w:t>
      </w:r>
      <w:bookmarkEnd w:id="9"/>
    </w:p>
    <w:p w14:paraId="0000000A">
      <w:pPr>
        <w:pStyle w:val="3"/>
        <w:spacing w:before="240" w:after="240"/>
        <w:rPr>
          <w:sz w:val="24"/>
        </w:rPr>
      </w:pPr>
      <w:bookmarkStart w:id="10" w:name="_Toc175215365"/>
      <w:r>
        <w:rPr>
          <w:sz w:val="24"/>
        </w:rPr>
        <w:t>Evaluation of Technology's role in Appraising Remote worker’s performance</w:t>
      </w:r>
      <w:bookmarkEnd w:id="10"/>
    </w:p>
    <w:p w14:paraId="0000000B">
      <w:pPr>
        <w:spacing w:before="240" w:after="240"/>
      </w:pPr>
      <w:r>
        <w:t xml:space="preserve">Technology acts as an effective system that enhances the quality of monitoring, feedback, and evaluation and expands communication with employees who work from home. As per Prodanova and Kocarev (2021), ‘Information communication technology’ (ICT) leads employees to promote work engagement with the development of production-deviant behaviours. This approach guides organisations in using monitoring tools, communication platforms, data analytics, and reporting with performance management systems. On the other hand, the GetApp survey highlights that 36% of employers used employee monitoring software after the pandemic (Butkovskiy, 2023). This monitoring tool such as toggle track assists in identifying working patterns in remote environments and offers appraisal as per their monthly performance. Online Surveillance outlines that 43% of employers monitor their employees' performance with online activity and evaluate its contribution to operational activity (Haan, 2024). This surveillance activity guides the development of formal policies that empower 32% of employees in remote work producer maintenance.  The surveillance assists in maintaining work-life balance with 31% of employees’ eagerness and enhances their performance evaluation effectively. This aspect guides employees to encourage employees to meet workplace requirements and improve operational efficiency with appraisal activity. Employee monitoring software guides employers in ensuring the efficiency of remote workers by meeting work deadlines and empowering collaborative communication with other members in the operational process. </w:t>
      </w:r>
    </w:p>
    <w:p w14:paraId="0000000C">
      <w:pPr>
        <w:spacing w:before="240" w:after="240"/>
      </w:pPr>
      <w:r>
        <w:t>The utilisation of communication platforms such as ‘Microsoft Teams’ and ‘Zoom’ promotes interaction with the remote employee and expands real communication with their supervisors. This approach guides to generation of virtual meetings for developing internal collaboration with different departments through offering continuous feedback.  The Garter survey showcased that 54% of employees prefer to video call to maintain communication with other people (Greedy, 2021). This approach simplified interaction and redu</w:t>
      </w:r>
      <w:r>
        <w:rPr>
          <w:rFonts w:hint="default"/>
          <w:lang w:val="en-US"/>
        </w:rPr>
        <w:t>s</w:t>
      </w:r>
      <w:r>
        <w:t xml:space="preserve">e work conflicts in delivering productivity results in UK business services. Moreover, the data analytics tool leads HR to analyse key metrics by offering effective insights related to the working patterns of each employee. The HR and people analytics used by 61% of UK companies help to make data-led decisions in delivering rewards and recognition towards employees (Sdworx, 2022). This aspect assists in promoting time management and resource allocation in developing productivity and supporting employees in remote environments. The implementation of data analytics assists employers in establishing the team as per employees' past performance evaluations and elevates recognition and support towards team members. This aspect guides in enlarging sentiment analysis for analysing feedback, chat messages and performance reviews that enhance the evaluation of job satisfaction and employee morale positively.   </w:t>
      </w:r>
    </w:p>
    <w:p w14:paraId="0000000D">
      <w:pPr>
        <w:spacing w:before="240" w:after="240"/>
      </w:pPr>
      <w:r>
        <w:t xml:space="preserve">The integration of a performance management system helps employers to track project processes and deliverables with the usage of regular interaction and collaboration with other team members. The ‘CIPD Good Work Index’ 2023 showcased that 28% of UK companies utilised systemic management through setting objectives, monitoring, and feedback with a productive workforce.  This insight outlines that 89% of employees used systemic performance management with work reporting that improves appraisal in meeting operational goals in UK businesses. A systemic performance system assists employers in providing performance-related pay based on different tasks that encourage employees' productivity effectively. This approach develops technological innovation with improvement of the overall quality of team members’ performance with data analytics insights. </w:t>
      </w:r>
    </w:p>
    <w:p w14:paraId="0000000E">
      <w:pPr>
        <w:pStyle w:val="3"/>
        <w:spacing w:before="240" w:after="240"/>
        <w:rPr>
          <w:sz w:val="24"/>
        </w:rPr>
      </w:pPr>
      <w:bookmarkStart w:id="11" w:name="_Toc175215366"/>
      <w:r>
        <w:rPr>
          <w:sz w:val="24"/>
        </w:rPr>
        <w:t>Identification of four different performance measurement techniques for remote workers</w:t>
      </w:r>
      <w:bookmarkEnd w:id="11"/>
    </w:p>
    <w:p w14:paraId="0000000F">
      <w:pPr>
        <w:spacing w:before="240" w:after="240"/>
      </w:pPr>
      <w:r>
        <w:t xml:space="preserve">The performance measurement techniques lead employers to use different approaches in the identification of operational target meetings with employees’ contribution toward the organisational facility.  This aspect leads them to use ‘Key performance indicators’ which act as predefined targets in the standardisation of individual employees' performance effectively. The KPI of remote workers is evaluated through customer satisfaction scores, based on work deadlines with project completion rates that measure employees' effectiveness in productivity maintenance. The UK remote worker data outline that 40.9% of employees expand their performance in handling the workforce with 48% feeling communication portrays their value (Chilvers, 2023). This insight promotes work performance through operational insights evaluation among 40% of remote workers as per ONS report. As assessed by Suwignjo </w:t>
      </w:r>
      <w:r>
        <w:rPr>
          <w:i/>
        </w:rPr>
        <w:t xml:space="preserve">et al., </w:t>
      </w:r>
      <w:r>
        <w:t xml:space="preserve">(2022), KPI evaluation assists employers in determining the quality of task performance with the adoption of problem-solving and creativity approaches. This evaluation encourages remote workers to understand the areas of improvement and expand their engagement with operational activity. </w:t>
      </w:r>
    </w:p>
    <w:p w14:paraId="00000010">
      <w:pPr>
        <w:spacing w:before="240" w:after="240"/>
      </w:pPr>
      <w:r>
        <w:t>On the contrary, in the words of Abedelgadir and Mohammad (2023)</w:t>
      </w:r>
      <w:r>
        <w:rPr>
          <w:i/>
        </w:rPr>
        <w:t xml:space="preserve"> self-assessment</w:t>
      </w:r>
      <w:r>
        <w:t xml:space="preserve"> guides employees to implement their own goals and objectives in maintaining performance in business operations. This aspect empowers employees' ownership towards professional development by enhancing self-awareness for reflecting the areas of development with strengths and weaknesses. Self-assessment guide to improve communication with managers to discuss the way of performance review and expand individual’s skills with training and development program. This aspect empowers regular check-ins with self-reflection and goal updates by promoting clarity in performance expectations for remote workers. Self-assessment acts as a performance measurement technique for remote workers and enhances the summarisation of feedback from managers and peers efficiently. This approach leads remoter workers to get managers' support and expand the pathway of employee growth and development.</w:t>
      </w:r>
    </w:p>
    <w:p w14:paraId="00000011">
      <w:pPr>
        <w:spacing w:before="240" w:after="240"/>
      </w:pPr>
      <w:r>
        <w:t xml:space="preserve">Moreover, as per Ruparel </w:t>
      </w:r>
      <w:r>
        <w:rPr>
          <w:i/>
        </w:rPr>
        <w:t xml:space="preserve">et al., </w:t>
      </w:r>
      <w:r>
        <w:t xml:space="preserve">(2020), peer review from colleagues assists in getting reviews related to employees' performance that guide remote workers to maintain interaction with the help of online platforms.  This review activity leads to understanding 360-degree perspective regarding to performance and level up team collaboration through a knowledge-sharing approach. For instance, UK businesses used ‘Workday’ for peer feedback, goal setting and performance management through communicating with managers and supervisors effectively (Butkovskiy, 2023). This tool leads to the collection of information from managers, peers and self-assessment in generation of performance analytics of remote workers. </w:t>
      </w:r>
    </w:p>
    <w:p w14:paraId="4C6EBE29">
      <w:pPr>
        <w:spacing w:before="240" w:after="240"/>
      </w:pPr>
      <w:r>
        <w:t xml:space="preserve">However, managerial reviews are one of performance evaluation techniques that work on goals, deliverables and overall contributions in team through top-down perspectives. This aspect guides remote workers to expand the usage of collaboration tools for communication and feedback to improve active listening skills. According to Akpa </w:t>
      </w:r>
      <w:r>
        <w:rPr>
          <w:i/>
        </w:rPr>
        <w:t xml:space="preserve">et al., </w:t>
      </w:r>
      <w:r>
        <w:t>(2021), UK companies foster a supportive environment for reviewing individual performance by setting up clear goals. This aspect helps employers to review past work history and collaboration activity in measuring their contribution in productivity development.</w:t>
      </w:r>
    </w:p>
    <w:p w14:paraId="6E76FBFA">
      <w:pPr>
        <w:pStyle w:val="3"/>
        <w:spacing w:before="240" w:after="240"/>
        <w:rPr>
          <w:sz w:val="24"/>
        </w:rPr>
      </w:pPr>
      <w:bookmarkStart w:id="12" w:name="_Toc175215367"/>
      <w:r>
        <w:rPr>
          <w:sz w:val="24"/>
        </w:rPr>
        <w:t>Identification of four appraisal tools in evaluating remote workers' performance</w:t>
      </w:r>
      <w:bookmarkEnd w:id="12"/>
    </w:p>
    <w:p w14:paraId="65AD8E45">
      <w:pPr>
        <w:spacing w:before="240" w:after="240"/>
      </w:pPr>
      <w:r>
        <w:t>Performance appraisal for individual employees working from remote places requires tools that can accurately access performance in spite of physical distance. It is not possible to judge remote workers as managers can never evaluate their both soft and hard skills physically. It is important for organisations in the UK to choose such a process where human development managers of organisations can enhance job engagement with the use of performance appraisal tools. In this study, four important performance appraisal tools have been identified which are effective for remote workers.</w:t>
      </w:r>
    </w:p>
    <w:p w14:paraId="4E37CEFF">
      <w:pPr>
        <w:spacing w:before="240" w:after="240"/>
        <w:rPr>
          <w:b/>
        </w:rPr>
      </w:pPr>
      <w:r>
        <w:rPr>
          <w:b/>
        </w:rPr>
        <w:t>Project-based appraisal</w:t>
      </w:r>
    </w:p>
    <w:p w14:paraId="4E0CF5FC">
      <w:pPr>
        <w:spacing w:before="240" w:after="240"/>
      </w:pPr>
      <w:r>
        <w:t xml:space="preserve">Project-based performance appraisal is based on the quality and competition of specific projects and tasks. This approach of the performance appraisal is related to the working performance of remote workers, those who work independently on distinct projects on behalf of the organisation. There are both advantages and disadvantages to this performance appraisal process. The advantages of this performance appraisal are clear deliverables, flexibility, and tangible results. This performance appraisal process is focused on specific outcomes and makes it easier to access individual contributions </w:t>
      </w:r>
      <w:r>
        <w:rPr>
          <w:color w:val="222222"/>
          <w:highlight w:val="white"/>
        </w:rPr>
        <w:t xml:space="preserve">(Wang </w:t>
      </w:r>
      <w:r>
        <w:rPr>
          <w:i/>
          <w:color w:val="222222"/>
          <w:highlight w:val="white"/>
        </w:rPr>
        <w:t>et al.,</w:t>
      </w:r>
      <w:r>
        <w:rPr>
          <w:color w:val="222222"/>
          <w:highlight w:val="white"/>
        </w:rPr>
        <w:t xml:space="preserve"> 2021)</w:t>
      </w:r>
      <w:r>
        <w:t>. Flexibility allows for the evaluation based on a range of project types to accommodate various roles and responsibilities. On the other hand, narrow focus, short-term perspective and potentiality of stress are some challenges or concerning matters. The project-based performance appraisal system has a narrow focus that may overlook non-project-related contributions. Additionally, a project takes a certain time, therefore performance analysis and evaluation in this short period do not evaluate the overall performance and competencies of employees.</w:t>
      </w:r>
    </w:p>
    <w:p w14:paraId="6245AD38">
      <w:pPr>
        <w:spacing w:before="240" w:after="240"/>
        <w:rPr>
          <w:b/>
        </w:rPr>
      </w:pPr>
      <w:r>
        <w:rPr>
          <w:b/>
        </w:rPr>
        <w:t>360-degree performance appraisal</w:t>
      </w:r>
    </w:p>
    <w:p w14:paraId="26133408">
      <w:pPr>
        <w:spacing w:before="240" w:after="240"/>
      </w:pPr>
      <w:r>
        <w:t xml:space="preserve">The 360-degree feedback involves the collection of overall performance-related information from supervisors, team leaders, subordinates, peers and in some cases clients. Feedbacks are usually gathered through anonymous surveys and provide a comprehensive view of the performance of employees. Advantage of the 360-degree feedback is involves a holistic view that can provide a comprehensive assessment of the performance of employees </w:t>
      </w:r>
      <w:r>
        <w:rPr>
          <w:color w:val="222222"/>
          <w:highlight w:val="white"/>
        </w:rPr>
        <w:t>(Toscano and Zappalà, 2020)</w:t>
      </w:r>
      <w:r>
        <w:t xml:space="preserve">. The 360-degree feedback helps to encourage collaboration between employees. It helps to promote self-awareness and employees receive feedback from different resources. Overall, this is a helpful performance appraisal system for organisations. On the other hand, cultural differences and complexity in synthesising and managing feedback are some disadvantages of this performance management system. The 360-degree performance appraisal process is one of the best performance appraisal processes </w:t>
      </w:r>
      <w:r>
        <w:rPr>
          <w:color w:val="222222"/>
          <w:highlight w:val="white"/>
        </w:rPr>
        <w:t>(Dessler, 2020)</w:t>
      </w:r>
      <w:r>
        <w:t xml:space="preserve">. It is recommended by the eminent scholars and business professionals. Experienced staff of the human development management department have the opinion to use this method as a performance appraisal process. </w:t>
      </w:r>
    </w:p>
    <w:p w14:paraId="49BFE5F5">
      <w:pPr>
        <w:spacing w:before="240" w:after="240"/>
        <w:rPr>
          <w:b/>
        </w:rPr>
      </w:pPr>
      <w:r>
        <w:rPr>
          <w:b/>
        </w:rPr>
        <w:t>Continuous performance management</w:t>
      </w:r>
    </w:p>
    <w:p w14:paraId="61E5B3AE">
      <w:pPr>
        <w:spacing w:before="240" w:after="240"/>
        <w:rPr>
          <w:b/>
        </w:rPr>
      </w:pPr>
      <w:r>
        <w:t xml:space="preserve">Continuous performance management is an effective performance management system that is an ongoing process that is related to goal setting, collecting feedback and performance discussion. Continuous performance has three major advantages which are real-time feedback, adaptability and employee engagement. The real-time feedback provides feedback in a tamale manner that can be more actionable and relevant for workers working from remote places </w:t>
      </w:r>
      <w:r>
        <w:rPr>
          <w:color w:val="222222"/>
          <w:highlight w:val="white"/>
        </w:rPr>
        <w:t xml:space="preserve">(Davidescu </w:t>
      </w:r>
      <w:r>
        <w:rPr>
          <w:i/>
          <w:color w:val="222222"/>
          <w:highlight w:val="white"/>
        </w:rPr>
        <w:t>et al.,</w:t>
      </w:r>
      <w:r>
        <w:rPr>
          <w:color w:val="222222"/>
          <w:highlight w:val="white"/>
        </w:rPr>
        <w:t xml:space="preserve"> 2020)</w:t>
      </w:r>
      <w:r>
        <w:t>. Adaptability is another advantage that allows quick adjustments for expectations and goals and expectations based on the changes in the circumstances of the working environments. This performance management system is effective is effective to enhance employee engagement. Continuous performance management enhances the transparency and credibility of the management. Employee gat ensured that their performance is being evaluated by the organisational management. Professional growth is a career objective of all employees and a continuous performance management system of the Human resource management department enhances the job engagement of employees.</w:t>
      </w:r>
    </w:p>
    <w:p w14:paraId="442B0595">
      <w:pPr>
        <w:spacing w:before="240" w:after="240"/>
        <w:rPr>
          <w:b/>
        </w:rPr>
      </w:pPr>
      <w:r>
        <w:rPr>
          <w:b/>
        </w:rPr>
        <w:t>OKR (Objectives and key performance results)</w:t>
      </w:r>
    </w:p>
    <w:p w14:paraId="41820A22">
      <w:pPr>
        <w:spacing w:before="240" w:after="240"/>
      </w:pPr>
      <w:r>
        <w:t xml:space="preserve">Objectives and key results (OKR) are goal-setting frameworks that are used to define measurable goals and to track their outcomes. It is involved in setting high-level objectives and corresponding key results that are time-bound, specific and measurable. Clear goals, alignment and focus on the outcomes are some important advantages of this performance appraisal system. It offers several advantages which are crucial for clear goal-setting and measurable outcomes. Clarity on the focus, job alignment and engagement, transparency and accountability are advantages of this performance appraisal process </w:t>
      </w:r>
      <w:r>
        <w:rPr>
          <w:color w:val="222222"/>
          <w:highlight w:val="white"/>
        </w:rPr>
        <w:t>(Hamouche, 2023)</w:t>
      </w:r>
      <w:r>
        <w:t>. Additionally, agility, flexibility, a results-oriented approach and improved performance tracking are also advantages of the performance appraisal that help to enhance the job engagement of employees. The objectives and key performance result as a performance measurement tool is used to provide a flexible and structured framework to set and afterwards achieve new goals.</w:t>
      </w:r>
    </w:p>
    <w:p w14:paraId="34CB8E7F">
      <w:pPr>
        <w:pStyle w:val="2"/>
        <w:spacing w:before="240" w:after="240"/>
        <w:rPr>
          <w:sz w:val="24"/>
        </w:rPr>
      </w:pPr>
      <w:bookmarkStart w:id="13" w:name="_z63tozxfz9gx" w:colFirst="0" w:colLast="0"/>
      <w:bookmarkEnd w:id="13"/>
      <w:bookmarkStart w:id="14" w:name="_Toc175215368"/>
      <w:r>
        <w:rPr>
          <w:sz w:val="24"/>
        </w:rPr>
        <w:t>Conclusion</w:t>
      </w:r>
      <w:bookmarkEnd w:id="14"/>
    </w:p>
    <w:p w14:paraId="0026774E">
      <w:pPr>
        <w:spacing w:before="240" w:after="240"/>
      </w:pPr>
      <w:r>
        <w:t xml:space="preserve">Based on the overall discussion of this study it can be concluded that effective performance appraisal tool helps to enhance the job engagement of employees. It has discussed why 360-degree performance appraisal is effective in understanding and evaluating the talent and skills of employees. It has also discussed and explained the role of technology in the enhancement of the performance of remote workers. It has discussed some effective performance measurement tools those are important for humans’ resource management teams in organisations. </w:t>
      </w:r>
    </w:p>
    <w:p w14:paraId="0F9BFE49">
      <w:pPr>
        <w:spacing w:before="240" w:after="240"/>
      </w:pPr>
      <w:r>
        <w:br w:type="page"/>
      </w:r>
    </w:p>
    <w:p w14:paraId="266187E6">
      <w:pPr>
        <w:pStyle w:val="2"/>
        <w:spacing w:before="240" w:after="240"/>
        <w:rPr>
          <w:sz w:val="24"/>
        </w:rPr>
      </w:pPr>
      <w:bookmarkStart w:id="15" w:name="_44ehpc4sky20" w:colFirst="0" w:colLast="0"/>
      <w:bookmarkEnd w:id="15"/>
      <w:bookmarkStart w:id="16" w:name="_Toc175215369"/>
      <w:r>
        <w:rPr>
          <w:sz w:val="24"/>
        </w:rPr>
        <w:t>References</w:t>
      </w:r>
      <w:bookmarkEnd w:id="16"/>
    </w:p>
    <w:p w14:paraId="06A75415">
      <w:pPr>
        <w:spacing w:before="240" w:after="240"/>
        <w:rPr>
          <w:color w:val="222222"/>
          <w:highlight w:val="white"/>
        </w:rPr>
      </w:pPr>
      <w:r>
        <w:rPr>
          <w:color w:val="222222"/>
          <w:highlight w:val="white"/>
        </w:rPr>
        <w:t xml:space="preserve">Abedelgadir, M.I.O. and Mohammad, R., 2023. Operational excellence and performance measurement tool for organization self-assessment in the Sudanese aviation industry. </w:t>
      </w:r>
      <w:r>
        <w:rPr>
          <w:i/>
          <w:color w:val="222222"/>
          <w:highlight w:val="white"/>
        </w:rPr>
        <w:t>Journal of Advanced Research in Business and Management Studies</w:t>
      </w:r>
      <w:r>
        <w:rPr>
          <w:color w:val="222222"/>
          <w:highlight w:val="white"/>
        </w:rPr>
        <w:t xml:space="preserve">, </w:t>
      </w:r>
      <w:r>
        <w:rPr>
          <w:i/>
          <w:color w:val="222222"/>
          <w:highlight w:val="white"/>
        </w:rPr>
        <w:t>30</w:t>
      </w:r>
      <w:r>
        <w:rPr>
          <w:color w:val="222222"/>
          <w:highlight w:val="white"/>
        </w:rPr>
        <w:t>(1), pp.34-44.</w:t>
      </w:r>
      <w:r>
        <w:fldChar w:fldCharType="begin"/>
      </w:r>
      <w:r>
        <w:instrText xml:space="preserve"> HYPERLINK "https://akademiabaru.com/submit/index.php/arbms/article/download/4701/3458" \h </w:instrText>
      </w:r>
      <w:r>
        <w:fldChar w:fldCharType="separate"/>
      </w:r>
      <w:r>
        <w:rPr>
          <w:color w:val="1155CC"/>
          <w:highlight w:val="white"/>
          <w:u w:val="single"/>
        </w:rPr>
        <w:t>https://akademiabaru.com/submit/index.php/arbms/article/download/4701/3458</w:t>
      </w:r>
      <w:r>
        <w:rPr>
          <w:color w:val="1155CC"/>
          <w:highlight w:val="white"/>
          <w:u w:val="single"/>
        </w:rPr>
        <w:fldChar w:fldCharType="end"/>
      </w:r>
    </w:p>
    <w:p w14:paraId="5C514EB8">
      <w:pPr>
        <w:spacing w:before="240" w:after="240"/>
        <w:rPr>
          <w:color w:val="222222"/>
          <w:highlight w:val="white"/>
        </w:rPr>
      </w:pPr>
      <w:r>
        <w:rPr>
          <w:color w:val="222222"/>
          <w:highlight w:val="white"/>
        </w:rPr>
        <w:t>Akpa, V.O., Asikhia, O.U. and Nneji, N.E., 2021. Organizational culture and organizational performance: A review of literature. International Journal of Advances in Engineering and Management, 3(1), pp.361-372.</w:t>
      </w:r>
      <w:r>
        <w:fldChar w:fldCharType="begin"/>
      </w:r>
      <w:r>
        <w:instrText xml:space="preserve"> HYPERLINK "https://www.publications.calebuniversity.edu.ng/caleb_uploads/2024/04/Organizational-Culture-and-Organizational-Performance-A-Review-of-Literature.pdf" \h </w:instrText>
      </w:r>
      <w:r>
        <w:fldChar w:fldCharType="separate"/>
      </w:r>
      <w:r>
        <w:rPr>
          <w:color w:val="1155CC"/>
          <w:highlight w:val="white"/>
          <w:u w:val="single"/>
        </w:rPr>
        <w:t>https://www.publications.calebuniversity.edu.ng/caleb_uploads/2024/04/Organizational-Culture-and-Organizational-Performance-A-Review-of-Literature.pdf</w:t>
      </w:r>
      <w:r>
        <w:rPr>
          <w:color w:val="1155CC"/>
          <w:highlight w:val="white"/>
          <w:u w:val="single"/>
        </w:rPr>
        <w:fldChar w:fldCharType="end"/>
      </w:r>
    </w:p>
    <w:p w14:paraId="3645BF50">
      <w:pPr>
        <w:spacing w:before="240" w:after="240"/>
        <w:rPr>
          <w:color w:val="222222"/>
          <w:highlight w:val="white"/>
        </w:rPr>
      </w:pPr>
      <w:r>
        <w:rPr>
          <w:color w:val="222222"/>
          <w:highlight w:val="white"/>
        </w:rPr>
        <w:t xml:space="preserve">Beatson, M.,  2023. CIPD | Impact of Performance Management on Employees. [online] CIPD. Available at: </w:t>
      </w:r>
      <w:r>
        <w:fldChar w:fldCharType="begin"/>
      </w:r>
      <w:r>
        <w:instrText xml:space="preserve"> HYPERLINK "https://www.cipd.org/uk/views-and-insights/thought-leadership/cipd-voice/impact-performance-management-employees/" </w:instrText>
      </w:r>
      <w:r>
        <w:fldChar w:fldCharType="separate"/>
      </w:r>
      <w:r>
        <w:rPr>
          <w:rStyle w:val="12"/>
          <w:highlight w:val="white"/>
        </w:rPr>
        <w:t>https://www.cipd.org/uk/views-and-insights/thought-leadership/cipd-voice/impact-performance-management-employees/</w:t>
      </w:r>
      <w:r>
        <w:rPr>
          <w:rStyle w:val="12"/>
          <w:highlight w:val="white"/>
        </w:rPr>
        <w:fldChar w:fldCharType="end"/>
      </w:r>
      <w:r>
        <w:rPr>
          <w:color w:val="222222"/>
          <w:highlight w:val="white"/>
        </w:rPr>
        <w:t xml:space="preserve">  [Accessed 20 Aug. 2024].</w:t>
      </w:r>
    </w:p>
    <w:p w14:paraId="2CC92B11">
      <w:pPr>
        <w:spacing w:before="240" w:after="240"/>
        <w:rPr>
          <w:color w:val="222222"/>
          <w:highlight w:val="white"/>
        </w:rPr>
      </w:pPr>
      <w:r>
        <w:rPr>
          <w:color w:val="222222"/>
          <w:highlight w:val="white"/>
        </w:rPr>
        <w:t xml:space="preserve">Butkovskiy, N., 2023. </w:t>
      </w:r>
      <w:r>
        <w:rPr>
          <w:i/>
          <w:color w:val="222222"/>
          <w:highlight w:val="white"/>
        </w:rPr>
        <w:t>Employee monitoring in the United Kingdom</w:t>
      </w:r>
      <w:r>
        <w:rPr>
          <w:color w:val="222222"/>
          <w:highlight w:val="white"/>
        </w:rPr>
        <w:t xml:space="preserve">. [online] WorkTime. Available at: </w:t>
      </w:r>
      <w:r>
        <w:fldChar w:fldCharType="begin"/>
      </w:r>
      <w:r>
        <w:instrText xml:space="preserve"> HYPERLINK "https://www.worktime.com/employee-monitoring-in-the-united-kingdom" </w:instrText>
      </w:r>
      <w:r>
        <w:fldChar w:fldCharType="separate"/>
      </w:r>
      <w:r>
        <w:rPr>
          <w:rStyle w:val="12"/>
          <w:highlight w:val="white"/>
        </w:rPr>
        <w:t>https://www.worktime.com/employee-monitoring-in-the-united-kingdom</w:t>
      </w:r>
      <w:r>
        <w:rPr>
          <w:rStyle w:val="12"/>
          <w:highlight w:val="white"/>
        </w:rPr>
        <w:fldChar w:fldCharType="end"/>
      </w:r>
      <w:r>
        <w:rPr>
          <w:color w:val="222222"/>
          <w:highlight w:val="white"/>
        </w:rPr>
        <w:t xml:space="preserve">  [Accessed 20 Aug. 2024].</w:t>
      </w:r>
    </w:p>
    <w:p w14:paraId="3C85FE32">
      <w:pPr>
        <w:spacing w:before="240" w:after="240"/>
        <w:rPr>
          <w:color w:val="222222"/>
          <w:highlight w:val="white"/>
        </w:rPr>
      </w:pPr>
      <w:r>
        <w:rPr>
          <w:color w:val="222222"/>
          <w:highlight w:val="white"/>
        </w:rPr>
        <w:t xml:space="preserve">Chilvers, E., 2023. Remote working stats 2023: trends, impacts &amp; demographics… - Engage Health Group. [online] https://www.engagehealthgroup.co.uk/. Available at: </w:t>
      </w:r>
      <w:r>
        <w:fldChar w:fldCharType="begin"/>
      </w:r>
      <w:r>
        <w:instrText xml:space="preserve"> HYPERLINK "https://www.engagehealthgroup.co.uk/remote-working-stats-2023-trends-impacts-demographics/" </w:instrText>
      </w:r>
      <w:r>
        <w:fldChar w:fldCharType="separate"/>
      </w:r>
      <w:r>
        <w:rPr>
          <w:rStyle w:val="12"/>
          <w:highlight w:val="white"/>
        </w:rPr>
        <w:t>https://www.engagehealthgroup.co.uk/remote-working-stats-2023-trends-impacts-demographics/</w:t>
      </w:r>
      <w:r>
        <w:rPr>
          <w:rStyle w:val="12"/>
          <w:highlight w:val="white"/>
        </w:rPr>
        <w:fldChar w:fldCharType="end"/>
      </w:r>
      <w:r>
        <w:rPr>
          <w:color w:val="222222"/>
          <w:highlight w:val="white"/>
        </w:rPr>
        <w:t xml:space="preserve"> [Accessed 20 Aug. 2024].</w:t>
      </w:r>
    </w:p>
    <w:p w14:paraId="7B75A7E4">
      <w:pPr>
        <w:spacing w:before="240" w:after="240"/>
        <w:rPr>
          <w:color w:val="222222"/>
          <w:highlight w:val="white"/>
        </w:rPr>
      </w:pPr>
      <w:r>
        <w:rPr>
          <w:color w:val="222222"/>
          <w:highlight w:val="white"/>
        </w:rPr>
        <w:t xml:space="preserve">Davidescu, A.A., Apostu, S.A., Paul, A. and Casuneanu, I., 2020. Work flexibility, job satisfaction, and job performance among Romanian employees—Implications for sustainable human resource management.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(15), p.6086.</w:t>
      </w:r>
      <w:r>
        <w:fldChar w:fldCharType="begin"/>
      </w:r>
      <w:r>
        <w:instrText xml:space="preserve"> HYPERLINK "https://www.mdpi.com/2071-1050/12/15/6086/pdf" \h </w:instrText>
      </w:r>
      <w:r>
        <w:fldChar w:fldCharType="separate"/>
      </w:r>
      <w:r>
        <w:rPr>
          <w:color w:val="1155CC"/>
          <w:highlight w:val="white"/>
          <w:u w:val="single"/>
        </w:rPr>
        <w:t>https://www.mdpi.com/2071-1050/12/15/6086/pdf</w:t>
      </w:r>
      <w:r>
        <w:rPr>
          <w:color w:val="1155CC"/>
          <w:highlight w:val="white"/>
          <w:u w:val="single"/>
        </w:rPr>
        <w:fldChar w:fldCharType="end"/>
      </w:r>
    </w:p>
    <w:p w14:paraId="6BB6CCF6">
      <w:pPr>
        <w:spacing w:before="240" w:after="240"/>
        <w:rPr>
          <w:color w:val="222222"/>
          <w:highlight w:val="white"/>
        </w:rPr>
      </w:pPr>
      <w:r>
        <w:rPr>
          <w:color w:val="222222"/>
          <w:highlight w:val="white"/>
        </w:rPr>
        <w:t xml:space="preserve">Dessler, G., 2020. </w:t>
      </w:r>
      <w:r>
        <w:rPr>
          <w:i/>
          <w:color w:val="222222"/>
          <w:highlight w:val="white"/>
        </w:rPr>
        <w:t>Fundamentals of human resource management</w:t>
      </w:r>
      <w:r>
        <w:rPr>
          <w:color w:val="222222"/>
          <w:highlight w:val="white"/>
        </w:rPr>
        <w:t xml:space="preserve">. Pearson. </w:t>
      </w:r>
      <w:r>
        <w:fldChar w:fldCharType="begin"/>
      </w:r>
      <w:r>
        <w:instrText xml:space="preserve"> HYPERLINK "https://thuvienso.hoasen.edu.vn/bitstream/handle/123456789/12641/Contents.pdf?sequence=1" \h </w:instrText>
      </w:r>
      <w:r>
        <w:fldChar w:fldCharType="separate"/>
      </w:r>
      <w:r>
        <w:rPr>
          <w:color w:val="1155CC"/>
          <w:highlight w:val="white"/>
          <w:u w:val="single"/>
        </w:rPr>
        <w:t>https://thuvienso.hoasen.edu.vn/bitstream/handle/123456789/12641/Contents.pdf?sequence=1</w:t>
      </w:r>
      <w:r>
        <w:rPr>
          <w:color w:val="1155CC"/>
          <w:highlight w:val="white"/>
          <w:u w:val="single"/>
        </w:rPr>
        <w:fldChar w:fldCharType="end"/>
      </w:r>
    </w:p>
    <w:p w14:paraId="5EE1F260">
      <w:pPr>
        <w:spacing w:before="240" w:after="240"/>
        <w:rPr>
          <w:color w:val="222222"/>
          <w:highlight w:val="white"/>
        </w:rPr>
      </w:pPr>
      <w:r>
        <w:rPr>
          <w:color w:val="222222"/>
          <w:highlight w:val="white"/>
        </w:rPr>
        <w:t xml:space="preserve">Greedy, E., 2021. </w:t>
      </w:r>
      <w:r>
        <w:rPr>
          <w:i/>
          <w:color w:val="222222"/>
          <w:highlight w:val="white"/>
        </w:rPr>
        <w:t>Employees prefer to communicate via video calls - HR Magazine</w:t>
      </w:r>
      <w:r>
        <w:rPr>
          <w:color w:val="222222"/>
          <w:highlight w:val="white"/>
        </w:rPr>
        <w:t xml:space="preserve">. [online] HR Magazine. Available at: </w:t>
      </w:r>
      <w:r>
        <w:fldChar w:fldCharType="begin"/>
      </w:r>
      <w:r>
        <w:instrText xml:space="preserve"> HYPERLINK "https://www.hrmagazine.co.uk/content/news/employees-prefer-to-communicate-via-video-calls/" </w:instrText>
      </w:r>
      <w:r>
        <w:fldChar w:fldCharType="separate"/>
      </w:r>
      <w:r>
        <w:rPr>
          <w:rStyle w:val="12"/>
          <w:highlight w:val="white"/>
        </w:rPr>
        <w:t>https://www.hrmagazine.co.uk/content/news/employees-prefer-to-communicate-via-video-calls/</w:t>
      </w:r>
      <w:r>
        <w:rPr>
          <w:rStyle w:val="12"/>
          <w:highlight w:val="white"/>
        </w:rPr>
        <w:fldChar w:fldCharType="end"/>
      </w:r>
      <w:r>
        <w:rPr>
          <w:color w:val="222222"/>
          <w:highlight w:val="white"/>
        </w:rPr>
        <w:t xml:space="preserve"> [Accessed 20 Aug. 2024].</w:t>
      </w:r>
    </w:p>
    <w:p w14:paraId="1D1C3434">
      <w:pPr>
        <w:spacing w:before="240" w:after="240"/>
        <w:rPr>
          <w:color w:val="222222"/>
          <w:highlight w:val="white"/>
        </w:rPr>
      </w:pPr>
      <w:r>
        <w:rPr>
          <w:color w:val="222222"/>
          <w:highlight w:val="white"/>
        </w:rPr>
        <w:t xml:space="preserve">Haan, K., 2024. Internet Surveillance in the Workplace: 43% report having their online activity monitored in 2024. Forbes. [online] 25 Mar. Available at: </w:t>
      </w:r>
      <w:r>
        <w:fldChar w:fldCharType="begin"/>
      </w:r>
      <w:r>
        <w:instrText xml:space="preserve"> HYPERLINK "https://www.forbes.com/advisor/business/software/internet-surveillance-workplace/#:~:text=The%20data%20is%20even%20more" </w:instrText>
      </w:r>
      <w:r>
        <w:fldChar w:fldCharType="separate"/>
      </w:r>
      <w:r>
        <w:rPr>
          <w:rStyle w:val="12"/>
          <w:highlight w:val="white"/>
        </w:rPr>
        <w:t>https://www.forbes.com/advisor/business/software/internet-surveillance-workplace/#:~:text=The%20data%20is%20even%20more</w:t>
      </w:r>
      <w:r>
        <w:rPr>
          <w:rStyle w:val="12"/>
          <w:highlight w:val="white"/>
        </w:rPr>
        <w:fldChar w:fldCharType="end"/>
      </w:r>
      <w:r>
        <w:rPr>
          <w:color w:val="222222"/>
          <w:highlight w:val="white"/>
        </w:rPr>
        <w:t xml:space="preserve"> [Accessed 20 Aug. 2024].</w:t>
      </w:r>
    </w:p>
    <w:p w14:paraId="5E0B74DF">
      <w:pPr>
        <w:spacing w:before="240" w:after="240"/>
        <w:rPr>
          <w:color w:val="222222"/>
          <w:highlight w:val="white"/>
        </w:rPr>
      </w:pPr>
      <w:r>
        <w:rPr>
          <w:color w:val="222222"/>
          <w:highlight w:val="white"/>
        </w:rPr>
        <w:t xml:space="preserve">Hamouche, S., 2023. Human resource management and the COVID-19 crisis: Implications, challenges, opportunities, and future organizational directions. </w:t>
      </w:r>
      <w:r>
        <w:rPr>
          <w:i/>
          <w:color w:val="222222"/>
          <w:highlight w:val="white"/>
        </w:rPr>
        <w:t>Journal of Management &amp; Organization</w:t>
      </w:r>
      <w:r>
        <w:rPr>
          <w:color w:val="222222"/>
          <w:highlight w:val="white"/>
        </w:rPr>
        <w:t xml:space="preserve">, </w:t>
      </w:r>
      <w:r>
        <w:rPr>
          <w:i/>
          <w:color w:val="222222"/>
          <w:highlight w:val="white"/>
        </w:rPr>
        <w:t>29</w:t>
      </w:r>
      <w:r>
        <w:rPr>
          <w:color w:val="222222"/>
          <w:highlight w:val="white"/>
        </w:rPr>
        <w:t xml:space="preserve">(5), pp.799-814. </w:t>
      </w:r>
      <w:r>
        <w:fldChar w:fldCharType="begin"/>
      </w:r>
      <w:r>
        <w:instrText xml:space="preserve"> HYPERLINK "https://www.cambridge.org/core/services/aop-cambridge-core/content/view/6857481FD64558659EE4C17C6DAE9AB9/S1833367221000158a.pdf/human_resource_management_and_the_covid19_crisis_implications_challenges_opportunities_and_future_organizational_directions.pdf" \h </w:instrText>
      </w:r>
      <w:r>
        <w:fldChar w:fldCharType="separate"/>
      </w:r>
      <w:r>
        <w:rPr>
          <w:color w:val="1155CC"/>
          <w:highlight w:val="white"/>
          <w:u w:val="single"/>
        </w:rPr>
        <w:t>https://www.cambridge.org/core/services/aop-cambridge-core/content/view/6857481FD64558659EE4C17C6DAE9AB9/S1833367221000158a.pdf/human_resource_management_and_the_covid19_crisis_implications_challenges_opportunities_and_future_organizational_directions.pdf</w:t>
      </w:r>
      <w:r>
        <w:rPr>
          <w:color w:val="1155CC"/>
          <w:highlight w:val="white"/>
          <w:u w:val="single"/>
        </w:rPr>
        <w:fldChar w:fldCharType="end"/>
      </w:r>
    </w:p>
    <w:p w14:paraId="788F81E0">
      <w:pPr>
        <w:spacing w:before="240" w:after="240"/>
        <w:rPr>
          <w:color w:val="222222"/>
          <w:highlight w:val="white"/>
        </w:rPr>
      </w:pPr>
      <w:r>
        <w:rPr>
          <w:color w:val="222222"/>
          <w:highlight w:val="white"/>
        </w:rPr>
        <w:t xml:space="preserve">Murphy, K.R., 2020. Performance evaluation will not die, but it should. </w:t>
      </w:r>
      <w:r>
        <w:rPr>
          <w:i/>
          <w:color w:val="222222"/>
          <w:highlight w:val="white"/>
        </w:rPr>
        <w:t>Human Resource Management Journal</w:t>
      </w:r>
      <w:r>
        <w:rPr>
          <w:color w:val="222222"/>
          <w:highlight w:val="white"/>
        </w:rPr>
        <w:t xml:space="preserve">, </w:t>
      </w:r>
      <w:r>
        <w:rPr>
          <w:i/>
          <w:color w:val="222222"/>
          <w:highlight w:val="white"/>
        </w:rPr>
        <w:t>30</w:t>
      </w:r>
      <w:r>
        <w:rPr>
          <w:color w:val="222222"/>
          <w:highlight w:val="white"/>
        </w:rPr>
        <w:t>(1), pp.13-31.</w:t>
      </w:r>
      <w:r>
        <w:fldChar w:fldCharType="begin"/>
      </w:r>
      <w:r>
        <w:instrText xml:space="preserve"> HYPERLINK "https://www.researchgate.net/profile/Kevin-Murphy-54/publication/312588967_Organizations_want_to_abandon_performance_appraisal_Can_they_Should_They/links/64f28b87fa851147de0a37d5/Organizations-want-to-abandon-performance-appraisal-Can-they-Should-They.pdf" \h </w:instrText>
      </w:r>
      <w:r>
        <w:fldChar w:fldCharType="separate"/>
      </w:r>
      <w:r>
        <w:rPr>
          <w:color w:val="1155CC"/>
          <w:highlight w:val="white"/>
          <w:u w:val="single"/>
        </w:rPr>
        <w:t>https://www.researchgate.net/profile/Kevin-Murphy-54/publication/312588967_Organizations_want_to_abandon_performance_appraisal_Can_they_Should_They/links/64f28b87fa851147de0a37d5/Organizations-want-to-abandon-performance-appraisal-Can-they-Should-They.pdf</w:t>
      </w:r>
      <w:r>
        <w:rPr>
          <w:color w:val="1155CC"/>
          <w:highlight w:val="white"/>
          <w:u w:val="single"/>
        </w:rPr>
        <w:fldChar w:fldCharType="end"/>
      </w:r>
    </w:p>
    <w:p w14:paraId="347659AC">
      <w:pPr>
        <w:spacing w:before="240" w:after="240"/>
        <w:rPr>
          <w:color w:val="222222"/>
          <w:highlight w:val="white"/>
        </w:rPr>
      </w:pPr>
      <w:r>
        <w:rPr>
          <w:color w:val="222222"/>
          <w:highlight w:val="white"/>
        </w:rPr>
        <w:t xml:space="preserve">Prodanova, J. and Kocarev, L., 2021. Is job performance conditioned by work-from-home demands and resources?. </w:t>
      </w:r>
      <w:r>
        <w:rPr>
          <w:i/>
          <w:color w:val="222222"/>
          <w:highlight w:val="white"/>
        </w:rPr>
        <w:t>Technology in Society</w:t>
      </w:r>
      <w:r>
        <w:rPr>
          <w:color w:val="222222"/>
          <w:highlight w:val="white"/>
        </w:rPr>
        <w:t xml:space="preserve">, </w:t>
      </w:r>
      <w:r>
        <w:rPr>
          <w:i/>
          <w:color w:val="222222"/>
          <w:highlight w:val="white"/>
        </w:rPr>
        <w:t>66</w:t>
      </w:r>
      <w:r>
        <w:rPr>
          <w:color w:val="222222"/>
          <w:highlight w:val="white"/>
        </w:rPr>
        <w:t>, p.101672.</w:t>
      </w:r>
      <w:r>
        <w:fldChar w:fldCharType="begin"/>
      </w:r>
      <w:r>
        <w:instrText xml:space="preserve"> HYPERLINK "https://www.ncbi.nlm.nih.gov/pmc/articles/PMC8604346/" \h </w:instrText>
      </w:r>
      <w:r>
        <w:fldChar w:fldCharType="separate"/>
      </w:r>
      <w:r>
        <w:rPr>
          <w:color w:val="1155CC"/>
          <w:highlight w:val="white"/>
          <w:u w:val="single"/>
        </w:rPr>
        <w:t>https://www.ncbi.nlm.nih.gov/pmc/articles/PMC8604346/</w:t>
      </w:r>
      <w:r>
        <w:rPr>
          <w:color w:val="1155CC"/>
          <w:highlight w:val="white"/>
          <w:u w:val="single"/>
        </w:rPr>
        <w:fldChar w:fldCharType="end"/>
      </w:r>
    </w:p>
    <w:p w14:paraId="3B5AF985">
      <w:pPr>
        <w:spacing w:before="240" w:after="240"/>
        <w:rPr>
          <w:color w:val="222222"/>
          <w:highlight w:val="white"/>
        </w:rPr>
      </w:pPr>
      <w:r>
        <w:rPr>
          <w:color w:val="222222"/>
          <w:highlight w:val="white"/>
        </w:rPr>
        <w:t>Ruparel, N., Dhir, A., Tandon, A., Kaur, P. and Islam, J.U., 2020. The influence of online professional social media in human resource management: A systematic literature review. Technology in Society, 63, p.101335.</w:t>
      </w:r>
      <w:r>
        <w:fldChar w:fldCharType="begin"/>
      </w:r>
      <w:r>
        <w:instrText xml:space="preserve"> HYPERLINK "https://www.sciencedirect.com/science/article/pii/S0160791X1930689X" \h </w:instrText>
      </w:r>
      <w:r>
        <w:fldChar w:fldCharType="separate"/>
      </w:r>
      <w:r>
        <w:rPr>
          <w:color w:val="1155CC"/>
          <w:highlight w:val="white"/>
          <w:u w:val="single"/>
        </w:rPr>
        <w:t>https://www.sciencedirect.com/science/article/pii/S0160791X1930689X</w:t>
      </w:r>
      <w:r>
        <w:rPr>
          <w:color w:val="1155CC"/>
          <w:highlight w:val="white"/>
          <w:u w:val="single"/>
        </w:rPr>
        <w:fldChar w:fldCharType="end"/>
      </w:r>
    </w:p>
    <w:p w14:paraId="2C233B95">
      <w:pPr>
        <w:spacing w:before="240" w:after="240"/>
        <w:rPr>
          <w:color w:val="222222"/>
          <w:highlight w:val="white"/>
        </w:rPr>
      </w:pPr>
      <w:r>
        <w:rPr>
          <w:color w:val="222222"/>
          <w:highlight w:val="white"/>
        </w:rPr>
        <w:t xml:space="preserve">Sdworx., 2022. 61% of UK companies believe HR and people analytics are vital for business performance | SD Worx. [online] Sdworx.co.uk. Available at: </w:t>
      </w:r>
      <w:r>
        <w:fldChar w:fldCharType="begin"/>
      </w:r>
      <w:r>
        <w:instrText xml:space="preserve"> HYPERLINK "https://www.sdworx.co.uk/en-gb/press/2022-10-20-61-uk-companies-believe-hr-and-people-analytics-are-vital-business-performance/2022" </w:instrText>
      </w:r>
      <w:r>
        <w:fldChar w:fldCharType="separate"/>
      </w:r>
      <w:r>
        <w:rPr>
          <w:rStyle w:val="12"/>
          <w:highlight w:val="white"/>
        </w:rPr>
        <w:t>https://www.sdworx.co.uk/en-gb/press/2022-10-20-61-uk-companies-believe-hr-and-people-analytics-are-vital-business-performance/2022</w:t>
      </w:r>
      <w:r>
        <w:rPr>
          <w:rStyle w:val="12"/>
          <w:highlight w:val="white"/>
        </w:rPr>
        <w:fldChar w:fldCharType="end"/>
      </w:r>
      <w:r>
        <w:rPr>
          <w:color w:val="222222"/>
          <w:highlight w:val="white"/>
        </w:rPr>
        <w:t xml:space="preserve"> [Accessed 20 Aug. 2024].</w:t>
      </w:r>
    </w:p>
    <w:p w14:paraId="5EB19BEB">
      <w:pPr>
        <w:spacing w:before="240" w:after="240"/>
        <w:rPr>
          <w:color w:val="222222"/>
          <w:highlight w:val="white"/>
        </w:rPr>
      </w:pPr>
      <w:r>
        <w:rPr>
          <w:color w:val="222222"/>
          <w:highlight w:val="white"/>
        </w:rPr>
        <w:t xml:space="preserve">Suwignjo, P., Gunarta, I.K., Wessiani, N.A., Prasetyo, A.E. and Yuwana, L., 2022. Framework for measuring process innovation performance at Indonesian state-owned companies. Journal of Open Innovation: Technology, Market, and Complexity, 8(2), p.95. </w:t>
      </w:r>
      <w:r>
        <w:fldChar w:fldCharType="begin"/>
      </w:r>
      <w:r>
        <w:instrText xml:space="preserve"> HYPERLINK "https://www.sciencedirect.com/science/article/pii/S2199853122000361" </w:instrText>
      </w:r>
      <w:r>
        <w:fldChar w:fldCharType="separate"/>
      </w:r>
      <w:r>
        <w:rPr>
          <w:rStyle w:val="12"/>
          <w:highlight w:val="white"/>
        </w:rPr>
        <w:t>https://www.sciencedirect.com/science/article/pii/S2199853122000361</w:t>
      </w:r>
      <w:r>
        <w:rPr>
          <w:rStyle w:val="12"/>
          <w:highlight w:val="white"/>
        </w:rPr>
        <w:fldChar w:fldCharType="end"/>
      </w:r>
    </w:p>
    <w:p w14:paraId="5EB76993">
      <w:pPr>
        <w:spacing w:before="240" w:after="240"/>
        <w:rPr>
          <w:color w:val="222222"/>
          <w:highlight w:val="white"/>
        </w:rPr>
      </w:pPr>
      <w:r>
        <w:rPr>
          <w:color w:val="222222"/>
          <w:highlight w:val="white"/>
        </w:rPr>
        <w:t xml:space="preserve">Toscano, F. and Zappalà, S., 2020. Social isolation and stress as predictors of productivity perception and remote work satisfaction during the COVID-19 pandemic: The role of concern about the virus in a moderated double mediation.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(23), p.9804.</w:t>
      </w:r>
      <w:r>
        <w:fldChar w:fldCharType="begin"/>
      </w:r>
      <w:r>
        <w:instrText xml:space="preserve"> HYPERLINK "https://www.mdpi.com/2071-1050/12/23/9804/pdf" \h </w:instrText>
      </w:r>
      <w:r>
        <w:fldChar w:fldCharType="separate"/>
      </w:r>
      <w:r>
        <w:rPr>
          <w:color w:val="1155CC"/>
          <w:highlight w:val="white"/>
          <w:u w:val="single"/>
        </w:rPr>
        <w:t>https://www.mdpi.com/2071-1050/12/23/9804/pdf</w:t>
      </w:r>
      <w:r>
        <w:rPr>
          <w:color w:val="1155CC"/>
          <w:highlight w:val="white"/>
          <w:u w:val="single"/>
        </w:rPr>
        <w:fldChar w:fldCharType="end"/>
      </w:r>
    </w:p>
    <w:p w14:paraId="3D5A1920">
      <w:pPr>
        <w:spacing w:before="240" w:after="240"/>
        <w:rPr>
          <w:color w:val="222222"/>
          <w:highlight w:val="white"/>
        </w:rPr>
      </w:pPr>
      <w:r>
        <w:rPr>
          <w:color w:val="222222"/>
          <w:highlight w:val="white"/>
        </w:rPr>
        <w:t xml:space="preserve">Wang, B., Liu, Y., Qian, J. and Parker, S.K., 2021. Achieving effective remote working during the COVID‐19 pandemic: A work design perspective. </w:t>
      </w:r>
      <w:r>
        <w:rPr>
          <w:i/>
          <w:color w:val="222222"/>
          <w:highlight w:val="white"/>
        </w:rPr>
        <w:t>Applied psychology</w:t>
      </w:r>
      <w:r>
        <w:rPr>
          <w:color w:val="222222"/>
          <w:highlight w:val="white"/>
        </w:rPr>
        <w:t xml:space="preserve">, </w:t>
      </w:r>
      <w:r>
        <w:rPr>
          <w:i/>
          <w:color w:val="222222"/>
          <w:highlight w:val="white"/>
        </w:rPr>
        <w:t>70</w:t>
      </w:r>
      <w:r>
        <w:rPr>
          <w:color w:val="222222"/>
          <w:highlight w:val="white"/>
        </w:rPr>
        <w:t xml:space="preserve">(1), pp.16-59. </w:t>
      </w:r>
      <w:r>
        <w:fldChar w:fldCharType="begin"/>
      </w:r>
      <w:r>
        <w:instrText xml:space="preserve"> HYPERLINK "https://iaap-journals.onlinelibrary.wiley.com/doi/am-pdf/10.1111/apps.12290" \h </w:instrText>
      </w:r>
      <w:r>
        <w:fldChar w:fldCharType="separate"/>
      </w:r>
      <w:r>
        <w:rPr>
          <w:color w:val="1155CC"/>
          <w:highlight w:val="white"/>
          <w:u w:val="single"/>
        </w:rPr>
        <w:t>https://iaap-journals.onlinelibrary.wiley.com/doi/am-pdf/10.1111/apps.12290</w:t>
      </w:r>
      <w:r>
        <w:rPr>
          <w:color w:val="1155CC"/>
          <w:highlight w:val="white"/>
          <w:u w:val="single"/>
        </w:rPr>
        <w:fldChar w:fldCharType="end"/>
      </w:r>
    </w:p>
    <w:p w14:paraId="00000020">
      <w:pPr>
        <w:spacing w:before="240" w:after="240"/>
      </w:pPr>
    </w:p>
    <w:p w14:paraId="00000021">
      <w:pPr>
        <w:pStyle w:val="2"/>
        <w:spacing w:before="240" w:after="240"/>
        <w:rPr>
          <w:sz w:val="24"/>
        </w:rPr>
      </w:pPr>
      <w:bookmarkStart w:id="17" w:name="_97tj4ko5gx8t" w:colFirst="0" w:colLast="0"/>
      <w:bookmarkEnd w:id="17"/>
      <w:r>
        <w:rPr>
          <w:sz w:val="24"/>
        </w:rPr>
        <w:t xml:space="preserve"> </w:t>
      </w:r>
    </w:p>
    <w:p w14:paraId="3B6DEE11">
      <w:pPr>
        <w:spacing w:before="240" w:after="240"/>
        <w:rPr>
          <w:b/>
          <w:szCs w:val="28"/>
        </w:rPr>
      </w:pPr>
    </w:p>
    <w:sectPr>
      <w:footerReference r:id="rId5" w:type="default"/>
      <w:pgSz w:w="11909" w:h="16834"/>
      <w:pgMar w:top="1440" w:right="1440" w:bottom="1440" w:left="1440" w:header="720" w:footer="720" w:gutter="0"/>
      <w:pgBorders w:offsetFrom="page">
        <w:top w:val="none" w:sz="0" w:space="0"/>
        <w:left w:val="none" w:sz="0" w:space="0"/>
        <w:bottom w:val="none" w:sz="0" w:space="0"/>
        <w:right w:val="none" w:sz="0" w:space="0"/>
      </w:pgBorders>
      <w:pgNumType w:start="1"/>
      <w:cols w:space="720" w:num="1"/>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Vrinda">
    <w:altName w:val="Segoe Print"/>
    <w:panose1 w:val="00000400000000000000"/>
    <w:charset w:val="00"/>
    <w:family w:val="swiss"/>
    <w:pitch w:val="default"/>
    <w:sig w:usb0="00000000" w:usb1="00000000" w:usb2="00000000" w:usb3="00000000" w:csb0="00000001"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sz w:val="20"/>
        <w:szCs w:val="20"/>
      </w:rPr>
      <w:id w:val="-572354948"/>
      <w:docPartObj>
        <w:docPartGallery w:val="AutoText"/>
      </w:docPartObj>
    </w:sdtPr>
    <w:sdtEndPr>
      <w:rPr>
        <w:sz w:val="20"/>
        <w:szCs w:val="20"/>
      </w:rPr>
    </w:sdtEndPr>
    <w:sdtContent>
      <w:p w14:paraId="3B4F58BD">
        <w:pPr>
          <w:pStyle w:val="10"/>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sdtContent>
  </w:sdt>
  <w:p w14:paraId="42173CA0">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52B"/>
    <w:rsid w:val="00000977"/>
    <w:rsid w:val="00005C5C"/>
    <w:rsid w:val="00090B26"/>
    <w:rsid w:val="000A3441"/>
    <w:rsid w:val="000E42F8"/>
    <w:rsid w:val="001F0CB3"/>
    <w:rsid w:val="002601C8"/>
    <w:rsid w:val="0026511D"/>
    <w:rsid w:val="002B6A89"/>
    <w:rsid w:val="002E180F"/>
    <w:rsid w:val="002F7C72"/>
    <w:rsid w:val="00382C87"/>
    <w:rsid w:val="00614115"/>
    <w:rsid w:val="00615646"/>
    <w:rsid w:val="00693DD8"/>
    <w:rsid w:val="006E5A77"/>
    <w:rsid w:val="007B3AF4"/>
    <w:rsid w:val="00870A00"/>
    <w:rsid w:val="008F6E90"/>
    <w:rsid w:val="009D27F9"/>
    <w:rsid w:val="00A23BBD"/>
    <w:rsid w:val="00A3781A"/>
    <w:rsid w:val="00AA0C7C"/>
    <w:rsid w:val="00AC7511"/>
    <w:rsid w:val="00B27ECE"/>
    <w:rsid w:val="00BA541F"/>
    <w:rsid w:val="00C86532"/>
    <w:rsid w:val="00C939AC"/>
    <w:rsid w:val="00CA6C9A"/>
    <w:rsid w:val="00D646A7"/>
    <w:rsid w:val="00DA6ECE"/>
    <w:rsid w:val="00DF28FA"/>
    <w:rsid w:val="00E10C93"/>
    <w:rsid w:val="00EE2DA9"/>
    <w:rsid w:val="00F11DB8"/>
    <w:rsid w:val="00F1752B"/>
    <w:rsid w:val="3235246F"/>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unhideWhenUsed/>
    <w:qFormat/>
    <w:uiPriority w:val="9"/>
    <w:pPr>
      <w:keepNext/>
      <w:keepLines/>
      <w:outlineLvl w:val="1"/>
    </w:pPr>
    <w:rPr>
      <w:b/>
      <w:sz w:val="26"/>
      <w:szCs w:val="26"/>
    </w:rPr>
  </w:style>
  <w:style w:type="paragraph" w:styleId="4">
    <w:name w:val="heading 3"/>
    <w:basedOn w:val="1"/>
    <w:next w:val="1"/>
    <w:semiHidden/>
    <w:unhideWhenUsed/>
    <w:qFormat/>
    <w:uiPriority w:val="9"/>
    <w:pPr>
      <w:keepNext/>
      <w:keepLines/>
      <w:outlineLvl w:val="2"/>
    </w:pPr>
    <w:rPr>
      <w:b/>
      <w:i/>
      <w:color w:val="434343"/>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18"/>
    <w:unhideWhenUsed/>
    <w:qFormat/>
    <w:uiPriority w:val="99"/>
    <w:pPr>
      <w:tabs>
        <w:tab w:val="center" w:pos="4513"/>
        <w:tab w:val="right" w:pos="9026"/>
      </w:tabs>
      <w:spacing w:line="240" w:lineRule="auto"/>
    </w:pPr>
  </w:style>
  <w:style w:type="paragraph" w:styleId="11">
    <w:name w:val="header"/>
    <w:basedOn w:val="1"/>
    <w:link w:val="17"/>
    <w:unhideWhenUsed/>
    <w:qFormat/>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rFonts w:ascii="Arial" w:hAnsi="Arial" w:eastAsia="Arial" w:cs="Arial"/>
      <w:color w:val="666666"/>
      <w:sz w:val="30"/>
      <w:szCs w:val="30"/>
    </w:rPr>
  </w:style>
  <w:style w:type="paragraph" w:styleId="14">
    <w:name w:val="Title"/>
    <w:basedOn w:val="1"/>
    <w:next w:val="1"/>
    <w:qFormat/>
    <w:uiPriority w:val="10"/>
    <w:pPr>
      <w:keepNext/>
      <w:keepLines/>
      <w:jc w:val="center"/>
    </w:pPr>
    <w:rPr>
      <w:b/>
      <w:sz w:val="32"/>
      <w:szCs w:val="32"/>
    </w:r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qFormat/>
    <w:uiPriority w:val="39"/>
    <w:pPr>
      <w:spacing w:after="100"/>
      <w:ind w:left="240"/>
    </w:pPr>
  </w:style>
  <w:style w:type="character" w:customStyle="1" w:styleId="17">
    <w:name w:val="Header Char"/>
    <w:basedOn w:val="8"/>
    <w:link w:val="11"/>
    <w:uiPriority w:val="99"/>
  </w:style>
  <w:style w:type="character" w:customStyle="1" w:styleId="18">
    <w:name w:val="Footer Char"/>
    <w:basedOn w:val="8"/>
    <w:link w:val="10"/>
    <w:qFormat/>
    <w:uiPriority w:val="99"/>
  </w:style>
  <w:style w:type="character" w:customStyle="1" w:styleId="19">
    <w:name w:val="Unresolved Mention"/>
    <w:basedOn w:val="8"/>
    <w:semiHidden/>
    <w:unhideWhenUsed/>
    <w:qFormat/>
    <w:uiPriority w:val="99"/>
    <w:rPr>
      <w:color w:val="605E5C"/>
      <w:shd w:val="clear" w:color="auto" w:fill="E1DFDD"/>
    </w:rPr>
  </w:style>
  <w:style w:type="paragraph" w:customStyle="1" w:styleId="20">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7626C-7164-407C-BCBC-C862652F3515}">
  <ds:schemaRefs/>
</ds:datastoreItem>
</file>

<file path=docProps/app.xml><?xml version="1.0" encoding="utf-8"?>
<Properties xmlns="http://schemas.openxmlformats.org/officeDocument/2006/extended-properties" xmlns:vt="http://schemas.openxmlformats.org/officeDocument/2006/docPropsVTypes">
  <Template>Normal</Template>
  <Pages>11</Pages>
  <Words>3222</Words>
  <Characters>18368</Characters>
  <Lines>153</Lines>
  <Paragraphs>43</Paragraphs>
  <TotalTime>4</TotalTime>
  <ScaleCrop>false</ScaleCrop>
  <LinksUpToDate>false</LinksUpToDate>
  <CharactersWithSpaces>21547</CharactersWithSpaces>
  <Application>WPS Office_12.2.0.17562_F1E327BC-269C-435d-A152-05C5408002CA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jannat</dc:creator>
  <cp:revision>1</cp:revision>
  <dcterms:created xsi:type="dcterms:W3CDTF">2024-08-22T05:08:00Z</dcterms:created>
  <dcterms:modified xsi:type="dcterms:W3CDTF">2024-08-22T09:44:07Z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1033-12.2.0.17562</vt:lpwstr>
  </property>
  <property fmtid="{D5CDD505-2E9C-101B-9397-08002B2CF9AE}" pid="3" name="ICV">
    <vt:lpwstr>2DAF7BF32D49496E9A19E6DB1BFFBA7B_12</vt:lpwstr>
  </property>
</Properties>
</file>