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4E7FCF" w14:textId="77777777" w:rsidR="005A2F28" w:rsidRDefault="005A2F28" w:rsidP="005F4A93">
      <w:pPr>
        <w:spacing w:line="360" w:lineRule="auto"/>
        <w:rPr>
          <w:rFonts w:ascii="Arial" w:hAnsi="Arial" w:cs="Arial"/>
          <w:b/>
          <w:bCs/>
          <w:sz w:val="22"/>
          <w:szCs w:val="22"/>
          <w:u w:val="single"/>
        </w:rPr>
      </w:pPr>
    </w:p>
    <w:p w14:paraId="343DA219" w14:textId="77777777" w:rsidR="00D252A8" w:rsidRPr="00691F91" w:rsidRDefault="00D252A8" w:rsidP="00D252A8">
      <w:pPr>
        <w:jc w:val="center"/>
        <w:rPr>
          <w:rFonts w:ascii="Arial" w:hAnsi="Arial" w:cs="Arial"/>
          <w:b/>
          <w:bCs/>
          <w:sz w:val="22"/>
          <w:szCs w:val="22"/>
        </w:rPr>
      </w:pPr>
      <w:r w:rsidRPr="00691F91">
        <w:rPr>
          <w:rFonts w:ascii="Arial" w:hAnsi="Arial" w:cs="Arial"/>
          <w:b/>
          <w:bCs/>
          <w:sz w:val="22"/>
          <w:szCs w:val="22"/>
        </w:rPr>
        <w:t>(BMHP5021_BIRM) Protecting and Supporting Families in Health and Care</w:t>
      </w:r>
    </w:p>
    <w:p w14:paraId="3B80570D" w14:textId="77777777" w:rsidR="00D252A8" w:rsidRPr="00691F91" w:rsidRDefault="00D252A8" w:rsidP="00D252A8">
      <w:pPr>
        <w:jc w:val="center"/>
        <w:rPr>
          <w:rFonts w:ascii="Arial" w:hAnsi="Arial" w:cs="Arial"/>
          <w:b/>
          <w:bCs/>
          <w:sz w:val="22"/>
          <w:szCs w:val="22"/>
        </w:rPr>
      </w:pPr>
      <w:r w:rsidRPr="00691F91">
        <w:rPr>
          <w:rFonts w:ascii="Arial" w:hAnsi="Arial" w:cs="Arial"/>
          <w:b/>
          <w:bCs/>
          <w:sz w:val="22"/>
          <w:szCs w:val="22"/>
        </w:rPr>
        <w:t>Student Number: 2328226</w:t>
      </w:r>
    </w:p>
    <w:p w14:paraId="45985504" w14:textId="77777777" w:rsidR="00D252A8" w:rsidRPr="00691F91" w:rsidRDefault="00D252A8" w:rsidP="00D252A8">
      <w:pPr>
        <w:jc w:val="center"/>
        <w:rPr>
          <w:rFonts w:ascii="Arial" w:hAnsi="Arial" w:cs="Arial"/>
          <w:b/>
          <w:bCs/>
          <w:sz w:val="22"/>
          <w:szCs w:val="22"/>
        </w:rPr>
      </w:pPr>
      <w:r w:rsidRPr="00691F91">
        <w:rPr>
          <w:rFonts w:ascii="Arial" w:hAnsi="Arial" w:cs="Arial"/>
          <w:b/>
          <w:bCs/>
          <w:sz w:val="22"/>
          <w:szCs w:val="22"/>
        </w:rPr>
        <w:t>Student Name: Cherelle Moran</w:t>
      </w:r>
    </w:p>
    <w:p w14:paraId="000260F6" w14:textId="77777777" w:rsidR="00D252A8" w:rsidRPr="00691F91" w:rsidRDefault="00D252A8" w:rsidP="00D252A8">
      <w:pPr>
        <w:jc w:val="center"/>
        <w:rPr>
          <w:rFonts w:ascii="Arial" w:hAnsi="Arial" w:cs="Arial"/>
          <w:b/>
          <w:bCs/>
          <w:sz w:val="22"/>
          <w:szCs w:val="22"/>
        </w:rPr>
      </w:pPr>
      <w:r w:rsidRPr="00691F91">
        <w:rPr>
          <w:rFonts w:ascii="Arial" w:hAnsi="Arial" w:cs="Arial"/>
          <w:b/>
          <w:bCs/>
          <w:sz w:val="22"/>
          <w:szCs w:val="22"/>
        </w:rPr>
        <w:t>Tutor Details: Philip Jones</w:t>
      </w:r>
    </w:p>
    <w:p w14:paraId="764E5D0F" w14:textId="128E3C1F" w:rsidR="00D252A8" w:rsidRPr="00691F91" w:rsidRDefault="00D252A8" w:rsidP="00D252A8">
      <w:pPr>
        <w:jc w:val="center"/>
        <w:rPr>
          <w:rFonts w:ascii="Arial" w:hAnsi="Arial" w:cs="Arial"/>
          <w:b/>
          <w:bCs/>
          <w:sz w:val="22"/>
          <w:szCs w:val="22"/>
        </w:rPr>
      </w:pPr>
      <w:r w:rsidRPr="00691F91">
        <w:rPr>
          <w:rFonts w:ascii="Arial" w:hAnsi="Arial" w:cs="Arial"/>
          <w:b/>
          <w:bCs/>
          <w:sz w:val="22"/>
          <w:szCs w:val="22"/>
        </w:rPr>
        <w:t xml:space="preserve">Submission Date: </w:t>
      </w:r>
      <w:r>
        <w:rPr>
          <w:rFonts w:ascii="Arial" w:hAnsi="Arial" w:cs="Arial"/>
          <w:b/>
          <w:bCs/>
          <w:sz w:val="22"/>
          <w:szCs w:val="22"/>
        </w:rPr>
        <w:t>26</w:t>
      </w:r>
      <w:r w:rsidRPr="00D252A8">
        <w:rPr>
          <w:rFonts w:ascii="Arial" w:hAnsi="Arial" w:cs="Arial"/>
          <w:b/>
          <w:bCs/>
          <w:sz w:val="22"/>
          <w:szCs w:val="22"/>
          <w:vertAlign w:val="superscript"/>
        </w:rPr>
        <w:t>th</w:t>
      </w:r>
      <w:r>
        <w:rPr>
          <w:rFonts w:ascii="Arial" w:hAnsi="Arial" w:cs="Arial"/>
          <w:b/>
          <w:bCs/>
          <w:sz w:val="22"/>
          <w:szCs w:val="22"/>
        </w:rPr>
        <w:t xml:space="preserve"> November</w:t>
      </w:r>
      <w:r w:rsidRPr="00691F91">
        <w:rPr>
          <w:rFonts w:ascii="Arial" w:hAnsi="Arial" w:cs="Arial"/>
          <w:b/>
          <w:bCs/>
          <w:sz w:val="22"/>
          <w:szCs w:val="22"/>
        </w:rPr>
        <w:t xml:space="preserve"> 2025</w:t>
      </w:r>
    </w:p>
    <w:p w14:paraId="1AA416CA" w14:textId="77777777" w:rsidR="00D252A8" w:rsidRDefault="00D252A8" w:rsidP="005F4A93">
      <w:pPr>
        <w:spacing w:line="360" w:lineRule="auto"/>
        <w:rPr>
          <w:rFonts w:ascii="Arial" w:hAnsi="Arial" w:cs="Arial"/>
          <w:b/>
          <w:bCs/>
          <w:sz w:val="22"/>
          <w:szCs w:val="22"/>
          <w:u w:val="single"/>
        </w:rPr>
      </w:pPr>
    </w:p>
    <w:p w14:paraId="5841F2D4" w14:textId="77777777" w:rsidR="00D252A8" w:rsidRDefault="00D252A8" w:rsidP="005F4A93">
      <w:pPr>
        <w:spacing w:line="360" w:lineRule="auto"/>
        <w:rPr>
          <w:rFonts w:ascii="Arial" w:hAnsi="Arial" w:cs="Arial"/>
          <w:b/>
          <w:bCs/>
          <w:sz w:val="22"/>
          <w:szCs w:val="22"/>
          <w:u w:val="single"/>
        </w:rPr>
      </w:pPr>
    </w:p>
    <w:p w14:paraId="2433C0A1" w14:textId="77777777" w:rsidR="00D252A8" w:rsidRDefault="00D252A8" w:rsidP="005F4A93">
      <w:pPr>
        <w:spacing w:line="360" w:lineRule="auto"/>
        <w:rPr>
          <w:rFonts w:ascii="Arial" w:hAnsi="Arial" w:cs="Arial"/>
          <w:b/>
          <w:bCs/>
          <w:sz w:val="22"/>
          <w:szCs w:val="22"/>
          <w:u w:val="single"/>
        </w:rPr>
      </w:pPr>
    </w:p>
    <w:p w14:paraId="514EB081" w14:textId="77777777" w:rsidR="00D252A8" w:rsidRDefault="00D252A8" w:rsidP="005F4A93">
      <w:pPr>
        <w:spacing w:line="360" w:lineRule="auto"/>
        <w:rPr>
          <w:rFonts w:ascii="Arial" w:hAnsi="Arial" w:cs="Arial"/>
          <w:b/>
          <w:bCs/>
          <w:sz w:val="22"/>
          <w:szCs w:val="22"/>
          <w:u w:val="single"/>
        </w:rPr>
      </w:pPr>
    </w:p>
    <w:p w14:paraId="7C05A9D1" w14:textId="77777777" w:rsidR="00D252A8" w:rsidRDefault="00D252A8" w:rsidP="005F4A93">
      <w:pPr>
        <w:spacing w:line="360" w:lineRule="auto"/>
        <w:rPr>
          <w:rFonts w:ascii="Arial" w:hAnsi="Arial" w:cs="Arial"/>
          <w:b/>
          <w:bCs/>
          <w:sz w:val="22"/>
          <w:szCs w:val="22"/>
          <w:u w:val="single"/>
        </w:rPr>
      </w:pPr>
    </w:p>
    <w:p w14:paraId="3366008C" w14:textId="77777777" w:rsidR="00D252A8" w:rsidRDefault="00D252A8" w:rsidP="005F4A93">
      <w:pPr>
        <w:spacing w:line="360" w:lineRule="auto"/>
        <w:rPr>
          <w:rFonts w:ascii="Arial" w:hAnsi="Arial" w:cs="Arial"/>
          <w:b/>
          <w:bCs/>
          <w:sz w:val="22"/>
          <w:szCs w:val="22"/>
          <w:u w:val="single"/>
        </w:rPr>
      </w:pPr>
    </w:p>
    <w:p w14:paraId="231FACAF" w14:textId="77777777" w:rsidR="00D252A8" w:rsidRDefault="00D252A8" w:rsidP="005F4A93">
      <w:pPr>
        <w:spacing w:line="360" w:lineRule="auto"/>
        <w:rPr>
          <w:rFonts w:ascii="Arial" w:hAnsi="Arial" w:cs="Arial"/>
          <w:b/>
          <w:bCs/>
          <w:sz w:val="22"/>
          <w:szCs w:val="22"/>
          <w:u w:val="single"/>
        </w:rPr>
      </w:pPr>
    </w:p>
    <w:p w14:paraId="0DDB341E" w14:textId="77777777" w:rsidR="00D252A8" w:rsidRDefault="00D252A8" w:rsidP="005F4A93">
      <w:pPr>
        <w:spacing w:line="360" w:lineRule="auto"/>
        <w:rPr>
          <w:rFonts w:ascii="Arial" w:hAnsi="Arial" w:cs="Arial"/>
          <w:b/>
          <w:bCs/>
          <w:sz w:val="22"/>
          <w:szCs w:val="22"/>
          <w:u w:val="single"/>
        </w:rPr>
      </w:pPr>
    </w:p>
    <w:p w14:paraId="7EB98464" w14:textId="77777777" w:rsidR="00D252A8" w:rsidRDefault="00D252A8" w:rsidP="005F4A93">
      <w:pPr>
        <w:spacing w:line="360" w:lineRule="auto"/>
        <w:rPr>
          <w:rFonts w:ascii="Arial" w:hAnsi="Arial" w:cs="Arial"/>
          <w:b/>
          <w:bCs/>
          <w:sz w:val="22"/>
          <w:szCs w:val="22"/>
          <w:u w:val="single"/>
        </w:rPr>
      </w:pPr>
    </w:p>
    <w:p w14:paraId="0CBC6F92" w14:textId="77777777" w:rsidR="00D252A8" w:rsidRDefault="00D252A8" w:rsidP="005F4A93">
      <w:pPr>
        <w:spacing w:line="360" w:lineRule="auto"/>
        <w:rPr>
          <w:rFonts w:ascii="Arial" w:hAnsi="Arial" w:cs="Arial"/>
          <w:b/>
          <w:bCs/>
          <w:sz w:val="22"/>
          <w:szCs w:val="22"/>
          <w:u w:val="single"/>
        </w:rPr>
      </w:pPr>
    </w:p>
    <w:p w14:paraId="0A5484AF" w14:textId="77777777" w:rsidR="00D252A8" w:rsidRDefault="00D252A8" w:rsidP="005F4A93">
      <w:pPr>
        <w:spacing w:line="360" w:lineRule="auto"/>
        <w:rPr>
          <w:rFonts w:ascii="Arial" w:hAnsi="Arial" w:cs="Arial"/>
          <w:b/>
          <w:bCs/>
          <w:sz w:val="22"/>
          <w:szCs w:val="22"/>
          <w:u w:val="single"/>
        </w:rPr>
      </w:pPr>
    </w:p>
    <w:p w14:paraId="3FCE4343" w14:textId="77777777" w:rsidR="00D252A8" w:rsidRDefault="00D252A8" w:rsidP="005F4A93">
      <w:pPr>
        <w:spacing w:line="360" w:lineRule="auto"/>
        <w:rPr>
          <w:rFonts w:ascii="Arial" w:hAnsi="Arial" w:cs="Arial"/>
          <w:b/>
          <w:bCs/>
          <w:sz w:val="22"/>
          <w:szCs w:val="22"/>
          <w:u w:val="single"/>
        </w:rPr>
      </w:pPr>
    </w:p>
    <w:p w14:paraId="3569C819" w14:textId="77777777" w:rsidR="00D252A8" w:rsidRDefault="00D252A8" w:rsidP="005F4A93">
      <w:pPr>
        <w:spacing w:line="360" w:lineRule="auto"/>
        <w:rPr>
          <w:rFonts w:ascii="Arial" w:hAnsi="Arial" w:cs="Arial"/>
          <w:b/>
          <w:bCs/>
          <w:sz w:val="22"/>
          <w:szCs w:val="22"/>
          <w:u w:val="single"/>
        </w:rPr>
      </w:pPr>
    </w:p>
    <w:p w14:paraId="28E4BF3E" w14:textId="77777777" w:rsidR="00D252A8" w:rsidRDefault="00D252A8" w:rsidP="005F4A93">
      <w:pPr>
        <w:spacing w:line="360" w:lineRule="auto"/>
        <w:rPr>
          <w:rFonts w:ascii="Arial" w:hAnsi="Arial" w:cs="Arial"/>
          <w:b/>
          <w:bCs/>
          <w:sz w:val="22"/>
          <w:szCs w:val="22"/>
          <w:u w:val="single"/>
        </w:rPr>
      </w:pPr>
    </w:p>
    <w:p w14:paraId="3694098E" w14:textId="77777777" w:rsidR="00D252A8" w:rsidRDefault="00D252A8" w:rsidP="005F4A93">
      <w:pPr>
        <w:spacing w:line="360" w:lineRule="auto"/>
        <w:rPr>
          <w:rFonts w:ascii="Arial" w:hAnsi="Arial" w:cs="Arial"/>
          <w:b/>
          <w:bCs/>
          <w:sz w:val="22"/>
          <w:szCs w:val="22"/>
          <w:u w:val="single"/>
        </w:rPr>
      </w:pPr>
    </w:p>
    <w:p w14:paraId="64320ACB" w14:textId="77777777" w:rsidR="00D252A8" w:rsidRDefault="00D252A8" w:rsidP="005F4A93">
      <w:pPr>
        <w:spacing w:line="360" w:lineRule="auto"/>
        <w:rPr>
          <w:rFonts w:ascii="Arial" w:hAnsi="Arial" w:cs="Arial"/>
          <w:b/>
          <w:bCs/>
          <w:sz w:val="22"/>
          <w:szCs w:val="22"/>
          <w:u w:val="single"/>
        </w:rPr>
      </w:pPr>
    </w:p>
    <w:p w14:paraId="7A6BC426" w14:textId="77777777" w:rsidR="00D252A8" w:rsidRDefault="00D252A8" w:rsidP="005F4A93">
      <w:pPr>
        <w:spacing w:line="360" w:lineRule="auto"/>
        <w:rPr>
          <w:rFonts w:ascii="Arial" w:hAnsi="Arial" w:cs="Arial"/>
          <w:b/>
          <w:bCs/>
          <w:sz w:val="22"/>
          <w:szCs w:val="22"/>
          <w:u w:val="single"/>
        </w:rPr>
      </w:pPr>
    </w:p>
    <w:p w14:paraId="22B9DF49" w14:textId="77777777" w:rsidR="00D252A8" w:rsidRDefault="00D252A8" w:rsidP="005F4A93">
      <w:pPr>
        <w:spacing w:line="360" w:lineRule="auto"/>
        <w:rPr>
          <w:rFonts w:ascii="Arial" w:hAnsi="Arial" w:cs="Arial"/>
          <w:b/>
          <w:bCs/>
          <w:sz w:val="22"/>
          <w:szCs w:val="22"/>
          <w:u w:val="single"/>
        </w:rPr>
      </w:pPr>
    </w:p>
    <w:p w14:paraId="54C7A836" w14:textId="77777777" w:rsidR="00D252A8" w:rsidRDefault="00D252A8" w:rsidP="005F4A93">
      <w:pPr>
        <w:spacing w:line="360" w:lineRule="auto"/>
        <w:rPr>
          <w:rFonts w:ascii="Arial" w:hAnsi="Arial" w:cs="Arial"/>
          <w:b/>
          <w:bCs/>
          <w:sz w:val="22"/>
          <w:szCs w:val="22"/>
          <w:u w:val="single"/>
        </w:rPr>
      </w:pPr>
    </w:p>
    <w:p w14:paraId="5EE5DCAE" w14:textId="77777777" w:rsidR="00D252A8" w:rsidRDefault="00D252A8" w:rsidP="005F4A93">
      <w:pPr>
        <w:spacing w:line="360" w:lineRule="auto"/>
        <w:rPr>
          <w:rFonts w:ascii="Arial" w:hAnsi="Arial" w:cs="Arial"/>
          <w:b/>
          <w:bCs/>
          <w:sz w:val="22"/>
          <w:szCs w:val="22"/>
          <w:u w:val="single"/>
        </w:rPr>
      </w:pPr>
    </w:p>
    <w:p w14:paraId="1CE14FE2" w14:textId="77777777" w:rsidR="00D252A8" w:rsidRDefault="00D252A8" w:rsidP="005F4A93">
      <w:pPr>
        <w:spacing w:line="360" w:lineRule="auto"/>
        <w:rPr>
          <w:rFonts w:ascii="Arial" w:hAnsi="Arial" w:cs="Arial"/>
          <w:b/>
          <w:bCs/>
          <w:sz w:val="22"/>
          <w:szCs w:val="22"/>
          <w:u w:val="single"/>
        </w:rPr>
      </w:pPr>
    </w:p>
    <w:p w14:paraId="2FD069FB" w14:textId="3A30CDAE" w:rsidR="00D91ED8" w:rsidRDefault="00D91ED8" w:rsidP="005F4A93">
      <w:pPr>
        <w:spacing w:line="360" w:lineRule="auto"/>
        <w:rPr>
          <w:rFonts w:ascii="Arial" w:hAnsi="Arial" w:cs="Arial"/>
          <w:b/>
          <w:bCs/>
          <w:sz w:val="22"/>
          <w:szCs w:val="22"/>
          <w:u w:val="single"/>
        </w:rPr>
      </w:pPr>
      <w:r>
        <w:rPr>
          <w:rFonts w:ascii="Arial" w:hAnsi="Arial" w:cs="Arial"/>
          <w:b/>
          <w:bCs/>
          <w:sz w:val="22"/>
          <w:szCs w:val="22"/>
          <w:u w:val="single"/>
        </w:rPr>
        <w:lastRenderedPageBreak/>
        <w:t>Contents Page</w:t>
      </w:r>
    </w:p>
    <w:tbl>
      <w:tblPr>
        <w:tblStyle w:val="TableGrid"/>
        <w:tblpPr w:leftFromText="180" w:rightFromText="180" w:vertAnchor="page" w:horzAnchor="margin" w:tblpY="2356"/>
        <w:tblW w:w="0" w:type="auto"/>
        <w:tblLook w:val="04A0" w:firstRow="1" w:lastRow="0" w:firstColumn="1" w:lastColumn="0" w:noHBand="0" w:noVBand="1"/>
      </w:tblPr>
      <w:tblGrid>
        <w:gridCol w:w="7508"/>
        <w:gridCol w:w="1508"/>
      </w:tblGrid>
      <w:tr w:rsidR="00D91ED8" w14:paraId="7BFFF566" w14:textId="77777777" w:rsidTr="00D91ED8">
        <w:tc>
          <w:tcPr>
            <w:tcW w:w="7508" w:type="dxa"/>
          </w:tcPr>
          <w:p w14:paraId="6C255616" w14:textId="77777777" w:rsidR="00D91ED8" w:rsidRDefault="00D91ED8" w:rsidP="00D91ED8">
            <w:pPr>
              <w:spacing w:line="360" w:lineRule="auto"/>
              <w:rPr>
                <w:rFonts w:ascii="Arial" w:hAnsi="Arial" w:cs="Arial"/>
                <w:b/>
                <w:bCs/>
                <w:sz w:val="22"/>
                <w:szCs w:val="22"/>
                <w:u w:val="single"/>
              </w:rPr>
            </w:pPr>
            <w:r>
              <w:rPr>
                <w:rFonts w:ascii="Arial" w:hAnsi="Arial" w:cs="Arial"/>
                <w:b/>
                <w:bCs/>
                <w:sz w:val="22"/>
                <w:szCs w:val="22"/>
                <w:u w:val="single"/>
              </w:rPr>
              <w:t>Introduction</w:t>
            </w:r>
          </w:p>
        </w:tc>
        <w:tc>
          <w:tcPr>
            <w:tcW w:w="1508" w:type="dxa"/>
          </w:tcPr>
          <w:p w14:paraId="6F647596" w14:textId="77777777" w:rsidR="00D91ED8" w:rsidRDefault="00D91ED8" w:rsidP="00D91ED8">
            <w:pPr>
              <w:spacing w:line="360" w:lineRule="auto"/>
              <w:rPr>
                <w:rFonts w:ascii="Arial" w:hAnsi="Arial" w:cs="Arial"/>
                <w:b/>
                <w:bCs/>
                <w:sz w:val="22"/>
                <w:szCs w:val="22"/>
                <w:u w:val="single"/>
              </w:rPr>
            </w:pPr>
            <w:r>
              <w:rPr>
                <w:rFonts w:ascii="Arial" w:hAnsi="Arial" w:cs="Arial"/>
                <w:b/>
                <w:bCs/>
                <w:sz w:val="22"/>
                <w:szCs w:val="22"/>
                <w:u w:val="single"/>
              </w:rPr>
              <w:t>Page 3</w:t>
            </w:r>
          </w:p>
        </w:tc>
      </w:tr>
      <w:tr w:rsidR="00D91ED8" w14:paraId="63C52ECE" w14:textId="77777777" w:rsidTr="00D91ED8">
        <w:tc>
          <w:tcPr>
            <w:tcW w:w="7508" w:type="dxa"/>
          </w:tcPr>
          <w:p w14:paraId="25763847" w14:textId="77777777" w:rsidR="00D91ED8" w:rsidRDefault="00D91ED8" w:rsidP="00D91ED8">
            <w:pPr>
              <w:spacing w:line="360" w:lineRule="auto"/>
              <w:rPr>
                <w:rFonts w:ascii="Arial" w:hAnsi="Arial" w:cs="Arial"/>
                <w:b/>
                <w:bCs/>
                <w:sz w:val="22"/>
                <w:szCs w:val="22"/>
                <w:u w:val="single"/>
              </w:rPr>
            </w:pPr>
            <w:r w:rsidRPr="005F4A93">
              <w:rPr>
                <w:rFonts w:ascii="Arial" w:hAnsi="Arial" w:cs="Arial"/>
                <w:b/>
                <w:bCs/>
                <w:sz w:val="22"/>
                <w:szCs w:val="22"/>
                <w:u w:val="single"/>
              </w:rPr>
              <w:t>Explanation of the Early Help System</w:t>
            </w:r>
          </w:p>
        </w:tc>
        <w:tc>
          <w:tcPr>
            <w:tcW w:w="1508" w:type="dxa"/>
          </w:tcPr>
          <w:p w14:paraId="4359B6C3" w14:textId="77777777" w:rsidR="00D91ED8" w:rsidRDefault="00D91ED8" w:rsidP="00D91ED8">
            <w:pPr>
              <w:spacing w:line="360" w:lineRule="auto"/>
              <w:rPr>
                <w:rFonts w:ascii="Arial" w:hAnsi="Arial" w:cs="Arial"/>
                <w:b/>
                <w:bCs/>
                <w:sz w:val="22"/>
                <w:szCs w:val="22"/>
                <w:u w:val="single"/>
              </w:rPr>
            </w:pPr>
            <w:r>
              <w:rPr>
                <w:rFonts w:ascii="Arial" w:hAnsi="Arial" w:cs="Arial"/>
                <w:b/>
                <w:bCs/>
                <w:sz w:val="22"/>
                <w:szCs w:val="22"/>
                <w:u w:val="single"/>
              </w:rPr>
              <w:t>Page 3</w:t>
            </w:r>
          </w:p>
        </w:tc>
      </w:tr>
      <w:tr w:rsidR="00D91ED8" w14:paraId="4C0549EE" w14:textId="77777777" w:rsidTr="00D91ED8">
        <w:tc>
          <w:tcPr>
            <w:tcW w:w="7508" w:type="dxa"/>
          </w:tcPr>
          <w:p w14:paraId="1EA1781E" w14:textId="77777777" w:rsidR="00D91ED8" w:rsidRDefault="00D91ED8" w:rsidP="00D91ED8">
            <w:pPr>
              <w:spacing w:line="360" w:lineRule="auto"/>
              <w:rPr>
                <w:rFonts w:ascii="Arial" w:hAnsi="Arial" w:cs="Arial"/>
                <w:b/>
                <w:bCs/>
                <w:sz w:val="22"/>
                <w:szCs w:val="22"/>
                <w:u w:val="single"/>
              </w:rPr>
            </w:pPr>
            <w:r w:rsidRPr="001C24A8">
              <w:rPr>
                <w:rFonts w:ascii="Arial" w:hAnsi="Arial" w:cs="Arial"/>
                <w:b/>
                <w:bCs/>
                <w:sz w:val="22"/>
                <w:szCs w:val="22"/>
                <w:u w:val="single"/>
              </w:rPr>
              <w:t>Explanation of Multi-Agency Working</w:t>
            </w:r>
          </w:p>
        </w:tc>
        <w:tc>
          <w:tcPr>
            <w:tcW w:w="1508" w:type="dxa"/>
          </w:tcPr>
          <w:p w14:paraId="3389E43A" w14:textId="77777777" w:rsidR="00D91ED8" w:rsidRDefault="00D91ED8" w:rsidP="00D91ED8">
            <w:pPr>
              <w:spacing w:line="360" w:lineRule="auto"/>
              <w:rPr>
                <w:rFonts w:ascii="Arial" w:hAnsi="Arial" w:cs="Arial"/>
                <w:b/>
                <w:bCs/>
                <w:sz w:val="22"/>
                <w:szCs w:val="22"/>
                <w:u w:val="single"/>
              </w:rPr>
            </w:pPr>
            <w:r>
              <w:rPr>
                <w:rFonts w:ascii="Arial" w:hAnsi="Arial" w:cs="Arial"/>
                <w:b/>
                <w:bCs/>
                <w:sz w:val="22"/>
                <w:szCs w:val="22"/>
                <w:u w:val="single"/>
              </w:rPr>
              <w:t>Page 4</w:t>
            </w:r>
          </w:p>
        </w:tc>
      </w:tr>
      <w:tr w:rsidR="00D91ED8" w14:paraId="0F016562" w14:textId="77777777" w:rsidTr="00D91ED8">
        <w:tc>
          <w:tcPr>
            <w:tcW w:w="7508" w:type="dxa"/>
          </w:tcPr>
          <w:p w14:paraId="01F20688" w14:textId="77777777" w:rsidR="00D91ED8" w:rsidRDefault="00D91ED8" w:rsidP="00D91ED8">
            <w:pPr>
              <w:spacing w:line="360" w:lineRule="auto"/>
              <w:rPr>
                <w:rFonts w:ascii="Arial" w:hAnsi="Arial" w:cs="Arial"/>
                <w:b/>
                <w:bCs/>
                <w:sz w:val="22"/>
                <w:szCs w:val="22"/>
                <w:u w:val="single"/>
              </w:rPr>
            </w:pPr>
            <w:r>
              <w:rPr>
                <w:rFonts w:ascii="Arial" w:hAnsi="Arial" w:cs="Arial"/>
                <w:b/>
                <w:bCs/>
                <w:sz w:val="22"/>
                <w:szCs w:val="22"/>
                <w:u w:val="single"/>
              </w:rPr>
              <w:t>Leicestershire County Council: Early Help Provision</w:t>
            </w:r>
          </w:p>
        </w:tc>
        <w:tc>
          <w:tcPr>
            <w:tcW w:w="1508" w:type="dxa"/>
          </w:tcPr>
          <w:p w14:paraId="3CF1456E" w14:textId="77777777" w:rsidR="00D91ED8" w:rsidRDefault="00D91ED8" w:rsidP="00D91ED8">
            <w:pPr>
              <w:spacing w:line="360" w:lineRule="auto"/>
              <w:rPr>
                <w:rFonts w:ascii="Arial" w:hAnsi="Arial" w:cs="Arial"/>
                <w:b/>
                <w:bCs/>
                <w:sz w:val="22"/>
                <w:szCs w:val="22"/>
                <w:u w:val="single"/>
              </w:rPr>
            </w:pPr>
            <w:r>
              <w:rPr>
                <w:rFonts w:ascii="Arial" w:hAnsi="Arial" w:cs="Arial"/>
                <w:b/>
                <w:bCs/>
                <w:sz w:val="22"/>
                <w:szCs w:val="22"/>
                <w:u w:val="single"/>
              </w:rPr>
              <w:t>Page 5</w:t>
            </w:r>
          </w:p>
        </w:tc>
      </w:tr>
      <w:tr w:rsidR="00D91ED8" w14:paraId="10426E30" w14:textId="77777777" w:rsidTr="00D91ED8">
        <w:tc>
          <w:tcPr>
            <w:tcW w:w="7508" w:type="dxa"/>
          </w:tcPr>
          <w:p w14:paraId="439B119B" w14:textId="77777777" w:rsidR="00D91ED8" w:rsidRDefault="00D91ED8" w:rsidP="00D91ED8">
            <w:pPr>
              <w:spacing w:line="360" w:lineRule="auto"/>
              <w:rPr>
                <w:rFonts w:ascii="Arial" w:hAnsi="Arial" w:cs="Arial"/>
                <w:b/>
                <w:bCs/>
                <w:sz w:val="22"/>
                <w:szCs w:val="22"/>
                <w:u w:val="single"/>
              </w:rPr>
            </w:pPr>
            <w:r w:rsidRPr="001E57B6">
              <w:rPr>
                <w:rFonts w:ascii="Arial" w:hAnsi="Arial" w:cs="Arial"/>
                <w:b/>
                <w:bCs/>
                <w:sz w:val="22"/>
                <w:szCs w:val="22"/>
                <w:u w:val="single"/>
              </w:rPr>
              <w:t>Leeds City Council: Early Help Provision</w:t>
            </w:r>
          </w:p>
        </w:tc>
        <w:tc>
          <w:tcPr>
            <w:tcW w:w="1508" w:type="dxa"/>
          </w:tcPr>
          <w:p w14:paraId="2EFF3935" w14:textId="77777777" w:rsidR="00D91ED8" w:rsidRDefault="00D91ED8" w:rsidP="00D91ED8">
            <w:pPr>
              <w:spacing w:line="360" w:lineRule="auto"/>
              <w:rPr>
                <w:rFonts w:ascii="Arial" w:hAnsi="Arial" w:cs="Arial"/>
                <w:b/>
                <w:bCs/>
                <w:sz w:val="22"/>
                <w:szCs w:val="22"/>
                <w:u w:val="single"/>
              </w:rPr>
            </w:pPr>
            <w:r>
              <w:rPr>
                <w:rFonts w:ascii="Arial" w:hAnsi="Arial" w:cs="Arial"/>
                <w:b/>
                <w:bCs/>
                <w:sz w:val="22"/>
                <w:szCs w:val="22"/>
                <w:u w:val="single"/>
              </w:rPr>
              <w:t>Page 6</w:t>
            </w:r>
          </w:p>
        </w:tc>
      </w:tr>
      <w:tr w:rsidR="00D91ED8" w14:paraId="3B159B9C" w14:textId="77777777" w:rsidTr="00D91ED8">
        <w:tc>
          <w:tcPr>
            <w:tcW w:w="7508" w:type="dxa"/>
          </w:tcPr>
          <w:p w14:paraId="5F89E94C" w14:textId="77777777" w:rsidR="00D91ED8" w:rsidRDefault="00D91ED8" w:rsidP="00D91ED8">
            <w:pPr>
              <w:spacing w:line="360" w:lineRule="auto"/>
              <w:rPr>
                <w:rFonts w:ascii="Arial" w:hAnsi="Arial" w:cs="Arial"/>
                <w:b/>
                <w:bCs/>
                <w:sz w:val="22"/>
                <w:szCs w:val="22"/>
                <w:u w:val="single"/>
              </w:rPr>
            </w:pPr>
            <w:r w:rsidRPr="00100835">
              <w:rPr>
                <w:rFonts w:ascii="Arial" w:hAnsi="Arial" w:cs="Arial"/>
                <w:b/>
                <w:bCs/>
                <w:sz w:val="22"/>
                <w:szCs w:val="22"/>
                <w:u w:val="single"/>
              </w:rPr>
              <w:t>Tower Hamlets Council: Early Help Provision</w:t>
            </w:r>
          </w:p>
        </w:tc>
        <w:tc>
          <w:tcPr>
            <w:tcW w:w="1508" w:type="dxa"/>
          </w:tcPr>
          <w:p w14:paraId="48C7FBD9" w14:textId="77777777" w:rsidR="00D91ED8" w:rsidRDefault="00D91ED8" w:rsidP="00D91ED8">
            <w:pPr>
              <w:spacing w:line="360" w:lineRule="auto"/>
              <w:rPr>
                <w:rFonts w:ascii="Arial" w:hAnsi="Arial" w:cs="Arial"/>
                <w:b/>
                <w:bCs/>
                <w:sz w:val="22"/>
                <w:szCs w:val="22"/>
                <w:u w:val="single"/>
              </w:rPr>
            </w:pPr>
            <w:r>
              <w:rPr>
                <w:rFonts w:ascii="Arial" w:hAnsi="Arial" w:cs="Arial"/>
                <w:b/>
                <w:bCs/>
                <w:sz w:val="22"/>
                <w:szCs w:val="22"/>
                <w:u w:val="single"/>
              </w:rPr>
              <w:t>Page 6</w:t>
            </w:r>
          </w:p>
        </w:tc>
      </w:tr>
      <w:tr w:rsidR="00D91ED8" w14:paraId="0E7DA5AD" w14:textId="77777777" w:rsidTr="00D91ED8">
        <w:tc>
          <w:tcPr>
            <w:tcW w:w="7508" w:type="dxa"/>
          </w:tcPr>
          <w:p w14:paraId="46FF791A" w14:textId="77777777" w:rsidR="00D91ED8" w:rsidRDefault="00D91ED8" w:rsidP="00D91ED8">
            <w:pPr>
              <w:spacing w:line="360" w:lineRule="auto"/>
              <w:rPr>
                <w:rFonts w:ascii="Arial" w:hAnsi="Arial" w:cs="Arial"/>
                <w:b/>
                <w:bCs/>
                <w:sz w:val="22"/>
                <w:szCs w:val="22"/>
                <w:u w:val="single"/>
              </w:rPr>
            </w:pPr>
            <w:r w:rsidRPr="007C6447">
              <w:rPr>
                <w:rFonts w:ascii="Arial" w:hAnsi="Arial" w:cs="Arial"/>
                <w:b/>
                <w:bCs/>
                <w:sz w:val="22"/>
                <w:szCs w:val="22"/>
                <w:u w:val="single"/>
              </w:rPr>
              <w:t>Comparison of Key Strengths and Weaknesses</w:t>
            </w:r>
          </w:p>
        </w:tc>
        <w:tc>
          <w:tcPr>
            <w:tcW w:w="1508" w:type="dxa"/>
          </w:tcPr>
          <w:p w14:paraId="51D5B495" w14:textId="77777777" w:rsidR="00D91ED8" w:rsidRDefault="00D91ED8" w:rsidP="00D91ED8">
            <w:pPr>
              <w:spacing w:line="360" w:lineRule="auto"/>
              <w:rPr>
                <w:rFonts w:ascii="Arial" w:hAnsi="Arial" w:cs="Arial"/>
                <w:b/>
                <w:bCs/>
                <w:sz w:val="22"/>
                <w:szCs w:val="22"/>
                <w:u w:val="single"/>
              </w:rPr>
            </w:pPr>
            <w:r>
              <w:rPr>
                <w:rFonts w:ascii="Arial" w:hAnsi="Arial" w:cs="Arial"/>
                <w:b/>
                <w:bCs/>
                <w:sz w:val="22"/>
                <w:szCs w:val="22"/>
                <w:u w:val="single"/>
              </w:rPr>
              <w:t>Page 7</w:t>
            </w:r>
          </w:p>
        </w:tc>
      </w:tr>
      <w:tr w:rsidR="00D91ED8" w14:paraId="0B793AC6" w14:textId="77777777" w:rsidTr="00D91ED8">
        <w:tc>
          <w:tcPr>
            <w:tcW w:w="7508" w:type="dxa"/>
          </w:tcPr>
          <w:p w14:paraId="0549A6C2" w14:textId="77777777" w:rsidR="00D91ED8" w:rsidRDefault="00D91ED8" w:rsidP="00D91ED8">
            <w:pPr>
              <w:spacing w:line="360" w:lineRule="auto"/>
              <w:rPr>
                <w:rFonts w:ascii="Arial" w:hAnsi="Arial" w:cs="Arial"/>
                <w:b/>
                <w:bCs/>
                <w:sz w:val="22"/>
                <w:szCs w:val="22"/>
                <w:u w:val="single"/>
              </w:rPr>
            </w:pPr>
            <w:r w:rsidRPr="007C6447">
              <w:rPr>
                <w:rFonts w:ascii="Arial" w:hAnsi="Arial" w:cs="Arial"/>
                <w:b/>
                <w:bCs/>
                <w:sz w:val="22"/>
                <w:szCs w:val="22"/>
                <w:u w:val="single"/>
              </w:rPr>
              <w:t>Justification of the Most Effective Website</w:t>
            </w:r>
          </w:p>
        </w:tc>
        <w:tc>
          <w:tcPr>
            <w:tcW w:w="1508" w:type="dxa"/>
          </w:tcPr>
          <w:p w14:paraId="758F09D6" w14:textId="77777777" w:rsidR="00D91ED8" w:rsidRDefault="00D91ED8" w:rsidP="00D91ED8">
            <w:pPr>
              <w:spacing w:line="360" w:lineRule="auto"/>
              <w:rPr>
                <w:rFonts w:ascii="Arial" w:hAnsi="Arial" w:cs="Arial"/>
                <w:b/>
                <w:bCs/>
                <w:sz w:val="22"/>
                <w:szCs w:val="22"/>
                <w:u w:val="single"/>
              </w:rPr>
            </w:pPr>
            <w:r>
              <w:rPr>
                <w:rFonts w:ascii="Arial" w:hAnsi="Arial" w:cs="Arial"/>
                <w:b/>
                <w:bCs/>
                <w:sz w:val="22"/>
                <w:szCs w:val="22"/>
                <w:u w:val="single"/>
              </w:rPr>
              <w:t>Page 8</w:t>
            </w:r>
          </w:p>
        </w:tc>
      </w:tr>
      <w:tr w:rsidR="00D91ED8" w14:paraId="731F9BF9" w14:textId="77777777" w:rsidTr="00D91ED8">
        <w:tc>
          <w:tcPr>
            <w:tcW w:w="7508" w:type="dxa"/>
          </w:tcPr>
          <w:p w14:paraId="44D0844A" w14:textId="77777777" w:rsidR="00D91ED8" w:rsidRDefault="00D91ED8" w:rsidP="00D91ED8">
            <w:pPr>
              <w:spacing w:line="360" w:lineRule="auto"/>
              <w:rPr>
                <w:rFonts w:ascii="Arial" w:hAnsi="Arial" w:cs="Arial"/>
                <w:b/>
                <w:bCs/>
                <w:sz w:val="22"/>
                <w:szCs w:val="22"/>
                <w:u w:val="single"/>
              </w:rPr>
            </w:pPr>
            <w:r w:rsidRPr="005A2F28">
              <w:rPr>
                <w:rFonts w:ascii="Arial" w:hAnsi="Arial" w:cs="Arial"/>
                <w:b/>
                <w:bCs/>
                <w:sz w:val="22"/>
                <w:szCs w:val="22"/>
                <w:u w:val="single"/>
              </w:rPr>
              <w:t>Conclusion and Recommendations</w:t>
            </w:r>
          </w:p>
        </w:tc>
        <w:tc>
          <w:tcPr>
            <w:tcW w:w="1508" w:type="dxa"/>
          </w:tcPr>
          <w:p w14:paraId="0E6FD3DE" w14:textId="77777777" w:rsidR="00D91ED8" w:rsidRDefault="00D91ED8" w:rsidP="00D91ED8">
            <w:pPr>
              <w:spacing w:line="360" w:lineRule="auto"/>
              <w:rPr>
                <w:rFonts w:ascii="Arial" w:hAnsi="Arial" w:cs="Arial"/>
                <w:b/>
                <w:bCs/>
                <w:sz w:val="22"/>
                <w:szCs w:val="22"/>
                <w:u w:val="single"/>
              </w:rPr>
            </w:pPr>
            <w:r>
              <w:rPr>
                <w:rFonts w:ascii="Arial" w:hAnsi="Arial" w:cs="Arial"/>
                <w:b/>
                <w:bCs/>
                <w:sz w:val="22"/>
                <w:szCs w:val="22"/>
                <w:u w:val="single"/>
              </w:rPr>
              <w:t>Page 8</w:t>
            </w:r>
          </w:p>
        </w:tc>
      </w:tr>
      <w:tr w:rsidR="00D91ED8" w14:paraId="66F72EB5" w14:textId="77777777" w:rsidTr="00D91ED8">
        <w:tc>
          <w:tcPr>
            <w:tcW w:w="7508" w:type="dxa"/>
          </w:tcPr>
          <w:p w14:paraId="1EAFA5BB" w14:textId="77777777" w:rsidR="00D91ED8" w:rsidRDefault="00D91ED8" w:rsidP="00D91ED8">
            <w:pPr>
              <w:spacing w:line="360" w:lineRule="auto"/>
              <w:rPr>
                <w:rFonts w:ascii="Arial" w:hAnsi="Arial" w:cs="Arial"/>
                <w:b/>
                <w:bCs/>
                <w:sz w:val="22"/>
                <w:szCs w:val="22"/>
                <w:u w:val="single"/>
              </w:rPr>
            </w:pPr>
            <w:r>
              <w:rPr>
                <w:rFonts w:ascii="Arial" w:hAnsi="Arial" w:cs="Arial"/>
                <w:b/>
                <w:bCs/>
                <w:sz w:val="22"/>
                <w:szCs w:val="22"/>
                <w:u w:val="single"/>
              </w:rPr>
              <w:t>References</w:t>
            </w:r>
          </w:p>
        </w:tc>
        <w:tc>
          <w:tcPr>
            <w:tcW w:w="1508" w:type="dxa"/>
          </w:tcPr>
          <w:p w14:paraId="5375BD97" w14:textId="77777777" w:rsidR="00D91ED8" w:rsidRDefault="00D91ED8" w:rsidP="00D91ED8">
            <w:pPr>
              <w:spacing w:line="360" w:lineRule="auto"/>
              <w:rPr>
                <w:rFonts w:ascii="Arial" w:hAnsi="Arial" w:cs="Arial"/>
                <w:b/>
                <w:bCs/>
                <w:sz w:val="22"/>
                <w:szCs w:val="22"/>
                <w:u w:val="single"/>
              </w:rPr>
            </w:pPr>
            <w:r>
              <w:rPr>
                <w:rFonts w:ascii="Arial" w:hAnsi="Arial" w:cs="Arial"/>
                <w:b/>
                <w:bCs/>
                <w:sz w:val="22"/>
                <w:szCs w:val="22"/>
                <w:u w:val="single"/>
              </w:rPr>
              <w:t>Page 9</w:t>
            </w:r>
          </w:p>
        </w:tc>
      </w:tr>
    </w:tbl>
    <w:p w14:paraId="1DBD5702" w14:textId="77777777" w:rsidR="00D252A8" w:rsidRDefault="00D252A8" w:rsidP="005F4A93">
      <w:pPr>
        <w:spacing w:line="360" w:lineRule="auto"/>
        <w:rPr>
          <w:rFonts w:ascii="Arial" w:hAnsi="Arial" w:cs="Arial"/>
          <w:b/>
          <w:bCs/>
          <w:sz w:val="22"/>
          <w:szCs w:val="22"/>
          <w:u w:val="single"/>
        </w:rPr>
      </w:pPr>
    </w:p>
    <w:p w14:paraId="6D9FD2C9" w14:textId="77777777" w:rsidR="00D252A8" w:rsidRDefault="00D252A8" w:rsidP="005F4A93">
      <w:pPr>
        <w:spacing w:line="360" w:lineRule="auto"/>
        <w:rPr>
          <w:rFonts w:ascii="Arial" w:hAnsi="Arial" w:cs="Arial"/>
          <w:b/>
          <w:bCs/>
          <w:sz w:val="22"/>
          <w:szCs w:val="22"/>
          <w:u w:val="single"/>
        </w:rPr>
      </w:pPr>
    </w:p>
    <w:p w14:paraId="1DE56CA2" w14:textId="77777777" w:rsidR="00D252A8" w:rsidRDefault="00D252A8" w:rsidP="005F4A93">
      <w:pPr>
        <w:spacing w:line="360" w:lineRule="auto"/>
        <w:rPr>
          <w:rFonts w:ascii="Arial" w:hAnsi="Arial" w:cs="Arial"/>
          <w:b/>
          <w:bCs/>
          <w:sz w:val="22"/>
          <w:szCs w:val="22"/>
          <w:u w:val="single"/>
        </w:rPr>
      </w:pPr>
    </w:p>
    <w:p w14:paraId="646D9012" w14:textId="77777777" w:rsidR="00D252A8" w:rsidRDefault="00D252A8" w:rsidP="005F4A93">
      <w:pPr>
        <w:spacing w:line="360" w:lineRule="auto"/>
        <w:rPr>
          <w:rFonts w:ascii="Arial" w:hAnsi="Arial" w:cs="Arial"/>
          <w:b/>
          <w:bCs/>
          <w:sz w:val="22"/>
          <w:szCs w:val="22"/>
          <w:u w:val="single"/>
        </w:rPr>
      </w:pPr>
    </w:p>
    <w:p w14:paraId="6F6E7DE9" w14:textId="77777777" w:rsidR="00D252A8" w:rsidRDefault="00D252A8" w:rsidP="005F4A93">
      <w:pPr>
        <w:spacing w:line="360" w:lineRule="auto"/>
        <w:rPr>
          <w:rFonts w:ascii="Arial" w:hAnsi="Arial" w:cs="Arial"/>
          <w:b/>
          <w:bCs/>
          <w:sz w:val="22"/>
          <w:szCs w:val="22"/>
          <w:u w:val="single"/>
        </w:rPr>
      </w:pPr>
    </w:p>
    <w:p w14:paraId="6AFBA1EB" w14:textId="77777777" w:rsidR="00D252A8" w:rsidRDefault="00D252A8" w:rsidP="005F4A93">
      <w:pPr>
        <w:spacing w:line="360" w:lineRule="auto"/>
        <w:rPr>
          <w:rFonts w:ascii="Arial" w:hAnsi="Arial" w:cs="Arial"/>
          <w:b/>
          <w:bCs/>
          <w:sz w:val="22"/>
          <w:szCs w:val="22"/>
          <w:u w:val="single"/>
        </w:rPr>
      </w:pPr>
    </w:p>
    <w:p w14:paraId="07A9C3E1" w14:textId="77777777" w:rsidR="00D252A8" w:rsidRDefault="00D252A8" w:rsidP="005F4A93">
      <w:pPr>
        <w:spacing w:line="360" w:lineRule="auto"/>
        <w:rPr>
          <w:rFonts w:ascii="Arial" w:hAnsi="Arial" w:cs="Arial"/>
          <w:b/>
          <w:bCs/>
          <w:sz w:val="22"/>
          <w:szCs w:val="22"/>
          <w:u w:val="single"/>
        </w:rPr>
      </w:pPr>
    </w:p>
    <w:p w14:paraId="33ADB9D2" w14:textId="77777777" w:rsidR="00D252A8" w:rsidRDefault="00D252A8" w:rsidP="005F4A93">
      <w:pPr>
        <w:spacing w:line="360" w:lineRule="auto"/>
        <w:rPr>
          <w:rFonts w:ascii="Arial" w:hAnsi="Arial" w:cs="Arial"/>
          <w:b/>
          <w:bCs/>
          <w:sz w:val="22"/>
          <w:szCs w:val="22"/>
          <w:u w:val="single"/>
        </w:rPr>
      </w:pPr>
    </w:p>
    <w:p w14:paraId="66F75554" w14:textId="77777777" w:rsidR="00D252A8" w:rsidRDefault="00D252A8" w:rsidP="005F4A93">
      <w:pPr>
        <w:spacing w:line="360" w:lineRule="auto"/>
        <w:rPr>
          <w:rFonts w:ascii="Arial" w:hAnsi="Arial" w:cs="Arial"/>
          <w:b/>
          <w:bCs/>
          <w:sz w:val="22"/>
          <w:szCs w:val="22"/>
          <w:u w:val="single"/>
        </w:rPr>
      </w:pPr>
    </w:p>
    <w:p w14:paraId="1788FA9F" w14:textId="77777777" w:rsidR="00D252A8" w:rsidRDefault="00D252A8" w:rsidP="005F4A93">
      <w:pPr>
        <w:spacing w:line="360" w:lineRule="auto"/>
        <w:rPr>
          <w:rFonts w:ascii="Arial" w:hAnsi="Arial" w:cs="Arial"/>
          <w:b/>
          <w:bCs/>
          <w:sz w:val="22"/>
          <w:szCs w:val="22"/>
          <w:u w:val="single"/>
        </w:rPr>
      </w:pPr>
    </w:p>
    <w:p w14:paraId="04F92589" w14:textId="77777777" w:rsidR="00D252A8" w:rsidRDefault="00D252A8" w:rsidP="005F4A93">
      <w:pPr>
        <w:spacing w:line="360" w:lineRule="auto"/>
        <w:rPr>
          <w:rFonts w:ascii="Arial" w:hAnsi="Arial" w:cs="Arial"/>
          <w:b/>
          <w:bCs/>
          <w:sz w:val="22"/>
          <w:szCs w:val="22"/>
          <w:u w:val="single"/>
        </w:rPr>
      </w:pPr>
    </w:p>
    <w:p w14:paraId="557859FA" w14:textId="77777777" w:rsidR="00D252A8" w:rsidRDefault="00D252A8" w:rsidP="005F4A93">
      <w:pPr>
        <w:spacing w:line="360" w:lineRule="auto"/>
        <w:rPr>
          <w:rFonts w:ascii="Arial" w:hAnsi="Arial" w:cs="Arial"/>
          <w:b/>
          <w:bCs/>
          <w:sz w:val="22"/>
          <w:szCs w:val="22"/>
          <w:u w:val="single"/>
        </w:rPr>
      </w:pPr>
    </w:p>
    <w:p w14:paraId="4F2165D8" w14:textId="77777777" w:rsidR="00D252A8" w:rsidRDefault="00D252A8" w:rsidP="005F4A93">
      <w:pPr>
        <w:spacing w:line="360" w:lineRule="auto"/>
        <w:rPr>
          <w:rFonts w:ascii="Arial" w:hAnsi="Arial" w:cs="Arial"/>
          <w:b/>
          <w:bCs/>
          <w:sz w:val="22"/>
          <w:szCs w:val="22"/>
          <w:u w:val="single"/>
        </w:rPr>
      </w:pPr>
    </w:p>
    <w:p w14:paraId="5529472A" w14:textId="77777777" w:rsidR="00D252A8" w:rsidRDefault="00D252A8" w:rsidP="005F4A93">
      <w:pPr>
        <w:spacing w:line="360" w:lineRule="auto"/>
        <w:rPr>
          <w:rFonts w:ascii="Arial" w:hAnsi="Arial" w:cs="Arial"/>
          <w:b/>
          <w:bCs/>
          <w:sz w:val="22"/>
          <w:szCs w:val="22"/>
          <w:u w:val="single"/>
        </w:rPr>
      </w:pPr>
    </w:p>
    <w:p w14:paraId="175F8BE1" w14:textId="77777777" w:rsidR="00D252A8" w:rsidRDefault="00D252A8" w:rsidP="005F4A93">
      <w:pPr>
        <w:spacing w:line="360" w:lineRule="auto"/>
        <w:rPr>
          <w:rFonts w:ascii="Arial" w:hAnsi="Arial" w:cs="Arial"/>
          <w:b/>
          <w:bCs/>
          <w:sz w:val="22"/>
          <w:szCs w:val="22"/>
          <w:u w:val="single"/>
        </w:rPr>
      </w:pPr>
    </w:p>
    <w:p w14:paraId="78C482A6" w14:textId="77777777" w:rsidR="00D252A8" w:rsidRDefault="00D252A8" w:rsidP="005F4A93">
      <w:pPr>
        <w:spacing w:line="360" w:lineRule="auto"/>
        <w:rPr>
          <w:rFonts w:ascii="Arial" w:hAnsi="Arial" w:cs="Arial"/>
          <w:b/>
          <w:bCs/>
          <w:sz w:val="22"/>
          <w:szCs w:val="22"/>
          <w:u w:val="single"/>
        </w:rPr>
      </w:pPr>
    </w:p>
    <w:p w14:paraId="78AF1E44" w14:textId="77777777" w:rsidR="00D252A8" w:rsidRDefault="00D252A8" w:rsidP="005F4A93">
      <w:pPr>
        <w:spacing w:line="360" w:lineRule="auto"/>
        <w:rPr>
          <w:rFonts w:ascii="Arial" w:hAnsi="Arial" w:cs="Arial"/>
          <w:b/>
          <w:bCs/>
          <w:sz w:val="22"/>
          <w:szCs w:val="22"/>
          <w:u w:val="single"/>
        </w:rPr>
      </w:pPr>
    </w:p>
    <w:p w14:paraId="5154E8F6" w14:textId="77777777" w:rsidR="00D252A8" w:rsidRDefault="00D252A8" w:rsidP="005F4A93">
      <w:pPr>
        <w:spacing w:line="360" w:lineRule="auto"/>
        <w:rPr>
          <w:rFonts w:ascii="Arial" w:hAnsi="Arial" w:cs="Arial"/>
          <w:b/>
          <w:bCs/>
          <w:sz w:val="22"/>
          <w:szCs w:val="22"/>
          <w:u w:val="single"/>
        </w:rPr>
      </w:pPr>
    </w:p>
    <w:p w14:paraId="7F716F3C" w14:textId="77777777" w:rsidR="00D252A8" w:rsidRDefault="00D252A8" w:rsidP="005F4A93">
      <w:pPr>
        <w:spacing w:line="360" w:lineRule="auto"/>
        <w:rPr>
          <w:rFonts w:ascii="Arial" w:hAnsi="Arial" w:cs="Arial"/>
          <w:b/>
          <w:bCs/>
          <w:sz w:val="22"/>
          <w:szCs w:val="22"/>
          <w:u w:val="single"/>
        </w:rPr>
      </w:pPr>
    </w:p>
    <w:p w14:paraId="5429111C" w14:textId="77777777" w:rsidR="00D252A8" w:rsidRDefault="00D252A8" w:rsidP="005F4A93">
      <w:pPr>
        <w:spacing w:line="360" w:lineRule="auto"/>
        <w:rPr>
          <w:rFonts w:ascii="Arial" w:hAnsi="Arial" w:cs="Arial"/>
          <w:b/>
          <w:bCs/>
          <w:sz w:val="22"/>
          <w:szCs w:val="22"/>
          <w:u w:val="single"/>
        </w:rPr>
      </w:pPr>
    </w:p>
    <w:p w14:paraId="61BD5428" w14:textId="77777777" w:rsidR="00D252A8" w:rsidRDefault="00D252A8" w:rsidP="005F4A93">
      <w:pPr>
        <w:spacing w:line="360" w:lineRule="auto"/>
        <w:rPr>
          <w:rFonts w:ascii="Arial" w:hAnsi="Arial" w:cs="Arial"/>
          <w:b/>
          <w:bCs/>
          <w:sz w:val="22"/>
          <w:szCs w:val="22"/>
          <w:u w:val="single"/>
        </w:rPr>
      </w:pPr>
    </w:p>
    <w:p w14:paraId="4409B975" w14:textId="416BDB00" w:rsidR="005A2F28" w:rsidRDefault="005A2F28" w:rsidP="005F4A93">
      <w:pPr>
        <w:spacing w:line="360" w:lineRule="auto"/>
        <w:rPr>
          <w:rFonts w:ascii="Arial" w:hAnsi="Arial" w:cs="Arial"/>
          <w:b/>
          <w:bCs/>
          <w:sz w:val="22"/>
          <w:szCs w:val="22"/>
          <w:u w:val="single"/>
        </w:rPr>
      </w:pPr>
      <w:r>
        <w:rPr>
          <w:rFonts w:ascii="Arial" w:hAnsi="Arial" w:cs="Arial"/>
          <w:b/>
          <w:bCs/>
          <w:sz w:val="22"/>
          <w:szCs w:val="22"/>
          <w:u w:val="single"/>
        </w:rPr>
        <w:t>Introduction</w:t>
      </w:r>
    </w:p>
    <w:p w14:paraId="55D4895A" w14:textId="08BBB42B" w:rsidR="005A2F28" w:rsidRPr="005A2F28" w:rsidRDefault="005A2F28" w:rsidP="005F4A93">
      <w:pPr>
        <w:spacing w:line="360" w:lineRule="auto"/>
        <w:rPr>
          <w:rFonts w:ascii="Arial" w:hAnsi="Arial" w:cs="Arial"/>
          <w:sz w:val="22"/>
          <w:szCs w:val="22"/>
        </w:rPr>
      </w:pPr>
      <w:r w:rsidRPr="005A2F28">
        <w:rPr>
          <w:rFonts w:ascii="Arial" w:hAnsi="Arial" w:cs="Arial"/>
          <w:sz w:val="22"/>
          <w:szCs w:val="22"/>
        </w:rPr>
        <w:t>Effective early intervention is foundational to modern UK child welfare and safeguarding policy. ‘Early Help’ represents a spectrum of preventative services designed to address emerging needs in children, young people, and their families, thereby curtailing the escalation to statutory intervention. Crucially, this system relies upon multi-agency working, necessitating the coordinated efforts of health, education, and social care partners. The efficacy of these vital services, however, is directly linked to their accessibility and clarity of communication. The purpose of this report is to critically assess and compare how three distinct local authorities</w:t>
      </w:r>
      <w:r>
        <w:rPr>
          <w:rFonts w:ascii="Arial" w:hAnsi="Arial" w:cs="Arial"/>
          <w:sz w:val="22"/>
          <w:szCs w:val="22"/>
        </w:rPr>
        <w:t xml:space="preserve"> (</w:t>
      </w:r>
      <w:r w:rsidRPr="005A2F28">
        <w:rPr>
          <w:rFonts w:ascii="Arial" w:hAnsi="Arial" w:cs="Arial"/>
          <w:sz w:val="22"/>
          <w:szCs w:val="22"/>
        </w:rPr>
        <w:t>Leicestershire, Leeds, and Tower Hamlets</w:t>
      </w:r>
      <w:r>
        <w:rPr>
          <w:rFonts w:ascii="Arial" w:hAnsi="Arial" w:cs="Arial"/>
          <w:sz w:val="22"/>
          <w:szCs w:val="22"/>
        </w:rPr>
        <w:t xml:space="preserve"> </w:t>
      </w:r>
      <w:r w:rsidRPr="005A2F28">
        <w:rPr>
          <w:rFonts w:ascii="Arial" w:hAnsi="Arial" w:cs="Arial"/>
          <w:sz w:val="22"/>
          <w:szCs w:val="22"/>
        </w:rPr>
        <w:t>signpost this support online. Following an explanation of the foundational Early Help framework and its multi-agency structure, the report will evaluate and recommend practical improvements to enhance digital accessibility for vulnerable families.</w:t>
      </w:r>
    </w:p>
    <w:p w14:paraId="675B579D" w14:textId="77777777" w:rsidR="00857913" w:rsidRDefault="00857913" w:rsidP="005F4A93">
      <w:pPr>
        <w:spacing w:line="360" w:lineRule="auto"/>
        <w:rPr>
          <w:rFonts w:ascii="Arial" w:hAnsi="Arial" w:cs="Arial"/>
          <w:b/>
          <w:bCs/>
          <w:sz w:val="22"/>
          <w:szCs w:val="22"/>
          <w:u w:val="single"/>
        </w:rPr>
      </w:pPr>
    </w:p>
    <w:p w14:paraId="0A01512E" w14:textId="100693A8" w:rsidR="005F4A93" w:rsidRPr="005F4A93" w:rsidRDefault="005F4A93" w:rsidP="005F4A93">
      <w:pPr>
        <w:spacing w:line="360" w:lineRule="auto"/>
        <w:rPr>
          <w:rFonts w:ascii="Arial" w:hAnsi="Arial" w:cs="Arial"/>
          <w:b/>
          <w:bCs/>
          <w:sz w:val="22"/>
          <w:szCs w:val="22"/>
          <w:u w:val="single"/>
        </w:rPr>
      </w:pPr>
      <w:r w:rsidRPr="005F4A93">
        <w:rPr>
          <w:rFonts w:ascii="Arial" w:hAnsi="Arial" w:cs="Arial"/>
          <w:b/>
          <w:bCs/>
          <w:sz w:val="22"/>
          <w:szCs w:val="22"/>
          <w:u w:val="single"/>
        </w:rPr>
        <w:t>Explanation of the Early Help System</w:t>
      </w:r>
    </w:p>
    <w:p w14:paraId="7B25373E" w14:textId="75CE64E3" w:rsidR="005F4A93" w:rsidRPr="005F4A93" w:rsidRDefault="005F4A93" w:rsidP="005F4A93">
      <w:pPr>
        <w:spacing w:line="360" w:lineRule="auto"/>
        <w:rPr>
          <w:rFonts w:ascii="Arial" w:hAnsi="Arial" w:cs="Arial"/>
          <w:sz w:val="22"/>
          <w:szCs w:val="22"/>
        </w:rPr>
      </w:pPr>
      <w:r w:rsidRPr="005F4A93">
        <w:rPr>
          <w:rFonts w:ascii="Arial" w:hAnsi="Arial" w:cs="Arial"/>
          <w:sz w:val="22"/>
          <w:szCs w:val="22"/>
        </w:rPr>
        <w:t>The concept of Early Help is clearly defined in UK government guidance as a coordinated system of support that aims to improve outcomes for children and families. According to the Early Help System Guide (EHSG) (2022), Early Help is not a singular service but a “network of services, processes and interactions” designed to build family resilience and improve well-being as soon as a problem emerges, or when there is a risk of a problem developing. The system is fundamentally preventative, operating on the principle that timely and proportionate support is more effective and less disruptive than intervening once needs have become entrenched or have crossed the threshold for significant harm. This core approach empowers families to help themselves, fostering sustainable change by leveraging their existing strengths and capabilities.</w:t>
      </w:r>
    </w:p>
    <w:p w14:paraId="5DC54E1E" w14:textId="77777777" w:rsidR="005F4A93" w:rsidRPr="005F4A93" w:rsidRDefault="005F4A93" w:rsidP="005F4A93">
      <w:pPr>
        <w:spacing w:line="360" w:lineRule="auto"/>
        <w:rPr>
          <w:rFonts w:ascii="Arial" w:hAnsi="Arial" w:cs="Arial"/>
          <w:sz w:val="22"/>
          <w:szCs w:val="22"/>
        </w:rPr>
      </w:pPr>
      <w:r w:rsidRPr="005F4A93">
        <w:rPr>
          <w:rFonts w:ascii="Arial" w:hAnsi="Arial" w:cs="Arial"/>
          <w:sz w:val="22"/>
          <w:szCs w:val="22"/>
        </w:rPr>
        <w:t xml:space="preserve">A critical modern component of this system is the integration of physical sites, such as Family Hubs, which serve as accessible and de-stigmatised single points of access. This model minimises the bureaucracy and fragmentation that historically deterred families from seeking or accepting support, offering a streamlined and welcoming gateway to assistance. To ensure this preventative mandate is met, the EHSG promotes the development of a mature Early Help system within local authorities, characterised by transparency, </w:t>
      </w:r>
      <w:r w:rsidRPr="005F4A93">
        <w:rPr>
          <w:rFonts w:ascii="Arial" w:hAnsi="Arial" w:cs="Arial"/>
          <w:sz w:val="22"/>
          <w:szCs w:val="22"/>
        </w:rPr>
        <w:lastRenderedPageBreak/>
        <w:t>accountability, and the continuous auditing of practice through internal self-assessment. Crucially, a mature system requires that local authorities actively solicit and integrate family voice into their audit process, ensuring that operational and strategic changes are directly responsive to the lived experiences of those receiving support.</w:t>
      </w:r>
    </w:p>
    <w:p w14:paraId="244FA66D" w14:textId="77777777" w:rsidR="00D058DD" w:rsidRPr="00D058DD" w:rsidRDefault="00D058DD" w:rsidP="00D058DD">
      <w:pPr>
        <w:spacing w:line="360" w:lineRule="auto"/>
        <w:rPr>
          <w:rFonts w:ascii="Arial" w:hAnsi="Arial" w:cs="Arial"/>
          <w:sz w:val="22"/>
          <w:szCs w:val="22"/>
        </w:rPr>
      </w:pPr>
      <w:r w:rsidRPr="00D058DD">
        <w:rPr>
          <w:rFonts w:ascii="Arial" w:hAnsi="Arial" w:cs="Arial"/>
          <w:sz w:val="22"/>
          <w:szCs w:val="22"/>
        </w:rPr>
        <w:t>Early Help is situated on the continuum of need, operating below the threshold for statutory intervention. This system directly aligns with the broader safeguarding framework outlined in Working Together to Safeguard Children (2023). This policy places a statutory duty on local authorities to ensure that Early Help is provided and clarifies that all partner agencies must work together to identify and support children who would benefit. By providing intensive, targeted support at Tier 2 and Tier 3, Early Help acts as the essential preventative layer, safeguarding children by building protective factors and ensuring that only cases reaching the level of 'significant harm' proceed to specialist services under Section 47 of the Children Act 1989.</w:t>
      </w:r>
    </w:p>
    <w:p w14:paraId="56565E9F" w14:textId="77777777" w:rsidR="00D058DD" w:rsidRDefault="00D058DD" w:rsidP="00D058DD">
      <w:pPr>
        <w:spacing w:line="360" w:lineRule="auto"/>
        <w:rPr>
          <w:rFonts w:ascii="Arial" w:hAnsi="Arial" w:cs="Arial"/>
          <w:sz w:val="22"/>
          <w:szCs w:val="22"/>
        </w:rPr>
      </w:pPr>
      <w:r w:rsidRPr="00D058DD">
        <w:rPr>
          <w:rFonts w:ascii="Arial" w:hAnsi="Arial" w:cs="Arial"/>
          <w:sz w:val="22"/>
          <w:szCs w:val="22"/>
        </w:rPr>
        <w:t>Despite this policy intention, the operational complexity of the system is often critically assessed. El-Hoss et al. (2022) note that these additional layers of formalised assessment, intended for coordination, can inadvertently act as a further barrier to engagement, functioning as a form of gatekeeping that prevents vulnerable people from accessing essential systems.</w:t>
      </w:r>
    </w:p>
    <w:p w14:paraId="7AB4BEAC" w14:textId="77777777" w:rsidR="00D252A8" w:rsidRDefault="00D252A8" w:rsidP="00D058DD">
      <w:pPr>
        <w:spacing w:line="360" w:lineRule="auto"/>
        <w:rPr>
          <w:rFonts w:ascii="Arial" w:hAnsi="Arial" w:cs="Arial"/>
          <w:b/>
          <w:bCs/>
          <w:sz w:val="22"/>
          <w:szCs w:val="22"/>
          <w:u w:val="single"/>
        </w:rPr>
      </w:pPr>
    </w:p>
    <w:p w14:paraId="43DAC9A1" w14:textId="0CC4F341" w:rsidR="00FB4F72" w:rsidRDefault="001C24A8" w:rsidP="00D058DD">
      <w:pPr>
        <w:spacing w:line="360" w:lineRule="auto"/>
        <w:rPr>
          <w:rFonts w:ascii="Arial" w:hAnsi="Arial" w:cs="Arial"/>
          <w:b/>
          <w:bCs/>
          <w:sz w:val="22"/>
          <w:szCs w:val="22"/>
          <w:u w:val="single"/>
        </w:rPr>
      </w:pPr>
      <w:r w:rsidRPr="001C24A8">
        <w:rPr>
          <w:rFonts w:ascii="Arial" w:hAnsi="Arial" w:cs="Arial"/>
          <w:b/>
          <w:bCs/>
          <w:sz w:val="22"/>
          <w:szCs w:val="22"/>
          <w:u w:val="single"/>
        </w:rPr>
        <w:t>Explanation of Multi-Agency Working</w:t>
      </w:r>
    </w:p>
    <w:p w14:paraId="047545AB" w14:textId="728B2E4A" w:rsidR="001C24A8" w:rsidRPr="001C24A8" w:rsidRDefault="001C24A8" w:rsidP="001C24A8">
      <w:pPr>
        <w:spacing w:line="360" w:lineRule="auto"/>
        <w:rPr>
          <w:rFonts w:ascii="Arial" w:hAnsi="Arial" w:cs="Arial"/>
          <w:sz w:val="22"/>
          <w:szCs w:val="22"/>
        </w:rPr>
      </w:pPr>
      <w:r>
        <w:rPr>
          <w:rFonts w:ascii="Arial" w:hAnsi="Arial" w:cs="Arial"/>
          <w:sz w:val="22"/>
          <w:szCs w:val="22"/>
        </w:rPr>
        <w:t>According to Walker (2018), m</w:t>
      </w:r>
      <w:r w:rsidRPr="001C24A8">
        <w:rPr>
          <w:rFonts w:ascii="Arial" w:hAnsi="Arial" w:cs="Arial"/>
          <w:sz w:val="22"/>
          <w:szCs w:val="22"/>
        </w:rPr>
        <w:t xml:space="preserve">ulti-agency working is the collaborative framework wherein different statutory and voluntary organisations unite to address the complex, interconnected needs of a family. This concept must be distinguished from multi-disciplinary working, which typically refers to professionals from various specialisms operating within the same organisational boundary (e.g., co-located </w:t>
      </w:r>
      <w:r>
        <w:rPr>
          <w:rFonts w:ascii="Arial" w:hAnsi="Arial" w:cs="Arial"/>
          <w:sz w:val="22"/>
          <w:szCs w:val="22"/>
        </w:rPr>
        <w:t>local authority</w:t>
      </w:r>
      <w:r w:rsidRPr="001C24A8">
        <w:rPr>
          <w:rFonts w:ascii="Arial" w:hAnsi="Arial" w:cs="Arial"/>
          <w:sz w:val="22"/>
          <w:szCs w:val="22"/>
        </w:rPr>
        <w:t xml:space="preserve"> staff). Multi-agency working, conversely, necessitates the coordination of diverse, independent entities, such as schools, General Practitioners (GPs), housing services, and police, to achieve a shared goal: to support the child and improve family outcomes.</w:t>
      </w:r>
    </w:p>
    <w:p w14:paraId="21FE559D" w14:textId="77777777" w:rsidR="001C24A8" w:rsidRPr="001C24A8" w:rsidRDefault="001C24A8" w:rsidP="001C24A8">
      <w:pPr>
        <w:spacing w:line="360" w:lineRule="auto"/>
        <w:rPr>
          <w:rFonts w:ascii="Arial" w:hAnsi="Arial" w:cs="Arial"/>
          <w:sz w:val="22"/>
          <w:szCs w:val="22"/>
        </w:rPr>
      </w:pPr>
      <w:r w:rsidRPr="001C24A8">
        <w:rPr>
          <w:rFonts w:ascii="Arial" w:hAnsi="Arial" w:cs="Arial"/>
          <w:sz w:val="22"/>
          <w:szCs w:val="22"/>
        </w:rPr>
        <w:t xml:space="preserve">The significance of this collaborative model is underscored by Working Together to Safeguard Children (2023), which places a statutory requirement on all local partners to work together to identify and provide Early Help. Professionals within universal services, such as teachers and health visitors, are best placed to notice initial concerns, thus making them the natural point of entry for the system. This requires them to utilise the Early Help Assessment (EHA), a three-step process that involves: firstly, determining the need for </w:t>
      </w:r>
      <w:r w:rsidRPr="001C24A8">
        <w:rPr>
          <w:rFonts w:ascii="Arial" w:hAnsi="Arial" w:cs="Arial"/>
          <w:sz w:val="22"/>
          <w:szCs w:val="22"/>
        </w:rPr>
        <w:lastRenderedPageBreak/>
        <w:t>intervention; secondly, discussing the child’s and family’s strengths and areas for support; and thirdly, making a consensual agreement on the services to be offered and the changes the family can realistically manage.</w:t>
      </w:r>
    </w:p>
    <w:p w14:paraId="35272D1F" w14:textId="4BC336C0" w:rsidR="001C24A8" w:rsidRPr="001C24A8" w:rsidRDefault="001C24A8" w:rsidP="001C24A8">
      <w:pPr>
        <w:spacing w:line="360" w:lineRule="auto"/>
        <w:rPr>
          <w:rFonts w:ascii="Arial" w:hAnsi="Arial" w:cs="Arial"/>
          <w:sz w:val="22"/>
          <w:szCs w:val="22"/>
        </w:rPr>
      </w:pPr>
      <w:r w:rsidRPr="001C24A8">
        <w:rPr>
          <w:rFonts w:ascii="Arial" w:hAnsi="Arial" w:cs="Arial"/>
          <w:sz w:val="22"/>
          <w:szCs w:val="22"/>
        </w:rPr>
        <w:t>The delivery of the agreed support is coordinated through the Team Around the Child (TAC). The TAC is managed by a nominated Lead Professional who is drawn from one of the involved agencies. This role is crucial for coordinating all help and maintaining the single point of contact for the family. Critically, while agencies come together for the common purpose of supporting the child, each individual worker remains professionally and financially accountable to their own parent organisation. While this ensures a breadth of expertise is brought to bear, a key challenge arises when universal service staff, who are not specialist social workers, must determine the appropriate threshold for intervention. A lack of specific training and awareness of the nuanced boundary between Early Help and statutory child protection can introduce risks into the assessment process, potentially leading to inconsistent application of the EHA.</w:t>
      </w:r>
    </w:p>
    <w:p w14:paraId="4BA36F49" w14:textId="77777777" w:rsidR="00D612DC" w:rsidRDefault="00D612DC" w:rsidP="001C24A8">
      <w:pPr>
        <w:spacing w:line="360" w:lineRule="auto"/>
        <w:rPr>
          <w:rFonts w:ascii="Arial" w:hAnsi="Arial" w:cs="Arial"/>
          <w:b/>
          <w:bCs/>
          <w:sz w:val="22"/>
          <w:szCs w:val="22"/>
          <w:u w:val="single"/>
        </w:rPr>
      </w:pPr>
    </w:p>
    <w:p w14:paraId="56CF71CD" w14:textId="77AE32C0" w:rsidR="00D612DC" w:rsidRDefault="00D612DC" w:rsidP="001C24A8">
      <w:pPr>
        <w:spacing w:line="360" w:lineRule="auto"/>
        <w:rPr>
          <w:rFonts w:ascii="Arial" w:hAnsi="Arial" w:cs="Arial"/>
          <w:b/>
          <w:bCs/>
          <w:sz w:val="22"/>
          <w:szCs w:val="22"/>
          <w:u w:val="single"/>
        </w:rPr>
      </w:pPr>
      <w:r>
        <w:rPr>
          <w:rFonts w:ascii="Arial" w:hAnsi="Arial" w:cs="Arial"/>
          <w:b/>
          <w:bCs/>
          <w:sz w:val="22"/>
          <w:szCs w:val="22"/>
          <w:u w:val="single"/>
        </w:rPr>
        <w:t>Leicestershire County Council: Early Help Provision</w:t>
      </w:r>
    </w:p>
    <w:p w14:paraId="4B293ACF" w14:textId="27B6592D" w:rsidR="00857913" w:rsidRPr="00857913" w:rsidRDefault="00D91ED8" w:rsidP="00857913">
      <w:pPr>
        <w:spacing w:line="360" w:lineRule="auto"/>
        <w:rPr>
          <w:rFonts w:ascii="Arial" w:hAnsi="Arial" w:cs="Arial"/>
          <w:sz w:val="22"/>
          <w:szCs w:val="22"/>
        </w:rPr>
      </w:pPr>
      <w:r w:rsidRPr="00D91ED8">
        <w:rPr>
          <w:rFonts w:ascii="Arial" w:hAnsi="Arial" w:cs="Arial"/>
          <w:sz w:val="22"/>
          <w:szCs w:val="22"/>
        </w:rPr>
        <w:t>The online provision by Leicestershire County Council is strong in its comprehensiveness of services offered (e.g., domestic violence intervention, Young Carers support); however, the structural design severely compromises both clarity and ease of access.</w:t>
      </w:r>
      <w:r>
        <w:rPr>
          <w:rFonts w:ascii="Arial" w:hAnsi="Arial" w:cs="Arial"/>
          <w:sz w:val="22"/>
          <w:szCs w:val="22"/>
        </w:rPr>
        <w:t xml:space="preserve"> </w:t>
      </w:r>
      <w:proofErr w:type="gramStart"/>
      <w:r w:rsidR="00857913" w:rsidRPr="00857913">
        <w:rPr>
          <w:rFonts w:ascii="Arial" w:hAnsi="Arial" w:cs="Arial"/>
          <w:sz w:val="22"/>
          <w:szCs w:val="22"/>
        </w:rPr>
        <w:t>The</w:t>
      </w:r>
      <w:proofErr w:type="gramEnd"/>
      <w:r w:rsidR="00857913" w:rsidRPr="00857913">
        <w:rPr>
          <w:rFonts w:ascii="Arial" w:hAnsi="Arial" w:cs="Arial"/>
          <w:sz w:val="22"/>
          <w:szCs w:val="22"/>
        </w:rPr>
        <w:t xml:space="preserve"> information is largely organised by individual service silos rather than presenting a unified Early Help journey. This fragmentation means a parent with complex needs must navigate multiple specialist pages, creating an unnecessary burden.</w:t>
      </w:r>
    </w:p>
    <w:p w14:paraId="36D2D819" w14:textId="064BC1E2" w:rsidR="00857913" w:rsidRPr="00857913" w:rsidRDefault="00857913" w:rsidP="00857913">
      <w:pPr>
        <w:spacing w:line="360" w:lineRule="auto"/>
        <w:rPr>
          <w:rFonts w:ascii="Arial" w:hAnsi="Arial" w:cs="Arial"/>
          <w:sz w:val="22"/>
          <w:szCs w:val="22"/>
        </w:rPr>
      </w:pPr>
      <w:r w:rsidRPr="00857913">
        <w:rPr>
          <w:rFonts w:ascii="Arial" w:hAnsi="Arial" w:cs="Arial"/>
          <w:sz w:val="22"/>
          <w:szCs w:val="22"/>
        </w:rPr>
        <w:t>Crucially, the website hides its core strategic documentation behind professional-centric nomenclature. While the official policy outlining the Early Help structure is present under the 'Children's and Families Partnership' link</w:t>
      </w:r>
      <w:r>
        <w:rPr>
          <w:rFonts w:ascii="Arial" w:hAnsi="Arial" w:cs="Arial"/>
          <w:sz w:val="22"/>
          <w:szCs w:val="22"/>
        </w:rPr>
        <w:t xml:space="preserve">, </w:t>
      </w:r>
      <w:r w:rsidRPr="00857913">
        <w:rPr>
          <w:rFonts w:ascii="Arial" w:hAnsi="Arial" w:cs="Arial"/>
          <w:sz w:val="22"/>
          <w:szCs w:val="22"/>
        </w:rPr>
        <w:t>the public-facing pathway is misleading. When a user navigates to the general assessment link, they are misdirected to documentation exclusively detailing statutory specialist provision, such as 'short breaks' for disabled children. This failure to signpost the universal Early Help Assessment (EHA) process acts as a critical structural barrier, validating the finding that the platform is disconnected from the preventative principles outlined in the Early Help System Guide (2022).</w:t>
      </w:r>
    </w:p>
    <w:p w14:paraId="067DC2B0" w14:textId="6AE3FEC5" w:rsidR="001E57B6" w:rsidRDefault="00857913" w:rsidP="00857913">
      <w:pPr>
        <w:spacing w:line="360" w:lineRule="auto"/>
        <w:rPr>
          <w:rFonts w:ascii="Arial" w:hAnsi="Arial" w:cs="Arial"/>
          <w:sz w:val="22"/>
          <w:szCs w:val="22"/>
        </w:rPr>
      </w:pPr>
      <w:r w:rsidRPr="00857913">
        <w:rPr>
          <w:rFonts w:ascii="Arial" w:hAnsi="Arial" w:cs="Arial"/>
          <w:sz w:val="22"/>
          <w:szCs w:val="22"/>
        </w:rPr>
        <w:t xml:space="preserve">In terms of </w:t>
      </w:r>
      <w:r>
        <w:rPr>
          <w:rFonts w:ascii="Arial" w:hAnsi="Arial" w:cs="Arial"/>
          <w:sz w:val="22"/>
          <w:szCs w:val="22"/>
        </w:rPr>
        <w:t>p</w:t>
      </w:r>
      <w:r w:rsidRPr="00857913">
        <w:rPr>
          <w:rFonts w:ascii="Arial" w:hAnsi="Arial" w:cs="Arial"/>
          <w:sz w:val="22"/>
          <w:szCs w:val="22"/>
        </w:rPr>
        <w:t xml:space="preserve">resentation, the website's simple design is undermined by this systemic confusion. The provided contact details are numerous but scattered across different service areas, lacking the clear, singular 'Front Door' necessary for seamless, coordinated self-referral. Therefore, the primary weakness of Leicestershire is not a lack of provision, but a </w:t>
      </w:r>
      <w:r w:rsidRPr="00857913">
        <w:rPr>
          <w:rFonts w:ascii="Arial" w:hAnsi="Arial" w:cs="Arial"/>
          <w:sz w:val="22"/>
          <w:szCs w:val="22"/>
        </w:rPr>
        <w:lastRenderedPageBreak/>
        <w:t>systemic failure in online nomenclature and structural accessibility that prevents families from easily locating the very strategy designed to support them.</w:t>
      </w:r>
    </w:p>
    <w:p w14:paraId="69E19C02" w14:textId="77777777" w:rsidR="00857913" w:rsidRDefault="00857913" w:rsidP="001C24A8">
      <w:pPr>
        <w:spacing w:line="360" w:lineRule="auto"/>
        <w:rPr>
          <w:rFonts w:ascii="Arial" w:hAnsi="Arial" w:cs="Arial"/>
          <w:b/>
          <w:bCs/>
          <w:sz w:val="22"/>
          <w:szCs w:val="22"/>
          <w:u w:val="single"/>
        </w:rPr>
      </w:pPr>
    </w:p>
    <w:p w14:paraId="72A51DDC" w14:textId="65B8669D" w:rsidR="001E57B6" w:rsidRDefault="001E57B6" w:rsidP="001C24A8">
      <w:pPr>
        <w:spacing w:line="360" w:lineRule="auto"/>
        <w:rPr>
          <w:rFonts w:ascii="Arial" w:hAnsi="Arial" w:cs="Arial"/>
          <w:b/>
          <w:bCs/>
          <w:sz w:val="22"/>
          <w:szCs w:val="22"/>
          <w:u w:val="single"/>
        </w:rPr>
      </w:pPr>
      <w:r w:rsidRPr="001E57B6">
        <w:rPr>
          <w:rFonts w:ascii="Arial" w:hAnsi="Arial" w:cs="Arial"/>
          <w:b/>
          <w:bCs/>
          <w:sz w:val="22"/>
          <w:szCs w:val="22"/>
          <w:u w:val="single"/>
        </w:rPr>
        <w:t>Leeds City Council: Early Help Provision</w:t>
      </w:r>
    </w:p>
    <w:p w14:paraId="2B373869" w14:textId="76D820F7" w:rsidR="001E57B6" w:rsidRPr="001E57B6" w:rsidRDefault="001E57B6" w:rsidP="001E57B6">
      <w:pPr>
        <w:spacing w:line="360" w:lineRule="auto"/>
        <w:rPr>
          <w:rFonts w:ascii="Arial" w:hAnsi="Arial" w:cs="Arial"/>
          <w:sz w:val="22"/>
          <w:szCs w:val="22"/>
        </w:rPr>
      </w:pPr>
      <w:r w:rsidRPr="001E57B6">
        <w:rPr>
          <w:rFonts w:ascii="Arial" w:hAnsi="Arial" w:cs="Arial"/>
          <w:sz w:val="22"/>
          <w:szCs w:val="22"/>
        </w:rPr>
        <w:t xml:space="preserve">The online Early Help provision by Leeds City Council demonstrates a high degree of user-centric design and policy fidelity, effectively embodying the council’s ‘Child Friendly City’ ethos. In terms of </w:t>
      </w:r>
      <w:r>
        <w:rPr>
          <w:rFonts w:ascii="Arial" w:hAnsi="Arial" w:cs="Arial"/>
          <w:sz w:val="22"/>
          <w:szCs w:val="22"/>
        </w:rPr>
        <w:t>e</w:t>
      </w:r>
      <w:r w:rsidRPr="001E57B6">
        <w:rPr>
          <w:rFonts w:ascii="Arial" w:hAnsi="Arial" w:cs="Arial"/>
          <w:sz w:val="22"/>
          <w:szCs w:val="22"/>
        </w:rPr>
        <w:t xml:space="preserve">ase of </w:t>
      </w:r>
      <w:r>
        <w:rPr>
          <w:rFonts w:ascii="Arial" w:hAnsi="Arial" w:cs="Arial"/>
          <w:sz w:val="22"/>
          <w:szCs w:val="22"/>
        </w:rPr>
        <w:t>a</w:t>
      </w:r>
      <w:r w:rsidRPr="001E57B6">
        <w:rPr>
          <w:rFonts w:ascii="Arial" w:hAnsi="Arial" w:cs="Arial"/>
          <w:sz w:val="22"/>
          <w:szCs w:val="22"/>
        </w:rPr>
        <w:t xml:space="preserve">ccess, the information is immediately and extensively available upon searching the council’s domain, eliminating the need for prolonged navigation. The council achieves high </w:t>
      </w:r>
      <w:r w:rsidR="00B46BE0">
        <w:rPr>
          <w:rFonts w:ascii="Arial" w:hAnsi="Arial" w:cs="Arial"/>
          <w:sz w:val="22"/>
          <w:szCs w:val="22"/>
        </w:rPr>
        <w:t>c</w:t>
      </w:r>
      <w:r w:rsidRPr="001E57B6">
        <w:rPr>
          <w:rFonts w:ascii="Arial" w:hAnsi="Arial" w:cs="Arial"/>
          <w:sz w:val="22"/>
          <w:szCs w:val="22"/>
        </w:rPr>
        <w:t xml:space="preserve">larity </w:t>
      </w:r>
      <w:proofErr w:type="gramStart"/>
      <w:r w:rsidRPr="001E57B6">
        <w:rPr>
          <w:rFonts w:ascii="Arial" w:hAnsi="Arial" w:cs="Arial"/>
          <w:sz w:val="22"/>
          <w:szCs w:val="22"/>
        </w:rPr>
        <w:t>through the use of</w:t>
      </w:r>
      <w:proofErr w:type="gramEnd"/>
      <w:r w:rsidRPr="001E57B6">
        <w:rPr>
          <w:rFonts w:ascii="Arial" w:hAnsi="Arial" w:cs="Arial"/>
          <w:sz w:val="22"/>
          <w:szCs w:val="22"/>
        </w:rPr>
        <w:t xml:space="preserve"> a concise ‘one-minute guide to Early Help,’ which simplifies the complex system for families and provides a low-barrier entry point to the information.</w:t>
      </w:r>
    </w:p>
    <w:p w14:paraId="2D968C06" w14:textId="5F6662BF" w:rsidR="001E57B6" w:rsidRPr="001E57B6" w:rsidRDefault="001E57B6" w:rsidP="001E57B6">
      <w:pPr>
        <w:spacing w:line="360" w:lineRule="auto"/>
        <w:rPr>
          <w:rFonts w:ascii="Arial" w:hAnsi="Arial" w:cs="Arial"/>
          <w:sz w:val="22"/>
          <w:szCs w:val="22"/>
        </w:rPr>
      </w:pPr>
      <w:r w:rsidRPr="001E57B6">
        <w:rPr>
          <w:rFonts w:ascii="Arial" w:hAnsi="Arial" w:cs="Arial"/>
          <w:sz w:val="22"/>
          <w:szCs w:val="22"/>
        </w:rPr>
        <w:t xml:space="preserve">The </w:t>
      </w:r>
      <w:r>
        <w:rPr>
          <w:rFonts w:ascii="Arial" w:hAnsi="Arial" w:cs="Arial"/>
          <w:sz w:val="22"/>
          <w:szCs w:val="22"/>
        </w:rPr>
        <w:t>c</w:t>
      </w:r>
      <w:r w:rsidRPr="001E57B6">
        <w:rPr>
          <w:rFonts w:ascii="Arial" w:hAnsi="Arial" w:cs="Arial"/>
          <w:sz w:val="22"/>
          <w:szCs w:val="22"/>
        </w:rPr>
        <w:t>omprehensiveness of the provision is robust, integrating physical and digital assets. It explicitly names and lists seven operational Family Hubs, providing clear geographical access points that align with the EHSG’s goal of minimising bureaucracy. Furthermore, the website provides a clear pathway through the Early Help Front Door Team, establishing a single point of access for both self-referral and professional requests.</w:t>
      </w:r>
    </w:p>
    <w:p w14:paraId="4626E53D" w14:textId="4A78EA9A" w:rsidR="001E57B6" w:rsidRDefault="001E57B6" w:rsidP="001E57B6">
      <w:pPr>
        <w:spacing w:line="360" w:lineRule="auto"/>
        <w:rPr>
          <w:rFonts w:ascii="Arial" w:hAnsi="Arial" w:cs="Arial"/>
          <w:sz w:val="22"/>
          <w:szCs w:val="22"/>
        </w:rPr>
      </w:pPr>
      <w:r w:rsidRPr="001E57B6">
        <w:rPr>
          <w:rFonts w:ascii="Arial" w:hAnsi="Arial" w:cs="Arial"/>
          <w:sz w:val="22"/>
          <w:szCs w:val="22"/>
        </w:rPr>
        <w:t xml:space="preserve">A significant strength lies in the council’s transparency and commitment to education. The site links directly to the Leeds Safeguarding Children Partnership website, which provides detailed explanations of multi-agency processes and includes case study examples. This feature greatly enhances </w:t>
      </w:r>
      <w:r w:rsidR="00B46BE0">
        <w:rPr>
          <w:rFonts w:ascii="Arial" w:hAnsi="Arial" w:cs="Arial"/>
          <w:sz w:val="22"/>
          <w:szCs w:val="22"/>
        </w:rPr>
        <w:t>clarity</w:t>
      </w:r>
      <w:r w:rsidRPr="001E57B6">
        <w:rPr>
          <w:rFonts w:ascii="Arial" w:hAnsi="Arial" w:cs="Arial"/>
          <w:sz w:val="22"/>
          <w:szCs w:val="22"/>
        </w:rPr>
        <w:t xml:space="preserve"> by allowing parents to see practical applications of the support, increasing relatability and reducing the perceived stigma of seeking assistance. Unlike services that obscure policy, Leeds’s online model appears to be an exemplary interpretation of the Working Together to Safeguard Children (2023) and EHSG mandates, confirming a substantial investment in system implementation and public communication.</w:t>
      </w:r>
    </w:p>
    <w:p w14:paraId="444BDBDB" w14:textId="27B9CFAA" w:rsidR="00D058DD" w:rsidRDefault="00D058DD" w:rsidP="001E57B6">
      <w:pPr>
        <w:spacing w:line="360" w:lineRule="auto"/>
        <w:rPr>
          <w:rFonts w:ascii="Arial" w:hAnsi="Arial" w:cs="Arial"/>
          <w:sz w:val="22"/>
          <w:szCs w:val="22"/>
        </w:rPr>
      </w:pPr>
    </w:p>
    <w:p w14:paraId="782F6C37" w14:textId="30E403D8" w:rsidR="00100835" w:rsidRPr="00100835" w:rsidRDefault="00100835" w:rsidP="001E57B6">
      <w:pPr>
        <w:spacing w:line="360" w:lineRule="auto"/>
        <w:rPr>
          <w:rFonts w:ascii="Arial" w:hAnsi="Arial" w:cs="Arial"/>
          <w:b/>
          <w:bCs/>
          <w:sz w:val="22"/>
          <w:szCs w:val="22"/>
          <w:u w:val="single"/>
        </w:rPr>
      </w:pPr>
      <w:r w:rsidRPr="00100835">
        <w:rPr>
          <w:rFonts w:ascii="Arial" w:hAnsi="Arial" w:cs="Arial"/>
          <w:b/>
          <w:bCs/>
          <w:sz w:val="22"/>
          <w:szCs w:val="22"/>
          <w:u w:val="single"/>
        </w:rPr>
        <w:t>Tower Hamlets Council: Early Help Provision</w:t>
      </w:r>
    </w:p>
    <w:p w14:paraId="170661D4" w14:textId="49300A22" w:rsidR="00100835" w:rsidRPr="00100835" w:rsidRDefault="00707FB1" w:rsidP="00100835">
      <w:pPr>
        <w:spacing w:line="360" w:lineRule="auto"/>
        <w:rPr>
          <w:rFonts w:ascii="Arial" w:hAnsi="Arial" w:cs="Arial"/>
          <w:sz w:val="22"/>
          <w:szCs w:val="22"/>
        </w:rPr>
      </w:pPr>
      <w:r>
        <w:rPr>
          <w:rFonts w:ascii="Arial" w:hAnsi="Arial" w:cs="Arial"/>
          <w:sz w:val="22"/>
          <w:szCs w:val="22"/>
        </w:rPr>
        <w:t>T</w:t>
      </w:r>
      <w:r w:rsidR="00100835" w:rsidRPr="00100835">
        <w:rPr>
          <w:rFonts w:ascii="Arial" w:hAnsi="Arial" w:cs="Arial"/>
          <w:sz w:val="22"/>
          <w:szCs w:val="22"/>
        </w:rPr>
        <w:t xml:space="preserve">he London Borough of Tower Hamlets provides an online Early Help provision that balances good overall </w:t>
      </w:r>
      <w:r w:rsidR="002D7D04">
        <w:rPr>
          <w:rFonts w:ascii="Arial" w:hAnsi="Arial" w:cs="Arial"/>
          <w:sz w:val="22"/>
          <w:szCs w:val="22"/>
        </w:rPr>
        <w:t>e</w:t>
      </w:r>
      <w:r w:rsidR="00100835" w:rsidRPr="00100835">
        <w:rPr>
          <w:rFonts w:ascii="Arial" w:hAnsi="Arial" w:cs="Arial"/>
          <w:sz w:val="22"/>
          <w:szCs w:val="22"/>
        </w:rPr>
        <w:t xml:space="preserve">ase of </w:t>
      </w:r>
      <w:r w:rsidR="002D7D04">
        <w:rPr>
          <w:rFonts w:ascii="Arial" w:hAnsi="Arial" w:cs="Arial"/>
          <w:sz w:val="22"/>
          <w:szCs w:val="22"/>
        </w:rPr>
        <w:t>a</w:t>
      </w:r>
      <w:r w:rsidR="00100835" w:rsidRPr="00100835">
        <w:rPr>
          <w:rFonts w:ascii="Arial" w:hAnsi="Arial" w:cs="Arial"/>
          <w:sz w:val="22"/>
          <w:szCs w:val="22"/>
        </w:rPr>
        <w:t xml:space="preserve">ccess with a necessary focus on </w:t>
      </w:r>
      <w:r>
        <w:rPr>
          <w:rFonts w:ascii="Arial" w:hAnsi="Arial" w:cs="Arial"/>
          <w:sz w:val="22"/>
          <w:szCs w:val="22"/>
        </w:rPr>
        <w:t>localised</w:t>
      </w:r>
      <w:r w:rsidR="00100835" w:rsidRPr="00100835">
        <w:rPr>
          <w:rFonts w:ascii="Arial" w:hAnsi="Arial" w:cs="Arial"/>
          <w:sz w:val="22"/>
          <w:szCs w:val="22"/>
        </w:rPr>
        <w:t xml:space="preserve"> community support. The website is intuitive and immediately provides a dedicated 'About Early Help' page, which succeeds in clearly defining the system for general users. This strong starting point is reinforced by a robust Family Hub section that appears distinctly targeted toward parents seeking information. This section provides access to an informative flyer that details the specific locations of the hubs and the range of support available, spanning issues from </w:t>
      </w:r>
      <w:r w:rsidR="00100835" w:rsidRPr="00100835">
        <w:rPr>
          <w:rFonts w:ascii="Arial" w:hAnsi="Arial" w:cs="Arial"/>
          <w:sz w:val="22"/>
          <w:szCs w:val="22"/>
        </w:rPr>
        <w:lastRenderedPageBreak/>
        <w:t xml:space="preserve">parental conflict management to mental health support, demonstrating a good level of </w:t>
      </w:r>
      <w:r w:rsidR="00531025">
        <w:rPr>
          <w:rFonts w:ascii="Arial" w:hAnsi="Arial" w:cs="Arial"/>
          <w:sz w:val="22"/>
          <w:szCs w:val="22"/>
        </w:rPr>
        <w:t>c</w:t>
      </w:r>
      <w:r w:rsidR="00100835" w:rsidRPr="00100835">
        <w:rPr>
          <w:rFonts w:ascii="Arial" w:hAnsi="Arial" w:cs="Arial"/>
          <w:sz w:val="22"/>
          <w:szCs w:val="22"/>
        </w:rPr>
        <w:t>omprehensiveness. The inclusion of links for adult and parent education further signifies an investment in long-term family empowerment.</w:t>
      </w:r>
    </w:p>
    <w:p w14:paraId="7A2AAF7F" w14:textId="7FD1757B" w:rsidR="007C6447" w:rsidRPr="007C6447" w:rsidRDefault="00100835" w:rsidP="00100835">
      <w:pPr>
        <w:spacing w:line="360" w:lineRule="auto"/>
        <w:rPr>
          <w:rFonts w:ascii="Arial" w:hAnsi="Arial" w:cs="Arial"/>
          <w:sz w:val="22"/>
          <w:szCs w:val="22"/>
        </w:rPr>
      </w:pPr>
      <w:r w:rsidRPr="00100835">
        <w:rPr>
          <w:rFonts w:ascii="Arial" w:hAnsi="Arial" w:cs="Arial"/>
          <w:sz w:val="22"/>
          <w:szCs w:val="22"/>
        </w:rPr>
        <w:t xml:space="preserve">However, </w:t>
      </w:r>
      <w:proofErr w:type="gramStart"/>
      <w:r w:rsidRPr="00100835">
        <w:rPr>
          <w:rFonts w:ascii="Arial" w:hAnsi="Arial" w:cs="Arial"/>
          <w:sz w:val="22"/>
          <w:szCs w:val="22"/>
        </w:rPr>
        <w:t>similar to</w:t>
      </w:r>
      <w:proofErr w:type="gramEnd"/>
      <w:r w:rsidRPr="00100835">
        <w:rPr>
          <w:rFonts w:ascii="Arial" w:hAnsi="Arial" w:cs="Arial"/>
          <w:sz w:val="22"/>
          <w:szCs w:val="22"/>
        </w:rPr>
        <w:t xml:space="preserve"> other non-statutory systems, the online clarity becomes compromised </w:t>
      </w:r>
      <w:proofErr w:type="gramStart"/>
      <w:r w:rsidRPr="00100835">
        <w:rPr>
          <w:rFonts w:ascii="Arial" w:hAnsi="Arial" w:cs="Arial"/>
          <w:sz w:val="22"/>
          <w:szCs w:val="22"/>
        </w:rPr>
        <w:t>in the area of</w:t>
      </w:r>
      <w:proofErr w:type="gramEnd"/>
      <w:r w:rsidRPr="00100835">
        <w:rPr>
          <w:rFonts w:ascii="Arial" w:hAnsi="Arial" w:cs="Arial"/>
          <w:sz w:val="22"/>
          <w:szCs w:val="22"/>
        </w:rPr>
        <w:t xml:space="preserve"> formal process. While the website is informative, the documentation pertaining to the assessment pathway appears heavily geared towards professionals. This risks confusing parents who wish to self-refer, forcing them to sift through guidance intended for practitioners. In terms of </w:t>
      </w:r>
      <w:r>
        <w:rPr>
          <w:rFonts w:ascii="Arial" w:hAnsi="Arial" w:cs="Arial"/>
          <w:sz w:val="22"/>
          <w:szCs w:val="22"/>
        </w:rPr>
        <w:t>p</w:t>
      </w:r>
      <w:r w:rsidRPr="00100835">
        <w:rPr>
          <w:rFonts w:ascii="Arial" w:hAnsi="Arial" w:cs="Arial"/>
          <w:sz w:val="22"/>
          <w:szCs w:val="22"/>
        </w:rPr>
        <w:t>resentation for this diverse inner-city population, a more significant omission is the visible absence of immediate multi-lingual resources or prominent translation prompts. Given that over a quarter of the borough’s population has a first language other than English (ONS, 2021), this lack of linguistic accessibility is a critical oversight. It risks creating a significant barrier to engagement, potentially undermining the efficacy of the otherwise strong Family Hub model for a substantial portion of the community it serves. Overall, the Tower Hamlets model is strong on physical access points and informational breadth but needs greater clarity in separating family-friendly procedural guidance from professional documentation.</w:t>
      </w:r>
    </w:p>
    <w:p w14:paraId="4036AB29" w14:textId="77777777" w:rsidR="00D252A8" w:rsidRDefault="00D252A8" w:rsidP="007C6447">
      <w:pPr>
        <w:spacing w:line="360" w:lineRule="auto"/>
        <w:rPr>
          <w:rFonts w:ascii="Arial" w:hAnsi="Arial" w:cs="Arial"/>
          <w:b/>
          <w:bCs/>
          <w:sz w:val="22"/>
          <w:szCs w:val="22"/>
          <w:u w:val="single"/>
        </w:rPr>
      </w:pPr>
    </w:p>
    <w:p w14:paraId="60A83BDB" w14:textId="0303B4AB" w:rsidR="007C6447" w:rsidRPr="007C6447" w:rsidRDefault="007C6447" w:rsidP="007C6447">
      <w:pPr>
        <w:spacing w:line="360" w:lineRule="auto"/>
        <w:rPr>
          <w:rFonts w:ascii="Arial" w:hAnsi="Arial" w:cs="Arial"/>
          <w:b/>
          <w:bCs/>
          <w:sz w:val="22"/>
          <w:szCs w:val="22"/>
          <w:u w:val="single"/>
        </w:rPr>
      </w:pPr>
      <w:r w:rsidRPr="007C6447">
        <w:rPr>
          <w:rFonts w:ascii="Arial" w:hAnsi="Arial" w:cs="Arial"/>
          <w:b/>
          <w:bCs/>
          <w:sz w:val="22"/>
          <w:szCs w:val="22"/>
          <w:u w:val="single"/>
        </w:rPr>
        <w:t>Comparison of Key Strengths and Weaknesses</w:t>
      </w:r>
    </w:p>
    <w:p w14:paraId="2E549A1D" w14:textId="0605A3C6" w:rsidR="00857913" w:rsidRPr="00857913" w:rsidRDefault="00857913" w:rsidP="00857913">
      <w:pPr>
        <w:spacing w:line="360" w:lineRule="auto"/>
        <w:rPr>
          <w:rFonts w:ascii="Arial" w:hAnsi="Arial" w:cs="Arial"/>
          <w:sz w:val="22"/>
          <w:szCs w:val="22"/>
        </w:rPr>
      </w:pPr>
      <w:r w:rsidRPr="00857913">
        <w:rPr>
          <w:rFonts w:ascii="Arial" w:hAnsi="Arial" w:cs="Arial"/>
          <w:sz w:val="22"/>
          <w:szCs w:val="22"/>
        </w:rPr>
        <w:t xml:space="preserve">The evaluation of the three local authorities reveals distinct approaches to online Early Help signposting, highlighting a critical trade-off between structural clarity and service comprehension. While all three councils offer a wide spectrum of preventative services, the ease of access to the underlying system varies significantly. Leicestershire’s provision demonstrates a severe structural weakness, </w:t>
      </w:r>
      <w:r>
        <w:rPr>
          <w:rFonts w:ascii="Arial" w:hAnsi="Arial" w:cs="Arial"/>
          <w:sz w:val="22"/>
          <w:szCs w:val="22"/>
        </w:rPr>
        <w:t>characterised</w:t>
      </w:r>
      <w:r w:rsidRPr="00857913">
        <w:rPr>
          <w:rFonts w:ascii="Arial" w:hAnsi="Arial" w:cs="Arial"/>
          <w:sz w:val="22"/>
          <w:szCs w:val="22"/>
        </w:rPr>
        <w:t xml:space="preserve"> by the misleading redirection of the general assessment link to statutory specialist services, and the </w:t>
      </w:r>
      <w:r w:rsidR="005A36B3" w:rsidRPr="00857913">
        <w:rPr>
          <w:rFonts w:ascii="Arial" w:hAnsi="Arial" w:cs="Arial"/>
          <w:sz w:val="22"/>
          <w:szCs w:val="22"/>
        </w:rPr>
        <w:t>complication</w:t>
      </w:r>
      <w:r w:rsidRPr="00857913">
        <w:rPr>
          <w:rFonts w:ascii="Arial" w:hAnsi="Arial" w:cs="Arial"/>
          <w:sz w:val="22"/>
          <w:szCs w:val="22"/>
        </w:rPr>
        <w:t xml:space="preserve"> of core strategic policy behind professional nomenclature (e.g., 'Children’s and Families Partnership'). This stands in stark contrast to Leeds City Council’s proactive, user-centric model, where a single Front Door Team and the concise ‘one-minute guide’ successfully demystify the EHA process for families.</w:t>
      </w:r>
    </w:p>
    <w:p w14:paraId="47FAA9FD" w14:textId="43E90AC1" w:rsidR="007C6447" w:rsidRPr="007C6447" w:rsidRDefault="00857913" w:rsidP="00857913">
      <w:pPr>
        <w:spacing w:line="360" w:lineRule="auto"/>
        <w:rPr>
          <w:rFonts w:ascii="Arial" w:hAnsi="Arial" w:cs="Arial"/>
          <w:sz w:val="22"/>
          <w:szCs w:val="22"/>
        </w:rPr>
      </w:pPr>
      <w:r w:rsidRPr="00857913">
        <w:rPr>
          <w:rFonts w:ascii="Arial" w:hAnsi="Arial" w:cs="Arial"/>
          <w:sz w:val="22"/>
          <w:szCs w:val="22"/>
        </w:rPr>
        <w:t xml:space="preserve">The London Borough of Tower Hamlets successfully navigates the challenge of integrating physical (Family Hubs) and digital </w:t>
      </w:r>
      <w:r w:rsidR="005A36B3" w:rsidRPr="00857913">
        <w:rPr>
          <w:rFonts w:ascii="Arial" w:hAnsi="Arial" w:cs="Arial"/>
          <w:sz w:val="22"/>
          <w:szCs w:val="22"/>
        </w:rPr>
        <w:t>information but</w:t>
      </w:r>
      <w:r w:rsidRPr="00857913">
        <w:rPr>
          <w:rFonts w:ascii="Arial" w:hAnsi="Arial" w:cs="Arial"/>
          <w:sz w:val="22"/>
          <w:szCs w:val="22"/>
        </w:rPr>
        <w:t xml:space="preserve"> shares the common failing of using professional-biased language in procedural documentation. Furthermore, a universal weakness observed across all three sites is the lack of prominent, accessible multi-lingual resources. Although this accessibility failure is common, it is most acutely damaging in Tower Hamlets due to its exceptionally high linguistic diversity (ONS, 2021), potentially excluding a substantial portion of the community.</w:t>
      </w:r>
    </w:p>
    <w:p w14:paraId="6EAE8132" w14:textId="77777777" w:rsidR="00D252A8" w:rsidRDefault="00D252A8" w:rsidP="007C6447">
      <w:pPr>
        <w:spacing w:line="360" w:lineRule="auto"/>
        <w:rPr>
          <w:rFonts w:ascii="Arial" w:hAnsi="Arial" w:cs="Arial"/>
          <w:b/>
          <w:bCs/>
          <w:sz w:val="22"/>
          <w:szCs w:val="22"/>
          <w:u w:val="single"/>
        </w:rPr>
      </w:pPr>
    </w:p>
    <w:p w14:paraId="7658303D" w14:textId="5368987B" w:rsidR="007C6447" w:rsidRPr="007C6447" w:rsidRDefault="007C6447" w:rsidP="007C6447">
      <w:pPr>
        <w:spacing w:line="360" w:lineRule="auto"/>
        <w:rPr>
          <w:rFonts w:ascii="Arial" w:hAnsi="Arial" w:cs="Arial"/>
          <w:b/>
          <w:bCs/>
          <w:sz w:val="22"/>
          <w:szCs w:val="22"/>
          <w:u w:val="single"/>
        </w:rPr>
      </w:pPr>
      <w:r w:rsidRPr="007C6447">
        <w:rPr>
          <w:rFonts w:ascii="Arial" w:hAnsi="Arial" w:cs="Arial"/>
          <w:b/>
          <w:bCs/>
          <w:sz w:val="22"/>
          <w:szCs w:val="22"/>
          <w:u w:val="single"/>
        </w:rPr>
        <w:t>Justification of the Most Effective Website</w:t>
      </w:r>
    </w:p>
    <w:p w14:paraId="303F927E" w14:textId="77777777" w:rsidR="007C6447" w:rsidRPr="007C6447" w:rsidRDefault="007C6447" w:rsidP="007C6447">
      <w:pPr>
        <w:spacing w:line="360" w:lineRule="auto"/>
        <w:rPr>
          <w:rFonts w:ascii="Arial" w:hAnsi="Arial" w:cs="Arial"/>
          <w:sz w:val="22"/>
          <w:szCs w:val="22"/>
        </w:rPr>
      </w:pPr>
      <w:r w:rsidRPr="007C6447">
        <w:rPr>
          <w:rFonts w:ascii="Arial" w:hAnsi="Arial" w:cs="Arial"/>
          <w:sz w:val="22"/>
          <w:szCs w:val="22"/>
        </w:rPr>
        <w:t>Based on the criteria of accessibility, clarity, and fidelity to the Early Help System Guide (2022), Leeds City Council is demonstrably the most effective website. Its success stems from a clear commitment to user-centricity, which is evidenced by the distinct separation of family-facing and professional-facing content. The provision of relatable case study examples and the explicit mapping of Family Hubs as accessible physical resources significantly reduce the cognitive burden on the user. Crucially, the Leeds website successfully communicates the process of Early Help, whereas Leicestershire’s platform, despite its breadth of services, creates an initial structural barrier to access.</w:t>
      </w:r>
    </w:p>
    <w:p w14:paraId="1CD51628" w14:textId="77777777" w:rsidR="00D252A8" w:rsidRDefault="00D252A8" w:rsidP="007C6447">
      <w:pPr>
        <w:spacing w:line="360" w:lineRule="auto"/>
        <w:rPr>
          <w:rFonts w:ascii="Arial" w:hAnsi="Arial" w:cs="Arial"/>
          <w:sz w:val="22"/>
          <w:szCs w:val="22"/>
        </w:rPr>
      </w:pPr>
    </w:p>
    <w:p w14:paraId="687BF7F4" w14:textId="0C510FBA" w:rsidR="007C6447" w:rsidRPr="005A2F28" w:rsidRDefault="005A2F28" w:rsidP="007C6447">
      <w:pPr>
        <w:spacing w:line="360" w:lineRule="auto"/>
        <w:rPr>
          <w:rFonts w:ascii="Arial" w:hAnsi="Arial" w:cs="Arial"/>
          <w:b/>
          <w:bCs/>
          <w:sz w:val="22"/>
          <w:szCs w:val="22"/>
          <w:u w:val="single"/>
        </w:rPr>
      </w:pPr>
      <w:r w:rsidRPr="005A2F28">
        <w:rPr>
          <w:rFonts w:ascii="Arial" w:hAnsi="Arial" w:cs="Arial"/>
          <w:b/>
          <w:bCs/>
          <w:sz w:val="22"/>
          <w:szCs w:val="22"/>
          <w:u w:val="single"/>
        </w:rPr>
        <w:t>Conclusion and Recommendations</w:t>
      </w:r>
    </w:p>
    <w:p w14:paraId="11661633" w14:textId="77777777" w:rsidR="005A2F28" w:rsidRPr="005A2F28" w:rsidRDefault="005A2F28" w:rsidP="005A2F28">
      <w:pPr>
        <w:spacing w:line="360" w:lineRule="auto"/>
        <w:rPr>
          <w:rFonts w:ascii="Arial" w:hAnsi="Arial" w:cs="Arial"/>
          <w:sz w:val="22"/>
          <w:szCs w:val="22"/>
        </w:rPr>
      </w:pPr>
      <w:r w:rsidRPr="005A2F28">
        <w:rPr>
          <w:rFonts w:ascii="Arial" w:hAnsi="Arial" w:cs="Arial"/>
          <w:sz w:val="22"/>
          <w:szCs w:val="22"/>
        </w:rPr>
        <w:t>In conclusion, this report confirms that while the UK’s Early Help system operates under a consistent policy mandate from documents such as Working Together to Safeguard Children (2023), its digital implementation and communication vary drastically across local authorities. The comparative analysis of Leicestershire, Tower Hamlets, and the exemplary model in Leeds highlighted a critical tension: the need to provide comprehensive support versus the ability to communicate the system clearly to families. The primary structural weaknesses identified were the confusion between universal Early Help and statutory specialist services (Leicestershire) and the pervasive sector-wide failure in providing sufficient linguistic accessibility for diverse populations (Tower Hamlets).</w:t>
      </w:r>
    </w:p>
    <w:p w14:paraId="664568C9" w14:textId="77777777" w:rsidR="005A2F28" w:rsidRPr="005A2F28" w:rsidRDefault="005A2F28" w:rsidP="005A2F28">
      <w:pPr>
        <w:spacing w:line="360" w:lineRule="auto"/>
        <w:rPr>
          <w:rFonts w:ascii="Arial" w:hAnsi="Arial" w:cs="Arial"/>
          <w:sz w:val="22"/>
          <w:szCs w:val="22"/>
        </w:rPr>
      </w:pPr>
      <w:r w:rsidRPr="005A2F28">
        <w:rPr>
          <w:rFonts w:ascii="Arial" w:hAnsi="Arial" w:cs="Arial"/>
          <w:sz w:val="22"/>
          <w:szCs w:val="22"/>
        </w:rPr>
        <w:t>The findings endorse the user-centric approach of Leeds City Council as the standard, demonstrating that a well-defined Front Door and the strategic use of relatable resources (case studies, Family Hub maps) are crucial for proactive engagement.</w:t>
      </w:r>
    </w:p>
    <w:p w14:paraId="0A9DBA43" w14:textId="379F4530" w:rsidR="005A2F28" w:rsidRDefault="005A2F28" w:rsidP="005A2F28">
      <w:pPr>
        <w:spacing w:line="360" w:lineRule="auto"/>
        <w:rPr>
          <w:rFonts w:ascii="Arial" w:hAnsi="Arial" w:cs="Arial"/>
          <w:sz w:val="22"/>
          <w:szCs w:val="22"/>
        </w:rPr>
      </w:pPr>
      <w:r w:rsidRPr="005A2F28">
        <w:rPr>
          <w:rFonts w:ascii="Arial" w:hAnsi="Arial" w:cs="Arial"/>
          <w:sz w:val="22"/>
          <w:szCs w:val="22"/>
        </w:rPr>
        <w:t xml:space="preserve">To ensure greater system effectiveness, it is recommended that all local authorities </w:t>
      </w:r>
      <w:r>
        <w:rPr>
          <w:rFonts w:ascii="Arial" w:hAnsi="Arial" w:cs="Arial"/>
          <w:sz w:val="22"/>
          <w:szCs w:val="22"/>
        </w:rPr>
        <w:t>prioritise</w:t>
      </w:r>
      <w:r w:rsidRPr="005A2F28">
        <w:rPr>
          <w:rFonts w:ascii="Arial" w:hAnsi="Arial" w:cs="Arial"/>
          <w:sz w:val="22"/>
          <w:szCs w:val="22"/>
        </w:rPr>
        <w:t xml:space="preserve"> designing for simplicity over technical completeness. This requires establishing a clear, single pathway for family self-referral, decoupling Early Help Assessment guidance from professional documents, and urgently addressing the accessibility gap by integrating prominent multi-lingual support. Ultimately, the clarity of a council’s online signposting is the essential first step in the Early Help journey, ensuring that bureaucratic hurdles do not inadvertently function as a form of gatekeeping that prevents vulnerable families from accessing timely support</w:t>
      </w:r>
      <w:r w:rsidR="00D252A8">
        <w:rPr>
          <w:rFonts w:ascii="Arial" w:hAnsi="Arial" w:cs="Arial"/>
          <w:sz w:val="22"/>
          <w:szCs w:val="22"/>
        </w:rPr>
        <w:t>.</w:t>
      </w:r>
    </w:p>
    <w:p w14:paraId="28221FEA" w14:textId="77777777" w:rsidR="00D252A8" w:rsidRDefault="00D252A8" w:rsidP="005A2F28">
      <w:pPr>
        <w:spacing w:line="360" w:lineRule="auto"/>
        <w:rPr>
          <w:rFonts w:ascii="Arial" w:hAnsi="Arial" w:cs="Arial"/>
          <w:sz w:val="22"/>
          <w:szCs w:val="22"/>
        </w:rPr>
      </w:pPr>
    </w:p>
    <w:p w14:paraId="6509C765" w14:textId="77777777" w:rsidR="00D252A8" w:rsidRDefault="00D252A8" w:rsidP="005A2F28">
      <w:pPr>
        <w:spacing w:line="360" w:lineRule="auto"/>
        <w:rPr>
          <w:rFonts w:ascii="Arial" w:hAnsi="Arial" w:cs="Arial"/>
          <w:sz w:val="22"/>
          <w:szCs w:val="22"/>
        </w:rPr>
      </w:pPr>
    </w:p>
    <w:p w14:paraId="22D2EC7E" w14:textId="50DBB3ED" w:rsidR="00D252A8" w:rsidRDefault="00D252A8" w:rsidP="005A2F28">
      <w:pPr>
        <w:spacing w:line="360" w:lineRule="auto"/>
        <w:rPr>
          <w:rFonts w:ascii="Arial" w:hAnsi="Arial" w:cs="Arial"/>
          <w:b/>
          <w:bCs/>
          <w:sz w:val="22"/>
          <w:szCs w:val="22"/>
          <w:u w:val="single"/>
        </w:rPr>
      </w:pPr>
      <w:r w:rsidRPr="00D252A8">
        <w:rPr>
          <w:rFonts w:ascii="Arial" w:hAnsi="Arial" w:cs="Arial"/>
          <w:b/>
          <w:bCs/>
          <w:sz w:val="22"/>
          <w:szCs w:val="22"/>
          <w:u w:val="single"/>
        </w:rPr>
        <w:t>References</w:t>
      </w:r>
    </w:p>
    <w:p w14:paraId="441A18D5" w14:textId="77777777" w:rsidR="00D252A8" w:rsidRPr="00D252A8" w:rsidRDefault="00D252A8" w:rsidP="00D252A8">
      <w:pPr>
        <w:spacing w:line="360" w:lineRule="auto"/>
        <w:rPr>
          <w:rFonts w:ascii="Arial" w:hAnsi="Arial" w:cs="Arial"/>
          <w:sz w:val="22"/>
          <w:szCs w:val="22"/>
        </w:rPr>
      </w:pPr>
    </w:p>
    <w:p w14:paraId="38378C0E" w14:textId="77777777" w:rsidR="00D252A8" w:rsidRPr="00D252A8" w:rsidRDefault="00D252A8" w:rsidP="00D252A8">
      <w:pPr>
        <w:spacing w:line="360" w:lineRule="auto"/>
        <w:rPr>
          <w:rFonts w:ascii="Arial" w:hAnsi="Arial" w:cs="Arial"/>
          <w:sz w:val="22"/>
          <w:szCs w:val="22"/>
        </w:rPr>
      </w:pPr>
      <w:r w:rsidRPr="00D252A8">
        <w:rPr>
          <w:rFonts w:ascii="Arial" w:hAnsi="Arial" w:cs="Arial"/>
          <w:sz w:val="22"/>
          <w:szCs w:val="22"/>
        </w:rPr>
        <w:t xml:space="preserve">Children’s Act (1989). </w:t>
      </w:r>
      <w:r w:rsidRPr="00D252A8">
        <w:rPr>
          <w:rFonts w:ascii="Arial" w:hAnsi="Arial" w:cs="Arial"/>
          <w:i/>
          <w:iCs/>
          <w:sz w:val="22"/>
          <w:szCs w:val="22"/>
        </w:rPr>
        <w:t>UK Public General Acts</w:t>
      </w:r>
      <w:r w:rsidRPr="00D252A8">
        <w:rPr>
          <w:rFonts w:ascii="Arial" w:hAnsi="Arial" w:cs="Arial"/>
          <w:sz w:val="22"/>
          <w:szCs w:val="22"/>
        </w:rPr>
        <w:t xml:space="preserve">, Section 47. Available at: </w:t>
      </w:r>
      <w:hyperlink r:id="rId9" w:history="1">
        <w:r w:rsidRPr="00D252A8">
          <w:rPr>
            <w:rStyle w:val="Hyperlink"/>
            <w:rFonts w:ascii="Arial" w:hAnsi="Arial" w:cs="Arial"/>
            <w:sz w:val="22"/>
            <w:szCs w:val="22"/>
          </w:rPr>
          <w:t>Children Act 1989</w:t>
        </w:r>
      </w:hyperlink>
      <w:r w:rsidRPr="00D252A8">
        <w:rPr>
          <w:rFonts w:ascii="Arial" w:hAnsi="Arial" w:cs="Arial"/>
          <w:sz w:val="22"/>
          <w:szCs w:val="22"/>
        </w:rPr>
        <w:t>. Accessed on: 15</w:t>
      </w:r>
      <w:r w:rsidRPr="00D252A8">
        <w:rPr>
          <w:rFonts w:ascii="Arial" w:hAnsi="Arial" w:cs="Arial"/>
          <w:sz w:val="22"/>
          <w:szCs w:val="22"/>
          <w:vertAlign w:val="superscript"/>
        </w:rPr>
        <w:t>th</w:t>
      </w:r>
      <w:r w:rsidRPr="00D252A8">
        <w:rPr>
          <w:rFonts w:ascii="Arial" w:hAnsi="Arial" w:cs="Arial"/>
          <w:sz w:val="22"/>
          <w:szCs w:val="22"/>
        </w:rPr>
        <w:t xml:space="preserve"> November 2025.</w:t>
      </w:r>
    </w:p>
    <w:p w14:paraId="4604C569" w14:textId="77777777" w:rsidR="00D252A8" w:rsidRPr="00D252A8" w:rsidRDefault="00D252A8" w:rsidP="00D252A8">
      <w:pPr>
        <w:spacing w:line="360" w:lineRule="auto"/>
        <w:rPr>
          <w:rFonts w:ascii="Arial" w:hAnsi="Arial" w:cs="Arial"/>
          <w:sz w:val="22"/>
          <w:szCs w:val="22"/>
        </w:rPr>
      </w:pPr>
      <w:r w:rsidRPr="00D252A8">
        <w:rPr>
          <w:rFonts w:ascii="Arial" w:hAnsi="Arial" w:cs="Arial"/>
          <w:sz w:val="22"/>
          <w:szCs w:val="22"/>
        </w:rPr>
        <w:t xml:space="preserve">Early Help System Guide (2022). ‘A toolkit to assist local strategic partnerships responsible for their Early Help System.’ </w:t>
      </w:r>
      <w:r w:rsidRPr="00D252A8">
        <w:rPr>
          <w:rFonts w:ascii="Arial" w:hAnsi="Arial" w:cs="Arial"/>
          <w:i/>
          <w:iCs/>
          <w:sz w:val="22"/>
          <w:szCs w:val="22"/>
        </w:rPr>
        <w:t>Department for Levelling Up Housing &amp; Communities</w:t>
      </w:r>
      <w:r w:rsidRPr="00D252A8">
        <w:rPr>
          <w:rFonts w:ascii="Arial" w:hAnsi="Arial" w:cs="Arial"/>
          <w:sz w:val="22"/>
          <w:szCs w:val="22"/>
        </w:rPr>
        <w:t xml:space="preserve">, Department for Education. Available at: </w:t>
      </w:r>
      <w:hyperlink r:id="rId10" w:history="1">
        <w:r w:rsidRPr="00D252A8">
          <w:rPr>
            <w:rStyle w:val="Hyperlink"/>
            <w:rFonts w:ascii="Arial" w:hAnsi="Arial" w:cs="Arial"/>
            <w:sz w:val="22"/>
            <w:szCs w:val="22"/>
          </w:rPr>
          <w:t>Early Help System Guide</w:t>
        </w:r>
      </w:hyperlink>
      <w:r w:rsidRPr="00D252A8">
        <w:rPr>
          <w:rFonts w:ascii="Arial" w:hAnsi="Arial" w:cs="Arial"/>
          <w:sz w:val="22"/>
          <w:szCs w:val="22"/>
        </w:rPr>
        <w:t>. Accessed on: 15</w:t>
      </w:r>
      <w:r w:rsidRPr="00D252A8">
        <w:rPr>
          <w:rFonts w:ascii="Arial" w:hAnsi="Arial" w:cs="Arial"/>
          <w:sz w:val="22"/>
          <w:szCs w:val="22"/>
          <w:vertAlign w:val="superscript"/>
        </w:rPr>
        <w:t>th</w:t>
      </w:r>
      <w:r w:rsidRPr="00D252A8">
        <w:rPr>
          <w:rFonts w:ascii="Arial" w:hAnsi="Arial" w:cs="Arial"/>
          <w:sz w:val="22"/>
          <w:szCs w:val="22"/>
        </w:rPr>
        <w:t xml:space="preserve"> November 2025.</w:t>
      </w:r>
    </w:p>
    <w:p w14:paraId="40161C32" w14:textId="77777777" w:rsidR="00D252A8" w:rsidRPr="00D252A8" w:rsidRDefault="00D252A8" w:rsidP="00D252A8">
      <w:pPr>
        <w:spacing w:line="360" w:lineRule="auto"/>
        <w:rPr>
          <w:rFonts w:ascii="Arial" w:hAnsi="Arial" w:cs="Arial"/>
          <w:sz w:val="22"/>
          <w:szCs w:val="22"/>
        </w:rPr>
      </w:pPr>
      <w:r w:rsidRPr="00D252A8">
        <w:rPr>
          <w:rFonts w:ascii="Arial" w:hAnsi="Arial" w:cs="Arial"/>
          <w:sz w:val="22"/>
          <w:szCs w:val="22"/>
        </w:rPr>
        <w:t xml:space="preserve">El-Hoss, T., Thomas, F., </w:t>
      </w:r>
      <w:proofErr w:type="spellStart"/>
      <w:r w:rsidRPr="00D252A8">
        <w:rPr>
          <w:rFonts w:ascii="Arial" w:hAnsi="Arial" w:cs="Arial"/>
          <w:sz w:val="22"/>
          <w:szCs w:val="22"/>
        </w:rPr>
        <w:t>Gradinger</w:t>
      </w:r>
      <w:proofErr w:type="spellEnd"/>
      <w:r w:rsidRPr="00D252A8">
        <w:rPr>
          <w:rFonts w:ascii="Arial" w:hAnsi="Arial" w:cs="Arial"/>
          <w:sz w:val="22"/>
          <w:szCs w:val="22"/>
        </w:rPr>
        <w:t xml:space="preserve">, F. and Hughes, S. (2022). ‘The Role of the Voluntary, Community and Social Enterprise Sector in Early Help: Critical Reflections from Embedded Social Care Research’. </w:t>
      </w:r>
      <w:r w:rsidRPr="00D252A8">
        <w:rPr>
          <w:rFonts w:ascii="Arial" w:hAnsi="Arial" w:cs="Arial"/>
          <w:i/>
          <w:iCs/>
          <w:sz w:val="22"/>
          <w:szCs w:val="22"/>
        </w:rPr>
        <w:t>Child &amp; Family Social Network</w:t>
      </w:r>
      <w:r w:rsidRPr="00D252A8">
        <w:rPr>
          <w:rFonts w:ascii="Arial" w:hAnsi="Arial" w:cs="Arial"/>
          <w:sz w:val="22"/>
          <w:szCs w:val="22"/>
        </w:rPr>
        <w:t xml:space="preserve">. University of Exeter, University of Plymouth. Wiley Online Library. Available at: </w:t>
      </w:r>
      <w:hyperlink r:id="rId11" w:history="1">
        <w:r w:rsidRPr="00D252A8">
          <w:rPr>
            <w:rStyle w:val="Hyperlink"/>
            <w:rFonts w:ascii="Arial" w:hAnsi="Arial" w:cs="Arial"/>
            <w:sz w:val="22"/>
            <w:szCs w:val="22"/>
          </w:rPr>
          <w:t>The role of the voluntary, community and social enterprise sector in Early Help: Critical reflections from embedded social care research. - EBSCO</w:t>
        </w:r>
      </w:hyperlink>
      <w:r w:rsidRPr="00D252A8">
        <w:rPr>
          <w:rFonts w:ascii="Arial" w:hAnsi="Arial" w:cs="Arial"/>
          <w:sz w:val="22"/>
          <w:szCs w:val="22"/>
        </w:rPr>
        <w:t>. Accessed on: 16</w:t>
      </w:r>
      <w:r w:rsidRPr="00D252A8">
        <w:rPr>
          <w:rFonts w:ascii="Arial" w:hAnsi="Arial" w:cs="Arial"/>
          <w:sz w:val="22"/>
          <w:szCs w:val="22"/>
          <w:vertAlign w:val="superscript"/>
        </w:rPr>
        <w:t>th</w:t>
      </w:r>
      <w:r w:rsidRPr="00D252A8">
        <w:rPr>
          <w:rFonts w:ascii="Arial" w:hAnsi="Arial" w:cs="Arial"/>
          <w:sz w:val="22"/>
          <w:szCs w:val="22"/>
        </w:rPr>
        <w:t xml:space="preserve"> November 2025.</w:t>
      </w:r>
    </w:p>
    <w:p w14:paraId="2B4475D8" w14:textId="77777777" w:rsidR="00D252A8" w:rsidRPr="00D252A8" w:rsidRDefault="00D252A8" w:rsidP="00D252A8">
      <w:pPr>
        <w:spacing w:line="360" w:lineRule="auto"/>
        <w:rPr>
          <w:rFonts w:ascii="Arial" w:hAnsi="Arial" w:cs="Arial"/>
          <w:sz w:val="22"/>
          <w:szCs w:val="22"/>
        </w:rPr>
      </w:pPr>
      <w:r w:rsidRPr="00D252A8">
        <w:rPr>
          <w:rFonts w:ascii="Arial" w:hAnsi="Arial" w:cs="Arial"/>
          <w:sz w:val="22"/>
          <w:szCs w:val="22"/>
        </w:rPr>
        <w:t xml:space="preserve">Leeds City Council (N.D). One Minute Guide: Early Help. Available at: </w:t>
      </w:r>
      <w:hyperlink r:id="rId12" w:history="1">
        <w:r w:rsidRPr="00D252A8">
          <w:rPr>
            <w:rStyle w:val="Hyperlink"/>
            <w:rFonts w:ascii="Arial" w:hAnsi="Arial" w:cs="Arial"/>
            <w:sz w:val="22"/>
            <w:szCs w:val="22"/>
          </w:rPr>
          <w:t>One minute guide: Early help | Leeds.gov.uk</w:t>
        </w:r>
      </w:hyperlink>
      <w:r w:rsidRPr="00D252A8">
        <w:rPr>
          <w:rFonts w:ascii="Arial" w:hAnsi="Arial" w:cs="Arial"/>
          <w:sz w:val="22"/>
          <w:szCs w:val="22"/>
        </w:rPr>
        <w:t>. Accessed on: 17</w:t>
      </w:r>
      <w:r w:rsidRPr="00D252A8">
        <w:rPr>
          <w:rFonts w:ascii="Arial" w:hAnsi="Arial" w:cs="Arial"/>
          <w:sz w:val="22"/>
          <w:szCs w:val="22"/>
          <w:vertAlign w:val="superscript"/>
        </w:rPr>
        <w:t>th</w:t>
      </w:r>
      <w:r w:rsidRPr="00D252A8">
        <w:rPr>
          <w:rFonts w:ascii="Arial" w:hAnsi="Arial" w:cs="Arial"/>
          <w:sz w:val="22"/>
          <w:szCs w:val="22"/>
        </w:rPr>
        <w:t xml:space="preserve"> November 2025.</w:t>
      </w:r>
    </w:p>
    <w:p w14:paraId="7C69A479" w14:textId="77777777" w:rsidR="00D252A8" w:rsidRPr="00D252A8" w:rsidRDefault="00D252A8" w:rsidP="00D252A8">
      <w:pPr>
        <w:spacing w:line="360" w:lineRule="auto"/>
        <w:rPr>
          <w:rFonts w:ascii="Arial" w:hAnsi="Arial" w:cs="Arial"/>
          <w:sz w:val="22"/>
          <w:szCs w:val="22"/>
        </w:rPr>
      </w:pPr>
      <w:r w:rsidRPr="00D252A8">
        <w:rPr>
          <w:rFonts w:ascii="Arial" w:hAnsi="Arial" w:cs="Arial"/>
          <w:sz w:val="22"/>
          <w:szCs w:val="22"/>
        </w:rPr>
        <w:t xml:space="preserve">Leeds Safeguarding Children Partnership (2025). Early Help. Available at: </w:t>
      </w:r>
      <w:hyperlink r:id="rId13" w:history="1">
        <w:r w:rsidRPr="00D252A8">
          <w:rPr>
            <w:rStyle w:val="Hyperlink"/>
            <w:rFonts w:ascii="Arial" w:hAnsi="Arial" w:cs="Arial"/>
            <w:sz w:val="22"/>
            <w:szCs w:val="22"/>
          </w:rPr>
          <w:t>Early Help | Leeds Safeguarding Children Partnership</w:t>
        </w:r>
      </w:hyperlink>
      <w:r w:rsidRPr="00D252A8">
        <w:rPr>
          <w:rFonts w:ascii="Arial" w:hAnsi="Arial" w:cs="Arial"/>
          <w:sz w:val="22"/>
          <w:szCs w:val="22"/>
        </w:rPr>
        <w:t>. Accessed on: 17</w:t>
      </w:r>
      <w:r w:rsidRPr="00D252A8">
        <w:rPr>
          <w:rFonts w:ascii="Arial" w:hAnsi="Arial" w:cs="Arial"/>
          <w:sz w:val="22"/>
          <w:szCs w:val="22"/>
          <w:vertAlign w:val="superscript"/>
        </w:rPr>
        <w:t>th</w:t>
      </w:r>
      <w:r w:rsidRPr="00D252A8">
        <w:rPr>
          <w:rFonts w:ascii="Arial" w:hAnsi="Arial" w:cs="Arial"/>
          <w:sz w:val="22"/>
          <w:szCs w:val="22"/>
        </w:rPr>
        <w:t xml:space="preserve"> November 2025.</w:t>
      </w:r>
    </w:p>
    <w:p w14:paraId="7BD7C152" w14:textId="77777777" w:rsidR="00D252A8" w:rsidRPr="00D252A8" w:rsidRDefault="00D252A8" w:rsidP="00D252A8">
      <w:pPr>
        <w:spacing w:line="360" w:lineRule="auto"/>
        <w:rPr>
          <w:rFonts w:ascii="Arial" w:hAnsi="Arial" w:cs="Arial"/>
          <w:sz w:val="22"/>
          <w:szCs w:val="22"/>
        </w:rPr>
      </w:pPr>
      <w:r w:rsidRPr="00D252A8">
        <w:rPr>
          <w:rFonts w:ascii="Arial" w:hAnsi="Arial" w:cs="Arial"/>
          <w:sz w:val="22"/>
          <w:szCs w:val="22"/>
        </w:rPr>
        <w:t xml:space="preserve">Leicestershire County Council (N.D). Help for Children and Families. Available at: </w:t>
      </w:r>
      <w:hyperlink r:id="rId14" w:history="1">
        <w:r w:rsidRPr="00D252A8">
          <w:rPr>
            <w:rStyle w:val="Hyperlink"/>
            <w:rFonts w:ascii="Arial" w:hAnsi="Arial" w:cs="Arial"/>
            <w:sz w:val="22"/>
            <w:szCs w:val="22"/>
          </w:rPr>
          <w:t>Help for children and families | Leicestershire County Council</w:t>
        </w:r>
      </w:hyperlink>
      <w:r w:rsidRPr="00D252A8">
        <w:rPr>
          <w:rFonts w:ascii="Arial" w:hAnsi="Arial" w:cs="Arial"/>
          <w:sz w:val="22"/>
          <w:szCs w:val="22"/>
        </w:rPr>
        <w:t>. Accessed on 18</w:t>
      </w:r>
      <w:r w:rsidRPr="00D252A8">
        <w:rPr>
          <w:rFonts w:ascii="Arial" w:hAnsi="Arial" w:cs="Arial"/>
          <w:sz w:val="22"/>
          <w:szCs w:val="22"/>
          <w:vertAlign w:val="superscript"/>
        </w:rPr>
        <w:t>th</w:t>
      </w:r>
      <w:r w:rsidRPr="00D252A8">
        <w:rPr>
          <w:rFonts w:ascii="Arial" w:hAnsi="Arial" w:cs="Arial"/>
          <w:sz w:val="22"/>
          <w:szCs w:val="22"/>
        </w:rPr>
        <w:t xml:space="preserve"> November. </w:t>
      </w:r>
    </w:p>
    <w:p w14:paraId="1F20614D" w14:textId="0D893F85" w:rsidR="00D252A8" w:rsidRPr="00D252A8" w:rsidRDefault="00D252A8" w:rsidP="00D252A8">
      <w:pPr>
        <w:spacing w:line="360" w:lineRule="auto"/>
        <w:rPr>
          <w:rFonts w:ascii="Arial" w:hAnsi="Arial" w:cs="Arial"/>
          <w:sz w:val="22"/>
          <w:szCs w:val="22"/>
        </w:rPr>
      </w:pPr>
      <w:r w:rsidRPr="00D252A8">
        <w:rPr>
          <w:rFonts w:ascii="Arial" w:hAnsi="Arial" w:cs="Arial"/>
          <w:sz w:val="22"/>
          <w:szCs w:val="22"/>
        </w:rPr>
        <w:t xml:space="preserve">Office for National Statistics - </w:t>
      </w:r>
      <w:r>
        <w:rPr>
          <w:rFonts w:ascii="Arial" w:hAnsi="Arial" w:cs="Arial"/>
          <w:sz w:val="22"/>
          <w:szCs w:val="22"/>
        </w:rPr>
        <w:t>Census</w:t>
      </w:r>
      <w:r w:rsidRPr="00D252A8">
        <w:rPr>
          <w:rFonts w:ascii="Arial" w:hAnsi="Arial" w:cs="Arial"/>
          <w:sz w:val="22"/>
          <w:szCs w:val="22"/>
        </w:rPr>
        <w:t xml:space="preserve"> (2021). Available at: </w:t>
      </w:r>
      <w:hyperlink r:id="rId15" w:history="1">
        <w:r w:rsidRPr="00D252A8">
          <w:rPr>
            <w:rStyle w:val="Hyperlink"/>
            <w:rFonts w:ascii="Arial" w:hAnsi="Arial" w:cs="Arial"/>
            <w:sz w:val="22"/>
            <w:szCs w:val="22"/>
          </w:rPr>
          <w:t>Main language detailed - Census Maps, ONS</w:t>
        </w:r>
      </w:hyperlink>
      <w:r w:rsidRPr="00D252A8">
        <w:rPr>
          <w:rFonts w:ascii="Arial" w:hAnsi="Arial" w:cs="Arial"/>
          <w:sz w:val="22"/>
          <w:szCs w:val="22"/>
        </w:rPr>
        <w:t>. Accessed on: 20</w:t>
      </w:r>
      <w:r w:rsidRPr="00D252A8">
        <w:rPr>
          <w:rFonts w:ascii="Arial" w:hAnsi="Arial" w:cs="Arial"/>
          <w:sz w:val="22"/>
          <w:szCs w:val="22"/>
          <w:vertAlign w:val="superscript"/>
        </w:rPr>
        <w:t>th</w:t>
      </w:r>
      <w:r w:rsidRPr="00D252A8">
        <w:rPr>
          <w:rFonts w:ascii="Arial" w:hAnsi="Arial" w:cs="Arial"/>
          <w:sz w:val="22"/>
          <w:szCs w:val="22"/>
        </w:rPr>
        <w:t xml:space="preserve"> November 2025.</w:t>
      </w:r>
    </w:p>
    <w:p w14:paraId="384179DA" w14:textId="77777777" w:rsidR="00D252A8" w:rsidRPr="00D252A8" w:rsidRDefault="00D252A8" w:rsidP="00D252A8">
      <w:pPr>
        <w:spacing w:line="360" w:lineRule="auto"/>
        <w:rPr>
          <w:rFonts w:ascii="Arial" w:hAnsi="Arial" w:cs="Arial"/>
          <w:sz w:val="22"/>
          <w:szCs w:val="22"/>
        </w:rPr>
      </w:pPr>
      <w:r w:rsidRPr="00D252A8">
        <w:rPr>
          <w:rFonts w:ascii="Arial" w:hAnsi="Arial" w:cs="Arial"/>
          <w:sz w:val="22"/>
          <w:szCs w:val="22"/>
        </w:rPr>
        <w:t xml:space="preserve">Tower Hamlets (N.D). Early Help at the Front Door. Available at: </w:t>
      </w:r>
      <w:hyperlink r:id="rId16" w:history="1">
        <w:r w:rsidRPr="00D252A8">
          <w:rPr>
            <w:rStyle w:val="Hyperlink"/>
            <w:rFonts w:ascii="Arial" w:hAnsi="Arial" w:cs="Arial"/>
            <w:sz w:val="22"/>
            <w:szCs w:val="22"/>
          </w:rPr>
          <w:t>Early Help at the front door</w:t>
        </w:r>
      </w:hyperlink>
      <w:r w:rsidRPr="00D252A8">
        <w:rPr>
          <w:rFonts w:ascii="Arial" w:hAnsi="Arial" w:cs="Arial"/>
          <w:sz w:val="22"/>
          <w:szCs w:val="22"/>
        </w:rPr>
        <w:t>. Accessed on: 17</w:t>
      </w:r>
      <w:r w:rsidRPr="00D252A8">
        <w:rPr>
          <w:rFonts w:ascii="Arial" w:hAnsi="Arial" w:cs="Arial"/>
          <w:sz w:val="22"/>
          <w:szCs w:val="22"/>
          <w:vertAlign w:val="superscript"/>
        </w:rPr>
        <w:t>th</w:t>
      </w:r>
      <w:r w:rsidRPr="00D252A8">
        <w:rPr>
          <w:rFonts w:ascii="Arial" w:hAnsi="Arial" w:cs="Arial"/>
          <w:sz w:val="22"/>
          <w:szCs w:val="22"/>
        </w:rPr>
        <w:t xml:space="preserve"> November 2025.</w:t>
      </w:r>
    </w:p>
    <w:p w14:paraId="42EC607C" w14:textId="77777777" w:rsidR="00D252A8" w:rsidRPr="00D252A8" w:rsidRDefault="00D252A8" w:rsidP="00D252A8">
      <w:pPr>
        <w:spacing w:line="360" w:lineRule="auto"/>
        <w:rPr>
          <w:rFonts w:ascii="Arial" w:hAnsi="Arial" w:cs="Arial"/>
          <w:sz w:val="22"/>
          <w:szCs w:val="22"/>
        </w:rPr>
      </w:pPr>
      <w:r w:rsidRPr="00D252A8">
        <w:rPr>
          <w:rFonts w:ascii="Arial" w:hAnsi="Arial" w:cs="Arial"/>
          <w:sz w:val="22"/>
          <w:szCs w:val="22"/>
        </w:rPr>
        <w:t xml:space="preserve">Walker, G. (2018). ‘Working Together for Children – A Critical Introduction to Multi-Agency Working’. </w:t>
      </w:r>
      <w:r w:rsidRPr="00D252A8">
        <w:rPr>
          <w:rFonts w:ascii="Arial" w:hAnsi="Arial" w:cs="Arial"/>
          <w:i/>
          <w:iCs/>
          <w:sz w:val="22"/>
          <w:szCs w:val="22"/>
        </w:rPr>
        <w:t>Bloomsbury Academic</w:t>
      </w:r>
      <w:r w:rsidRPr="00D252A8">
        <w:rPr>
          <w:rFonts w:ascii="Arial" w:hAnsi="Arial" w:cs="Arial"/>
          <w:sz w:val="22"/>
          <w:szCs w:val="22"/>
        </w:rPr>
        <w:t xml:space="preserve">. Second Edition. Available at: </w:t>
      </w:r>
      <w:hyperlink r:id="rId17" w:history="1">
        <w:r w:rsidRPr="00D252A8">
          <w:rPr>
            <w:rStyle w:val="Hyperlink"/>
            <w:rFonts w:ascii="Arial" w:hAnsi="Arial" w:cs="Arial"/>
            <w:sz w:val="22"/>
            <w:szCs w:val="22"/>
          </w:rPr>
          <w:t xml:space="preserve">ProQuest </w:t>
        </w:r>
        <w:proofErr w:type="spellStart"/>
        <w:r w:rsidRPr="00D252A8">
          <w:rPr>
            <w:rStyle w:val="Hyperlink"/>
            <w:rFonts w:ascii="Arial" w:hAnsi="Arial" w:cs="Arial"/>
            <w:sz w:val="22"/>
            <w:szCs w:val="22"/>
          </w:rPr>
          <w:t>Ebook</w:t>
        </w:r>
        <w:proofErr w:type="spellEnd"/>
        <w:r w:rsidRPr="00D252A8">
          <w:rPr>
            <w:rStyle w:val="Hyperlink"/>
            <w:rFonts w:ascii="Arial" w:hAnsi="Arial" w:cs="Arial"/>
            <w:sz w:val="22"/>
            <w:szCs w:val="22"/>
          </w:rPr>
          <w:t xml:space="preserve"> Central - Reader</w:t>
        </w:r>
      </w:hyperlink>
      <w:r w:rsidRPr="00D252A8">
        <w:rPr>
          <w:rFonts w:ascii="Arial" w:hAnsi="Arial" w:cs="Arial"/>
          <w:sz w:val="22"/>
          <w:szCs w:val="22"/>
        </w:rPr>
        <w:t>. Accessed on: 16</w:t>
      </w:r>
      <w:r w:rsidRPr="00D252A8">
        <w:rPr>
          <w:rFonts w:ascii="Arial" w:hAnsi="Arial" w:cs="Arial"/>
          <w:sz w:val="22"/>
          <w:szCs w:val="22"/>
          <w:vertAlign w:val="superscript"/>
        </w:rPr>
        <w:t>th</w:t>
      </w:r>
      <w:r w:rsidRPr="00D252A8">
        <w:rPr>
          <w:rFonts w:ascii="Arial" w:hAnsi="Arial" w:cs="Arial"/>
          <w:sz w:val="22"/>
          <w:szCs w:val="22"/>
        </w:rPr>
        <w:t xml:space="preserve"> November 2025.</w:t>
      </w:r>
    </w:p>
    <w:p w14:paraId="013E490C" w14:textId="77777777" w:rsidR="00D252A8" w:rsidRPr="00D252A8" w:rsidRDefault="00D252A8" w:rsidP="00D252A8">
      <w:pPr>
        <w:spacing w:line="360" w:lineRule="auto"/>
        <w:rPr>
          <w:rFonts w:ascii="Arial" w:hAnsi="Arial" w:cs="Arial"/>
          <w:sz w:val="22"/>
          <w:szCs w:val="22"/>
        </w:rPr>
      </w:pPr>
      <w:r w:rsidRPr="00D252A8">
        <w:rPr>
          <w:rFonts w:ascii="Arial" w:hAnsi="Arial" w:cs="Arial"/>
          <w:sz w:val="22"/>
          <w:szCs w:val="22"/>
        </w:rPr>
        <w:t xml:space="preserve">Working Together to Safeguard Children (2023). ‘A guide to multi-agency working to help, protect and promote the welfare of children.’ </w:t>
      </w:r>
      <w:r w:rsidRPr="00D252A8">
        <w:rPr>
          <w:rFonts w:ascii="Arial" w:hAnsi="Arial" w:cs="Arial"/>
          <w:i/>
          <w:iCs/>
          <w:sz w:val="22"/>
          <w:szCs w:val="22"/>
        </w:rPr>
        <w:t>His Majesty’s Government</w:t>
      </w:r>
      <w:r w:rsidRPr="00D252A8">
        <w:rPr>
          <w:rFonts w:ascii="Arial" w:hAnsi="Arial" w:cs="Arial"/>
          <w:sz w:val="22"/>
          <w:szCs w:val="22"/>
        </w:rPr>
        <w:t xml:space="preserve">. Available at: </w:t>
      </w:r>
      <w:hyperlink r:id="rId18" w:history="1">
        <w:r w:rsidRPr="00D252A8">
          <w:rPr>
            <w:rStyle w:val="Hyperlink"/>
            <w:rFonts w:ascii="Arial" w:hAnsi="Arial" w:cs="Arial"/>
            <w:sz w:val="22"/>
            <w:szCs w:val="22"/>
          </w:rPr>
          <w:t>Working together to safeguard children 2023: statutory guidance</w:t>
        </w:r>
      </w:hyperlink>
      <w:r w:rsidRPr="00D252A8">
        <w:rPr>
          <w:rFonts w:ascii="Arial" w:hAnsi="Arial" w:cs="Arial"/>
          <w:sz w:val="22"/>
          <w:szCs w:val="22"/>
        </w:rPr>
        <w:t>. Accessed on:  15</w:t>
      </w:r>
      <w:r w:rsidRPr="00D252A8">
        <w:rPr>
          <w:rFonts w:ascii="Arial" w:hAnsi="Arial" w:cs="Arial"/>
          <w:sz w:val="22"/>
          <w:szCs w:val="22"/>
          <w:vertAlign w:val="superscript"/>
        </w:rPr>
        <w:t>th</w:t>
      </w:r>
      <w:r w:rsidRPr="00D252A8">
        <w:rPr>
          <w:rFonts w:ascii="Arial" w:hAnsi="Arial" w:cs="Arial"/>
          <w:sz w:val="22"/>
          <w:szCs w:val="22"/>
        </w:rPr>
        <w:t xml:space="preserve"> November 2025.</w:t>
      </w:r>
    </w:p>
    <w:p w14:paraId="2D32454E" w14:textId="4D6F8372" w:rsidR="00D252A8" w:rsidRPr="00D252A8" w:rsidRDefault="00D252A8" w:rsidP="005A2F28">
      <w:pPr>
        <w:spacing w:line="360" w:lineRule="auto"/>
        <w:rPr>
          <w:rFonts w:ascii="Arial" w:hAnsi="Arial" w:cs="Arial"/>
          <w:sz w:val="22"/>
          <w:szCs w:val="22"/>
        </w:rPr>
      </w:pPr>
    </w:p>
    <w:p w14:paraId="66457C36" w14:textId="77777777" w:rsidR="00D252A8" w:rsidRPr="001E57B6" w:rsidRDefault="00D252A8" w:rsidP="005A2F28">
      <w:pPr>
        <w:spacing w:line="360" w:lineRule="auto"/>
        <w:rPr>
          <w:rFonts w:ascii="Arial" w:hAnsi="Arial" w:cs="Arial"/>
          <w:sz w:val="22"/>
          <w:szCs w:val="22"/>
        </w:rPr>
      </w:pPr>
    </w:p>
    <w:sectPr w:rsidR="00D252A8" w:rsidRPr="001E57B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5A1E04" w14:textId="77777777" w:rsidR="00D252A8" w:rsidRDefault="00D252A8" w:rsidP="00D252A8">
      <w:pPr>
        <w:spacing w:after="0" w:line="240" w:lineRule="auto"/>
      </w:pPr>
      <w:r>
        <w:separator/>
      </w:r>
    </w:p>
  </w:endnote>
  <w:endnote w:type="continuationSeparator" w:id="0">
    <w:p w14:paraId="65149BB9" w14:textId="77777777" w:rsidR="00D252A8" w:rsidRDefault="00D252A8" w:rsidP="00D252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0987717"/>
      <w:docPartObj>
        <w:docPartGallery w:val="Page Numbers (Bottom of Page)"/>
        <w:docPartUnique/>
      </w:docPartObj>
    </w:sdtPr>
    <w:sdtEndPr>
      <w:rPr>
        <w:noProof/>
      </w:rPr>
    </w:sdtEndPr>
    <w:sdtContent>
      <w:p w14:paraId="1DC5FF43" w14:textId="2598F108" w:rsidR="00D252A8" w:rsidRDefault="00D252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BB7B2A" w14:textId="77777777" w:rsidR="00D252A8" w:rsidRDefault="00D252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5AD030" w14:textId="77777777" w:rsidR="00D252A8" w:rsidRDefault="00D252A8" w:rsidP="00D252A8">
      <w:pPr>
        <w:spacing w:after="0" w:line="240" w:lineRule="auto"/>
      </w:pPr>
      <w:r>
        <w:separator/>
      </w:r>
    </w:p>
  </w:footnote>
  <w:footnote w:type="continuationSeparator" w:id="0">
    <w:p w14:paraId="7C53D33F" w14:textId="77777777" w:rsidR="00D252A8" w:rsidRDefault="00D252A8" w:rsidP="00D252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F72"/>
    <w:rsid w:val="0007610C"/>
    <w:rsid w:val="000E1806"/>
    <w:rsid w:val="00100835"/>
    <w:rsid w:val="001C24A8"/>
    <w:rsid w:val="001E57B6"/>
    <w:rsid w:val="002D7D04"/>
    <w:rsid w:val="003A5B3E"/>
    <w:rsid w:val="00531025"/>
    <w:rsid w:val="005A2F28"/>
    <w:rsid w:val="005A36B3"/>
    <w:rsid w:val="005F4A93"/>
    <w:rsid w:val="00707FB1"/>
    <w:rsid w:val="007C6447"/>
    <w:rsid w:val="00857913"/>
    <w:rsid w:val="00A12E72"/>
    <w:rsid w:val="00B46BE0"/>
    <w:rsid w:val="00BB2BA9"/>
    <w:rsid w:val="00C03500"/>
    <w:rsid w:val="00D058DD"/>
    <w:rsid w:val="00D252A8"/>
    <w:rsid w:val="00D612DC"/>
    <w:rsid w:val="00D91ED8"/>
    <w:rsid w:val="00EA1336"/>
    <w:rsid w:val="00FB4F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C330C"/>
  <w15:chartTrackingRefBased/>
  <w15:docId w15:val="{3E509D2E-1E07-4E0E-9A7E-61BE11EB7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4F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4F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4F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4F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4F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4F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4F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4F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4F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4F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4F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4F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4F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4F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4F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4F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4F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4F72"/>
    <w:rPr>
      <w:rFonts w:eastAsiaTheme="majorEastAsia" w:cstheme="majorBidi"/>
      <w:color w:val="272727" w:themeColor="text1" w:themeTint="D8"/>
    </w:rPr>
  </w:style>
  <w:style w:type="paragraph" w:styleId="Title">
    <w:name w:val="Title"/>
    <w:basedOn w:val="Normal"/>
    <w:next w:val="Normal"/>
    <w:link w:val="TitleChar"/>
    <w:uiPriority w:val="10"/>
    <w:qFormat/>
    <w:rsid w:val="00FB4F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4F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4F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4F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4F72"/>
    <w:pPr>
      <w:spacing w:before="160"/>
      <w:jc w:val="center"/>
    </w:pPr>
    <w:rPr>
      <w:i/>
      <w:iCs/>
      <w:color w:val="404040" w:themeColor="text1" w:themeTint="BF"/>
    </w:rPr>
  </w:style>
  <w:style w:type="character" w:customStyle="1" w:styleId="QuoteChar">
    <w:name w:val="Quote Char"/>
    <w:basedOn w:val="DefaultParagraphFont"/>
    <w:link w:val="Quote"/>
    <w:uiPriority w:val="29"/>
    <w:rsid w:val="00FB4F72"/>
    <w:rPr>
      <w:i/>
      <w:iCs/>
      <w:color w:val="404040" w:themeColor="text1" w:themeTint="BF"/>
    </w:rPr>
  </w:style>
  <w:style w:type="paragraph" w:styleId="ListParagraph">
    <w:name w:val="List Paragraph"/>
    <w:basedOn w:val="Normal"/>
    <w:uiPriority w:val="34"/>
    <w:qFormat/>
    <w:rsid w:val="00FB4F72"/>
    <w:pPr>
      <w:ind w:left="720"/>
      <w:contextualSpacing/>
    </w:pPr>
  </w:style>
  <w:style w:type="character" w:styleId="IntenseEmphasis">
    <w:name w:val="Intense Emphasis"/>
    <w:basedOn w:val="DefaultParagraphFont"/>
    <w:uiPriority w:val="21"/>
    <w:qFormat/>
    <w:rsid w:val="00FB4F72"/>
    <w:rPr>
      <w:i/>
      <w:iCs/>
      <w:color w:val="0F4761" w:themeColor="accent1" w:themeShade="BF"/>
    </w:rPr>
  </w:style>
  <w:style w:type="paragraph" w:styleId="IntenseQuote">
    <w:name w:val="Intense Quote"/>
    <w:basedOn w:val="Normal"/>
    <w:next w:val="Normal"/>
    <w:link w:val="IntenseQuoteChar"/>
    <w:uiPriority w:val="30"/>
    <w:qFormat/>
    <w:rsid w:val="00FB4F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4F72"/>
    <w:rPr>
      <w:i/>
      <w:iCs/>
      <w:color w:val="0F4761" w:themeColor="accent1" w:themeShade="BF"/>
    </w:rPr>
  </w:style>
  <w:style w:type="character" w:styleId="IntenseReference">
    <w:name w:val="Intense Reference"/>
    <w:basedOn w:val="DefaultParagraphFont"/>
    <w:uiPriority w:val="32"/>
    <w:qFormat/>
    <w:rsid w:val="00FB4F72"/>
    <w:rPr>
      <w:b/>
      <w:bCs/>
      <w:smallCaps/>
      <w:color w:val="0F4761" w:themeColor="accent1" w:themeShade="BF"/>
      <w:spacing w:val="5"/>
    </w:rPr>
  </w:style>
  <w:style w:type="character" w:styleId="Hyperlink">
    <w:name w:val="Hyperlink"/>
    <w:basedOn w:val="DefaultParagraphFont"/>
    <w:uiPriority w:val="99"/>
    <w:unhideWhenUsed/>
    <w:rsid w:val="00D252A8"/>
    <w:rPr>
      <w:color w:val="467886" w:themeColor="hyperlink"/>
      <w:u w:val="single"/>
    </w:rPr>
  </w:style>
  <w:style w:type="character" w:styleId="UnresolvedMention">
    <w:name w:val="Unresolved Mention"/>
    <w:basedOn w:val="DefaultParagraphFont"/>
    <w:uiPriority w:val="99"/>
    <w:semiHidden/>
    <w:unhideWhenUsed/>
    <w:rsid w:val="00D252A8"/>
    <w:rPr>
      <w:color w:val="605E5C"/>
      <w:shd w:val="clear" w:color="auto" w:fill="E1DFDD"/>
    </w:rPr>
  </w:style>
  <w:style w:type="paragraph" w:styleId="Header">
    <w:name w:val="header"/>
    <w:basedOn w:val="Normal"/>
    <w:link w:val="HeaderChar"/>
    <w:uiPriority w:val="99"/>
    <w:unhideWhenUsed/>
    <w:rsid w:val="00D252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2A8"/>
  </w:style>
  <w:style w:type="paragraph" w:styleId="Footer">
    <w:name w:val="footer"/>
    <w:basedOn w:val="Normal"/>
    <w:link w:val="FooterChar"/>
    <w:uiPriority w:val="99"/>
    <w:unhideWhenUsed/>
    <w:rsid w:val="00D252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2A8"/>
  </w:style>
  <w:style w:type="table" w:styleId="TableGrid">
    <w:name w:val="Table Grid"/>
    <w:basedOn w:val="TableNormal"/>
    <w:uiPriority w:val="39"/>
    <w:rsid w:val="00D252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eedsscp.org.uk/practitioners/working-with-families/early-help" TargetMode="External"/><Relationship Id="rId18" Type="http://schemas.openxmlformats.org/officeDocument/2006/relationships/hyperlink" Target="https://assets.publishing.service.gov.uk/media/6849a7b67cba25f610c7db3f/Working_together_to_safeguard_children_2023_-_statutory_guidance.pdf"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leeds.gov.uk/one-minute-guides/early-help" TargetMode="External"/><Relationship Id="rId17" Type="http://schemas.openxmlformats.org/officeDocument/2006/relationships/hyperlink" Target="https://ebookcentral.proquest.com/lib/trinity/reader.action?c=UERG&amp;docID=6933832&amp;ppg=4" TargetMode="External"/><Relationship Id="rId2" Type="http://schemas.openxmlformats.org/officeDocument/2006/relationships/customXml" Target="../customXml/item2.xml"/><Relationship Id="rId16" Type="http://schemas.openxmlformats.org/officeDocument/2006/relationships/hyperlink" Target="https://www.towerhamlets.gov.uk/lgnl/health__social_care/children_and_family_care/Early_Help/Early_Help_Hub.aspx"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search-ebsco-com.ezproxy.uwtsd.ac.uk/c/onvpsy/viewer/pdf/inkhwmlhub?route=details" TargetMode="External"/><Relationship Id="rId5" Type="http://schemas.openxmlformats.org/officeDocument/2006/relationships/settings" Target="settings.xml"/><Relationship Id="rId15" Type="http://schemas.openxmlformats.org/officeDocument/2006/relationships/hyperlink" Target="https://www.ons.gov.uk/census/maps/choropleth/identity/main-language-detailed/main-language-detailed-23a/english-english-or-welsh-if-in-wales?lad=E09000030" TargetMode="External"/><Relationship Id="rId10" Type="http://schemas.openxmlformats.org/officeDocument/2006/relationships/hyperlink" Target="https://assets.publishing.service.gov.uk/media/628de13be90e071f5f7e1bd2/Early_Help_System_Guide.pdf"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legislation.gov.uk/ukpga/1989/41/section/47" TargetMode="External"/><Relationship Id="rId14" Type="http://schemas.openxmlformats.org/officeDocument/2006/relationships/hyperlink" Target="https://www.leicestershire.gov.uk/education-and-children/social-care-and-supporting-families/help-for-children-and-famil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efbfa8b5e70fce08343edfe7c557ec7b">
  <xsd:schema xmlns:xsd="http://www.w3.org/2001/XMLSchema" xmlns:xs="http://www.w3.org/2001/XMLSchema" xmlns:p="http://schemas.microsoft.com/office/2006/metadata/properties" xmlns:ns3="6642d537-5170-4cd9-a3f2-9ec198ee3eac" targetNamespace="http://schemas.microsoft.com/office/2006/metadata/properties" ma:root="true" ma:fieldsID="0eee49361882e8a8ff7639c5b72a88d9"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BillingMetadata" ma:index="18"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BDC5CD9E-E885-47AF-A37F-7A20A6923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90E9F9-6428-4F56-B60F-9F126A1D3AD7}">
  <ds:schemaRefs>
    <ds:schemaRef ds:uri="http://schemas.microsoft.com/sharepoint/v3/contenttype/forms"/>
  </ds:schemaRefs>
</ds:datastoreItem>
</file>

<file path=customXml/itemProps3.xml><?xml version="1.0" encoding="utf-8"?>
<ds:datastoreItem xmlns:ds="http://schemas.openxmlformats.org/officeDocument/2006/customXml" ds:itemID="{1C34AABB-C6A0-487E-B851-66BB7F44C275}">
  <ds:schemaRefs>
    <ds:schemaRef ds:uri="http://purl.org/dc/dcmitype/"/>
    <ds:schemaRef ds:uri="http://purl.org/dc/elements/1.1/"/>
    <ds:schemaRef ds:uri="http://www.w3.org/XML/1998/namespace"/>
    <ds:schemaRef ds:uri="http://schemas.microsoft.com/office/2006/documentManagement/types"/>
    <ds:schemaRef ds:uri="http://schemas.openxmlformats.org/package/2006/metadata/core-properties"/>
    <ds:schemaRef ds:uri="http://schemas.microsoft.com/office/2006/metadata/properties"/>
    <ds:schemaRef ds:uri="http://schemas.microsoft.com/office/infopath/2007/PartnerControls"/>
    <ds:schemaRef ds:uri="6642d537-5170-4cd9-a3f2-9ec198ee3eac"/>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313</TotalTime>
  <Pages>10</Pages>
  <Words>3149</Words>
  <Characters>16533</Characters>
  <Application>Microsoft Office Word</Application>
  <DocSecurity>0</DocSecurity>
  <Lines>533</Lines>
  <Paragraphs>615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Cherelle Moran (2328226)</dc:creator>
  <cp:keywords/>
  <dc:description/>
  <cp:lastModifiedBy>Cherelle Moran (2328226)</cp:lastModifiedBy>
  <cp:revision>1</cp:revision>
  <dcterms:created xsi:type="dcterms:W3CDTF">2025-11-25T15:20:00Z</dcterms:created>
  <dcterms:modified xsi:type="dcterms:W3CDTF">2025-11-25T21:26:00Z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e7f068c8-4f42-477a-aa82-fbfc23a86028</vt:lpwstr>
  </property>
  <property fmtid="{D5CDD505-2E9C-101B-9397-08002B2CF9AE}" pid="3" name="ContentTypeId">
    <vt:lpwstr>0x010100E3345881D5A19F4FA532CBA535E9E684</vt:lpwstr>
  </property>
</Properties>
</file>