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1B29F7E8" w:rsidR="00DD5969" w:rsidRPr="00CC14F3" w:rsidRDefault="00DD5969" w:rsidP="00DD5969">
      <w:pPr>
        <w:spacing w:before="212"/>
        <w:rPr>
          <w:rFonts w:ascii="Arial"/>
          <w:b/>
          <w:sz w:val="48"/>
          <w:szCs w:val="48"/>
        </w:rPr>
      </w:pPr>
      <w:r w:rsidRPr="00CC14F3">
        <w:rPr>
          <w:rFonts w:ascii="Arial"/>
          <w:b/>
          <w:sz w:val="48"/>
          <w:szCs w:val="48"/>
        </w:rPr>
        <w:t>MODULE CODE:</w:t>
      </w:r>
      <w:r w:rsidR="0000375B" w:rsidRPr="00CC14F3">
        <w:rPr>
          <w:rFonts w:ascii="Arial"/>
          <w:b/>
          <w:sz w:val="48"/>
          <w:szCs w:val="48"/>
        </w:rPr>
        <w:t>EC</w:t>
      </w:r>
      <w:r w:rsidR="00CC14F3">
        <w:rPr>
          <w:rFonts w:ascii="Arial"/>
          <w:b/>
          <w:sz w:val="48"/>
          <w:szCs w:val="48"/>
        </w:rPr>
        <w:t>EW</w:t>
      </w:r>
      <w:r w:rsidR="00B332B3">
        <w:rPr>
          <w:rFonts w:ascii="Arial"/>
          <w:b/>
          <w:sz w:val="48"/>
          <w:szCs w:val="48"/>
        </w:rPr>
        <w:t>7</w:t>
      </w:r>
      <w:r w:rsidR="007B3F31">
        <w:rPr>
          <w:rFonts w:ascii="Arial"/>
          <w:b/>
          <w:sz w:val="48"/>
          <w:szCs w:val="48"/>
        </w:rPr>
        <w:t>001</w:t>
      </w:r>
    </w:p>
    <w:p w14:paraId="5051A2D5" w14:textId="77777777" w:rsidR="00347EA1" w:rsidRPr="00CC14F3" w:rsidRDefault="00347EA1" w:rsidP="00DD5969">
      <w:pPr>
        <w:spacing w:before="212"/>
        <w:rPr>
          <w:rFonts w:ascii="Arial"/>
          <w:b/>
          <w:sz w:val="48"/>
          <w:szCs w:val="48"/>
        </w:rPr>
      </w:pPr>
    </w:p>
    <w:p w14:paraId="7681432B" w14:textId="536DCDAE" w:rsidR="00DD5969" w:rsidRPr="00DD5969" w:rsidRDefault="00DD5969" w:rsidP="00DD5969">
      <w:pPr>
        <w:spacing w:before="3"/>
        <w:rPr>
          <w:rFonts w:ascii="Arial"/>
          <w:b/>
          <w:sz w:val="48"/>
          <w:szCs w:val="48"/>
        </w:rPr>
      </w:pPr>
      <w:r w:rsidRPr="00DD5969">
        <w:rPr>
          <w:rFonts w:ascii="Arial"/>
          <w:b/>
          <w:sz w:val="48"/>
          <w:szCs w:val="48"/>
        </w:rPr>
        <w:t>STUDENT NAME:</w:t>
      </w:r>
      <w:r w:rsidR="00DC2182">
        <w:rPr>
          <w:rFonts w:ascii="Arial"/>
          <w:b/>
          <w:sz w:val="48"/>
          <w:szCs w:val="48"/>
        </w:rPr>
        <w:t xml:space="preserve"> Jennifer Davies</w:t>
      </w:r>
    </w:p>
    <w:p w14:paraId="0D16D138" w14:textId="77777777" w:rsidR="00DD5969" w:rsidRPr="00DD5969" w:rsidRDefault="00DD5969" w:rsidP="00DD5969">
      <w:pPr>
        <w:spacing w:before="3"/>
        <w:rPr>
          <w:rFonts w:ascii="Arial"/>
          <w:b/>
          <w:sz w:val="48"/>
          <w:szCs w:val="48"/>
        </w:rPr>
      </w:pPr>
    </w:p>
    <w:p w14:paraId="18107AFF" w14:textId="2CA99168" w:rsid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DC2182">
        <w:rPr>
          <w:rFonts w:ascii="Arial"/>
          <w:b/>
          <w:sz w:val="48"/>
          <w:szCs w:val="48"/>
        </w:rPr>
        <w:t xml:space="preserve"> 2314167</w:t>
      </w:r>
    </w:p>
    <w:p w14:paraId="5E385E18" w14:textId="77777777" w:rsidR="00CC14F3" w:rsidRDefault="00CC14F3" w:rsidP="00DD5969">
      <w:pPr>
        <w:spacing w:before="3"/>
        <w:rPr>
          <w:rFonts w:ascii="Arial"/>
          <w:b/>
          <w:sz w:val="48"/>
          <w:szCs w:val="48"/>
        </w:rPr>
      </w:pPr>
    </w:p>
    <w:p w14:paraId="1EB1A974" w14:textId="59029072" w:rsidR="00CC14F3" w:rsidRPr="003B3C27" w:rsidRDefault="00CC14F3" w:rsidP="007B3F31">
      <w:pPr>
        <w:spacing w:before="3"/>
        <w:rPr>
          <w:rFonts w:ascii="Arial"/>
          <w:b/>
        </w:rPr>
      </w:pPr>
      <w:r>
        <w:rPr>
          <w:rFonts w:ascii="Arial"/>
          <w:b/>
          <w:sz w:val="48"/>
          <w:szCs w:val="48"/>
        </w:rPr>
        <w:t>ASSIGNMENT TITLE:</w:t>
      </w:r>
      <w:r w:rsidR="00DC2182">
        <w:rPr>
          <w:rFonts w:ascii="Arial"/>
          <w:b/>
          <w:sz w:val="48"/>
          <w:szCs w:val="48"/>
        </w:rPr>
        <w:t xml:space="preserve"> ARES</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1B36D2E7" w14:textId="77777777" w:rsidR="00EB4889" w:rsidRPr="00F94807" w:rsidRDefault="00EB4889" w:rsidP="00EB4889">
      <w:pPr>
        <w:pStyle w:val="Heading2"/>
        <w:ind w:left="567" w:firstLine="142"/>
        <w:rPr>
          <w:rFonts w:asciiTheme="minorBidi" w:hAnsiTheme="minorBidi" w:cstheme="minorBidi"/>
          <w:sz w:val="22"/>
          <w:szCs w:val="22"/>
        </w:rPr>
      </w:pPr>
      <w:r w:rsidRPr="00F94807">
        <w:rPr>
          <w:rFonts w:asciiTheme="minorBidi" w:hAnsiTheme="minorBidi" w:cstheme="minorBidi"/>
          <w:sz w:val="22"/>
          <w:szCs w:val="22"/>
        </w:rPr>
        <w:lastRenderedPageBreak/>
        <w:t>Use of Generative AI in Assessment</w:t>
      </w:r>
    </w:p>
    <w:p w14:paraId="0D2523A3" w14:textId="6E668092" w:rsidR="00EB4889" w:rsidRPr="00F94807" w:rsidRDefault="00EB4889" w:rsidP="00C45605">
      <w:pPr>
        <w:rPr>
          <w:rFonts w:asciiTheme="minorBidi" w:hAnsiTheme="minorBidi"/>
          <w:sz w:val="22"/>
          <w:szCs w:val="22"/>
          <w:highlight w:val="yellow"/>
        </w:rPr>
      </w:pPr>
      <w:r w:rsidRPr="00F94807">
        <w:rPr>
          <w:rFonts w:asciiTheme="minorBid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EB4889" w:rsidRPr="00F94807" w14:paraId="7F4F1A0D" w14:textId="77777777" w:rsidTr="00EC3E0E">
        <w:trPr>
          <w:trHeight w:val="300"/>
        </w:trPr>
        <w:tc>
          <w:tcPr>
            <w:tcW w:w="2250" w:type="dxa"/>
            <w:tcMar>
              <w:left w:w="105" w:type="dxa"/>
              <w:right w:w="105" w:type="dxa"/>
            </w:tcMar>
          </w:tcPr>
          <w:p w14:paraId="64D4D78A"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RESEARCH</w:t>
            </w:r>
          </w:p>
        </w:tc>
        <w:tc>
          <w:tcPr>
            <w:tcW w:w="5397" w:type="dxa"/>
            <w:tcMar>
              <w:left w:w="105" w:type="dxa"/>
              <w:right w:w="105" w:type="dxa"/>
            </w:tcMar>
          </w:tcPr>
          <w:p w14:paraId="545DB33B"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support you in research, including searching for bibliography, using tools to summarise, compare and interrogate materials.</w:t>
            </w:r>
          </w:p>
        </w:tc>
        <w:tc>
          <w:tcPr>
            <w:tcW w:w="1417" w:type="dxa"/>
          </w:tcPr>
          <w:p w14:paraId="29B1C011"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2132582787"/>
                <w14:checkbox>
                  <w14:checked w14:val="1"/>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p w14:paraId="232219A7" w14:textId="77777777" w:rsidR="00EB4889" w:rsidRPr="00F94807" w:rsidRDefault="00EB4889" w:rsidP="00EC3E0E">
            <w:pPr>
              <w:rPr>
                <w:rFonts w:asciiTheme="minorBidi" w:eastAsia="Calibri" w:hAnsiTheme="minorBidi"/>
                <w:sz w:val="22"/>
                <w:szCs w:val="22"/>
              </w:rPr>
            </w:pPr>
          </w:p>
          <w:p w14:paraId="6E3EEE76"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232746510"/>
                <w14:checkbox>
                  <w14:checked w14:val="0"/>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tc>
      </w:tr>
      <w:tr w:rsidR="00EB4889" w:rsidRPr="00F94807" w14:paraId="5CBCC7AA" w14:textId="77777777" w:rsidTr="00EC3E0E">
        <w:trPr>
          <w:trHeight w:val="300"/>
        </w:trPr>
        <w:tc>
          <w:tcPr>
            <w:tcW w:w="2250" w:type="dxa"/>
            <w:tcMar>
              <w:left w:w="105" w:type="dxa"/>
              <w:right w:w="105" w:type="dxa"/>
            </w:tcMar>
          </w:tcPr>
          <w:p w14:paraId="18A76839"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STRUCTURE</w:t>
            </w:r>
          </w:p>
        </w:tc>
        <w:tc>
          <w:tcPr>
            <w:tcW w:w="5397" w:type="dxa"/>
            <w:tcMar>
              <w:left w:w="105" w:type="dxa"/>
              <w:right w:w="105" w:type="dxa"/>
            </w:tcMar>
          </w:tcPr>
          <w:p w14:paraId="69562427"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support you in structuring your submission, including creating a draft argument structure, identifying parts and headings, etc.</w:t>
            </w:r>
          </w:p>
        </w:tc>
        <w:tc>
          <w:tcPr>
            <w:tcW w:w="1417" w:type="dxa"/>
          </w:tcPr>
          <w:p w14:paraId="28B5D704"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963106295"/>
                <w14:checkbox>
                  <w14:checked w14:val="1"/>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p w14:paraId="63068F0A" w14:textId="77777777" w:rsidR="00EB4889" w:rsidRPr="00F94807" w:rsidRDefault="00EB4889" w:rsidP="00EC3E0E">
            <w:pPr>
              <w:rPr>
                <w:rFonts w:asciiTheme="minorBidi" w:eastAsia="Calibri" w:hAnsiTheme="minorBidi"/>
                <w:sz w:val="22"/>
                <w:szCs w:val="22"/>
              </w:rPr>
            </w:pPr>
          </w:p>
          <w:p w14:paraId="0DAA63A1"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770765072"/>
                <w14:checkbox>
                  <w14:checked w14:val="0"/>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tc>
      </w:tr>
      <w:tr w:rsidR="00EB4889" w:rsidRPr="00F94807" w14:paraId="3DF06371" w14:textId="77777777" w:rsidTr="00EC3E0E">
        <w:trPr>
          <w:trHeight w:val="300"/>
        </w:trPr>
        <w:tc>
          <w:tcPr>
            <w:tcW w:w="2250" w:type="dxa"/>
            <w:tcMar>
              <w:left w:w="105" w:type="dxa"/>
              <w:right w:w="105" w:type="dxa"/>
            </w:tcMar>
          </w:tcPr>
          <w:p w14:paraId="5144BD18"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PROOFREADING</w:t>
            </w:r>
          </w:p>
        </w:tc>
        <w:tc>
          <w:tcPr>
            <w:tcW w:w="5397" w:type="dxa"/>
            <w:tcMar>
              <w:left w:w="105" w:type="dxa"/>
              <w:right w:w="105" w:type="dxa"/>
            </w:tcMar>
          </w:tcPr>
          <w:p w14:paraId="5517109E"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check your own text/creation for grammatical and syntactical mistakes, including rephrasing of your own work within specific standards.</w:t>
            </w:r>
          </w:p>
        </w:tc>
        <w:tc>
          <w:tcPr>
            <w:tcW w:w="1417" w:type="dxa"/>
          </w:tcPr>
          <w:p w14:paraId="70E56180"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324893659"/>
                <w14:checkbox>
                  <w14:checked w14:val="1"/>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p w14:paraId="2ADA5F1E" w14:textId="77777777" w:rsidR="00EB4889" w:rsidRPr="00F94807" w:rsidRDefault="00EB4889" w:rsidP="00EC3E0E">
            <w:pPr>
              <w:rPr>
                <w:rFonts w:asciiTheme="minorBidi" w:eastAsia="Calibri" w:hAnsiTheme="minorBidi"/>
                <w:sz w:val="22"/>
                <w:szCs w:val="22"/>
              </w:rPr>
            </w:pPr>
          </w:p>
          <w:p w14:paraId="167FBFDE"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2147112077"/>
                <w14:checkbox>
                  <w14:checked w14:val="0"/>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tc>
      </w:tr>
      <w:tr w:rsidR="00EB4889" w:rsidRPr="00F94807" w14:paraId="37F53F84" w14:textId="77777777" w:rsidTr="00EC3E0E">
        <w:trPr>
          <w:trHeight w:val="300"/>
        </w:trPr>
        <w:tc>
          <w:tcPr>
            <w:tcW w:w="2250" w:type="dxa"/>
            <w:tcMar>
              <w:left w:w="105" w:type="dxa"/>
              <w:right w:w="105" w:type="dxa"/>
            </w:tcMar>
          </w:tcPr>
          <w:p w14:paraId="4A23BDF1"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WRITING</w:t>
            </w:r>
          </w:p>
        </w:tc>
        <w:tc>
          <w:tcPr>
            <w:tcW w:w="5397" w:type="dxa"/>
            <w:tcMar>
              <w:left w:w="105" w:type="dxa"/>
              <w:right w:w="105" w:type="dxa"/>
            </w:tcMar>
          </w:tcPr>
          <w:p w14:paraId="583AA2DC"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create text for submission.</w:t>
            </w:r>
          </w:p>
        </w:tc>
        <w:tc>
          <w:tcPr>
            <w:tcW w:w="1417" w:type="dxa"/>
          </w:tcPr>
          <w:p w14:paraId="5C86C9BB"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369145368"/>
                <w14:checkbox>
                  <w14:checked w14:val="0"/>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p w14:paraId="39F5F5C8" w14:textId="77777777" w:rsidR="00EB4889" w:rsidRPr="00F94807" w:rsidRDefault="00EB4889" w:rsidP="00EC3E0E">
            <w:pPr>
              <w:rPr>
                <w:rFonts w:asciiTheme="minorBidi" w:eastAsia="Calibri" w:hAnsiTheme="minorBidi"/>
                <w:sz w:val="22"/>
                <w:szCs w:val="22"/>
              </w:rPr>
            </w:pPr>
          </w:p>
          <w:p w14:paraId="2BE2D43F"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362739539"/>
                <w14:checkbox>
                  <w14:checked w14:val="1"/>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tc>
      </w:tr>
      <w:tr w:rsidR="00EB4889" w:rsidRPr="00F94807" w14:paraId="77EC790D" w14:textId="77777777" w:rsidTr="00EC3E0E">
        <w:trPr>
          <w:trHeight w:val="300"/>
        </w:trPr>
        <w:tc>
          <w:tcPr>
            <w:tcW w:w="2250" w:type="dxa"/>
            <w:tcMar>
              <w:left w:w="105" w:type="dxa"/>
              <w:right w:w="105" w:type="dxa"/>
            </w:tcMar>
          </w:tcPr>
          <w:p w14:paraId="5692817F"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CREATIVE</w:t>
            </w:r>
          </w:p>
        </w:tc>
        <w:tc>
          <w:tcPr>
            <w:tcW w:w="5397" w:type="dxa"/>
            <w:tcMar>
              <w:left w:w="105" w:type="dxa"/>
              <w:right w:w="105" w:type="dxa"/>
            </w:tcMar>
          </w:tcPr>
          <w:p w14:paraId="4D7EB71C"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create creative materials, such as images.</w:t>
            </w:r>
          </w:p>
        </w:tc>
        <w:tc>
          <w:tcPr>
            <w:tcW w:w="1417" w:type="dxa"/>
          </w:tcPr>
          <w:p w14:paraId="11437C13"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2010552085"/>
                <w14:checkbox>
                  <w14:checked w14:val="0"/>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p w14:paraId="64FBA2A4" w14:textId="77777777" w:rsidR="00EB4889" w:rsidRPr="00F94807" w:rsidRDefault="00EB4889" w:rsidP="00EC3E0E">
            <w:pPr>
              <w:rPr>
                <w:rFonts w:asciiTheme="minorBidi" w:eastAsia="Calibri" w:hAnsiTheme="minorBidi"/>
                <w:sz w:val="22"/>
                <w:szCs w:val="22"/>
              </w:rPr>
            </w:pPr>
          </w:p>
          <w:p w14:paraId="249B6132"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717855451"/>
                <w14:checkbox>
                  <w14:checked w14:val="1"/>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tc>
      </w:tr>
      <w:tr w:rsidR="00EB4889" w:rsidRPr="00F94807" w14:paraId="01E8431B" w14:textId="77777777" w:rsidTr="00EC3E0E">
        <w:trPr>
          <w:trHeight w:val="300"/>
        </w:trPr>
        <w:tc>
          <w:tcPr>
            <w:tcW w:w="2250" w:type="dxa"/>
            <w:tcMar>
              <w:left w:w="105" w:type="dxa"/>
              <w:right w:w="105" w:type="dxa"/>
            </w:tcMar>
          </w:tcPr>
          <w:p w14:paraId="45ECE946" w14:textId="77777777" w:rsidR="00EB4889" w:rsidRPr="00F94807" w:rsidRDefault="00EB4889" w:rsidP="00EC3E0E">
            <w:pPr>
              <w:spacing w:line="259" w:lineRule="auto"/>
              <w:rPr>
                <w:rFonts w:asciiTheme="minorBidi" w:hAnsiTheme="minorBidi"/>
                <w:sz w:val="22"/>
                <w:szCs w:val="22"/>
              </w:rPr>
            </w:pPr>
            <w:r w:rsidRPr="00F94807">
              <w:rPr>
                <w:rFonts w:asciiTheme="minorBidi" w:eastAsia="Calibri" w:hAnsiTheme="minorBidi"/>
                <w:sz w:val="22"/>
                <w:szCs w:val="22"/>
              </w:rPr>
              <w:t>PROGRAMING</w:t>
            </w:r>
          </w:p>
        </w:tc>
        <w:tc>
          <w:tcPr>
            <w:tcW w:w="5397" w:type="dxa"/>
            <w:tcMar>
              <w:left w:w="105" w:type="dxa"/>
              <w:right w:w="105" w:type="dxa"/>
            </w:tcMar>
          </w:tcPr>
          <w:p w14:paraId="2CBDFE85"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create and check code.</w:t>
            </w:r>
          </w:p>
        </w:tc>
        <w:tc>
          <w:tcPr>
            <w:tcW w:w="1417" w:type="dxa"/>
          </w:tcPr>
          <w:p w14:paraId="0FD9F0DD"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136687853"/>
                <w14:checkbox>
                  <w14:checked w14:val="0"/>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p w14:paraId="36F9F8C5" w14:textId="77777777" w:rsidR="00EB4889" w:rsidRPr="00F94807" w:rsidRDefault="00EB4889" w:rsidP="00EC3E0E">
            <w:pPr>
              <w:rPr>
                <w:rFonts w:asciiTheme="minorBidi" w:eastAsia="Calibri" w:hAnsiTheme="minorBidi"/>
                <w:sz w:val="22"/>
                <w:szCs w:val="22"/>
              </w:rPr>
            </w:pPr>
          </w:p>
          <w:p w14:paraId="2EC97708"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648559774"/>
                <w14:checkbox>
                  <w14:checked w14:val="1"/>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tc>
      </w:tr>
      <w:tr w:rsidR="00EB4889" w:rsidRPr="00F94807" w14:paraId="3585DE92" w14:textId="77777777" w:rsidTr="00EC3E0E">
        <w:trPr>
          <w:trHeight w:val="300"/>
        </w:trPr>
        <w:tc>
          <w:tcPr>
            <w:tcW w:w="2250" w:type="dxa"/>
            <w:tcMar>
              <w:left w:w="105" w:type="dxa"/>
              <w:right w:w="105" w:type="dxa"/>
            </w:tcMar>
          </w:tcPr>
          <w:p w14:paraId="46630414"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NONE</w:t>
            </w:r>
          </w:p>
        </w:tc>
        <w:tc>
          <w:tcPr>
            <w:tcW w:w="5397" w:type="dxa"/>
            <w:tcMar>
              <w:left w:w="105" w:type="dxa"/>
              <w:right w:w="105" w:type="dxa"/>
            </w:tcMar>
          </w:tcPr>
          <w:p w14:paraId="5FA03F9E"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 xml:space="preserve">For this assessment, you are not allowed to use </w:t>
            </w:r>
            <w:r w:rsidRPr="00F94807">
              <w:rPr>
                <w:rFonts w:asciiTheme="minorBidi" w:eastAsia="Calibri" w:hAnsiTheme="minorBidi"/>
                <w:b/>
                <w:bCs/>
                <w:sz w:val="22"/>
                <w:szCs w:val="22"/>
              </w:rPr>
              <w:t>any</w:t>
            </w:r>
            <w:r w:rsidRPr="00F94807">
              <w:rPr>
                <w:rFonts w:asciiTheme="minorBidi" w:eastAsia="Calibri" w:hAnsiTheme="minorBidi"/>
                <w:sz w:val="22"/>
                <w:szCs w:val="22"/>
              </w:rPr>
              <w:t xml:space="preserve"> type of Generative AI support. This includes research support, structure support, writing/proofreading support and creative support.</w:t>
            </w:r>
          </w:p>
        </w:tc>
        <w:tc>
          <w:tcPr>
            <w:tcW w:w="1417" w:type="dxa"/>
          </w:tcPr>
          <w:p w14:paraId="21B584C4"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610168832"/>
                <w14:checkbox>
                  <w14:checked w14:val="0"/>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p w14:paraId="4BB30A0D" w14:textId="77777777" w:rsidR="00EB4889" w:rsidRPr="00F94807" w:rsidRDefault="00EB4889" w:rsidP="00EC3E0E">
            <w:pPr>
              <w:rPr>
                <w:rFonts w:asciiTheme="minorBidi" w:eastAsia="Calibri" w:hAnsiTheme="minorBidi"/>
                <w:sz w:val="22"/>
                <w:szCs w:val="22"/>
              </w:rPr>
            </w:pPr>
          </w:p>
          <w:p w14:paraId="2E956D11"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628280607"/>
                <w14:checkbox>
                  <w14:checked w14:val="1"/>
                  <w14:checkedState w14:val="2612" w14:font="MS Gothic"/>
                  <w14:uncheckedState w14:val="2610" w14:font="MS Gothic"/>
                </w14:checkbox>
              </w:sdtPr>
              <w:sdtEndPr/>
              <w:sdtContent>
                <w:r w:rsidRPr="00F94807">
                  <w:rPr>
                    <w:rFonts w:ascii="Segoe UI Symbol" w:eastAsia="MS Gothic" w:hAnsi="Segoe UI Symbol" w:cs="Segoe UI Symbol"/>
                    <w:sz w:val="22"/>
                    <w:szCs w:val="22"/>
                  </w:rPr>
                  <w:t>☒</w:t>
                </w:r>
              </w:sdtContent>
            </w:sdt>
          </w:p>
        </w:tc>
      </w:tr>
    </w:tbl>
    <w:p w14:paraId="6BB8661F" w14:textId="77777777" w:rsidR="00EB4889" w:rsidRPr="00F94807" w:rsidRDefault="00EB4889" w:rsidP="00EB4889">
      <w:pPr>
        <w:ind w:left="720"/>
        <w:rPr>
          <w:rFonts w:asciiTheme="minorBidi" w:hAnsiTheme="minorBidi"/>
        </w:rPr>
      </w:pPr>
    </w:p>
    <w:p w14:paraId="5A38292B" w14:textId="680FA23E" w:rsidR="00B103B9" w:rsidRDefault="00B103B9" w:rsidP="003B3C27">
      <w:pPr>
        <w:rPr>
          <w:rFonts w:asciiTheme="minorBidi" w:hAnsiTheme="minorBidi"/>
          <w:b/>
          <w:bCs/>
          <w:sz w:val="32"/>
          <w:szCs w:val="32"/>
          <w:u w:val="single"/>
        </w:rPr>
      </w:pPr>
      <w:r w:rsidRPr="00F94807">
        <w:rPr>
          <w:rFonts w:asciiTheme="minorBidi" w:hAnsiTheme="minorBidi"/>
          <w:b/>
          <w:bCs/>
          <w:sz w:val="32"/>
          <w:szCs w:val="32"/>
          <w:u w:val="single"/>
        </w:rPr>
        <w:t>AI Acknowledgement</w:t>
      </w:r>
    </w:p>
    <w:p w14:paraId="4008D193" w14:textId="77777777" w:rsidR="00E243A8" w:rsidRPr="00F94807" w:rsidRDefault="00DD5969" w:rsidP="00DD5969">
      <w:pPr>
        <w:rPr>
          <w:rFonts w:asciiTheme="minorBidi" w:hAnsiTheme="minorBidi"/>
        </w:rPr>
      </w:pPr>
      <w:r w:rsidRPr="00F94807">
        <w:rPr>
          <w:rFonts w:asciiTheme="minorBidi" w:hAnsiTheme="minorBidi"/>
        </w:rPr>
        <w:t xml:space="preserve">I confirm that I have not presented any AI generated text as my own work. </w:t>
      </w:r>
    </w:p>
    <w:p w14:paraId="5A92B887" w14:textId="526C495E" w:rsidR="00EB4889" w:rsidRDefault="00EB4889" w:rsidP="00DD5969">
      <w:pPr>
        <w:rPr>
          <w:rFonts w:asciiTheme="minorBidi" w:hAnsiTheme="minorBidi"/>
        </w:rPr>
      </w:pPr>
    </w:p>
    <w:p w14:paraId="1F4780D4" w14:textId="15260B27" w:rsidR="00DC2182" w:rsidRDefault="00DC2182" w:rsidP="00DD5969">
      <w:pPr>
        <w:rPr>
          <w:rFonts w:asciiTheme="minorBidi" w:hAnsiTheme="minorBidi"/>
        </w:rPr>
      </w:pPr>
    </w:p>
    <w:p w14:paraId="6F868B3E" w14:textId="1798AC95" w:rsidR="00DC2182" w:rsidRDefault="00DC2182" w:rsidP="00DD5969">
      <w:pPr>
        <w:rPr>
          <w:rFonts w:asciiTheme="minorBidi" w:hAnsiTheme="minorBidi"/>
        </w:rPr>
      </w:pPr>
    </w:p>
    <w:p w14:paraId="572188B3" w14:textId="3C861A30" w:rsidR="00DC2182" w:rsidRDefault="00DC2182" w:rsidP="00DD5969">
      <w:pPr>
        <w:rPr>
          <w:rFonts w:asciiTheme="minorBidi" w:hAnsiTheme="minorBidi"/>
        </w:rPr>
      </w:pPr>
    </w:p>
    <w:p w14:paraId="7FA77122" w14:textId="55AC336A" w:rsidR="00DC2182" w:rsidRDefault="00DC2182" w:rsidP="00DD5969">
      <w:pPr>
        <w:rPr>
          <w:rFonts w:asciiTheme="minorBidi" w:hAnsiTheme="minorBidi"/>
        </w:rPr>
      </w:pPr>
    </w:p>
    <w:p w14:paraId="4A3D5255" w14:textId="2D8C6524" w:rsidR="00DC2182" w:rsidRDefault="00DC2182" w:rsidP="00DD5969">
      <w:pPr>
        <w:rPr>
          <w:rFonts w:asciiTheme="minorBidi" w:hAnsiTheme="minorBidi"/>
        </w:rPr>
      </w:pPr>
    </w:p>
    <w:p w14:paraId="7E10DCE2" w14:textId="67F6BCE4" w:rsidR="00DC2182" w:rsidRDefault="00DC2182" w:rsidP="00DD5969">
      <w:pPr>
        <w:rPr>
          <w:rFonts w:asciiTheme="minorBidi" w:hAnsiTheme="minorBidi"/>
        </w:rPr>
      </w:pPr>
    </w:p>
    <w:p w14:paraId="7FB95B27" w14:textId="04EAEFB1" w:rsidR="00DC2182" w:rsidRDefault="00DC2182" w:rsidP="00DD5969">
      <w:pPr>
        <w:rPr>
          <w:rFonts w:asciiTheme="minorBidi" w:hAnsiTheme="minorBidi"/>
        </w:rPr>
      </w:pPr>
    </w:p>
    <w:p w14:paraId="43FA0AFA" w14:textId="6A840311" w:rsidR="00DC2182" w:rsidRDefault="00DC2182" w:rsidP="00DD5969">
      <w:pPr>
        <w:rPr>
          <w:rFonts w:asciiTheme="minorBidi" w:hAnsiTheme="minorBidi"/>
        </w:rPr>
      </w:pPr>
    </w:p>
    <w:p w14:paraId="657692BE" w14:textId="10E86EA0" w:rsidR="00DC2182" w:rsidRDefault="00DC2182" w:rsidP="00DD5969">
      <w:pPr>
        <w:rPr>
          <w:rFonts w:asciiTheme="minorBidi" w:hAnsiTheme="minorBidi"/>
        </w:rPr>
      </w:pPr>
    </w:p>
    <w:p w14:paraId="6FE652DC" w14:textId="77777777" w:rsidR="00DC2182" w:rsidRDefault="00DC2182" w:rsidP="00DC2182">
      <w:pPr>
        <w:shd w:val="clear" w:color="auto" w:fill="FFFFFF" w:themeFill="background1"/>
        <w:spacing w:after="0"/>
        <w:jc w:val="center"/>
        <w:rPr>
          <w:rFonts w:ascii="Arial" w:eastAsia="Arial" w:hAnsi="Arial" w:cs="Arial"/>
          <w:b/>
          <w:bCs/>
          <w:color w:val="000000" w:themeColor="text1"/>
          <w:sz w:val="32"/>
          <w:szCs w:val="32"/>
        </w:rPr>
      </w:pPr>
      <w:r w:rsidRPr="197EFE37">
        <w:rPr>
          <w:rFonts w:ascii="Arial" w:eastAsia="Arial" w:hAnsi="Arial" w:cs="Arial"/>
          <w:b/>
          <w:bCs/>
          <w:color w:val="000000" w:themeColor="text1"/>
          <w:sz w:val="32"/>
          <w:szCs w:val="32"/>
        </w:rPr>
        <w:lastRenderedPageBreak/>
        <w:t>Will real-life context increase student interest and participation in guided inquiry learning allowing for the significant development of scientific literacy in Year 12 AS chemistry students?</w:t>
      </w:r>
    </w:p>
    <w:p w14:paraId="7205BF59" w14:textId="77777777" w:rsidR="00DC2182" w:rsidRDefault="00DC2182" w:rsidP="00DC2182">
      <w:pPr>
        <w:shd w:val="clear" w:color="auto" w:fill="FFFFFF" w:themeFill="background1"/>
        <w:spacing w:after="0"/>
        <w:rPr>
          <w:rFonts w:ascii="Aptos" w:eastAsia="Aptos" w:hAnsi="Aptos" w:cs="Aptos"/>
          <w:b/>
          <w:bCs/>
          <w:color w:val="3B204D"/>
          <w:lang w:val="en-US"/>
        </w:rPr>
      </w:pPr>
    </w:p>
    <w:p w14:paraId="618ABC3B" w14:textId="77777777" w:rsidR="00DC2182" w:rsidRDefault="00DC2182" w:rsidP="00DC2182">
      <w:pPr>
        <w:shd w:val="clear" w:color="auto" w:fill="FFFFFF" w:themeFill="background1"/>
        <w:spacing w:after="0"/>
        <w:rPr>
          <w:rFonts w:ascii="Aptos" w:eastAsia="Aptos" w:hAnsi="Aptos" w:cs="Aptos"/>
          <w:color w:val="C82613"/>
        </w:rPr>
      </w:pPr>
      <w:r w:rsidRPr="197EFE37">
        <w:rPr>
          <w:rFonts w:ascii="Arial" w:eastAsia="Arial" w:hAnsi="Arial" w:cs="Arial"/>
          <w:b/>
          <w:bCs/>
          <w:sz w:val="28"/>
          <w:szCs w:val="28"/>
        </w:rPr>
        <w:t>Background and Rationale</w:t>
      </w:r>
      <w:r w:rsidRPr="197EFE37">
        <w:rPr>
          <w:rFonts w:ascii="Arial" w:eastAsia="Arial" w:hAnsi="Arial" w:cs="Arial"/>
          <w:b/>
          <w:bCs/>
        </w:rPr>
        <w:t xml:space="preserve"> </w:t>
      </w:r>
    </w:p>
    <w:p w14:paraId="226409DD" w14:textId="7E58EFBF" w:rsidR="00DC2182" w:rsidRDefault="00DC2182" w:rsidP="00DC2182">
      <w:pPr>
        <w:shd w:val="clear" w:color="auto" w:fill="FFFFFF" w:themeFill="background1"/>
        <w:spacing w:after="0"/>
        <w:rPr>
          <w:rFonts w:ascii="Arial" w:eastAsia="Arial" w:hAnsi="Arial" w:cs="Arial"/>
        </w:rPr>
      </w:pPr>
      <w:r w:rsidRPr="197EFE37">
        <w:rPr>
          <w:rFonts w:ascii="Arial" w:eastAsia="Arial" w:hAnsi="Arial" w:cs="Arial"/>
        </w:rPr>
        <w:t>Why do Year 12 AS level chemistry students struggle to understand the content well enough to apply it to exam questions? Why is there a 50% drop out rate from Year 12 to Year 13? Gilbert (2006, cited Saija et al., 2022) identified five issues that impact the studying of chemistry “Curriculum overload, isolated facts, lack of transfer, lack of relevance, and inadequate focus”. Every year most of my AS students struggle to grasp the content well enough to answer exam questions. Students often comment on how biology is the easiest contextually and that physics is the most difficult because of the mathematical demands. Chemistry does require a level of mathematics, and this can prevent some pupils from making progress. But pupils who study A Level maths and physics comment on finding chemistry harder. They know how to complete the calculations but struggle to identify which ones need to be applied.  O’Dwyer &amp; Childs (2017, cited Saija et al., 2022) discuss that students find chemistry difficult to understand and with Eilks &amp; Hofstein (2015, cited Saija et al., 2022) suggest</w:t>
      </w:r>
      <w:r w:rsidR="004F5C44">
        <w:rPr>
          <w:rFonts w:ascii="Arial" w:eastAsia="Arial" w:hAnsi="Arial" w:cs="Arial"/>
        </w:rPr>
        <w:t>ed</w:t>
      </w:r>
      <w:r w:rsidRPr="197EFE37">
        <w:rPr>
          <w:rFonts w:ascii="Arial" w:eastAsia="Arial" w:hAnsi="Arial" w:cs="Arial"/>
        </w:rPr>
        <w:t xml:space="preserve"> pupils do not see the advantage to studying chemistry. In my experience it is rare for students to choose AS chemistry, but it is more likely a career path requirement. </w:t>
      </w:r>
      <w:r w:rsidR="004F5C44" w:rsidRPr="197EFE37">
        <w:rPr>
          <w:rFonts w:ascii="Arial" w:eastAsia="Arial" w:hAnsi="Arial" w:cs="Arial"/>
        </w:rPr>
        <w:t>Therefore,</w:t>
      </w:r>
      <w:r w:rsidRPr="197EFE37">
        <w:rPr>
          <w:rFonts w:ascii="Arial" w:eastAsia="Arial" w:hAnsi="Arial" w:cs="Arial"/>
        </w:rPr>
        <w:t xml:space="preserve"> not seeing the importance of chemistry as a single subject but just a means to an end. The research of Eilks &amp; Hofstein (2017, cited Saija et al., 2022) demonstrated that in many countries students do not see the relevance of chemistry as a single subject. They concluded that the ‘traditional curriculum’ is challenging and does not successfully link with real-life situations has resulted in students negative view of chemistry. Also, the current curriculum “does not help students enhance their scientific literacy skills” (Saija et al., 2022).</w:t>
      </w:r>
    </w:p>
    <w:p w14:paraId="72DB225F" w14:textId="77777777" w:rsidR="00DC2182" w:rsidRDefault="00DC2182" w:rsidP="00DC2182">
      <w:pPr>
        <w:shd w:val="clear" w:color="auto" w:fill="FFFFFF" w:themeFill="background1"/>
        <w:spacing w:after="0"/>
        <w:rPr>
          <w:rFonts w:ascii="Arial" w:eastAsia="Arial" w:hAnsi="Arial" w:cs="Arial"/>
          <w:lang w:val="en-US"/>
        </w:rPr>
      </w:pPr>
    </w:p>
    <w:p w14:paraId="5BC29477" w14:textId="77777777" w:rsidR="00DC2182" w:rsidRDefault="00DC2182" w:rsidP="00DC2182">
      <w:pPr>
        <w:shd w:val="clear" w:color="auto" w:fill="FFFFFF" w:themeFill="background1"/>
        <w:spacing w:after="0"/>
        <w:rPr>
          <w:rFonts w:ascii="Arial" w:eastAsia="Arial" w:hAnsi="Arial" w:cs="Arial"/>
          <w:b/>
          <w:bCs/>
          <w:sz w:val="32"/>
          <w:szCs w:val="32"/>
        </w:rPr>
      </w:pPr>
      <w:r w:rsidRPr="197EFE37">
        <w:rPr>
          <w:rFonts w:ascii="Arial" w:eastAsia="Arial" w:hAnsi="Arial" w:cs="Arial"/>
          <w:b/>
          <w:bCs/>
          <w:sz w:val="28"/>
          <w:szCs w:val="28"/>
        </w:rPr>
        <w:t>Literature review</w:t>
      </w:r>
    </w:p>
    <w:p w14:paraId="52C6801B" w14:textId="77777777" w:rsidR="00DC2182" w:rsidRDefault="00DC2182" w:rsidP="00DC2182">
      <w:pPr>
        <w:shd w:val="clear" w:color="auto" w:fill="FFFFFF" w:themeFill="background1"/>
        <w:spacing w:after="0"/>
        <w:rPr>
          <w:rFonts w:ascii="Arial" w:eastAsia="Arial" w:hAnsi="Arial" w:cs="Arial"/>
          <w:b/>
          <w:bCs/>
          <w:sz w:val="28"/>
          <w:szCs w:val="28"/>
        </w:rPr>
      </w:pPr>
    </w:p>
    <w:p w14:paraId="242D74B6" w14:textId="77777777" w:rsidR="00DC2182" w:rsidRDefault="00DC2182" w:rsidP="00DC2182">
      <w:pPr>
        <w:shd w:val="clear" w:color="auto" w:fill="FFFFFF" w:themeFill="background1"/>
        <w:spacing w:after="0"/>
        <w:rPr>
          <w:rFonts w:ascii="Arial" w:eastAsia="Arial" w:hAnsi="Arial" w:cs="Arial"/>
          <w:sz w:val="28"/>
          <w:szCs w:val="28"/>
          <w:lang w:val="en-US"/>
        </w:rPr>
      </w:pPr>
      <w:r w:rsidRPr="197EFE37">
        <w:rPr>
          <w:rFonts w:ascii="Arial" w:eastAsia="Arial" w:hAnsi="Arial" w:cs="Arial"/>
          <w:b/>
          <w:bCs/>
          <w:sz w:val="28"/>
          <w:szCs w:val="28"/>
        </w:rPr>
        <w:t>What is scientific literacy?</w:t>
      </w:r>
    </w:p>
    <w:p w14:paraId="7EE328FA" w14:textId="77777777" w:rsidR="00DC2182" w:rsidRDefault="00DC2182" w:rsidP="00DC2182">
      <w:pPr>
        <w:shd w:val="clear" w:color="auto" w:fill="FFFFFF" w:themeFill="background1"/>
        <w:spacing w:after="0"/>
        <w:rPr>
          <w:rFonts w:ascii="Arial" w:eastAsia="Arial" w:hAnsi="Arial" w:cs="Arial"/>
          <w:lang w:val="en-US"/>
        </w:rPr>
      </w:pPr>
      <w:r w:rsidRPr="197EFE37">
        <w:rPr>
          <w:rFonts w:ascii="Arial" w:eastAsia="Arial" w:hAnsi="Arial" w:cs="Arial"/>
        </w:rPr>
        <w:t xml:space="preserve">Scientific literacy would suggest a focus on literacy within science, but it is much more than that. Saija et al. (2022) refers to scientific literacy as encompassing scientific knowledge, critical and creative thinking and successful application to every day real life problems. Dani (2019, cited Saija et al., 2022) described it as “knowledge and comprehension of scientific ideas and processes that are required for making decisions and engaging in social, cultural, and economic activities”. “PISA 2015 (OECD, 2015) outlines three core skills for assessing scientific literacy: competency, knowledge, and attitude” (Saija et al., 2022). Li &amp; Guo (2021) refers to scientific literacy as the ability of society to solve the problems behind socioscientific </w:t>
      </w:r>
      <w:r w:rsidRPr="197EFE37">
        <w:rPr>
          <w:rFonts w:ascii="Arial" w:eastAsia="Arial" w:hAnsi="Arial" w:cs="Arial"/>
        </w:rPr>
        <w:lastRenderedPageBreak/>
        <w:t xml:space="preserve">issues that will result in “smart and global citizens (Li &amp; Guo, 2021). How can I develop the scientific literacy of </w:t>
      </w:r>
      <w:bookmarkStart w:id="0" w:name="_Int_fiB20tiP"/>
      <w:r w:rsidRPr="197EFE37">
        <w:rPr>
          <w:rFonts w:ascii="Arial" w:eastAsia="Arial" w:hAnsi="Arial" w:cs="Arial"/>
        </w:rPr>
        <w:t>my</w:t>
      </w:r>
      <w:bookmarkEnd w:id="0"/>
      <w:r w:rsidRPr="197EFE37">
        <w:rPr>
          <w:rFonts w:ascii="Arial" w:eastAsia="Arial" w:hAnsi="Arial" w:cs="Arial"/>
        </w:rPr>
        <w:t xml:space="preserve"> AS chemistry students?</w:t>
      </w:r>
    </w:p>
    <w:p w14:paraId="6BA80E3B" w14:textId="77777777" w:rsidR="00DC2182" w:rsidRDefault="00DC2182" w:rsidP="00DC2182">
      <w:pPr>
        <w:shd w:val="clear" w:color="auto" w:fill="FFFFFF" w:themeFill="background1"/>
        <w:spacing w:after="0"/>
        <w:rPr>
          <w:rFonts w:ascii="Arial" w:eastAsia="Arial" w:hAnsi="Arial" w:cs="Arial"/>
        </w:rPr>
      </w:pPr>
    </w:p>
    <w:p w14:paraId="2936E0C0" w14:textId="77777777" w:rsidR="00DC2182" w:rsidRDefault="00DC2182" w:rsidP="00DC2182">
      <w:pPr>
        <w:shd w:val="clear" w:color="auto" w:fill="FFFFFF" w:themeFill="background1"/>
        <w:spacing w:after="0"/>
        <w:rPr>
          <w:rFonts w:ascii="Arial" w:eastAsia="Arial" w:hAnsi="Arial" w:cs="Arial"/>
          <w:sz w:val="28"/>
          <w:szCs w:val="28"/>
          <w:lang w:val="en-US"/>
        </w:rPr>
      </w:pPr>
      <w:r w:rsidRPr="197EFE37">
        <w:rPr>
          <w:rFonts w:ascii="Arial" w:eastAsia="Arial" w:hAnsi="Arial" w:cs="Arial"/>
          <w:b/>
          <w:bCs/>
          <w:sz w:val="28"/>
          <w:szCs w:val="28"/>
        </w:rPr>
        <w:t>What is critical thinking?</w:t>
      </w:r>
    </w:p>
    <w:p w14:paraId="3958EE35" w14:textId="1620D154" w:rsidR="00DC2182" w:rsidRDefault="00DC2182" w:rsidP="00DC2182">
      <w:pPr>
        <w:shd w:val="clear" w:color="auto" w:fill="FFFFFF" w:themeFill="background1"/>
        <w:spacing w:after="0"/>
        <w:rPr>
          <w:rFonts w:ascii="Arial" w:eastAsia="Arial" w:hAnsi="Arial" w:cs="Arial"/>
        </w:rPr>
      </w:pPr>
      <w:r w:rsidRPr="197EFE37">
        <w:rPr>
          <w:rFonts w:ascii="Arial" w:eastAsia="Arial" w:hAnsi="Arial" w:cs="Arial"/>
        </w:rPr>
        <w:t xml:space="preserve">Critical thinking is a useful life skill and is a key requirement for tackling scientific problems and is considered an intrinsic part of scientific literacy (Saija et al. 2022). More challenging exam questions that do not rely on simple recall require critical thinking. This is a skill my Year 12 students need to develop while completing their chemistry course and in preparation of further education. As already mentioned, Sutinai et al. (2021) completed a study to improve university students critical thinking skills and understanding of the </w:t>
      </w:r>
      <w:r w:rsidR="00F70ED3">
        <w:rPr>
          <w:rFonts w:ascii="Arial" w:eastAsia="Arial" w:hAnsi="Arial" w:cs="Arial"/>
        </w:rPr>
        <w:t>c</w:t>
      </w:r>
      <w:r w:rsidRPr="197EFE37">
        <w:rPr>
          <w:rFonts w:ascii="Arial" w:eastAsia="Arial" w:hAnsi="Arial" w:cs="Arial"/>
        </w:rPr>
        <w:t>hemical kinetics topic. They selected this topic because there is a large proportion of mathematics involved that can be applied to real life problems in industry while considering the impact on the environment. Again, we have context and caring about the environment as mentioned by Saija et al. (2022). Moore (2011) attempted to give a detailed definition of critical thinking in non-science subjects and suggested seven definitional strands. Davies (2013) argues against this and leans towards a more generalist approach and that “critical thinking skills is central to tertiary education, teaching and learning, and employment opportunities for students” (Moore, 2011). List (2021) recognised that there are many different definitions of critical thinking, but one commonality is that it is needed by everyone. List (2021) commented on the fact that students for the most part need to be taught the skill and teachers need to know what it is to be able to do so. List (2021) believes that there is a hierarchy of critical skill development where basic skills must be learnt and established as habit before higher levels of critical thinking can happen. Would an increase in student participation allow for more opportunities to develop critical thinking and scientific literacy?</w:t>
      </w:r>
    </w:p>
    <w:p w14:paraId="23B73388" w14:textId="77777777" w:rsidR="00DC2182" w:rsidRDefault="00DC2182" w:rsidP="00DC2182">
      <w:pPr>
        <w:shd w:val="clear" w:color="auto" w:fill="FFFFFF" w:themeFill="background1"/>
        <w:spacing w:after="0"/>
        <w:rPr>
          <w:rFonts w:ascii="Arial" w:eastAsia="Arial" w:hAnsi="Arial" w:cs="Arial"/>
        </w:rPr>
      </w:pPr>
    </w:p>
    <w:p w14:paraId="4640BECC" w14:textId="77777777" w:rsidR="00DC2182" w:rsidRDefault="00DC2182" w:rsidP="00DC2182">
      <w:pPr>
        <w:shd w:val="clear" w:color="auto" w:fill="FFFFFF" w:themeFill="background1"/>
        <w:spacing w:after="0"/>
        <w:rPr>
          <w:rFonts w:ascii="Arial" w:eastAsia="Arial" w:hAnsi="Arial" w:cs="Arial"/>
          <w:b/>
          <w:bCs/>
          <w:sz w:val="28"/>
          <w:szCs w:val="28"/>
          <w:lang w:val="en-US"/>
        </w:rPr>
      </w:pPr>
      <w:r w:rsidRPr="197EFE37">
        <w:rPr>
          <w:rFonts w:ascii="Arial" w:eastAsia="Arial" w:hAnsi="Arial" w:cs="Arial"/>
          <w:b/>
          <w:bCs/>
          <w:sz w:val="28"/>
          <w:szCs w:val="28"/>
        </w:rPr>
        <w:t>Effectiveness of guided inquiry learning</w:t>
      </w:r>
    </w:p>
    <w:p w14:paraId="3CE48282" w14:textId="3FCA831B" w:rsidR="00DC2182" w:rsidRDefault="00DC2182" w:rsidP="00DC2182">
      <w:pPr>
        <w:shd w:val="clear" w:color="auto" w:fill="FFFFFF" w:themeFill="background1"/>
        <w:spacing w:after="0"/>
        <w:rPr>
          <w:rFonts w:ascii="Arial" w:eastAsia="Arial" w:hAnsi="Arial" w:cs="Arial"/>
        </w:rPr>
      </w:pPr>
      <w:r w:rsidRPr="197EFE37">
        <w:rPr>
          <w:rFonts w:ascii="Arial" w:eastAsia="Arial" w:hAnsi="Arial" w:cs="Arial"/>
        </w:rPr>
        <w:t xml:space="preserve">Guided inquiry learning is a strategy that may increase scientific literacy but too much of it without significant teacher support has proven to have a negative effect (Saija et al., 2022). Prior to the 2015 PISA results, research suggested that guided inquiry learning was helpful in improving scientific literacy and earlier PISA data had supported this (Saija et al., 2022). The 2015 PISA results demonstrated that globally, areas that had high levels of scientific literacy only used inquiry-based learning sparingly or not at all. Instead, they were using “direct teaching, which consisted only of teacher lectures or teacher-led debates and demonstrations” (Saija et al., 2022).  It was also observed by Forbes at al. (2020, cited by Saija et al., 2022) that guided inquiry learning was more likely in in regions that demonstrated poor scientific literacy. Zhang &amp; Li (2019, cited by Saija et al., 2022) also had evidence of student's scientific achievements being hampered by inquiry-based learning. Aditomo &amp; Klieme (2020, cited Saija et al., 2022) highlighted that inquiry-based learning is more successful when it includes teacher guidance. “Inquiry-based learning is a constructivist learning approach that can increase the knowledge from investigation </w:t>
      </w:r>
      <w:r w:rsidRPr="197EFE37">
        <w:rPr>
          <w:rFonts w:ascii="Arial" w:eastAsia="Arial" w:hAnsi="Arial" w:cs="Arial"/>
        </w:rPr>
        <w:lastRenderedPageBreak/>
        <w:t xml:space="preserve">and exploration activities” (Jeffery, et al., 2016; Capps &amp; Crawford, 2013; Bell, et al., 2010; Dudu &amp; Vhurumuku, 2012, cited Sutinai et al., 2021). The constructivist approach to learning emphasises that learners actively build their knowledge through experiences and interactions, focusing on problem-solving and critical thinking. Teachers are facilitators rather than instructors or lecturers. Instead of pupils being spoken to and told the information they actively discover it themselves. This in principle is a great idea as pupils will learn and remember more while developing those skills that allow independent learning through A levels and beyond. But done poorly will result in less learning than traditional teaching. Inquiry-based learning can also encourage critical thinking skills as pupils are actively involved in solving scientific problems (Sahoo &amp; Mohammed, 2018; Beck, Butler &amp; da Silva, 2014, cited Sutinai et al., 2021). Sutinai et al. (2021) carried out a study in Indonesia to develop inquiry-based learning resources which included science literacy for the teaching of </w:t>
      </w:r>
      <w:r w:rsidR="00F70ED3">
        <w:rPr>
          <w:rFonts w:ascii="Arial" w:eastAsia="Arial" w:hAnsi="Arial" w:cs="Arial"/>
        </w:rPr>
        <w:t>c</w:t>
      </w:r>
      <w:r w:rsidRPr="197EFE37">
        <w:rPr>
          <w:rFonts w:ascii="Arial" w:eastAsia="Arial" w:hAnsi="Arial" w:cs="Arial"/>
        </w:rPr>
        <w:t>hemical kinetics at university. Their aim was to “improve students' critical thinking skills and students' achievement” (Sutinai et al., 2021). Their data showed that the resources “improve students' critical thinking skills in chemistry and ultimately improve students’ achievements” (Sutinai et al., 2021). They suggested that the same approach could be used in the teaching of other courses requiring similar skills. Indicating this approach may be best suited to practical topics. What about topics with limited experimental options such as atomic structure? It could be linked with a practical based topic. In a high school setting practical activities may be limited but research could be used as the activity. Auerbach, et al. (2017) conducted a study into the recommended changes made to a biology course in an American university to include more thinking skills and student participation. More time was given to discussions, with more active-learning techniques and increased pupil participation. Students taught the changed curriculum demonstrated more significant scientific literacy progression compared to students taught the unchanged curriculum. Retention of this literacy was the same for both groups. It would suggest guided inquiry learning could help my AS chemistry students improve their scientific literacy but how can I ensure it is successful?</w:t>
      </w:r>
    </w:p>
    <w:p w14:paraId="256F8C5F" w14:textId="77777777" w:rsidR="00DC2182" w:rsidRDefault="00DC2182" w:rsidP="00DC2182">
      <w:pPr>
        <w:shd w:val="clear" w:color="auto" w:fill="FFFFFF" w:themeFill="background1"/>
        <w:spacing w:after="0"/>
        <w:rPr>
          <w:rFonts w:ascii="Arial" w:eastAsia="Arial" w:hAnsi="Arial" w:cs="Arial"/>
        </w:rPr>
      </w:pPr>
    </w:p>
    <w:p w14:paraId="4368D581" w14:textId="77777777" w:rsidR="00DC2182" w:rsidRDefault="00DC2182" w:rsidP="00DC2182">
      <w:pPr>
        <w:shd w:val="clear" w:color="auto" w:fill="FFFFFF" w:themeFill="background1"/>
        <w:spacing w:after="0"/>
        <w:rPr>
          <w:rFonts w:ascii="Arial" w:eastAsia="Arial" w:hAnsi="Arial" w:cs="Arial"/>
          <w:b/>
          <w:bCs/>
          <w:sz w:val="28"/>
          <w:szCs w:val="28"/>
        </w:rPr>
      </w:pPr>
    </w:p>
    <w:p w14:paraId="27D38A29" w14:textId="77777777" w:rsidR="00DC2182" w:rsidRDefault="00DC2182" w:rsidP="00DC2182">
      <w:pPr>
        <w:shd w:val="clear" w:color="auto" w:fill="FFFFFF" w:themeFill="background1"/>
        <w:spacing w:after="0"/>
        <w:rPr>
          <w:rFonts w:ascii="Arial" w:eastAsia="Arial" w:hAnsi="Arial" w:cs="Arial"/>
          <w:b/>
          <w:bCs/>
          <w:sz w:val="28"/>
          <w:szCs w:val="28"/>
        </w:rPr>
      </w:pPr>
      <w:r w:rsidRPr="197EFE37">
        <w:rPr>
          <w:rFonts w:ascii="Arial" w:eastAsia="Arial" w:hAnsi="Arial" w:cs="Arial"/>
          <w:b/>
          <w:bCs/>
          <w:sz w:val="28"/>
          <w:szCs w:val="28"/>
        </w:rPr>
        <w:t>Does context increase engagement?</w:t>
      </w:r>
    </w:p>
    <w:p w14:paraId="796807A1" w14:textId="77777777" w:rsidR="00DC2182" w:rsidRDefault="00DC2182" w:rsidP="00DC2182">
      <w:pPr>
        <w:shd w:val="clear" w:color="auto" w:fill="FFFFFF" w:themeFill="background1"/>
        <w:spacing w:after="0"/>
        <w:rPr>
          <w:rFonts w:ascii="Arial" w:eastAsia="Arial" w:hAnsi="Arial" w:cs="Arial"/>
        </w:rPr>
      </w:pPr>
      <w:r w:rsidRPr="197EFE37">
        <w:rPr>
          <w:rFonts w:ascii="Arial" w:eastAsia="Arial" w:hAnsi="Arial" w:cs="Arial"/>
        </w:rPr>
        <w:t xml:space="preserve">The research of Saija et al. (2022) suggested that using the OE3C learning technique in the local SSI context increases students’ scientific literacy. They completed this following the 2015 PISA survey that contradicted previous studies that guided inquiry learning improves scientific literacy. In this study, using SSI for context, they combined inquiry learning with teacher “explanation phases” during which the teachers share key required information (Saija et al., 2022). They taught high school students the thermochemistry and rates of reaction topics. These topics are fundamentally the same as the hands on practical chemical kinetics topic that Sutinai et al. (2021) used in their research. Also, because of the links to industry and environmental impact, context is more easily achieved. </w:t>
      </w:r>
      <w:r w:rsidRPr="197EFE37">
        <w:rPr>
          <w:rFonts w:ascii="Arial" w:eastAsia="Arial" w:hAnsi="Arial" w:cs="Arial"/>
          <w:color w:val="000000" w:themeColor="text1"/>
        </w:rPr>
        <w:t xml:space="preserve">As discussed earlier, </w:t>
      </w:r>
      <w:r w:rsidRPr="197EFE37">
        <w:rPr>
          <w:rFonts w:ascii="Arial" w:eastAsia="Arial" w:hAnsi="Arial" w:cs="Arial"/>
          <w:color w:val="000000" w:themeColor="text1"/>
        </w:rPr>
        <w:lastRenderedPageBreak/>
        <w:t xml:space="preserve">students do not tend to think of chemistry as important, and the content is challenging especially when not linked to real-life examples. Making science more relatable by linking it to real world issues such as Global Warming has been present in education for a long time, but has it been successful? Rubba (1991) and Aikenhead (1992) discussed the integration of STS (science, technology and society) into school science education. This gives the context for the chemistry, but they also realised the importance of evoking the student's beliefs and values. As mentioned before, science literacy is not just knowledge, but it is also attitude and being active global citizens. The term interest is preferrable over attitude as </w:t>
      </w:r>
      <w:r w:rsidRPr="197EFE37">
        <w:rPr>
          <w:rFonts w:ascii="Arial" w:eastAsia="Arial" w:hAnsi="Arial" w:cs="Arial"/>
        </w:rPr>
        <w:t>Broman et al. (2020) pointed out the negativity attached when referring to an individual's attitude.</w:t>
      </w:r>
      <w:r w:rsidRPr="197EFE37">
        <w:rPr>
          <w:rFonts w:ascii="Arial" w:eastAsia="Arial" w:hAnsi="Arial" w:cs="Arial"/>
          <w:color w:val="000000" w:themeColor="text1"/>
        </w:rPr>
        <w:t xml:space="preserve"> The significance of SSI (Socioscientific Issues) in science education has been discussed as early as 1986 by Fleming who was one of the first to refer to SSI. </w:t>
      </w:r>
      <w:r w:rsidRPr="197EFE37">
        <w:rPr>
          <w:rFonts w:ascii="Arial" w:eastAsia="Arial" w:hAnsi="Arial" w:cs="Arial"/>
        </w:rPr>
        <w:t>Kolstø (2001) took this even further to consider “controversial socioscientific issues” which could be more interesting and relevant to students. Chowdhury et al. (2020) took an in-depth look at SSI and how it can develop scientific literacy and citizenship. Considered to be controversial, SSI covers scientific content and skills while developing social awareness. Would including more context such as SSI increase interest in my AS chemistry students?</w:t>
      </w:r>
    </w:p>
    <w:p w14:paraId="26F9A94B" w14:textId="77777777" w:rsidR="00DC2182" w:rsidRDefault="00DC2182" w:rsidP="00DC2182">
      <w:pPr>
        <w:shd w:val="clear" w:color="auto" w:fill="FFFFFF" w:themeFill="background1"/>
        <w:spacing w:after="0"/>
        <w:rPr>
          <w:rFonts w:ascii="Arial" w:eastAsia="Arial" w:hAnsi="Arial" w:cs="Arial"/>
        </w:rPr>
      </w:pPr>
    </w:p>
    <w:p w14:paraId="52E07B2F" w14:textId="77777777" w:rsidR="00DC2182" w:rsidRDefault="00DC2182" w:rsidP="00DC2182">
      <w:pPr>
        <w:shd w:val="clear" w:color="auto" w:fill="FFFFFF" w:themeFill="background1"/>
        <w:spacing w:after="0"/>
        <w:rPr>
          <w:rFonts w:ascii="Arial" w:eastAsia="Arial" w:hAnsi="Arial" w:cs="Arial"/>
          <w:b/>
          <w:bCs/>
          <w:color w:val="000000" w:themeColor="text1"/>
          <w:sz w:val="28"/>
          <w:szCs w:val="28"/>
          <w:lang w:val="en-US"/>
        </w:rPr>
      </w:pPr>
      <w:r w:rsidRPr="197EFE37">
        <w:rPr>
          <w:rFonts w:ascii="Arial" w:eastAsia="Arial" w:hAnsi="Arial" w:cs="Arial"/>
          <w:b/>
          <w:bCs/>
          <w:color w:val="000000" w:themeColor="text1"/>
          <w:sz w:val="28"/>
          <w:szCs w:val="28"/>
        </w:rPr>
        <w:t>Research questions</w:t>
      </w:r>
    </w:p>
    <w:p w14:paraId="08E2AB38" w14:textId="77777777" w:rsidR="00DC2182" w:rsidRDefault="00DC2182" w:rsidP="00DC2182">
      <w:pPr>
        <w:shd w:val="clear" w:color="auto" w:fill="FFFFFF" w:themeFill="background1"/>
        <w:spacing w:after="0"/>
        <w:rPr>
          <w:rFonts w:ascii="Aptos" w:eastAsia="Aptos" w:hAnsi="Aptos" w:cs="Aptos"/>
          <w:b/>
          <w:bCs/>
          <w:color w:val="3B204D"/>
        </w:rPr>
      </w:pPr>
    </w:p>
    <w:p w14:paraId="7ACF4175" w14:textId="77777777" w:rsidR="00DC2182" w:rsidRDefault="00DC2182" w:rsidP="00DC2182">
      <w:pPr>
        <w:shd w:val="clear" w:color="auto" w:fill="FFFFFF" w:themeFill="background1"/>
        <w:spacing w:after="0"/>
        <w:rPr>
          <w:rFonts w:ascii="Arial" w:eastAsia="Arial" w:hAnsi="Arial" w:cs="Arial"/>
          <w:b/>
          <w:bCs/>
          <w:color w:val="000000" w:themeColor="text1"/>
          <w:sz w:val="28"/>
          <w:szCs w:val="28"/>
        </w:rPr>
      </w:pPr>
      <w:r w:rsidRPr="197EFE37">
        <w:rPr>
          <w:rFonts w:ascii="Arial" w:eastAsia="Arial" w:hAnsi="Arial" w:cs="Arial"/>
          <w:b/>
          <w:bCs/>
          <w:color w:val="000000" w:themeColor="text1"/>
          <w:sz w:val="28"/>
          <w:szCs w:val="28"/>
        </w:rPr>
        <w:t>Will real-life context increase student interest and participation?</w:t>
      </w:r>
    </w:p>
    <w:p w14:paraId="7C0F1598" w14:textId="65780159" w:rsidR="00DC2182" w:rsidRDefault="00DC2182" w:rsidP="00DC2182">
      <w:pPr>
        <w:shd w:val="clear" w:color="auto" w:fill="FFFFFF" w:themeFill="background1"/>
        <w:spacing w:after="0"/>
        <w:rPr>
          <w:rFonts w:ascii="Arial" w:eastAsia="Arial" w:hAnsi="Arial" w:cs="Arial"/>
        </w:rPr>
      </w:pPr>
      <w:r w:rsidRPr="197EFE37">
        <w:rPr>
          <w:rFonts w:ascii="Arial" w:eastAsia="Arial" w:hAnsi="Arial" w:cs="Arial"/>
        </w:rPr>
        <w:t xml:space="preserve">Gilbert (2006) recognised the ongoing issues with chemistry education and discussed the inclusion of context within the chemistry curriculum in schools.  He stated that a successful context curriculum model would consider “physical settings”, “cultural justifications” and “socio‐cultural perspective on learning” (Gilbert, 2006). This further supports Saija et al. (2022) and the inclusion of SSI with OE3C strategy. “SSI is defined as a social dilemma with a conceptual or technological relationship to science” (Steffen &amp; Hößle, 2017, cited in Saija et al., 2022). The use of SSI in the classroom is the first step in developing scientific literacy (Zeidler et al., 2019, cited Saija et al., 2022). ‘However, there is currently a limited number of studies on applying SSI learning to promote scientific literacy’ (Widodo et al., 2020, cited Saija et al., 2022). It will be challenging to specifically include SSI in my active research, but I still want to include a form of context to increase access and student participation in the content. I refer to my Year 12 pupils as Year 11 +1 as they are never prepared for independent learning. They need to be eased into A level studies with a transition from GCSE style teaching which is understandable due to the significant increase in the level of difficulty but only a few students will achieve adequate independence by the end of the academic year. In previous years I have attempted flip learning with Year 12, but this requires all pupils to participate in the independent pre-reading and out of class activities. An ongoing issue with Year 12 students is that many of them do not commit to studying effectively out of lessons. Many of the students were able to attain good grades at GCSE with minimal effort or </w:t>
      </w:r>
      <w:r w:rsidRPr="197EFE37">
        <w:rPr>
          <w:rFonts w:ascii="Arial" w:eastAsia="Arial" w:hAnsi="Arial" w:cs="Arial"/>
        </w:rPr>
        <w:lastRenderedPageBreak/>
        <w:t xml:space="preserve">study and expect to do the same at A Level. Also, if they have no interest in the subject, they are less likely to read around the subject. Broman et al. (2020) discussed ‘the constructs of ‘interest’ and ‘relevance’ are explored to analyse which aspects of open-ended chemistry problems engage students”. Krapp and Prenzel (2011, cited Broman et al., 2020) point out that students enjoying the learning does not mean they are interested in the topic. A teacher can make the learning fun and enjoyment can lead to engagement. But are the students being challenged? Are they making significant progress with their learning? How can genuine interest in the chemistry topics be inspired in the students? In their study Broman et al. (2020) used open-ended chemistry problems for topics identified as interesting and those less interesting. When attempting to solve these problems students had to move smoothly between context and content and in doing so it could positively impact interest and relevance (Broman et al., 2020). The definition of relevance, like interest, has been subject to a lot of discussion. I like the interpretation of ‘meaningful’ as this suggests it is something that matters to the student because of personal, societal or career development reasons (Broman et al., 2020). Their research data indicates that pupils respond well to “context-based open-ended chemistry problems by finding them interesting and relevant, in particular when the tasks are closely related to themselves” (Broman et al., 2020). It is important to note that this research was conducted on students who were at the end of their chemistry studies and had been taught all the required content. Broman et al. (2020) also distinguished between two different types of context: “content-related context, which we name ‘topic’, and a setting-related context, which we name ‘context’” (Broman et al., 2020). Content-related context is more common in the curriculum than setting-related context. Usually because the topics are naturally given names but giving time to examples of settings will not be a priority because of time constraints. The 15 context-based chemistry problems that Broman et al. (2020) used were divided into topics such as medical drugs instead of how it is named in the specification. I would assume while the content was covered, they would have used the specification names. The context was given within an end of learning assessment type exercise while I am considering the use of context within the learning process. “The fundamental focus of SSI-based learning is SSI teaching, which implies that SSI-based challenges are offered from the start of learning” (Presley et al., 2013, cited Saija et al., 2022). Just adding an example of the topic in context as an addition to current learning practices is not enough (Whitelegg &amp; Parry, 1999, cited Broman et al., 2020). But </w:t>
      </w:r>
      <w:r w:rsidR="00F70ED3" w:rsidRPr="197EFE37">
        <w:rPr>
          <w:rFonts w:ascii="Arial" w:eastAsia="Arial" w:hAnsi="Arial" w:cs="Arial"/>
        </w:rPr>
        <w:t>also,</w:t>
      </w:r>
      <w:r w:rsidRPr="197EFE37">
        <w:rPr>
          <w:rFonts w:ascii="Arial" w:eastAsia="Arial" w:hAnsi="Arial" w:cs="Arial"/>
        </w:rPr>
        <w:t xml:space="preserve"> the context should not distract or obscure the content knowledge or concepts (Sevian and Talanquer, 2014; Parchmann et al., 2006; Wickman, 2014 cited Broman et al., 2020). When introducing context to my lessons I will need to consider:</w:t>
      </w:r>
    </w:p>
    <w:p w14:paraId="69BC5E3B" w14:textId="77777777" w:rsidR="00DC2182" w:rsidRDefault="00DC2182" w:rsidP="00DC2182">
      <w:pPr>
        <w:shd w:val="clear" w:color="auto" w:fill="FFFFFF" w:themeFill="background1"/>
        <w:spacing w:after="0"/>
        <w:rPr>
          <w:rFonts w:ascii="Arial" w:eastAsia="Arial" w:hAnsi="Arial" w:cs="Arial"/>
        </w:rPr>
      </w:pPr>
    </w:p>
    <w:p w14:paraId="7A77DA91" w14:textId="77777777" w:rsidR="00DC2182" w:rsidRDefault="00DC2182" w:rsidP="00DC2182">
      <w:pPr>
        <w:shd w:val="clear" w:color="auto" w:fill="FFFFFF" w:themeFill="background1"/>
        <w:spacing w:after="0"/>
        <w:ind w:left="720"/>
        <w:rPr>
          <w:rFonts w:ascii="Arial" w:eastAsia="Arial" w:hAnsi="Arial" w:cs="Arial"/>
        </w:rPr>
      </w:pPr>
      <w:r w:rsidRPr="197EFE37">
        <w:rPr>
          <w:rFonts w:ascii="Arial" w:eastAsia="Arial" w:hAnsi="Arial" w:cs="Arial"/>
        </w:rPr>
        <w:t xml:space="preserve">When developing context-based tasks, it is important to consider the progression in learning, and focus on explicit chemistry topics/content areas, </w:t>
      </w:r>
      <w:r w:rsidRPr="197EFE37">
        <w:rPr>
          <w:rFonts w:ascii="Arial" w:eastAsia="Arial" w:hAnsi="Arial" w:cs="Arial"/>
        </w:rPr>
        <w:lastRenderedPageBreak/>
        <w:t>still relating the contextual settings to areas interesting and relevant for the students (Broman et al., 2020)</w:t>
      </w:r>
    </w:p>
    <w:p w14:paraId="6308E469" w14:textId="77777777" w:rsidR="00DC2182" w:rsidRDefault="00DC2182" w:rsidP="00DC2182">
      <w:pPr>
        <w:shd w:val="clear" w:color="auto" w:fill="FFFFFF" w:themeFill="background1"/>
        <w:spacing w:after="0"/>
        <w:rPr>
          <w:rFonts w:ascii="Arial" w:eastAsia="Arial" w:hAnsi="Arial" w:cs="Arial"/>
        </w:rPr>
      </w:pPr>
      <w:r w:rsidRPr="197EFE37">
        <w:rPr>
          <w:rFonts w:ascii="Arial" w:eastAsia="Arial" w:hAnsi="Arial" w:cs="Arial"/>
        </w:rPr>
        <w:t>.</w:t>
      </w:r>
    </w:p>
    <w:p w14:paraId="672F742C" w14:textId="77777777" w:rsidR="00DC2182" w:rsidRDefault="00DC2182" w:rsidP="00DC2182">
      <w:pPr>
        <w:shd w:val="clear" w:color="auto" w:fill="FFFFFF" w:themeFill="background1"/>
        <w:spacing w:after="0"/>
        <w:rPr>
          <w:rFonts w:ascii="Aptos" w:eastAsia="Aptos" w:hAnsi="Aptos" w:cs="Aptos"/>
          <w:b/>
          <w:bCs/>
          <w:color w:val="3B204D"/>
          <w:lang w:val="en-US"/>
        </w:rPr>
      </w:pPr>
    </w:p>
    <w:p w14:paraId="2288A8A2" w14:textId="77777777" w:rsidR="00DC2182" w:rsidRDefault="00DC2182" w:rsidP="00DC2182">
      <w:pPr>
        <w:shd w:val="clear" w:color="auto" w:fill="FFFFFF" w:themeFill="background1"/>
        <w:spacing w:after="0"/>
        <w:rPr>
          <w:rFonts w:ascii="Arial" w:eastAsia="Arial" w:hAnsi="Arial" w:cs="Arial"/>
          <w:b/>
          <w:bCs/>
          <w:color w:val="000000" w:themeColor="text1"/>
        </w:rPr>
      </w:pPr>
      <w:r w:rsidRPr="197EFE37">
        <w:rPr>
          <w:rFonts w:ascii="Arial" w:eastAsia="Arial" w:hAnsi="Arial" w:cs="Arial"/>
          <w:b/>
          <w:bCs/>
          <w:color w:val="000000" w:themeColor="text1"/>
          <w:sz w:val="28"/>
          <w:szCs w:val="28"/>
        </w:rPr>
        <w:t>Will guided inquiry learning allow for the significant development of scientific literacy?</w:t>
      </w:r>
    </w:p>
    <w:p w14:paraId="6FBA10DC" w14:textId="77777777" w:rsidR="00DC2182" w:rsidRDefault="00DC2182" w:rsidP="00DC2182">
      <w:pPr>
        <w:shd w:val="clear" w:color="auto" w:fill="FFFFFF" w:themeFill="background1"/>
        <w:spacing w:after="0"/>
        <w:rPr>
          <w:rFonts w:ascii="Arial" w:eastAsia="Arial" w:hAnsi="Arial" w:cs="Arial"/>
        </w:rPr>
      </w:pPr>
      <w:r w:rsidRPr="197EFE37">
        <w:rPr>
          <w:rFonts w:ascii="Arial" w:eastAsia="Arial" w:hAnsi="Arial" w:cs="Arial"/>
        </w:rPr>
        <w:t>As discussed earlier (Saija et al., 2022) inquiry learning can be successful, but teacher involvement is key along with context. Following on from above and the inclusion of context I need to consider how I will deliver and facilitate inquiry learning activities in the selected chemistry topics. Broman et al. (2020) made sure there was a clear link to chemistry content by including molecular structures in all the context-based problems they made. They also made sure to accessible use language and kept to “50-60 words, approximately 5 sentences” (Broman et al. 2020)</w:t>
      </w:r>
    </w:p>
    <w:p w14:paraId="5025C919" w14:textId="77777777" w:rsidR="00DC2182" w:rsidRDefault="00DC2182" w:rsidP="00DC2182">
      <w:pPr>
        <w:shd w:val="clear" w:color="auto" w:fill="FFFFFF" w:themeFill="background1"/>
        <w:spacing w:after="0"/>
        <w:rPr>
          <w:rFonts w:ascii="Arial" w:eastAsia="Arial" w:hAnsi="Arial" w:cs="Arial"/>
          <w:b/>
          <w:bCs/>
          <w:color w:val="000000" w:themeColor="text1"/>
          <w:sz w:val="28"/>
          <w:szCs w:val="28"/>
        </w:rPr>
      </w:pPr>
    </w:p>
    <w:p w14:paraId="6ACB5560" w14:textId="088696B7" w:rsidR="00DC2182" w:rsidRPr="004F5C44" w:rsidRDefault="00DC2182" w:rsidP="00DC2182">
      <w:pPr>
        <w:shd w:val="clear" w:color="auto" w:fill="FFFFFF" w:themeFill="background1"/>
        <w:spacing w:after="0"/>
      </w:pPr>
      <w:r w:rsidRPr="004F5C44">
        <w:rPr>
          <w:rFonts w:ascii="Arial" w:eastAsia="Aptos" w:hAnsi="Arial" w:cs="Arial"/>
          <w:b/>
          <w:bCs/>
          <w:sz w:val="28"/>
          <w:szCs w:val="28"/>
        </w:rPr>
        <w:t>R</w:t>
      </w:r>
      <w:r w:rsidR="004F5C44">
        <w:rPr>
          <w:rFonts w:ascii="Arial" w:eastAsia="Aptos" w:hAnsi="Arial" w:cs="Arial"/>
          <w:b/>
          <w:bCs/>
          <w:sz w:val="28"/>
          <w:szCs w:val="28"/>
        </w:rPr>
        <w:t>esearch methodology</w:t>
      </w:r>
    </w:p>
    <w:p w14:paraId="15974009" w14:textId="17C0F8E9" w:rsidR="00DC2182" w:rsidRDefault="00DC2182" w:rsidP="00DC2182">
      <w:pPr>
        <w:shd w:val="clear" w:color="auto" w:fill="FFFFFF" w:themeFill="background1"/>
        <w:spacing w:after="0"/>
        <w:rPr>
          <w:rFonts w:ascii="Arial" w:eastAsia="Arial" w:hAnsi="Arial" w:cs="Arial"/>
        </w:rPr>
      </w:pPr>
      <w:r w:rsidRPr="197EFE37">
        <w:rPr>
          <w:rFonts w:ascii="Arial" w:eastAsia="Arial" w:hAnsi="Arial" w:cs="Arial"/>
        </w:rPr>
        <w:t xml:space="preserve">I will be using the qualitative method of student interviews (ResearchMethod.Net, 2022) for in-depth insight into student's perceptions of learning chemistry at GCSE and the first term of AS chemistry. I will also use it to find out their awareness and opinion of teacher led learning compared to guided inquiry learning and context learning. I will record the interviews and transcribe the vocal recording to allow for accurate revisits to the information. I will also complete the interviews after the research period to see if opinions change. The students will also complete surveys and tests before and after the research which are quantitative research methods. As I am using a combination of qualitative and quantitative research methods this could be described as mixed-methods research (ResearchMethod.Net, 2022). The mixed-method approach is considered complex and could limit the outcomes of my research if not handled carefully (ResearchMethod.Net, 2022). The surveys will be completed using Microsoft </w:t>
      </w:r>
      <w:r w:rsidR="00F70ED3" w:rsidRPr="197EFE37">
        <w:rPr>
          <w:rFonts w:ascii="Arial" w:eastAsia="Arial" w:hAnsi="Arial" w:cs="Arial"/>
        </w:rPr>
        <w:t>Forms</w:t>
      </w:r>
      <w:r w:rsidRPr="197EFE37">
        <w:rPr>
          <w:rFonts w:ascii="Arial" w:eastAsia="Arial" w:hAnsi="Arial" w:cs="Arial"/>
        </w:rPr>
        <w:t xml:space="preserve"> via Teams as the pupils are all familiar with this format and it allows for easy collation and analysis within Forms and when exported to Microsoft Excel. One of the two classes will be a control group who will be taught the topics without the adapted resources and be given the same surveys, interviews and tests. The use of a control group is a type of experimental research which will allow a comparison of data. This will enable me to comment on if any improvements in test scores and opinions are impacted by the adapted learning resources and no other factors. As a professional I will be striving to provide all pupils with the best possible learning experience using either type of resource </w:t>
      </w:r>
      <w:bookmarkStart w:id="1" w:name="_Int_VLUFMneS"/>
      <w:r w:rsidRPr="197EFE37">
        <w:rPr>
          <w:rFonts w:ascii="Arial" w:eastAsia="Arial" w:hAnsi="Arial" w:cs="Arial"/>
        </w:rPr>
        <w:t>and</w:t>
      </w:r>
      <w:bookmarkEnd w:id="1"/>
      <w:r w:rsidRPr="197EFE37">
        <w:rPr>
          <w:rFonts w:ascii="Arial" w:eastAsia="Arial" w:hAnsi="Arial" w:cs="Arial"/>
        </w:rPr>
        <w:t xml:space="preserve"> the pupils could still make progress in either class. By completing tests and surveys before the research starts will provide baseline data to compare with the data after the research is complete. The two classes will be determined by the option block they selected chemistry within, and I will not know who those classes until September. This also makes it difficult to ensure a similar number of pupils in each class with the possibility of a disproportionate share of students across the two classes. How do I decide which class will be the control/experimental group? As I am the teacher </w:t>
      </w:r>
      <w:r w:rsidRPr="197EFE37">
        <w:rPr>
          <w:rFonts w:ascii="Arial" w:eastAsia="Arial" w:hAnsi="Arial" w:cs="Arial"/>
        </w:rPr>
        <w:lastRenderedPageBreak/>
        <w:t xml:space="preserve">delivering the content to both classes there is the possibility of bias which could affect the validity of the results. I will know which class is the control or experimental groups and not only am I responsible for teaching both classes, but I am also the one collecting and analysing the data. But an advantage of the same individual teaching both classes allow for manageable control of that variable. Also, the second chemistry teacher is the same for both classes and he will be teaching a completely different unit from me. He will be teaching both classes using the same methods. Another limitation is time, as my main priority it to prepare all the students for </w:t>
      </w:r>
      <w:bookmarkStart w:id="2" w:name="_Int_nIZ45P64"/>
      <w:r w:rsidRPr="197EFE37">
        <w:rPr>
          <w:rFonts w:ascii="Arial" w:eastAsia="Arial" w:hAnsi="Arial" w:cs="Arial"/>
        </w:rPr>
        <w:t>their</w:t>
      </w:r>
      <w:bookmarkEnd w:id="2"/>
      <w:r w:rsidRPr="197EFE37">
        <w:rPr>
          <w:rFonts w:ascii="Arial" w:eastAsia="Arial" w:hAnsi="Arial" w:cs="Arial"/>
        </w:rPr>
        <w:t xml:space="preserve"> AS exams in May. To limit the impact on lesson time I will be conducting interviews out of lesson time and students will be asked to complete the survey in their own time. The topics I am delivering as part of the research are part of the exam preparation which would have used lesson time anyway. I will be delivering the unit content in a different order to ensure the rates and thermochemistry topics are taught during the planned research window. This means I need to finish all the other topics before then without rushing or impacting the quality of that delivery. As I am only completing adapted learning with one class; is this unfair to the other class who are being taught the traditional way? Conversely is it unfair to be experimenting with learning with the experimental class? I could try out the activities with the other class after my research period as part of their revision. Also, the research is only for eight weeks and over two topics and not for the whole academic year. It is also only in sixteen lessons with one of their two teachers, so it is not a large proportion of their learning of AS chemistry. All pupils will be fully informed about the research, and parental permission will be requested before any aspect of the research starts. Saija et al. (2022) used a control group and experimental group and stated that they had governmental permission to complete the study and teachers and students are always keen to take part in educational research but there is no further detail. I am curious to know if the control group knew what was happening in the experimental group and vice versa. Traditionally in medical research individuals would not know at first which group they are in. In this educational research it is clear who is being taught which method from the teacher's point of view but what about the students? Of course, the students will speak to each other, and it will realise the difference. But should it be made clear to the students when they are informed</w:t>
      </w:r>
      <w:r w:rsidR="004F5C44">
        <w:rPr>
          <w:rFonts w:ascii="Arial" w:eastAsia="Arial" w:hAnsi="Arial" w:cs="Arial"/>
        </w:rPr>
        <w:t xml:space="preserve">. </w:t>
      </w:r>
      <w:r w:rsidRPr="197EFE37">
        <w:rPr>
          <w:rFonts w:ascii="Arial" w:eastAsia="Arial" w:hAnsi="Arial" w:cs="Arial"/>
        </w:rPr>
        <w:t xml:space="preserve">Broman et al. (2020) gave their students the opportunity to opt out at any time which is fair and ethical. BERA (2018, p.18) confirms that participants should be allowed to withdraw at any time with no excuse needed and they should be fully informed of this. If a student asks to withdraw, I need to carefully consider if any aspects of the research may need to be changed and tread very carefully when encouraging the participate to continue with the study. If </w:t>
      </w:r>
      <w:r w:rsidR="001F08FA">
        <w:rPr>
          <w:rFonts w:ascii="Arial" w:eastAsia="Arial" w:hAnsi="Arial" w:cs="Arial"/>
        </w:rPr>
        <w:t xml:space="preserve">a </w:t>
      </w:r>
      <w:r w:rsidRPr="197EFE37">
        <w:rPr>
          <w:rFonts w:ascii="Arial" w:eastAsia="Arial" w:hAnsi="Arial" w:cs="Arial"/>
        </w:rPr>
        <w:t>student</w:t>
      </w:r>
      <w:r w:rsidR="001F08FA">
        <w:rPr>
          <w:rFonts w:ascii="Arial" w:eastAsia="Arial" w:hAnsi="Arial" w:cs="Arial"/>
        </w:rPr>
        <w:t xml:space="preserve"> is</w:t>
      </w:r>
      <w:r w:rsidRPr="197EFE37">
        <w:rPr>
          <w:rFonts w:ascii="Arial" w:eastAsia="Arial" w:hAnsi="Arial" w:cs="Arial"/>
        </w:rPr>
        <w:t xml:space="preserve"> no longer involved in the study, it is manageable with regards to the surveys and interviews but not the teaching. I would not want the pupils to miss out on the learning of these topics. When Broman et al. (2020) completed their study, it was after all the teaching was completed. As mentioned in BERA (2018, p. 10), before I speak to the students, I need to seek permission from my head teacher, discuss with the safeguarding officer and </w:t>
      </w:r>
      <w:r w:rsidRPr="197EFE37">
        <w:rPr>
          <w:rFonts w:ascii="Arial" w:eastAsia="Arial" w:hAnsi="Arial" w:cs="Arial"/>
        </w:rPr>
        <w:lastRenderedPageBreak/>
        <w:t xml:space="preserve">gatekeeper representative and implement the school's procedures. Following BERA (2018) guidelines all those involved in the research will be shown an ethic of respect and treated equally. I will also share the findings in a student friendly format to ensure they are reassured that it was a genuine and worthwhile study. I will continue to maintain teacher responsibilities and will not let the research prevent me for doing so. In September I will have all required information for all my students including those within the two year 12 classes involved in the study. Ahead of the study I would have identified students' barriers to learning and implemented the required actions such as appropriate seating plans and availability of resources. This will continue throughout the study as will all professionally teaching practices. I also need to consider the pupils I may have pastoral responsibility for. I will not know who will be in my form until September. I usually have Year 13 but if I have a year 12 there is a chance it may be some of the pupils in the Year 12 classes involved in the study. If this is the case, I need to ensure I do not treat them any different to the cohort when it comes to chemistry teaching. As a teacher of many years this has never been an issue, but it needs to be highlighted so I am aware. </w:t>
      </w:r>
    </w:p>
    <w:p w14:paraId="66804BFE" w14:textId="77777777" w:rsidR="00DC2182" w:rsidRDefault="00DC2182" w:rsidP="00DC2182">
      <w:pPr>
        <w:shd w:val="clear" w:color="auto" w:fill="FFFFFF" w:themeFill="background1"/>
        <w:spacing w:after="0"/>
        <w:rPr>
          <w:rFonts w:ascii="Aptos" w:eastAsia="Aptos" w:hAnsi="Aptos" w:cs="Aptos"/>
          <w:b/>
          <w:bCs/>
          <w:color w:val="3B204D"/>
          <w:lang w:val="en-US"/>
        </w:rPr>
      </w:pPr>
    </w:p>
    <w:p w14:paraId="62F04E5A" w14:textId="0C86085A" w:rsidR="00DC2182" w:rsidRPr="004F5C44" w:rsidRDefault="00DC2182" w:rsidP="00DC2182">
      <w:pPr>
        <w:shd w:val="clear" w:color="auto" w:fill="FFFFFF" w:themeFill="background1"/>
        <w:spacing w:after="0"/>
      </w:pPr>
      <w:r w:rsidRPr="004F5C44">
        <w:rPr>
          <w:rFonts w:ascii="Arial" w:eastAsia="Arial" w:hAnsi="Arial" w:cs="Arial"/>
          <w:b/>
          <w:bCs/>
          <w:sz w:val="28"/>
          <w:szCs w:val="28"/>
        </w:rPr>
        <w:t>Plan of work &amp; time schedule</w:t>
      </w:r>
    </w:p>
    <w:p w14:paraId="37FAAEEF" w14:textId="73807486" w:rsidR="00DC2182" w:rsidRDefault="00DC2182" w:rsidP="00DC2182">
      <w:pPr>
        <w:shd w:val="clear" w:color="auto" w:fill="FFFFFF" w:themeFill="background1"/>
        <w:spacing w:after="0"/>
        <w:rPr>
          <w:rFonts w:ascii="Arial" w:eastAsia="Arial" w:hAnsi="Arial" w:cs="Arial"/>
          <w:color w:val="000000" w:themeColor="text1"/>
          <w:lang w:val="en-US"/>
        </w:rPr>
      </w:pPr>
      <w:r w:rsidRPr="197EFE37">
        <w:rPr>
          <w:rFonts w:ascii="Arial" w:eastAsia="Arial" w:hAnsi="Arial" w:cs="Arial"/>
          <w:color w:val="000000" w:themeColor="text1"/>
        </w:rPr>
        <w:t xml:space="preserve">In November following feedback on this assignment, I will develop the </w:t>
      </w:r>
      <w:r w:rsidR="001F08FA" w:rsidRPr="197EFE37">
        <w:rPr>
          <w:rFonts w:ascii="Arial" w:eastAsia="Arial" w:hAnsi="Arial" w:cs="Arial"/>
          <w:color w:val="000000" w:themeColor="text1"/>
        </w:rPr>
        <w:t>pre-tests</w:t>
      </w:r>
      <w:r w:rsidRPr="197EFE37">
        <w:rPr>
          <w:rFonts w:ascii="Arial" w:eastAsia="Arial" w:hAnsi="Arial" w:cs="Arial"/>
          <w:color w:val="000000" w:themeColor="text1"/>
        </w:rPr>
        <w:t xml:space="preserve">, student surveys and interview questions. I will also need to produce the lesson resources that include context and guided inquiry learning. During this time, I will also inform the pupils of the planned research and request parental permission. In February I will give the students the </w:t>
      </w:r>
      <w:r w:rsidR="001F08FA" w:rsidRPr="197EFE37">
        <w:rPr>
          <w:rFonts w:ascii="Arial" w:eastAsia="Arial" w:hAnsi="Arial" w:cs="Arial"/>
          <w:color w:val="000000" w:themeColor="text1"/>
        </w:rPr>
        <w:t>pre-tests</w:t>
      </w:r>
      <w:r w:rsidRPr="197EFE37">
        <w:rPr>
          <w:rFonts w:ascii="Arial" w:eastAsia="Arial" w:hAnsi="Arial" w:cs="Arial"/>
          <w:color w:val="000000" w:themeColor="text1"/>
        </w:rPr>
        <w:t>, survey and interviews. I will start teaching thermochemistry and then the rates of reaction topics with the adapted resources. I will aim to complete the teaching of these topics in eight weeks, which is sixteen 53-minute lessons. I will then give the students the post</w:t>
      </w:r>
      <w:r w:rsidR="009B619B">
        <w:rPr>
          <w:rFonts w:ascii="Arial" w:eastAsia="Arial" w:hAnsi="Arial" w:cs="Arial"/>
          <w:color w:val="000000" w:themeColor="text1"/>
        </w:rPr>
        <w:t>-</w:t>
      </w:r>
      <w:r w:rsidRPr="197EFE37">
        <w:rPr>
          <w:rFonts w:ascii="Arial" w:eastAsia="Arial" w:hAnsi="Arial" w:cs="Arial"/>
          <w:color w:val="000000" w:themeColor="text1"/>
        </w:rPr>
        <w:t xml:space="preserve">tests, follow-up surveys and interviews which will take place late in April. I will then have time to analyse the results and write up </w:t>
      </w:r>
      <w:r w:rsidR="009B619B">
        <w:rPr>
          <w:rFonts w:ascii="Arial" w:eastAsia="Arial" w:hAnsi="Arial" w:cs="Arial"/>
          <w:color w:val="000000" w:themeColor="text1"/>
        </w:rPr>
        <w:t>my</w:t>
      </w:r>
      <w:r w:rsidRPr="197EFE37">
        <w:rPr>
          <w:rFonts w:ascii="Arial" w:eastAsia="Arial" w:hAnsi="Arial" w:cs="Arial"/>
          <w:color w:val="000000" w:themeColor="text1"/>
        </w:rPr>
        <w:t xml:space="preserve"> discussion. </w:t>
      </w:r>
    </w:p>
    <w:p w14:paraId="2715D14E" w14:textId="77777777" w:rsidR="00DC2182" w:rsidRDefault="00DC2182" w:rsidP="00DC2182">
      <w:pPr>
        <w:pStyle w:val="ListParagraph"/>
        <w:shd w:val="clear" w:color="auto" w:fill="FFFFFF" w:themeFill="background1"/>
        <w:spacing w:after="0"/>
        <w:rPr>
          <w:rFonts w:ascii="Aptos" w:eastAsia="Aptos" w:hAnsi="Aptos" w:cs="Aptos"/>
          <w:color w:val="3B204D"/>
          <w:lang w:val="en-US"/>
        </w:rPr>
      </w:pPr>
    </w:p>
    <w:p w14:paraId="0B0B65F2" w14:textId="77777777" w:rsidR="00DC2182" w:rsidRDefault="00DC2182" w:rsidP="00DC2182">
      <w:pPr>
        <w:pStyle w:val="ListParagraph"/>
        <w:shd w:val="clear" w:color="auto" w:fill="FFFFFF" w:themeFill="background1"/>
        <w:spacing w:after="0"/>
        <w:rPr>
          <w:rFonts w:ascii="Aptos" w:eastAsia="Aptos" w:hAnsi="Aptos" w:cs="Aptos"/>
          <w:color w:val="3B204D"/>
          <w:lang w:val="en-US"/>
        </w:rPr>
      </w:pPr>
    </w:p>
    <w:p w14:paraId="4F52A8C4" w14:textId="77777777" w:rsidR="00DC2182" w:rsidRDefault="00DC2182" w:rsidP="00DC2182">
      <w:pPr>
        <w:pStyle w:val="ListParagraph"/>
        <w:shd w:val="clear" w:color="auto" w:fill="FFFFFF" w:themeFill="background1"/>
        <w:spacing w:after="0"/>
        <w:rPr>
          <w:rFonts w:ascii="Aptos" w:eastAsia="Aptos" w:hAnsi="Aptos" w:cs="Aptos"/>
          <w:color w:val="3B204D"/>
          <w:lang w:val="en-US"/>
        </w:rPr>
      </w:pPr>
    </w:p>
    <w:p w14:paraId="3121355B" w14:textId="77777777" w:rsidR="00DC2182" w:rsidRDefault="00DC2182" w:rsidP="00DC2182">
      <w:pPr>
        <w:pStyle w:val="ListParagraph"/>
        <w:shd w:val="clear" w:color="auto" w:fill="FFFFFF" w:themeFill="background1"/>
        <w:spacing w:after="0"/>
        <w:rPr>
          <w:rFonts w:ascii="Aptos" w:eastAsia="Aptos" w:hAnsi="Aptos" w:cs="Aptos"/>
          <w:color w:val="3B204D"/>
          <w:lang w:val="en-US"/>
        </w:rPr>
      </w:pPr>
    </w:p>
    <w:p w14:paraId="6208A8D7" w14:textId="77777777" w:rsidR="00DC2182" w:rsidRDefault="00DC2182" w:rsidP="00DC2182">
      <w:pPr>
        <w:pStyle w:val="ListParagraph"/>
        <w:shd w:val="clear" w:color="auto" w:fill="FFFFFF" w:themeFill="background1"/>
        <w:spacing w:after="0"/>
        <w:rPr>
          <w:rFonts w:ascii="Aptos" w:eastAsia="Aptos" w:hAnsi="Aptos" w:cs="Aptos"/>
          <w:color w:val="3B204D"/>
          <w:lang w:val="en-US"/>
        </w:rPr>
      </w:pPr>
    </w:p>
    <w:p w14:paraId="01423692" w14:textId="77777777" w:rsidR="00DC2182" w:rsidRDefault="00DC2182" w:rsidP="00DC2182">
      <w:pPr>
        <w:pStyle w:val="ListParagraph"/>
        <w:shd w:val="clear" w:color="auto" w:fill="FFFFFF" w:themeFill="background1"/>
        <w:spacing w:after="0"/>
        <w:rPr>
          <w:rFonts w:ascii="Aptos" w:eastAsia="Aptos" w:hAnsi="Aptos" w:cs="Aptos"/>
          <w:color w:val="3B204D"/>
          <w:lang w:val="en-US"/>
        </w:rPr>
      </w:pPr>
    </w:p>
    <w:p w14:paraId="0AAAF0FA" w14:textId="77777777" w:rsidR="00DC2182" w:rsidRDefault="00DC2182" w:rsidP="00DC2182">
      <w:pPr>
        <w:shd w:val="clear" w:color="auto" w:fill="FFFFFF" w:themeFill="background1"/>
        <w:spacing w:after="0"/>
        <w:rPr>
          <w:rFonts w:ascii="Arial" w:eastAsia="Arial" w:hAnsi="Arial" w:cs="Arial"/>
          <w:b/>
          <w:bCs/>
          <w:color w:val="000000" w:themeColor="text1"/>
          <w:u w:val="single"/>
        </w:rPr>
      </w:pPr>
    </w:p>
    <w:p w14:paraId="0FF71E2D" w14:textId="0CFB0FB5" w:rsidR="00DC2182" w:rsidRDefault="00DC2182" w:rsidP="00DC2182">
      <w:pPr>
        <w:shd w:val="clear" w:color="auto" w:fill="FFFFFF" w:themeFill="background1"/>
        <w:spacing w:after="0"/>
        <w:rPr>
          <w:rFonts w:ascii="Arial" w:eastAsia="Arial" w:hAnsi="Arial" w:cs="Arial"/>
          <w:b/>
          <w:bCs/>
          <w:color w:val="000000" w:themeColor="text1"/>
          <w:u w:val="single"/>
        </w:rPr>
      </w:pPr>
    </w:p>
    <w:p w14:paraId="16965046" w14:textId="1F9245C7" w:rsidR="004F5C44" w:rsidRDefault="004F5C44" w:rsidP="00DC2182">
      <w:pPr>
        <w:shd w:val="clear" w:color="auto" w:fill="FFFFFF" w:themeFill="background1"/>
        <w:spacing w:after="0"/>
        <w:rPr>
          <w:rFonts w:ascii="Arial" w:eastAsia="Arial" w:hAnsi="Arial" w:cs="Arial"/>
          <w:b/>
          <w:bCs/>
          <w:color w:val="000000" w:themeColor="text1"/>
          <w:u w:val="single"/>
        </w:rPr>
      </w:pPr>
    </w:p>
    <w:p w14:paraId="498BAD8C" w14:textId="0E8DADED" w:rsidR="004F5C44" w:rsidRDefault="004F5C44" w:rsidP="00DC2182">
      <w:pPr>
        <w:shd w:val="clear" w:color="auto" w:fill="FFFFFF" w:themeFill="background1"/>
        <w:spacing w:after="0"/>
        <w:rPr>
          <w:rFonts w:ascii="Arial" w:eastAsia="Arial" w:hAnsi="Arial" w:cs="Arial"/>
          <w:b/>
          <w:bCs/>
          <w:color w:val="000000" w:themeColor="text1"/>
          <w:u w:val="single"/>
        </w:rPr>
      </w:pPr>
    </w:p>
    <w:p w14:paraId="6C561D4F" w14:textId="3EAF5317" w:rsidR="004F5C44" w:rsidRDefault="004F5C44" w:rsidP="00DC2182">
      <w:pPr>
        <w:shd w:val="clear" w:color="auto" w:fill="FFFFFF" w:themeFill="background1"/>
        <w:spacing w:after="0"/>
        <w:rPr>
          <w:rFonts w:ascii="Arial" w:eastAsia="Arial" w:hAnsi="Arial" w:cs="Arial"/>
          <w:b/>
          <w:bCs/>
          <w:color w:val="000000" w:themeColor="text1"/>
          <w:u w:val="single"/>
        </w:rPr>
      </w:pPr>
    </w:p>
    <w:p w14:paraId="671368B4" w14:textId="6EA4A8F0" w:rsidR="004F5C44" w:rsidRDefault="004F5C44" w:rsidP="00DC2182">
      <w:pPr>
        <w:shd w:val="clear" w:color="auto" w:fill="FFFFFF" w:themeFill="background1"/>
        <w:spacing w:after="0"/>
        <w:rPr>
          <w:rFonts w:ascii="Arial" w:eastAsia="Arial" w:hAnsi="Arial" w:cs="Arial"/>
          <w:b/>
          <w:bCs/>
          <w:color w:val="000000" w:themeColor="text1"/>
          <w:u w:val="single"/>
        </w:rPr>
      </w:pPr>
    </w:p>
    <w:p w14:paraId="3DF20070" w14:textId="0807AF45" w:rsidR="004F5C44" w:rsidRDefault="004F5C44" w:rsidP="00DC2182">
      <w:pPr>
        <w:shd w:val="clear" w:color="auto" w:fill="FFFFFF" w:themeFill="background1"/>
        <w:spacing w:after="0"/>
        <w:rPr>
          <w:rFonts w:ascii="Arial" w:eastAsia="Arial" w:hAnsi="Arial" w:cs="Arial"/>
          <w:b/>
          <w:bCs/>
          <w:color w:val="000000" w:themeColor="text1"/>
          <w:u w:val="single"/>
        </w:rPr>
      </w:pPr>
    </w:p>
    <w:p w14:paraId="29DB90BB" w14:textId="77777777" w:rsidR="004F5C44" w:rsidRDefault="004F5C44" w:rsidP="00DC2182">
      <w:pPr>
        <w:shd w:val="clear" w:color="auto" w:fill="FFFFFF" w:themeFill="background1"/>
        <w:spacing w:after="0"/>
        <w:rPr>
          <w:rFonts w:ascii="Arial" w:eastAsia="Arial" w:hAnsi="Arial" w:cs="Arial"/>
          <w:b/>
          <w:bCs/>
          <w:color w:val="000000" w:themeColor="text1"/>
          <w:u w:val="single"/>
        </w:rPr>
      </w:pPr>
    </w:p>
    <w:p w14:paraId="3031EB32" w14:textId="77777777" w:rsidR="00DC2182" w:rsidRDefault="00DC2182" w:rsidP="00DC2182">
      <w:pPr>
        <w:shd w:val="clear" w:color="auto" w:fill="FFFFFF" w:themeFill="background1"/>
        <w:spacing w:after="0"/>
        <w:rPr>
          <w:rFonts w:ascii="Arial" w:eastAsia="Arial" w:hAnsi="Arial" w:cs="Arial"/>
          <w:b/>
          <w:bCs/>
          <w:color w:val="000000" w:themeColor="text1"/>
          <w:u w:val="single"/>
        </w:rPr>
      </w:pPr>
    </w:p>
    <w:p w14:paraId="6434392E" w14:textId="3D0D3F00" w:rsidR="00DC2182" w:rsidRPr="004F5C44" w:rsidRDefault="00DC2182" w:rsidP="00DC2182">
      <w:pPr>
        <w:shd w:val="clear" w:color="auto" w:fill="FFFFFF" w:themeFill="background1"/>
        <w:spacing w:after="0"/>
        <w:rPr>
          <w:rFonts w:ascii="Arial" w:eastAsia="Arial" w:hAnsi="Arial" w:cs="Arial"/>
          <w:b/>
          <w:bCs/>
          <w:color w:val="000000" w:themeColor="text1"/>
          <w:sz w:val="28"/>
          <w:szCs w:val="28"/>
          <w:lang w:val="en-US"/>
        </w:rPr>
      </w:pPr>
      <w:r w:rsidRPr="004F5C44">
        <w:rPr>
          <w:rFonts w:ascii="Arial" w:eastAsia="Arial" w:hAnsi="Arial" w:cs="Arial"/>
          <w:b/>
          <w:bCs/>
          <w:color w:val="000000" w:themeColor="text1"/>
          <w:sz w:val="28"/>
          <w:szCs w:val="28"/>
        </w:rPr>
        <w:lastRenderedPageBreak/>
        <w:t xml:space="preserve">Reference list </w:t>
      </w:r>
    </w:p>
    <w:p w14:paraId="4282981E" w14:textId="77777777" w:rsidR="00DC2182" w:rsidRDefault="00DC2182" w:rsidP="00DC2182">
      <w:pPr>
        <w:shd w:val="clear" w:color="auto" w:fill="FFFFFF" w:themeFill="background1"/>
        <w:spacing w:after="0"/>
        <w:rPr>
          <w:rFonts w:ascii="Arial" w:eastAsia="Arial" w:hAnsi="Arial" w:cs="Arial"/>
          <w:color w:val="000000" w:themeColor="text1"/>
          <w:lang w:val="en-US"/>
        </w:rPr>
      </w:pPr>
    </w:p>
    <w:p w14:paraId="27128640" w14:textId="77777777" w:rsidR="00DC2182" w:rsidRDefault="00DC2182" w:rsidP="00DC2182">
      <w:pPr>
        <w:pStyle w:val="ListParagraph"/>
        <w:numPr>
          <w:ilvl w:val="0"/>
          <w:numId w:val="1"/>
        </w:numPr>
        <w:shd w:val="clear" w:color="auto" w:fill="FFFFFF" w:themeFill="background1"/>
        <w:spacing w:after="0" w:line="279" w:lineRule="auto"/>
      </w:pPr>
      <w:r>
        <w:t xml:space="preserve">Aikenhead, G. (1992) ‘The integration of STS into science education’, </w:t>
      </w:r>
      <w:r w:rsidRPr="197EFE37">
        <w:rPr>
          <w:i/>
          <w:iCs/>
        </w:rPr>
        <w:t>Theory Into Practice</w:t>
      </w:r>
      <w:r>
        <w:t>, 31(1), pp. 27-35. Available at: https://www.jstor.org/stable/1477051 (Accessed 19 August 2025)</w:t>
      </w:r>
    </w:p>
    <w:p w14:paraId="0CB50671" w14:textId="77777777" w:rsidR="00DC2182" w:rsidRDefault="00DC2182" w:rsidP="00DC2182">
      <w:pPr>
        <w:pStyle w:val="ListParagraph"/>
        <w:numPr>
          <w:ilvl w:val="0"/>
          <w:numId w:val="1"/>
        </w:numPr>
        <w:shd w:val="clear" w:color="auto" w:fill="FFFFFF" w:themeFill="background1"/>
        <w:spacing w:after="0" w:line="279" w:lineRule="auto"/>
        <w:rPr>
          <w:rFonts w:ascii="Arial" w:eastAsia="Arial" w:hAnsi="Arial" w:cs="Arial"/>
        </w:rPr>
      </w:pPr>
      <w:r w:rsidRPr="197EFE37">
        <w:rPr>
          <w:rFonts w:ascii="Arial" w:eastAsia="Arial" w:hAnsi="Arial" w:cs="Arial"/>
          <w:color w:val="212121"/>
        </w:rPr>
        <w:t xml:space="preserve">Auerbach, A.J., and Schussler, E.E. (2017), ‘Curriculum Alignment with Vision and Change Improves Student Scientific Literacy’, </w:t>
      </w:r>
      <w:r w:rsidRPr="197EFE37">
        <w:rPr>
          <w:rFonts w:ascii="Arial" w:eastAsia="Arial" w:hAnsi="Arial" w:cs="Arial"/>
          <w:i/>
          <w:iCs/>
          <w:color w:val="212121"/>
        </w:rPr>
        <w:t xml:space="preserve">CBE Life Sci Educ, </w:t>
      </w:r>
      <w:r w:rsidRPr="197EFE37">
        <w:rPr>
          <w:rFonts w:ascii="Arial" w:eastAsia="Arial" w:hAnsi="Arial" w:cs="Arial"/>
          <w:color w:val="212121"/>
        </w:rPr>
        <w:t>16(2). Available at: doi:10.1187/cbe.16-04-0160</w:t>
      </w:r>
    </w:p>
    <w:p w14:paraId="17C4D194" w14:textId="77777777" w:rsidR="00DC2182" w:rsidRDefault="00DC2182" w:rsidP="00DC2182">
      <w:pPr>
        <w:pStyle w:val="ListParagraph"/>
        <w:numPr>
          <w:ilvl w:val="0"/>
          <w:numId w:val="1"/>
        </w:numPr>
        <w:shd w:val="clear" w:color="auto" w:fill="FFFFFF" w:themeFill="background1"/>
        <w:spacing w:after="0" w:line="279" w:lineRule="auto"/>
      </w:pPr>
      <w:r w:rsidRPr="197EFE37">
        <w:t xml:space="preserve">British Educational Research Association [BERA] (2018) </w:t>
      </w:r>
      <w:r w:rsidRPr="197EFE37">
        <w:rPr>
          <w:i/>
          <w:iCs/>
        </w:rPr>
        <w:t>Ethical Guidelines for Educational Research</w:t>
      </w:r>
      <w:r w:rsidRPr="197EFE37">
        <w:t>, 4th edn. London. https://www.bera.ac.uk/researchers-resources/publications/ethical-guidelines-for-educational-research-2018 (accessed 22 August)</w:t>
      </w:r>
    </w:p>
    <w:p w14:paraId="74A8DAE7" w14:textId="77777777" w:rsidR="00DC2182" w:rsidRDefault="00DC2182" w:rsidP="00DC2182">
      <w:pPr>
        <w:pStyle w:val="ListParagraph"/>
        <w:numPr>
          <w:ilvl w:val="0"/>
          <w:numId w:val="1"/>
        </w:numPr>
        <w:shd w:val="clear" w:color="auto" w:fill="FFFFFF" w:themeFill="background1"/>
        <w:spacing w:after="0" w:line="279" w:lineRule="auto"/>
      </w:pPr>
      <w:r>
        <w:t xml:space="preserve">Broman, K., Bernholt, S., &amp; Christensson, C. (2020) ‘Relevant or interesting according to upper secondary students? Affective aspects of context based chemistry problems.’ </w:t>
      </w:r>
      <w:r w:rsidRPr="197EFE37">
        <w:rPr>
          <w:i/>
          <w:iCs/>
        </w:rPr>
        <w:t>Research in Science &amp; Technological Education</w:t>
      </w:r>
      <w:r>
        <w:t>, 40(4), pp. 478-498. Available at: DOI: 10.1080/02635143.2020.1824177</w:t>
      </w:r>
    </w:p>
    <w:p w14:paraId="0CE2BC58" w14:textId="77777777" w:rsidR="00DC2182" w:rsidRDefault="00DC2182" w:rsidP="00DC2182">
      <w:pPr>
        <w:pStyle w:val="ListParagraph"/>
        <w:numPr>
          <w:ilvl w:val="0"/>
          <w:numId w:val="1"/>
        </w:numPr>
        <w:shd w:val="clear" w:color="auto" w:fill="FFFFFF" w:themeFill="background1"/>
        <w:spacing w:after="0" w:line="279" w:lineRule="auto"/>
      </w:pPr>
      <w:r w:rsidRPr="197EFE37">
        <w:rPr>
          <w:rFonts w:ascii="Arial" w:eastAsia="Arial" w:hAnsi="Arial" w:cs="Arial"/>
          <w:color w:val="000000" w:themeColor="text1"/>
        </w:rPr>
        <w:t xml:space="preserve">Chowdhury, T., Holbrook, J., &amp; Rannikmäe, M. </w:t>
      </w:r>
      <w:r>
        <w:t xml:space="preserve">(2020) Socioscientific Issues within Science Education and their Role in Promoting the Desired Citizenry. Science Education International, 31(2), pp. 203–208. Available at: DOI: </w:t>
      </w:r>
      <w:hyperlink r:id="rId6">
        <w:r w:rsidRPr="197EFE37">
          <w:rPr>
            <w:rStyle w:val="Hyperlink"/>
          </w:rPr>
          <w:t>http://dx.doi.org/10.33828/sei.v31.i2.10</w:t>
        </w:r>
      </w:hyperlink>
    </w:p>
    <w:p w14:paraId="71602926" w14:textId="77777777" w:rsidR="00DC2182" w:rsidRDefault="00DC2182" w:rsidP="00DC2182">
      <w:pPr>
        <w:pStyle w:val="ListParagraph"/>
        <w:numPr>
          <w:ilvl w:val="0"/>
          <w:numId w:val="1"/>
        </w:numPr>
        <w:shd w:val="clear" w:color="auto" w:fill="FFFFFF" w:themeFill="background1"/>
        <w:spacing w:after="0" w:line="279" w:lineRule="auto"/>
      </w:pPr>
      <w:r>
        <w:t xml:space="preserve">Davies, M. (2013) ‘Critical thinking and the disciplines reconsidered’, </w:t>
      </w:r>
      <w:r w:rsidRPr="197EFE37">
        <w:rPr>
          <w:i/>
          <w:iCs/>
        </w:rPr>
        <w:t>Higher Education Research &amp; Development</w:t>
      </w:r>
      <w:r>
        <w:t>, 32(4), pp. 529–544. Available at: doi: 10.1080/07294360.2012.697878.</w:t>
      </w:r>
    </w:p>
    <w:p w14:paraId="111784F4" w14:textId="77777777" w:rsidR="00DC2182" w:rsidRDefault="00DC2182" w:rsidP="00DC2182">
      <w:pPr>
        <w:pStyle w:val="ListParagraph"/>
        <w:numPr>
          <w:ilvl w:val="0"/>
          <w:numId w:val="1"/>
        </w:numPr>
        <w:shd w:val="clear" w:color="auto" w:fill="FFFFFF" w:themeFill="background1"/>
        <w:spacing w:after="0" w:line="279" w:lineRule="auto"/>
        <w:rPr>
          <w:rFonts w:ascii="Arial" w:eastAsia="Arial" w:hAnsi="Arial" w:cs="Arial"/>
          <w:color w:val="000000" w:themeColor="text1"/>
          <w:lang w:val="en-US"/>
        </w:rPr>
      </w:pPr>
      <w:r w:rsidRPr="197EFE37">
        <w:rPr>
          <w:rFonts w:ascii="Arial" w:eastAsia="Arial" w:hAnsi="Arial" w:cs="Arial"/>
          <w:color w:val="000000" w:themeColor="text1"/>
        </w:rPr>
        <w:t xml:space="preserve">De Jong, T., Lazonder, A. W., Chinn, C., Fischer, F., Gobert, J., Hmelo-Silver, C.E., Koedinger, K.R., Krajcik, J.S., Kyza, E.A., Linn, M.C., Pedaste, M., Scheiter, K. and Zacharia, Z.C. (2024) ‘Beyond inquiry or direct instruction: Pressing issues for designing impactful science learning opportunities’, </w:t>
      </w:r>
      <w:r w:rsidRPr="197EFE37">
        <w:rPr>
          <w:rFonts w:ascii="Arial" w:eastAsia="Arial" w:hAnsi="Arial" w:cs="Arial"/>
          <w:i/>
          <w:iCs/>
          <w:color w:val="000000" w:themeColor="text1"/>
        </w:rPr>
        <w:t>Educational Research Review</w:t>
      </w:r>
      <w:r w:rsidRPr="197EFE37">
        <w:rPr>
          <w:rFonts w:ascii="Arial" w:eastAsia="Arial" w:hAnsi="Arial" w:cs="Arial"/>
          <w:color w:val="000000" w:themeColor="text1"/>
        </w:rPr>
        <w:t xml:space="preserve">, 44. Available at: </w:t>
      </w:r>
      <w:r w:rsidRPr="197EFE37">
        <w:rPr>
          <w:rFonts w:ascii="Arial" w:eastAsia="Arial" w:hAnsi="Arial" w:cs="Arial"/>
        </w:rPr>
        <w:t>https://doi.org/10.1016/j.edurev.2024.100623</w:t>
      </w:r>
    </w:p>
    <w:p w14:paraId="4E5438B7" w14:textId="77777777" w:rsidR="00DC2182" w:rsidRDefault="00DC2182" w:rsidP="00DC2182">
      <w:pPr>
        <w:pStyle w:val="ListParagraph"/>
        <w:numPr>
          <w:ilvl w:val="0"/>
          <w:numId w:val="1"/>
        </w:numPr>
        <w:shd w:val="clear" w:color="auto" w:fill="FFFFFF" w:themeFill="background1"/>
        <w:spacing w:after="0" w:line="279" w:lineRule="auto"/>
        <w:rPr>
          <w:rFonts w:ascii="Arial" w:eastAsia="Arial" w:hAnsi="Arial" w:cs="Arial"/>
        </w:rPr>
      </w:pPr>
      <w:r w:rsidRPr="197EFE37">
        <w:rPr>
          <w:rFonts w:ascii="Arial" w:eastAsia="Arial" w:hAnsi="Arial" w:cs="Arial"/>
          <w:color w:val="000000" w:themeColor="text1"/>
        </w:rPr>
        <w:t xml:space="preserve">Fleming, R. (1986). ‘Adolescent reasoning in socio-scientific issues Part II: </w:t>
      </w:r>
      <w:r w:rsidRPr="197EFE37">
        <w:rPr>
          <w:rFonts w:ascii="Arial" w:eastAsia="Arial" w:hAnsi="Arial" w:cs="Arial"/>
        </w:rPr>
        <w:t xml:space="preserve">Nonsocial cognition’. </w:t>
      </w:r>
      <w:r w:rsidRPr="197EFE37">
        <w:rPr>
          <w:rFonts w:ascii="Arial" w:eastAsia="Arial" w:hAnsi="Arial" w:cs="Arial"/>
          <w:i/>
          <w:iCs/>
        </w:rPr>
        <w:t>Journal of Research in Science Teaching</w:t>
      </w:r>
      <w:r w:rsidRPr="197EFE37">
        <w:rPr>
          <w:rFonts w:ascii="Arial" w:eastAsia="Arial" w:hAnsi="Arial" w:cs="Arial"/>
        </w:rPr>
        <w:t>, 23(8), pp. 689-698. Available at: https://doi.org/10.1002/tea.3660230804</w:t>
      </w:r>
    </w:p>
    <w:p w14:paraId="1010A78A" w14:textId="77777777" w:rsidR="00DC2182" w:rsidRDefault="00DC2182" w:rsidP="00DC2182">
      <w:pPr>
        <w:pStyle w:val="ListParagraph"/>
        <w:numPr>
          <w:ilvl w:val="0"/>
          <w:numId w:val="1"/>
        </w:numPr>
        <w:shd w:val="clear" w:color="auto" w:fill="FFFFFF" w:themeFill="background1"/>
        <w:spacing w:after="0" w:line="279" w:lineRule="auto"/>
        <w:rPr>
          <w:rFonts w:ascii="Arial" w:eastAsia="Arial" w:hAnsi="Arial" w:cs="Arial"/>
          <w:color w:val="000000" w:themeColor="text1"/>
        </w:rPr>
      </w:pPr>
      <w:r w:rsidRPr="197EFE37">
        <w:rPr>
          <w:rFonts w:ascii="Arial" w:eastAsia="Arial" w:hAnsi="Arial" w:cs="Arial"/>
          <w:color w:val="000000" w:themeColor="text1"/>
        </w:rPr>
        <w:t>Gilbert, J. K. (2006) ‘On the Nature of “Context” in Chemical Education’,</w:t>
      </w:r>
      <w:r w:rsidRPr="197EFE37">
        <w:rPr>
          <w:rFonts w:ascii="Arial" w:eastAsia="Arial" w:hAnsi="Arial" w:cs="Arial"/>
          <w:i/>
          <w:iCs/>
          <w:color w:val="000000" w:themeColor="text1"/>
        </w:rPr>
        <w:t xml:space="preserve"> International Journal of Science Education</w:t>
      </w:r>
      <w:r w:rsidRPr="197EFE37">
        <w:rPr>
          <w:rFonts w:ascii="Arial" w:eastAsia="Arial" w:hAnsi="Arial" w:cs="Arial"/>
          <w:color w:val="000000" w:themeColor="text1"/>
        </w:rPr>
        <w:t>, 28(9), pp. 957–976. doi: 10.1080/09500690600702470.</w:t>
      </w:r>
    </w:p>
    <w:p w14:paraId="69F8118D" w14:textId="77777777" w:rsidR="00DC2182" w:rsidRDefault="00DC2182" w:rsidP="00DC2182">
      <w:pPr>
        <w:pStyle w:val="ListParagraph"/>
        <w:numPr>
          <w:ilvl w:val="0"/>
          <w:numId w:val="1"/>
        </w:numPr>
        <w:shd w:val="clear" w:color="auto" w:fill="FFFFFF" w:themeFill="background1"/>
        <w:spacing w:after="0" w:line="279" w:lineRule="auto"/>
        <w:rPr>
          <w:rFonts w:ascii="Arial" w:eastAsia="Arial" w:hAnsi="Arial" w:cs="Arial"/>
          <w:lang w:val="en-US"/>
        </w:rPr>
      </w:pPr>
      <w:r w:rsidRPr="197EFE37">
        <w:rPr>
          <w:rFonts w:ascii="Arial" w:eastAsia="Arial" w:hAnsi="Arial" w:cs="Arial"/>
        </w:rPr>
        <w:t xml:space="preserve">Kekeba, S.K. (2025) ‘Effects of jigsaw learning strategy integrated with computer simulations on gender differences in students’ achievement and attitude in learning chemistry’, </w:t>
      </w:r>
      <w:r w:rsidRPr="197EFE37">
        <w:rPr>
          <w:rFonts w:ascii="Arial" w:eastAsia="Arial" w:hAnsi="Arial" w:cs="Arial"/>
          <w:i/>
          <w:iCs/>
        </w:rPr>
        <w:t>Cogent Education</w:t>
      </w:r>
      <w:r w:rsidRPr="197EFE37">
        <w:rPr>
          <w:rFonts w:ascii="Arial" w:eastAsia="Arial" w:hAnsi="Arial" w:cs="Arial"/>
        </w:rPr>
        <w:t>, 12(1). Available at: DOI: 10.1080/2331186X.2024.2346041</w:t>
      </w:r>
    </w:p>
    <w:p w14:paraId="6CC645CE" w14:textId="77777777" w:rsidR="00DC2182" w:rsidRDefault="00DC2182" w:rsidP="00DC2182">
      <w:pPr>
        <w:pStyle w:val="ListParagraph"/>
        <w:numPr>
          <w:ilvl w:val="0"/>
          <w:numId w:val="1"/>
        </w:numPr>
        <w:shd w:val="clear" w:color="auto" w:fill="FFFFFF" w:themeFill="background1"/>
        <w:spacing w:after="0" w:line="279" w:lineRule="auto"/>
      </w:pPr>
      <w:r w:rsidRPr="197EFE37">
        <w:rPr>
          <w:rFonts w:ascii="Arial" w:eastAsia="Arial" w:hAnsi="Arial" w:cs="Arial"/>
        </w:rPr>
        <w:t xml:space="preserve">Kolstø, S.D. (2001) ‘Scientific literacy for citizenship: Tools for dealing with </w:t>
      </w:r>
      <w:r>
        <w:t xml:space="preserve">the science dimension of controversial socioscientic issues’, </w:t>
      </w:r>
      <w:r w:rsidRPr="197EFE37">
        <w:rPr>
          <w:i/>
          <w:iCs/>
        </w:rPr>
        <w:t>Science Education</w:t>
      </w:r>
      <w:r>
        <w:t>, 85(3), pp. 291-310. Available at: https://doi.org/10.1002/sce.1011</w:t>
      </w:r>
    </w:p>
    <w:p w14:paraId="0D70EC25" w14:textId="77777777" w:rsidR="00DC2182" w:rsidRDefault="00DC2182" w:rsidP="00DC2182">
      <w:pPr>
        <w:pStyle w:val="ListParagraph"/>
        <w:numPr>
          <w:ilvl w:val="0"/>
          <w:numId w:val="1"/>
        </w:numPr>
        <w:shd w:val="clear" w:color="auto" w:fill="FFFFFF" w:themeFill="background1"/>
        <w:spacing w:after="0" w:line="279" w:lineRule="auto"/>
        <w:rPr>
          <w:rFonts w:ascii="Arial" w:eastAsia="Arial" w:hAnsi="Arial" w:cs="Arial"/>
          <w:color w:val="000000" w:themeColor="text1"/>
          <w:lang w:val="en-US"/>
        </w:rPr>
      </w:pPr>
      <w:r w:rsidRPr="197EFE37">
        <w:rPr>
          <w:rFonts w:ascii="Arial" w:eastAsia="Arial" w:hAnsi="Arial" w:cs="Arial"/>
          <w:color w:val="000000" w:themeColor="text1"/>
        </w:rPr>
        <w:lastRenderedPageBreak/>
        <w:t xml:space="preserve">Li, Y. and Guo, M. (2021) ‘Scientific Literacy in Communicating Science and Socio-Scientific Issues: Prospects and Challenges’, </w:t>
      </w:r>
      <w:r w:rsidRPr="197EFE37">
        <w:rPr>
          <w:rFonts w:ascii="Arial" w:eastAsia="Arial" w:hAnsi="Arial" w:cs="Arial"/>
          <w:i/>
          <w:iCs/>
          <w:color w:val="000000" w:themeColor="text1"/>
        </w:rPr>
        <w:t>Frontiers in Psychology</w:t>
      </w:r>
      <w:r w:rsidRPr="197EFE37">
        <w:rPr>
          <w:rFonts w:ascii="Arial" w:eastAsia="Arial" w:hAnsi="Arial" w:cs="Arial"/>
          <w:color w:val="000000" w:themeColor="text1"/>
        </w:rPr>
        <w:t xml:space="preserve">, 12. Available at: </w:t>
      </w:r>
      <w:hyperlink r:id="rId7">
        <w:r w:rsidRPr="197EFE37">
          <w:rPr>
            <w:rStyle w:val="Hyperlink"/>
            <w:rFonts w:ascii="Arial" w:eastAsia="Arial" w:hAnsi="Arial" w:cs="Arial"/>
          </w:rPr>
          <w:t>https://doi.org/10.3389/fpsyg.2021.758000</w:t>
        </w:r>
      </w:hyperlink>
    </w:p>
    <w:p w14:paraId="4020081B" w14:textId="77777777" w:rsidR="00DC2182" w:rsidRDefault="00DC2182" w:rsidP="00DC2182">
      <w:pPr>
        <w:pStyle w:val="ListParagraph"/>
        <w:numPr>
          <w:ilvl w:val="0"/>
          <w:numId w:val="1"/>
        </w:numPr>
        <w:shd w:val="clear" w:color="auto" w:fill="FFFFFF" w:themeFill="background1"/>
        <w:spacing w:after="0" w:line="279" w:lineRule="auto"/>
        <w:rPr>
          <w:rFonts w:ascii="Arial" w:eastAsia="Arial" w:hAnsi="Arial" w:cs="Arial"/>
          <w:color w:val="000000" w:themeColor="text1"/>
        </w:rPr>
      </w:pPr>
      <w:r w:rsidRPr="197EFE37">
        <w:rPr>
          <w:rFonts w:ascii="Arial" w:eastAsia="Arial" w:hAnsi="Arial" w:cs="Arial"/>
          <w:color w:val="000000" w:themeColor="text1"/>
        </w:rPr>
        <w:t xml:space="preserve">List, J. A. (2021) ‘Enhancing critical thinking skill formation: Getting fast thinkers to slow down’, </w:t>
      </w:r>
      <w:r w:rsidRPr="197EFE37">
        <w:rPr>
          <w:rFonts w:ascii="Arial" w:eastAsia="Arial" w:hAnsi="Arial" w:cs="Arial"/>
          <w:i/>
          <w:iCs/>
          <w:color w:val="000000" w:themeColor="text1"/>
        </w:rPr>
        <w:t>The Journal of Economic Education</w:t>
      </w:r>
      <w:r w:rsidRPr="197EFE37">
        <w:rPr>
          <w:rFonts w:ascii="Arial" w:eastAsia="Arial" w:hAnsi="Arial" w:cs="Arial"/>
          <w:color w:val="000000" w:themeColor="text1"/>
        </w:rPr>
        <w:t>, 53(1), pp. 100–108. doi: 10.1080/00220485.2021.2004282.</w:t>
      </w:r>
    </w:p>
    <w:p w14:paraId="27E3C449" w14:textId="77777777" w:rsidR="00DC2182" w:rsidRDefault="00DC2182" w:rsidP="00DC2182">
      <w:pPr>
        <w:pStyle w:val="ListParagraph"/>
        <w:numPr>
          <w:ilvl w:val="0"/>
          <w:numId w:val="1"/>
        </w:numPr>
        <w:shd w:val="clear" w:color="auto" w:fill="FFFFFF" w:themeFill="background1"/>
        <w:spacing w:after="0" w:line="279" w:lineRule="auto"/>
        <w:rPr>
          <w:rFonts w:ascii="Arial" w:eastAsia="Arial" w:hAnsi="Arial" w:cs="Arial"/>
          <w:color w:val="000000" w:themeColor="text1"/>
        </w:rPr>
      </w:pPr>
      <w:r w:rsidRPr="197EFE37">
        <w:rPr>
          <w:rFonts w:ascii="Arial" w:eastAsia="Arial" w:hAnsi="Arial" w:cs="Arial"/>
          <w:color w:val="000000" w:themeColor="text1"/>
        </w:rPr>
        <w:t xml:space="preserve">Moore, T. (2011) ‘Critical thinking: seven definitions in search of a concept’, </w:t>
      </w:r>
      <w:r w:rsidRPr="197EFE37">
        <w:rPr>
          <w:rFonts w:ascii="Arial" w:eastAsia="Arial" w:hAnsi="Arial" w:cs="Arial"/>
          <w:i/>
          <w:iCs/>
          <w:color w:val="000000" w:themeColor="text1"/>
        </w:rPr>
        <w:t>Studies in Higher Education</w:t>
      </w:r>
      <w:r w:rsidRPr="197EFE37">
        <w:rPr>
          <w:rFonts w:ascii="Arial" w:eastAsia="Arial" w:hAnsi="Arial" w:cs="Arial"/>
          <w:color w:val="000000" w:themeColor="text1"/>
        </w:rPr>
        <w:t>, 38(4), pp. 506–522. Available at: doi: 10.1080/03075079.2011.586995.</w:t>
      </w:r>
    </w:p>
    <w:p w14:paraId="67EDDB24" w14:textId="77777777" w:rsidR="00DC2182" w:rsidRDefault="00DC2182" w:rsidP="00DC2182">
      <w:pPr>
        <w:pStyle w:val="ListParagraph"/>
        <w:numPr>
          <w:ilvl w:val="0"/>
          <w:numId w:val="1"/>
        </w:numPr>
        <w:shd w:val="clear" w:color="auto" w:fill="FFFFFF" w:themeFill="background1"/>
        <w:spacing w:after="0" w:line="279" w:lineRule="auto"/>
        <w:rPr>
          <w:rFonts w:ascii="Arial" w:eastAsia="Arial" w:hAnsi="Arial" w:cs="Arial"/>
          <w:color w:val="000000" w:themeColor="text1"/>
        </w:rPr>
      </w:pPr>
      <w:r w:rsidRPr="197EFE37">
        <w:rPr>
          <w:rFonts w:ascii="Arial" w:eastAsia="Arial" w:hAnsi="Arial" w:cs="Arial"/>
          <w:color w:val="000000" w:themeColor="text1"/>
        </w:rPr>
        <w:t xml:space="preserve">ResearchMethod.Net (2022) </w:t>
      </w:r>
      <w:r w:rsidRPr="197EFE37">
        <w:rPr>
          <w:rFonts w:ascii="Arial" w:eastAsia="Arial" w:hAnsi="Arial" w:cs="Arial"/>
          <w:i/>
          <w:iCs/>
          <w:color w:val="000000" w:themeColor="text1"/>
        </w:rPr>
        <w:t xml:space="preserve">Research Methods – Types, Examples and Guide. </w:t>
      </w:r>
      <w:r w:rsidRPr="197EFE37">
        <w:rPr>
          <w:rFonts w:ascii="Arial" w:eastAsia="Arial" w:hAnsi="Arial" w:cs="Arial"/>
          <w:color w:val="000000" w:themeColor="text1"/>
        </w:rPr>
        <w:t xml:space="preserve">Available at: </w:t>
      </w:r>
      <w:hyperlink r:id="rId8">
        <w:r w:rsidRPr="197EFE37">
          <w:rPr>
            <w:rStyle w:val="Hyperlink"/>
            <w:rFonts w:ascii="Arial" w:eastAsia="Arial" w:hAnsi="Arial" w:cs="Arial"/>
          </w:rPr>
          <w:t>https://researchmethod.net/researchmethods/</w:t>
        </w:r>
      </w:hyperlink>
      <w:r w:rsidRPr="197EFE37">
        <w:rPr>
          <w:rFonts w:ascii="Arial" w:eastAsia="Arial" w:hAnsi="Arial" w:cs="Arial"/>
          <w:color w:val="000000" w:themeColor="text1"/>
        </w:rPr>
        <w:t xml:space="preserve"> (Accessed 22 August 2025)</w:t>
      </w:r>
    </w:p>
    <w:p w14:paraId="2AFCDDE1" w14:textId="77777777" w:rsidR="00DC2182" w:rsidRDefault="00DC2182" w:rsidP="00DC2182">
      <w:pPr>
        <w:pStyle w:val="ListParagraph"/>
        <w:numPr>
          <w:ilvl w:val="0"/>
          <w:numId w:val="1"/>
        </w:numPr>
        <w:shd w:val="clear" w:color="auto" w:fill="FFFFFF" w:themeFill="background1"/>
        <w:spacing w:after="0" w:line="279" w:lineRule="auto"/>
      </w:pPr>
      <w:r w:rsidRPr="197EFE37">
        <w:rPr>
          <w:rFonts w:ascii="Arial" w:eastAsia="Arial" w:hAnsi="Arial" w:cs="Arial"/>
          <w:color w:val="000000" w:themeColor="text1"/>
        </w:rPr>
        <w:t xml:space="preserve">Rubba, P.A. (1991) ‘Integrating STS into school science and teacher </w:t>
      </w:r>
      <w:r>
        <w:t xml:space="preserve">education: Beyond awareness’, </w:t>
      </w:r>
      <w:r w:rsidRPr="197EFE37">
        <w:rPr>
          <w:i/>
          <w:iCs/>
        </w:rPr>
        <w:t>Theory into Practice</w:t>
      </w:r>
      <w:r>
        <w:t>, 30(4), pp. 303-308. Available at: https://www.jstor.org/stable/1476829 (Accessed 19 August 2025)</w:t>
      </w:r>
    </w:p>
    <w:p w14:paraId="41D8C67F" w14:textId="77777777" w:rsidR="00DC2182" w:rsidRDefault="00DC2182" w:rsidP="00DC2182">
      <w:pPr>
        <w:pStyle w:val="ListParagraph"/>
        <w:numPr>
          <w:ilvl w:val="0"/>
          <w:numId w:val="1"/>
        </w:numPr>
        <w:shd w:val="clear" w:color="auto" w:fill="FFFFFF" w:themeFill="background1"/>
        <w:spacing w:after="0" w:line="279" w:lineRule="auto"/>
        <w:rPr>
          <w:rFonts w:ascii="Arial" w:eastAsia="Arial" w:hAnsi="Arial" w:cs="Arial"/>
          <w:color w:val="000000" w:themeColor="text1"/>
          <w:lang w:val="en-US"/>
        </w:rPr>
      </w:pPr>
      <w:r w:rsidRPr="197EFE37">
        <w:rPr>
          <w:rFonts w:ascii="Arial" w:eastAsia="Arial" w:hAnsi="Arial" w:cs="Arial"/>
          <w:color w:val="000000" w:themeColor="text1"/>
        </w:rPr>
        <w:t xml:space="preserve">Saija, M., Rahayu, S., Fajaroh, F. and Sumari. (2022) ‘Enhancement of high school students’ scientific literacy using local-socioscientific issues in OE3C instructional strategies’,  </w:t>
      </w:r>
      <w:r w:rsidRPr="197EFE37">
        <w:rPr>
          <w:rFonts w:ascii="Arial" w:eastAsia="Arial" w:hAnsi="Arial" w:cs="Arial"/>
          <w:i/>
          <w:iCs/>
          <w:color w:val="000000" w:themeColor="text1"/>
        </w:rPr>
        <w:t xml:space="preserve">Jurnal Pendidikan IPA Indonesia, </w:t>
      </w:r>
      <w:r w:rsidRPr="197EFE37">
        <w:rPr>
          <w:rFonts w:ascii="Arial" w:eastAsia="Arial" w:hAnsi="Arial" w:cs="Arial"/>
          <w:color w:val="000000" w:themeColor="text1"/>
        </w:rPr>
        <w:t>11(1). Available at: DOI: 10.15294/jpii.v11i1.33341</w:t>
      </w:r>
    </w:p>
    <w:p w14:paraId="3443D419" w14:textId="77777777" w:rsidR="00DC2182" w:rsidRDefault="00DC2182" w:rsidP="00DC2182">
      <w:pPr>
        <w:pStyle w:val="ListParagraph"/>
        <w:numPr>
          <w:ilvl w:val="0"/>
          <w:numId w:val="1"/>
        </w:numPr>
        <w:shd w:val="clear" w:color="auto" w:fill="FFFFFF" w:themeFill="background1"/>
        <w:spacing w:after="0" w:line="279" w:lineRule="auto"/>
        <w:rPr>
          <w:rFonts w:ascii="Arial" w:eastAsia="Arial" w:hAnsi="Arial" w:cs="Arial"/>
          <w:color w:val="000000" w:themeColor="text1"/>
          <w:lang w:val="en-US"/>
        </w:rPr>
      </w:pPr>
      <w:r w:rsidRPr="197EFE37">
        <w:rPr>
          <w:rFonts w:ascii="Arial" w:eastAsia="Arial" w:hAnsi="Arial" w:cs="Arial"/>
          <w:color w:val="000000" w:themeColor="text1"/>
        </w:rPr>
        <w:t xml:space="preserve">Sutiani, A., Situmorang, M. and Silalahi, A. (2021) ‘Implementation of an Inquiry Learning Model with Scientific Literacy to Improve Student Critical Thinking Skills’, International Journal of Instruction, 14(2), pp. 117-138. Available at: </w:t>
      </w:r>
      <w:r w:rsidRPr="197EFE37">
        <w:rPr>
          <w:rFonts w:ascii="Arial" w:eastAsia="Arial" w:hAnsi="Arial" w:cs="Arial"/>
        </w:rPr>
        <w:t>https://digilib.unimed.ac.id/id/eprint/42164/3/ARTICLE.pdf</w:t>
      </w:r>
      <w:r w:rsidRPr="197EFE37">
        <w:rPr>
          <w:rFonts w:ascii="Arial" w:eastAsia="Arial" w:hAnsi="Arial" w:cs="Arial"/>
          <w:color w:val="000000" w:themeColor="text1"/>
        </w:rPr>
        <w:t xml:space="preserve"> (Accessed 14 May 2025)</w:t>
      </w:r>
    </w:p>
    <w:p w14:paraId="292C9462" w14:textId="77777777" w:rsidR="00DC2182" w:rsidRDefault="00DC2182" w:rsidP="00DC2182">
      <w:pPr>
        <w:shd w:val="clear" w:color="auto" w:fill="FFFFFF" w:themeFill="background1"/>
        <w:spacing w:after="0"/>
      </w:pPr>
    </w:p>
    <w:p w14:paraId="2E452A27" w14:textId="77777777" w:rsidR="00DC2182" w:rsidRDefault="00DC2182" w:rsidP="00DC2182">
      <w:pPr>
        <w:shd w:val="clear" w:color="auto" w:fill="FFFFFF" w:themeFill="background1"/>
        <w:spacing w:after="0"/>
      </w:pPr>
    </w:p>
    <w:p w14:paraId="3FE89D4F" w14:textId="77777777" w:rsidR="00DC2182" w:rsidRPr="00F94807" w:rsidRDefault="00DC2182" w:rsidP="00DD5969">
      <w:pPr>
        <w:rPr>
          <w:rFonts w:asciiTheme="minorBidi" w:hAnsiTheme="minorBidi"/>
        </w:rPr>
      </w:pPr>
    </w:p>
    <w:p w14:paraId="00FCD18B" w14:textId="77777777" w:rsidR="000C541C" w:rsidRPr="00F94807" w:rsidRDefault="000C541C" w:rsidP="00DD5969">
      <w:pPr>
        <w:rPr>
          <w:rFonts w:asciiTheme="minorBidi" w:hAnsiTheme="minorBidi"/>
          <w:sz w:val="16"/>
          <w:szCs w:val="16"/>
        </w:rPr>
      </w:pPr>
    </w:p>
    <w:p w14:paraId="6EA9A853" w14:textId="77777777" w:rsidR="0000375B" w:rsidRPr="00F94807" w:rsidRDefault="0000375B" w:rsidP="00DD5969">
      <w:pPr>
        <w:rPr>
          <w:rFonts w:asciiTheme="minorBidi" w:hAnsiTheme="minorBidi"/>
          <w:sz w:val="16"/>
          <w:szCs w:val="16"/>
        </w:rPr>
      </w:pPr>
    </w:p>
    <w:p w14:paraId="32F37250" w14:textId="77777777" w:rsidR="0000375B" w:rsidRPr="00F94807" w:rsidRDefault="0000375B" w:rsidP="00DD5969">
      <w:pPr>
        <w:rPr>
          <w:rFonts w:asciiTheme="minorBidi" w:hAnsiTheme="minorBidi"/>
          <w:sz w:val="16"/>
          <w:szCs w:val="16"/>
        </w:rPr>
      </w:pPr>
    </w:p>
    <w:sectPr w:rsidR="0000375B" w:rsidRPr="00F948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522DA6"/>
    <w:multiLevelType w:val="hybridMultilevel"/>
    <w:tmpl w:val="4C9C5DFC"/>
    <w:lvl w:ilvl="0" w:tplc="299CC400">
      <w:start w:val="1"/>
      <w:numFmt w:val="decimal"/>
      <w:lvlText w:val="%1."/>
      <w:lvlJc w:val="left"/>
      <w:pPr>
        <w:ind w:left="360" w:hanging="360"/>
      </w:pPr>
    </w:lvl>
    <w:lvl w:ilvl="1" w:tplc="D1566D0C">
      <w:start w:val="1"/>
      <w:numFmt w:val="lowerLetter"/>
      <w:lvlText w:val="%2."/>
      <w:lvlJc w:val="left"/>
      <w:pPr>
        <w:ind w:left="1080" w:hanging="360"/>
      </w:pPr>
    </w:lvl>
    <w:lvl w:ilvl="2" w:tplc="E8327542">
      <w:start w:val="1"/>
      <w:numFmt w:val="lowerRoman"/>
      <w:lvlText w:val="%3."/>
      <w:lvlJc w:val="right"/>
      <w:pPr>
        <w:ind w:left="1800" w:hanging="180"/>
      </w:pPr>
    </w:lvl>
    <w:lvl w:ilvl="3" w:tplc="E146B70C">
      <w:start w:val="1"/>
      <w:numFmt w:val="decimal"/>
      <w:lvlText w:val="%4."/>
      <w:lvlJc w:val="left"/>
      <w:pPr>
        <w:ind w:left="2520" w:hanging="360"/>
      </w:pPr>
    </w:lvl>
    <w:lvl w:ilvl="4" w:tplc="ED5A3640">
      <w:start w:val="1"/>
      <w:numFmt w:val="lowerLetter"/>
      <w:lvlText w:val="%5."/>
      <w:lvlJc w:val="left"/>
      <w:pPr>
        <w:ind w:left="3240" w:hanging="360"/>
      </w:pPr>
    </w:lvl>
    <w:lvl w:ilvl="5" w:tplc="92B81B1C">
      <w:start w:val="1"/>
      <w:numFmt w:val="lowerRoman"/>
      <w:lvlText w:val="%6."/>
      <w:lvlJc w:val="right"/>
      <w:pPr>
        <w:ind w:left="3960" w:hanging="180"/>
      </w:pPr>
    </w:lvl>
    <w:lvl w:ilvl="6" w:tplc="468CBBC4">
      <w:start w:val="1"/>
      <w:numFmt w:val="decimal"/>
      <w:lvlText w:val="%7."/>
      <w:lvlJc w:val="left"/>
      <w:pPr>
        <w:ind w:left="4680" w:hanging="360"/>
      </w:pPr>
    </w:lvl>
    <w:lvl w:ilvl="7" w:tplc="C8E2184A">
      <w:start w:val="1"/>
      <w:numFmt w:val="lowerLetter"/>
      <w:lvlText w:val="%8."/>
      <w:lvlJc w:val="left"/>
      <w:pPr>
        <w:ind w:left="5400" w:hanging="360"/>
      </w:pPr>
    </w:lvl>
    <w:lvl w:ilvl="8" w:tplc="3EDCE448">
      <w:start w:val="1"/>
      <w:numFmt w:val="lowerRoman"/>
      <w:lvlText w:val="%9."/>
      <w:lvlJc w:val="right"/>
      <w:pPr>
        <w:ind w:left="6120" w:hanging="180"/>
      </w:pPr>
    </w:lvl>
  </w:abstractNum>
  <w:abstractNum w:abstractNumId="1" w15:restartNumberingAfterBreak="0">
    <w:nsid w:val="75FF9302"/>
    <w:multiLevelType w:val="hybridMultilevel"/>
    <w:tmpl w:val="37A8935A"/>
    <w:lvl w:ilvl="0" w:tplc="63008254">
      <w:start w:val="1"/>
      <w:numFmt w:val="bullet"/>
      <w:lvlText w:val=""/>
      <w:lvlJc w:val="left"/>
      <w:pPr>
        <w:ind w:left="720" w:hanging="360"/>
      </w:pPr>
      <w:rPr>
        <w:rFonts w:ascii="Symbol" w:hAnsi="Symbol" w:hint="default"/>
      </w:rPr>
    </w:lvl>
    <w:lvl w:ilvl="1" w:tplc="49523342">
      <w:start w:val="1"/>
      <w:numFmt w:val="bullet"/>
      <w:lvlText w:val="o"/>
      <w:lvlJc w:val="left"/>
      <w:pPr>
        <w:ind w:left="1440" w:hanging="360"/>
      </w:pPr>
      <w:rPr>
        <w:rFonts w:ascii="Courier New" w:hAnsi="Courier New" w:hint="default"/>
      </w:rPr>
    </w:lvl>
    <w:lvl w:ilvl="2" w:tplc="C91A7180">
      <w:start w:val="1"/>
      <w:numFmt w:val="bullet"/>
      <w:lvlText w:val=""/>
      <w:lvlJc w:val="left"/>
      <w:pPr>
        <w:ind w:left="2160" w:hanging="360"/>
      </w:pPr>
      <w:rPr>
        <w:rFonts w:ascii="Wingdings" w:hAnsi="Wingdings" w:hint="default"/>
      </w:rPr>
    </w:lvl>
    <w:lvl w:ilvl="3" w:tplc="AC7EFF3C">
      <w:start w:val="1"/>
      <w:numFmt w:val="bullet"/>
      <w:lvlText w:val=""/>
      <w:lvlJc w:val="left"/>
      <w:pPr>
        <w:ind w:left="2880" w:hanging="360"/>
      </w:pPr>
      <w:rPr>
        <w:rFonts w:ascii="Symbol" w:hAnsi="Symbol" w:hint="default"/>
      </w:rPr>
    </w:lvl>
    <w:lvl w:ilvl="4" w:tplc="5518EAFE">
      <w:start w:val="1"/>
      <w:numFmt w:val="bullet"/>
      <w:lvlText w:val="o"/>
      <w:lvlJc w:val="left"/>
      <w:pPr>
        <w:ind w:left="3600" w:hanging="360"/>
      </w:pPr>
      <w:rPr>
        <w:rFonts w:ascii="Courier New" w:hAnsi="Courier New" w:hint="default"/>
      </w:rPr>
    </w:lvl>
    <w:lvl w:ilvl="5" w:tplc="975C45BA">
      <w:start w:val="1"/>
      <w:numFmt w:val="bullet"/>
      <w:lvlText w:val=""/>
      <w:lvlJc w:val="left"/>
      <w:pPr>
        <w:ind w:left="4320" w:hanging="360"/>
      </w:pPr>
      <w:rPr>
        <w:rFonts w:ascii="Wingdings" w:hAnsi="Wingdings" w:hint="default"/>
      </w:rPr>
    </w:lvl>
    <w:lvl w:ilvl="6" w:tplc="879ABAA8">
      <w:start w:val="1"/>
      <w:numFmt w:val="bullet"/>
      <w:lvlText w:val=""/>
      <w:lvlJc w:val="left"/>
      <w:pPr>
        <w:ind w:left="5040" w:hanging="360"/>
      </w:pPr>
      <w:rPr>
        <w:rFonts w:ascii="Symbol" w:hAnsi="Symbol" w:hint="default"/>
      </w:rPr>
    </w:lvl>
    <w:lvl w:ilvl="7" w:tplc="6A5EEF46">
      <w:start w:val="1"/>
      <w:numFmt w:val="bullet"/>
      <w:lvlText w:val="o"/>
      <w:lvlJc w:val="left"/>
      <w:pPr>
        <w:ind w:left="5760" w:hanging="360"/>
      </w:pPr>
      <w:rPr>
        <w:rFonts w:ascii="Courier New" w:hAnsi="Courier New" w:hint="default"/>
      </w:rPr>
    </w:lvl>
    <w:lvl w:ilvl="8" w:tplc="D01C78CC">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A2E17"/>
    <w:rsid w:val="000A470F"/>
    <w:rsid w:val="000C144A"/>
    <w:rsid w:val="000C541C"/>
    <w:rsid w:val="000C68CB"/>
    <w:rsid w:val="000D5B34"/>
    <w:rsid w:val="0010406A"/>
    <w:rsid w:val="001118FB"/>
    <w:rsid w:val="00115538"/>
    <w:rsid w:val="00135DD1"/>
    <w:rsid w:val="001819DF"/>
    <w:rsid w:val="001B086C"/>
    <w:rsid w:val="001C6E70"/>
    <w:rsid w:val="001F08FA"/>
    <w:rsid w:val="00262DC1"/>
    <w:rsid w:val="002C05B1"/>
    <w:rsid w:val="002F243A"/>
    <w:rsid w:val="00301906"/>
    <w:rsid w:val="00302BB1"/>
    <w:rsid w:val="003341DF"/>
    <w:rsid w:val="00347EA1"/>
    <w:rsid w:val="00382546"/>
    <w:rsid w:val="003A709B"/>
    <w:rsid w:val="003B3C27"/>
    <w:rsid w:val="003D223A"/>
    <w:rsid w:val="00417AB6"/>
    <w:rsid w:val="004672C7"/>
    <w:rsid w:val="004D474C"/>
    <w:rsid w:val="004F5C44"/>
    <w:rsid w:val="00516EDE"/>
    <w:rsid w:val="00536CFB"/>
    <w:rsid w:val="00543F5E"/>
    <w:rsid w:val="00555C01"/>
    <w:rsid w:val="00584970"/>
    <w:rsid w:val="005B783A"/>
    <w:rsid w:val="005D7750"/>
    <w:rsid w:val="005F42D0"/>
    <w:rsid w:val="005F7C42"/>
    <w:rsid w:val="0062310A"/>
    <w:rsid w:val="00664B16"/>
    <w:rsid w:val="006B52C3"/>
    <w:rsid w:val="006F3665"/>
    <w:rsid w:val="007203C3"/>
    <w:rsid w:val="007352C0"/>
    <w:rsid w:val="00737206"/>
    <w:rsid w:val="00743752"/>
    <w:rsid w:val="007B3F31"/>
    <w:rsid w:val="007D3AE1"/>
    <w:rsid w:val="007E01E0"/>
    <w:rsid w:val="00803155"/>
    <w:rsid w:val="00840BEE"/>
    <w:rsid w:val="00851EDB"/>
    <w:rsid w:val="008F1086"/>
    <w:rsid w:val="009060A0"/>
    <w:rsid w:val="0091355A"/>
    <w:rsid w:val="00917008"/>
    <w:rsid w:val="00917DD3"/>
    <w:rsid w:val="00935B8D"/>
    <w:rsid w:val="00955323"/>
    <w:rsid w:val="009B164A"/>
    <w:rsid w:val="009B619B"/>
    <w:rsid w:val="00A23D6E"/>
    <w:rsid w:val="00AD7313"/>
    <w:rsid w:val="00AE2AA9"/>
    <w:rsid w:val="00AE3307"/>
    <w:rsid w:val="00B028A8"/>
    <w:rsid w:val="00B103B9"/>
    <w:rsid w:val="00B332B3"/>
    <w:rsid w:val="00B51B61"/>
    <w:rsid w:val="00B724BB"/>
    <w:rsid w:val="00BE2A35"/>
    <w:rsid w:val="00BE3554"/>
    <w:rsid w:val="00C0626C"/>
    <w:rsid w:val="00C129B8"/>
    <w:rsid w:val="00C24461"/>
    <w:rsid w:val="00C2550A"/>
    <w:rsid w:val="00C45605"/>
    <w:rsid w:val="00C4699D"/>
    <w:rsid w:val="00CC14F3"/>
    <w:rsid w:val="00CF32AC"/>
    <w:rsid w:val="00D03E88"/>
    <w:rsid w:val="00D24ADF"/>
    <w:rsid w:val="00D26517"/>
    <w:rsid w:val="00DC2182"/>
    <w:rsid w:val="00DC55F3"/>
    <w:rsid w:val="00DD5969"/>
    <w:rsid w:val="00E10797"/>
    <w:rsid w:val="00E129B3"/>
    <w:rsid w:val="00E243A8"/>
    <w:rsid w:val="00E51E6D"/>
    <w:rsid w:val="00E6747C"/>
    <w:rsid w:val="00EA0B9A"/>
    <w:rsid w:val="00EA15D1"/>
    <w:rsid w:val="00EA6220"/>
    <w:rsid w:val="00EB4889"/>
    <w:rsid w:val="00EC1771"/>
    <w:rsid w:val="00F70ED3"/>
    <w:rsid w:val="00F8089C"/>
    <w:rsid w:val="00F948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C218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net/researchmethods/" TargetMode="External"/><Relationship Id="rId3" Type="http://schemas.openxmlformats.org/officeDocument/2006/relationships/settings" Target="settings.xml"/><Relationship Id="rId7" Type="http://schemas.openxmlformats.org/officeDocument/2006/relationships/hyperlink" Target="https://doi.org/10.3389/fpsyg.2021.75800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dx.doi.org/10.33828/sei.v31.i2.1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12</Pages>
  <Words>4587</Words>
  <Characters>26152</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Miss J Davies</cp:lastModifiedBy>
  <cp:revision>3</cp:revision>
  <dcterms:created xsi:type="dcterms:W3CDTF">2025-08-26T11:41:00Z</dcterms:created>
  <dcterms:modified xsi:type="dcterms:W3CDTF">2025-08-26T11:57:00Z</dcterms:modified>
</cp:coreProperties>
</file>