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7D22" w14:textId="692895BD" w:rsidR="001A2C1D" w:rsidRPr="00DF024D" w:rsidRDefault="001A2C1D" w:rsidP="00557DC1">
      <w:pPr>
        <w:spacing w:before="2400" w:line="360" w:lineRule="auto"/>
        <w:rPr>
          <w:rFonts w:ascii="Arial" w:hAnsi="Arial" w:cs="Arial"/>
          <w:sz w:val="22"/>
          <w:szCs w:val="22"/>
        </w:rPr>
      </w:pPr>
      <w:r w:rsidRPr="00DF024D">
        <w:rPr>
          <w:rFonts w:ascii="Arial" w:eastAsia="Calibri" w:hAnsi="Arial" w:cs="Arial"/>
          <w:b/>
          <w:bCs/>
          <w:sz w:val="22"/>
          <w:szCs w:val="22"/>
        </w:rPr>
        <w:t>Organisational Culture: Individual Report – Toyota Motor Corporation</w:t>
      </w:r>
    </w:p>
    <w:p w14:paraId="5534326E" w14:textId="4B6C9544" w:rsidR="001A2C1D" w:rsidRPr="00DF024D" w:rsidRDefault="001A2C1D" w:rsidP="00557DC1">
      <w:pPr>
        <w:spacing w:before="600" w:line="360" w:lineRule="auto"/>
        <w:rPr>
          <w:rFonts w:ascii="Arial" w:hAnsi="Arial" w:cs="Arial"/>
          <w:sz w:val="22"/>
          <w:szCs w:val="22"/>
        </w:rPr>
      </w:pPr>
      <w:r w:rsidRPr="00DF024D">
        <w:rPr>
          <w:rFonts w:ascii="Arial" w:eastAsia="Calibri" w:hAnsi="Arial" w:cs="Arial"/>
          <w:sz w:val="22"/>
          <w:szCs w:val="22"/>
        </w:rPr>
        <w:t xml:space="preserve">Student Name: </w:t>
      </w:r>
      <w:r w:rsidR="00557DC1">
        <w:rPr>
          <w:rFonts w:ascii="Arial" w:eastAsia="Calibri" w:hAnsi="Arial" w:cs="Arial"/>
          <w:sz w:val="22"/>
          <w:szCs w:val="22"/>
        </w:rPr>
        <w:tab/>
      </w:r>
      <w:r w:rsidRPr="00DF024D">
        <w:rPr>
          <w:rFonts w:ascii="Arial" w:eastAsia="Calibri" w:hAnsi="Arial" w:cs="Arial"/>
          <w:sz w:val="22"/>
          <w:szCs w:val="22"/>
        </w:rPr>
        <w:t>Abdul Bashar</w:t>
      </w:r>
    </w:p>
    <w:p w14:paraId="4E7F7ED3" w14:textId="6C3B39C9" w:rsidR="001A2C1D" w:rsidRPr="00DF024D" w:rsidRDefault="001A2C1D" w:rsidP="00557DC1">
      <w:pPr>
        <w:spacing w:line="360" w:lineRule="auto"/>
        <w:rPr>
          <w:rFonts w:ascii="Arial" w:hAnsi="Arial" w:cs="Arial"/>
          <w:sz w:val="22"/>
          <w:szCs w:val="22"/>
        </w:rPr>
      </w:pPr>
      <w:r w:rsidRPr="00DF024D">
        <w:rPr>
          <w:rFonts w:ascii="Arial" w:eastAsia="Calibri" w:hAnsi="Arial" w:cs="Arial"/>
          <w:sz w:val="22"/>
          <w:szCs w:val="22"/>
        </w:rPr>
        <w:t xml:space="preserve">Student ID: </w:t>
      </w:r>
      <w:r w:rsidR="00557DC1">
        <w:rPr>
          <w:rFonts w:ascii="Arial" w:eastAsia="Calibri" w:hAnsi="Arial" w:cs="Arial"/>
          <w:sz w:val="22"/>
          <w:szCs w:val="22"/>
        </w:rPr>
        <w:tab/>
      </w:r>
      <w:r w:rsidR="00557DC1">
        <w:rPr>
          <w:rFonts w:ascii="Arial" w:eastAsia="Calibri" w:hAnsi="Arial" w:cs="Arial"/>
          <w:sz w:val="22"/>
          <w:szCs w:val="22"/>
        </w:rPr>
        <w:tab/>
      </w:r>
      <w:r w:rsidRPr="00DF024D">
        <w:rPr>
          <w:rFonts w:ascii="Arial" w:eastAsia="Calibri" w:hAnsi="Arial" w:cs="Arial"/>
          <w:sz w:val="22"/>
          <w:szCs w:val="22"/>
        </w:rPr>
        <w:t>2407308</w:t>
      </w:r>
    </w:p>
    <w:p w14:paraId="0C314ED4" w14:textId="21B36284" w:rsidR="001A2C1D" w:rsidRDefault="001A2C1D" w:rsidP="00557DC1">
      <w:pPr>
        <w:spacing w:line="360" w:lineRule="auto"/>
        <w:rPr>
          <w:rFonts w:ascii="Arial" w:eastAsia="Calibri" w:hAnsi="Arial" w:cs="Arial"/>
          <w:sz w:val="22"/>
          <w:szCs w:val="22"/>
        </w:rPr>
      </w:pPr>
      <w:r w:rsidRPr="00DF024D">
        <w:rPr>
          <w:rFonts w:ascii="Arial" w:eastAsia="Calibri" w:hAnsi="Arial" w:cs="Arial"/>
          <w:sz w:val="22"/>
          <w:szCs w:val="22"/>
        </w:rPr>
        <w:t xml:space="preserve">Module: </w:t>
      </w:r>
      <w:r w:rsidR="00557DC1">
        <w:rPr>
          <w:rFonts w:ascii="Arial" w:eastAsia="Calibri" w:hAnsi="Arial" w:cs="Arial"/>
          <w:sz w:val="22"/>
          <w:szCs w:val="22"/>
        </w:rPr>
        <w:tab/>
      </w:r>
      <w:r w:rsidR="00557DC1">
        <w:rPr>
          <w:rFonts w:ascii="Arial" w:eastAsia="Calibri" w:hAnsi="Arial" w:cs="Arial"/>
          <w:sz w:val="22"/>
          <w:szCs w:val="22"/>
        </w:rPr>
        <w:tab/>
      </w:r>
      <w:r w:rsidRPr="00DF024D">
        <w:rPr>
          <w:rFonts w:ascii="Arial" w:eastAsia="Calibri" w:hAnsi="Arial" w:cs="Arial"/>
          <w:sz w:val="22"/>
          <w:szCs w:val="22"/>
        </w:rPr>
        <w:t xml:space="preserve">LCLM5005 </w:t>
      </w:r>
      <w:r w:rsidR="00FD2AE0">
        <w:rPr>
          <w:rFonts w:ascii="Arial" w:eastAsia="Calibri" w:hAnsi="Arial" w:cs="Arial"/>
          <w:sz w:val="22"/>
          <w:szCs w:val="22"/>
        </w:rPr>
        <w:t>C1</w:t>
      </w:r>
      <w:r w:rsidRPr="00DF024D">
        <w:rPr>
          <w:rFonts w:ascii="Arial" w:eastAsia="Calibri" w:hAnsi="Arial" w:cs="Arial"/>
          <w:sz w:val="22"/>
          <w:szCs w:val="22"/>
        </w:rPr>
        <w:t>– Organisational Culture</w:t>
      </w:r>
    </w:p>
    <w:p w14:paraId="59A808B0" w14:textId="26B9998F" w:rsidR="00557DC1" w:rsidRDefault="00557DC1" w:rsidP="00557DC1">
      <w:pPr>
        <w:spacing w:line="360" w:lineRule="auto"/>
        <w:rPr>
          <w:rFonts w:ascii="Arial" w:eastAsia="Calibri" w:hAnsi="Arial" w:cs="Arial"/>
          <w:sz w:val="22"/>
          <w:szCs w:val="22"/>
        </w:rPr>
      </w:pPr>
      <w:r>
        <w:rPr>
          <w:rFonts w:ascii="Arial" w:eastAsia="Calibri" w:hAnsi="Arial" w:cs="Arial"/>
          <w:sz w:val="22"/>
          <w:szCs w:val="22"/>
        </w:rPr>
        <w:t xml:space="preserve">Lecturer: </w:t>
      </w:r>
      <w:r>
        <w:rPr>
          <w:rFonts w:ascii="Arial" w:eastAsia="Calibri" w:hAnsi="Arial" w:cs="Arial"/>
          <w:sz w:val="22"/>
          <w:szCs w:val="22"/>
        </w:rPr>
        <w:tab/>
      </w:r>
      <w:r>
        <w:rPr>
          <w:rFonts w:ascii="Arial" w:eastAsia="Calibri" w:hAnsi="Arial" w:cs="Arial"/>
          <w:sz w:val="22"/>
          <w:szCs w:val="22"/>
        </w:rPr>
        <w:tab/>
        <w:t xml:space="preserve">Ibrahim Rufai </w:t>
      </w:r>
    </w:p>
    <w:p w14:paraId="34CDCB71" w14:textId="77777777" w:rsidR="00557DC1" w:rsidRPr="00DF024D" w:rsidRDefault="00557DC1" w:rsidP="00557DC1">
      <w:pPr>
        <w:spacing w:line="360" w:lineRule="auto"/>
        <w:rPr>
          <w:rFonts w:ascii="Arial" w:hAnsi="Arial" w:cs="Arial"/>
          <w:sz w:val="22"/>
          <w:szCs w:val="22"/>
        </w:rPr>
      </w:pPr>
    </w:p>
    <w:p w14:paraId="71A73000" w14:textId="7BE9EF11" w:rsidR="00A6423A" w:rsidRDefault="001A2C1D" w:rsidP="00EE7D16">
      <w:pPr>
        <w:spacing w:line="360" w:lineRule="auto"/>
        <w:rPr>
          <w:rFonts w:ascii="Arial" w:hAnsi="Arial" w:cs="Arial"/>
          <w:sz w:val="22"/>
          <w:szCs w:val="22"/>
        </w:rPr>
      </w:pPr>
      <w:r w:rsidRPr="00DF024D">
        <w:rPr>
          <w:rFonts w:ascii="Arial" w:eastAsia="Calibri" w:hAnsi="Arial" w:cs="Arial"/>
          <w:sz w:val="22"/>
          <w:szCs w:val="22"/>
        </w:rPr>
        <w:t>Submission Date:</w:t>
      </w:r>
      <w:r w:rsidR="00557DC1">
        <w:rPr>
          <w:rFonts w:ascii="Arial" w:eastAsia="Calibri" w:hAnsi="Arial" w:cs="Arial"/>
          <w:sz w:val="22"/>
          <w:szCs w:val="22"/>
        </w:rPr>
        <w:tab/>
      </w:r>
      <w:r w:rsidR="00A6392A">
        <w:rPr>
          <w:rFonts w:ascii="Arial" w:eastAsia="Calibri" w:hAnsi="Arial" w:cs="Arial"/>
          <w:sz w:val="22"/>
          <w:szCs w:val="22"/>
        </w:rPr>
        <w:t>13/</w:t>
      </w:r>
      <w:r w:rsidR="00557DC1">
        <w:rPr>
          <w:rFonts w:ascii="Arial" w:eastAsia="Calibri" w:hAnsi="Arial" w:cs="Arial"/>
          <w:sz w:val="22"/>
          <w:szCs w:val="22"/>
        </w:rPr>
        <w:t>07/2026</w:t>
      </w:r>
    </w:p>
    <w:p w14:paraId="1174C94C" w14:textId="77777777" w:rsidR="00A57991" w:rsidRPr="00A57991" w:rsidRDefault="00A57991" w:rsidP="00A57991">
      <w:pPr>
        <w:spacing w:line="360" w:lineRule="auto"/>
        <w:rPr>
          <w:rFonts w:ascii="Arial" w:hAnsi="Arial" w:cs="Arial"/>
          <w:sz w:val="22"/>
          <w:szCs w:val="22"/>
        </w:rPr>
      </w:pPr>
    </w:p>
    <w:sdt>
      <w:sdtPr>
        <w:rPr>
          <w:rFonts w:ascii="Arial" w:eastAsia="Times New Roman" w:hAnsi="Arial" w:cs="Arial"/>
          <w:color w:val="auto"/>
          <w:sz w:val="22"/>
          <w:szCs w:val="22"/>
          <w:lang w:val="en-GB" w:eastAsia="en-GB"/>
        </w:rPr>
        <w:id w:val="-832991720"/>
        <w:docPartObj>
          <w:docPartGallery w:val="Table of Contents"/>
          <w:docPartUnique/>
        </w:docPartObj>
      </w:sdtPr>
      <w:sdtEndPr>
        <w:rPr>
          <w:rFonts w:ascii="Times New Roman" w:hAnsi="Times New Roman" w:cs="Times New Roman"/>
          <w:b/>
          <w:bCs/>
          <w:noProof/>
          <w:sz w:val="20"/>
          <w:szCs w:val="20"/>
        </w:rPr>
      </w:sdtEndPr>
      <w:sdtContent>
        <w:p w14:paraId="596F3861" w14:textId="1ECF5C7C" w:rsidR="00A57991" w:rsidRPr="000C32ED" w:rsidRDefault="00A57991" w:rsidP="00A57991">
          <w:pPr>
            <w:pStyle w:val="TOCHeading"/>
            <w:spacing w:line="360" w:lineRule="auto"/>
            <w:rPr>
              <w:rFonts w:ascii="Arial" w:hAnsi="Arial" w:cs="Arial"/>
              <w:b/>
              <w:bCs/>
              <w:sz w:val="22"/>
              <w:szCs w:val="22"/>
            </w:rPr>
          </w:pPr>
          <w:r w:rsidRPr="000C32ED">
            <w:rPr>
              <w:rFonts w:ascii="Arial" w:hAnsi="Arial" w:cs="Arial"/>
              <w:b/>
              <w:bCs/>
              <w:sz w:val="22"/>
              <w:szCs w:val="22"/>
            </w:rPr>
            <w:t>Table of Contents</w:t>
          </w:r>
        </w:p>
        <w:p w14:paraId="06568571" w14:textId="77777777" w:rsidR="00A57991" w:rsidRPr="00A57991" w:rsidRDefault="00A57991" w:rsidP="00A57991">
          <w:pPr>
            <w:spacing w:line="360" w:lineRule="auto"/>
            <w:rPr>
              <w:rFonts w:ascii="Arial" w:hAnsi="Arial" w:cs="Arial"/>
              <w:sz w:val="22"/>
              <w:szCs w:val="22"/>
              <w:lang w:val="en-US" w:eastAsia="en-US"/>
            </w:rPr>
          </w:pPr>
        </w:p>
        <w:p w14:paraId="7EC831A7" w14:textId="6DE4EE6B"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r w:rsidRPr="00A57991">
            <w:rPr>
              <w:rFonts w:ascii="Arial" w:hAnsi="Arial" w:cs="Arial"/>
              <w:sz w:val="22"/>
              <w:szCs w:val="22"/>
            </w:rPr>
            <w:fldChar w:fldCharType="begin"/>
          </w:r>
          <w:r w:rsidRPr="00A57991">
            <w:rPr>
              <w:rFonts w:ascii="Arial" w:hAnsi="Arial" w:cs="Arial"/>
              <w:sz w:val="22"/>
              <w:szCs w:val="22"/>
            </w:rPr>
            <w:instrText xml:space="preserve"> TOC \o "1-3" \h \z \u </w:instrText>
          </w:r>
          <w:r w:rsidRPr="00A57991">
            <w:rPr>
              <w:rFonts w:ascii="Arial" w:hAnsi="Arial" w:cs="Arial"/>
              <w:sz w:val="22"/>
              <w:szCs w:val="22"/>
            </w:rPr>
            <w:fldChar w:fldCharType="separate"/>
          </w:r>
          <w:hyperlink w:anchor="_Toc234737786" w:history="1">
            <w:r w:rsidRPr="00A57991">
              <w:rPr>
                <w:rStyle w:val="Hyperlink"/>
                <w:rFonts w:ascii="Arial" w:eastAsia="Calibri" w:hAnsi="Arial" w:cs="Arial"/>
                <w:noProof/>
                <w:sz w:val="22"/>
                <w:szCs w:val="22"/>
              </w:rPr>
              <w:t>1. Introduction</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_Toc234737786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2</w:t>
            </w:r>
            <w:r w:rsidRPr="00A57991">
              <w:rPr>
                <w:rFonts w:ascii="Arial" w:hAnsi="Arial" w:cs="Arial"/>
                <w:noProof/>
                <w:webHidden/>
                <w:sz w:val="22"/>
                <w:szCs w:val="22"/>
              </w:rPr>
              <w:fldChar w:fldCharType="end"/>
            </w:r>
          </w:hyperlink>
        </w:p>
        <w:p w14:paraId="6125D8D0" w14:textId="1E871A58"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87" w:history="1">
            <w:r w:rsidRPr="00A57991">
              <w:rPr>
                <w:rStyle w:val="Hyperlink"/>
                <w:rFonts w:ascii="Arial" w:eastAsia="Calibri" w:hAnsi="Arial" w:cs="Arial"/>
                <w:noProof/>
                <w:sz w:val="22"/>
                <w:szCs w:val="22"/>
              </w:rPr>
              <w:t>2. Organisational Culture at Toyota</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_Toc234737787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2</w:t>
            </w:r>
            <w:r w:rsidRPr="00A57991">
              <w:rPr>
                <w:rFonts w:ascii="Arial" w:hAnsi="Arial" w:cs="Arial"/>
                <w:noProof/>
                <w:webHidden/>
                <w:sz w:val="22"/>
                <w:szCs w:val="22"/>
              </w:rPr>
              <w:fldChar w:fldCharType="end"/>
            </w:r>
          </w:hyperlink>
        </w:p>
        <w:p w14:paraId="03FB9B3A" w14:textId="69DB63CD"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88" w:history="1">
            <w:r w:rsidRPr="00A57991">
              <w:rPr>
                <w:rStyle w:val="Hyperlink"/>
                <w:rFonts w:ascii="Arial" w:eastAsia="Calibri" w:hAnsi="Arial" w:cs="Arial"/>
                <w:noProof/>
                <w:sz w:val="22"/>
                <w:szCs w:val="22"/>
              </w:rPr>
              <w:t>3. Influence of Culture on Organisational Structure and Decision-Making</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_Toc234737788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4</w:t>
            </w:r>
            <w:r w:rsidRPr="00A57991">
              <w:rPr>
                <w:rFonts w:ascii="Arial" w:hAnsi="Arial" w:cs="Arial"/>
                <w:noProof/>
                <w:webHidden/>
                <w:sz w:val="22"/>
                <w:szCs w:val="22"/>
              </w:rPr>
              <w:fldChar w:fldCharType="end"/>
            </w:r>
          </w:hyperlink>
        </w:p>
        <w:p w14:paraId="667EB69E" w14:textId="646F0E0B"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89" w:history="1">
            <w:r w:rsidRPr="00A57991">
              <w:rPr>
                <w:rStyle w:val="Hyperlink"/>
                <w:rFonts w:ascii="Arial" w:eastAsia="Calibri" w:hAnsi="Arial" w:cs="Arial"/>
                <w:noProof/>
                <w:sz w:val="22"/>
                <w:szCs w:val="22"/>
              </w:rPr>
              <w:t>4. Identifying Toyota's Organisational Culture Using Cultural Models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_Toc234737789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5</w:t>
            </w:r>
            <w:r w:rsidRPr="00A57991">
              <w:rPr>
                <w:rFonts w:ascii="Arial" w:hAnsi="Arial" w:cs="Arial"/>
                <w:noProof/>
                <w:webHidden/>
                <w:sz w:val="22"/>
                <w:szCs w:val="22"/>
              </w:rPr>
              <w:fldChar w:fldCharType="end"/>
            </w:r>
          </w:hyperlink>
        </w:p>
        <w:p w14:paraId="2630AE3B" w14:textId="62543315"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790" w:history="1">
            <w:r w:rsidRPr="00A57991">
              <w:rPr>
                <w:rStyle w:val="Hyperlink"/>
                <w:rFonts w:ascii="Arial" w:eastAsia="Calibri" w:hAnsi="Arial" w:cs="Arial"/>
                <w:noProof/>
                <w:sz w:val="22"/>
                <w:szCs w:val="22"/>
              </w:rPr>
              <w:t>4.1 Schein's Three Levels of Organisational Culture</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_Toc234737790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5</w:t>
            </w:r>
            <w:r w:rsidRPr="00A57991">
              <w:rPr>
                <w:rFonts w:ascii="Arial" w:hAnsi="Arial" w:cs="Arial"/>
                <w:noProof/>
                <w:webHidden/>
                <w:sz w:val="22"/>
                <w:szCs w:val="22"/>
              </w:rPr>
              <w:fldChar w:fldCharType="end"/>
            </w:r>
          </w:hyperlink>
        </w:p>
        <w:p w14:paraId="3498D750" w14:textId="3DF553F3"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791" w:history="1">
            <w:r w:rsidRPr="00A57991">
              <w:rPr>
                <w:rStyle w:val="Hyperlink"/>
                <w:rFonts w:ascii="Arial" w:eastAsia="Calibri" w:hAnsi="Arial" w:cs="Arial"/>
                <w:noProof/>
                <w:sz w:val="22"/>
                <w:szCs w:val="22"/>
              </w:rPr>
              <w:t>4.2 Hofstede's Organisational Culture Dimensions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_Toc234737791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5</w:t>
            </w:r>
            <w:r w:rsidRPr="00A57991">
              <w:rPr>
                <w:rFonts w:ascii="Arial" w:hAnsi="Arial" w:cs="Arial"/>
                <w:noProof/>
                <w:webHidden/>
                <w:sz w:val="22"/>
                <w:szCs w:val="22"/>
              </w:rPr>
              <w:fldChar w:fldCharType="end"/>
            </w:r>
          </w:hyperlink>
        </w:p>
        <w:p w14:paraId="6688F5A5" w14:textId="7EDCD995"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792" w:history="1">
            <w:r w:rsidRPr="00A57991">
              <w:rPr>
                <w:rStyle w:val="Hyperlink"/>
                <w:rFonts w:ascii="Arial" w:eastAsia="Calibri" w:hAnsi="Arial" w:cs="Arial"/>
                <w:noProof/>
                <w:sz w:val="22"/>
                <w:szCs w:val="22"/>
              </w:rPr>
              <w:t>4.3 Handy's Cultural Types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_Toc234737792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6</w:t>
            </w:r>
            <w:r w:rsidRPr="00A57991">
              <w:rPr>
                <w:rFonts w:ascii="Arial" w:hAnsi="Arial" w:cs="Arial"/>
                <w:noProof/>
                <w:webHidden/>
                <w:sz w:val="22"/>
                <w:szCs w:val="22"/>
              </w:rPr>
              <w:fldChar w:fldCharType="end"/>
            </w:r>
          </w:hyperlink>
        </w:p>
        <w:p w14:paraId="2F44B620" w14:textId="427005BB"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793" w:history="1">
            <w:r w:rsidRPr="00A57991">
              <w:rPr>
                <w:rStyle w:val="Hyperlink"/>
                <w:rFonts w:ascii="Arial" w:eastAsia="Calibri" w:hAnsi="Arial" w:cs="Arial"/>
                <w:noProof/>
                <w:sz w:val="22"/>
                <w:szCs w:val="22"/>
              </w:rPr>
              <w:t>Critical Evaluation</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_Toc234737793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6</w:t>
            </w:r>
            <w:r w:rsidRPr="00A57991">
              <w:rPr>
                <w:rFonts w:ascii="Arial" w:hAnsi="Arial" w:cs="Arial"/>
                <w:noProof/>
                <w:webHidden/>
                <w:sz w:val="22"/>
                <w:szCs w:val="22"/>
              </w:rPr>
              <w:fldChar w:fldCharType="end"/>
            </w:r>
          </w:hyperlink>
        </w:p>
        <w:p w14:paraId="7A0BB4C6" w14:textId="23F8DFA3"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94" w:history="1">
            <w:r w:rsidRPr="00A57991">
              <w:rPr>
                <w:rStyle w:val="Hyperlink"/>
                <w:rFonts w:ascii="Arial" w:eastAsia="Calibri" w:hAnsi="Arial" w:cs="Arial"/>
                <w:noProof/>
                <w:sz w:val="22"/>
                <w:szCs w:val="22"/>
              </w:rPr>
              <w:t>5. Culture and the External Environment</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_Toc234737794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6</w:t>
            </w:r>
            <w:r w:rsidRPr="00A57991">
              <w:rPr>
                <w:rFonts w:ascii="Arial" w:hAnsi="Arial" w:cs="Arial"/>
                <w:noProof/>
                <w:webHidden/>
                <w:sz w:val="22"/>
                <w:szCs w:val="22"/>
              </w:rPr>
              <w:fldChar w:fldCharType="end"/>
            </w:r>
          </w:hyperlink>
        </w:p>
        <w:p w14:paraId="2E231740" w14:textId="58A7355D"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95" w:history="1">
            <w:r w:rsidRPr="00A57991">
              <w:rPr>
                <w:rStyle w:val="Hyperlink"/>
                <w:rFonts w:ascii="Arial" w:eastAsia="Calibri" w:hAnsi="Arial" w:cs="Arial"/>
                <w:noProof/>
                <w:sz w:val="22"/>
                <w:szCs w:val="22"/>
              </w:rPr>
              <w:t>6. Organisational Culture as a Barrier to Organisational Effectiveness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_Toc234737795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7</w:t>
            </w:r>
            <w:r w:rsidRPr="00A57991">
              <w:rPr>
                <w:rFonts w:ascii="Arial" w:hAnsi="Arial" w:cs="Arial"/>
                <w:noProof/>
                <w:webHidden/>
                <w:sz w:val="22"/>
                <w:szCs w:val="22"/>
              </w:rPr>
              <w:fldChar w:fldCharType="end"/>
            </w:r>
          </w:hyperlink>
        </w:p>
        <w:p w14:paraId="133FCDE4" w14:textId="0A413E35"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96" w:history="1">
            <w:r w:rsidRPr="00A57991">
              <w:rPr>
                <w:rStyle w:val="Hyperlink"/>
                <w:rFonts w:ascii="Arial" w:eastAsia="Calibri" w:hAnsi="Arial" w:cs="Arial"/>
                <w:noProof/>
                <w:sz w:val="22"/>
                <w:szCs w:val="22"/>
              </w:rPr>
              <w:t>7. Impact of Organisational Culture on Organisational Performance</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_Toc234737796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8</w:t>
            </w:r>
            <w:r w:rsidRPr="00A57991">
              <w:rPr>
                <w:rFonts w:ascii="Arial" w:hAnsi="Arial" w:cs="Arial"/>
                <w:noProof/>
                <w:webHidden/>
                <w:sz w:val="22"/>
                <w:szCs w:val="22"/>
              </w:rPr>
              <w:fldChar w:fldCharType="end"/>
            </w:r>
          </w:hyperlink>
        </w:p>
        <w:p w14:paraId="11CA5CED" w14:textId="7EA0BB57"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97" w:history="1">
            <w:r w:rsidRPr="00A57991">
              <w:rPr>
                <w:rStyle w:val="Hyperlink"/>
                <w:rFonts w:ascii="Arial" w:eastAsia="Calibri" w:hAnsi="Arial" w:cs="Arial"/>
                <w:noProof/>
                <w:sz w:val="22"/>
                <w:szCs w:val="22"/>
              </w:rPr>
              <w:t>8. Conclusion and Recommendations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_Toc234737797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9</w:t>
            </w:r>
            <w:r w:rsidRPr="00A57991">
              <w:rPr>
                <w:rFonts w:ascii="Arial" w:hAnsi="Arial" w:cs="Arial"/>
                <w:noProof/>
                <w:webHidden/>
                <w:sz w:val="22"/>
                <w:szCs w:val="22"/>
              </w:rPr>
              <w:fldChar w:fldCharType="end"/>
            </w:r>
          </w:hyperlink>
        </w:p>
        <w:p w14:paraId="1B5BB350" w14:textId="6B5E78C6"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798" w:history="1">
            <w:r w:rsidRPr="00A57991">
              <w:rPr>
                <w:rStyle w:val="Hyperlink"/>
                <w:rFonts w:ascii="Arial" w:eastAsia="Calibri" w:hAnsi="Arial" w:cs="Arial"/>
                <w:noProof/>
                <w:sz w:val="22"/>
                <w:szCs w:val="22"/>
              </w:rPr>
              <w:t>Recommendations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_Toc234737798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10</w:t>
            </w:r>
            <w:r w:rsidRPr="00A57991">
              <w:rPr>
                <w:rFonts w:ascii="Arial" w:hAnsi="Arial" w:cs="Arial"/>
                <w:noProof/>
                <w:webHidden/>
                <w:sz w:val="22"/>
                <w:szCs w:val="22"/>
              </w:rPr>
              <w:fldChar w:fldCharType="end"/>
            </w:r>
          </w:hyperlink>
        </w:p>
        <w:p w14:paraId="27FAB4EB" w14:textId="5F0D4A11"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799" w:history="1">
            <w:r w:rsidRPr="00A57991">
              <w:rPr>
                <w:rStyle w:val="Hyperlink"/>
                <w:rFonts w:ascii="Arial" w:eastAsia="Calibri" w:hAnsi="Arial" w:cs="Arial"/>
                <w:noProof/>
                <w:sz w:val="22"/>
                <w:szCs w:val="22"/>
              </w:rPr>
              <w:t>References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_Toc234737799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11</w:t>
            </w:r>
            <w:r w:rsidRPr="00A57991">
              <w:rPr>
                <w:rFonts w:ascii="Arial" w:hAnsi="Arial" w:cs="Arial"/>
                <w:noProof/>
                <w:webHidden/>
                <w:sz w:val="22"/>
                <w:szCs w:val="22"/>
              </w:rPr>
              <w:fldChar w:fldCharType="end"/>
            </w:r>
          </w:hyperlink>
        </w:p>
        <w:p w14:paraId="57FB5F54" w14:textId="63D70536" w:rsidR="00A57991" w:rsidRPr="00A57991" w:rsidRDefault="00A57991" w:rsidP="00A5799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4737800" w:history="1">
            <w:r w:rsidRPr="00A57991">
              <w:rPr>
                <w:rStyle w:val="Hyperlink"/>
                <w:rFonts w:ascii="Arial" w:eastAsia="Calibri" w:hAnsi="Arial" w:cs="Arial"/>
                <w:noProof/>
                <w:sz w:val="22"/>
                <w:szCs w:val="22"/>
              </w:rPr>
              <w:t>Appendices</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_Toc234737800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12</w:t>
            </w:r>
            <w:r w:rsidRPr="00A57991">
              <w:rPr>
                <w:rFonts w:ascii="Arial" w:hAnsi="Arial" w:cs="Arial"/>
                <w:noProof/>
                <w:webHidden/>
                <w:sz w:val="22"/>
                <w:szCs w:val="22"/>
              </w:rPr>
              <w:fldChar w:fldCharType="end"/>
            </w:r>
          </w:hyperlink>
        </w:p>
        <w:p w14:paraId="6185100D" w14:textId="6FEBFBA8"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801" w:history="1">
            <w:r w:rsidRPr="00A57991">
              <w:rPr>
                <w:rStyle w:val="Hyperlink"/>
                <w:rFonts w:ascii="Arial" w:eastAsia="Calibri" w:hAnsi="Arial" w:cs="Arial"/>
                <w:noProof/>
                <w:sz w:val="22"/>
                <w:szCs w:val="22"/>
              </w:rPr>
              <w:t>Appendix A: Schein's Three Levels of Organisational Culture at Toyota</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_Toc234737801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12</w:t>
            </w:r>
            <w:r w:rsidRPr="00A57991">
              <w:rPr>
                <w:rFonts w:ascii="Arial" w:hAnsi="Arial" w:cs="Arial"/>
                <w:noProof/>
                <w:webHidden/>
                <w:sz w:val="22"/>
                <w:szCs w:val="22"/>
              </w:rPr>
              <w:fldChar w:fldCharType="end"/>
            </w:r>
          </w:hyperlink>
        </w:p>
        <w:p w14:paraId="48C5AA33" w14:textId="007B58A6"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802" w:history="1">
            <w:r w:rsidRPr="00A57991">
              <w:rPr>
                <w:rStyle w:val="Hyperlink"/>
                <w:rFonts w:ascii="Arial" w:eastAsia="Calibri" w:hAnsi="Arial" w:cs="Arial"/>
                <w:noProof/>
                <w:sz w:val="22"/>
                <w:szCs w:val="22"/>
              </w:rPr>
              <w:t>Appendix B: Hofstede's Organisational Culture Dimensions at Toyota</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_Toc234737802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12</w:t>
            </w:r>
            <w:r w:rsidRPr="00A57991">
              <w:rPr>
                <w:rFonts w:ascii="Arial" w:hAnsi="Arial" w:cs="Arial"/>
                <w:noProof/>
                <w:webHidden/>
                <w:sz w:val="22"/>
                <w:szCs w:val="22"/>
              </w:rPr>
              <w:fldChar w:fldCharType="end"/>
            </w:r>
          </w:hyperlink>
        </w:p>
        <w:p w14:paraId="621F3A72" w14:textId="23C3F138" w:rsidR="00A57991" w:rsidRPr="00A57991" w:rsidRDefault="00A57991" w:rsidP="00A57991">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4737803" w:history="1">
            <w:r w:rsidRPr="00A57991">
              <w:rPr>
                <w:rStyle w:val="Hyperlink"/>
                <w:rFonts w:ascii="Arial" w:eastAsia="Calibri" w:hAnsi="Arial" w:cs="Arial"/>
                <w:noProof/>
                <w:sz w:val="22"/>
                <w:szCs w:val="22"/>
              </w:rPr>
              <w:t>Appendix C: Handy's Cultural Types at Toyota</w:t>
            </w:r>
            <w:r w:rsidRPr="00A57991">
              <w:rPr>
                <w:rFonts w:ascii="Arial" w:hAnsi="Arial" w:cs="Arial"/>
                <w:noProof/>
                <w:webHidden/>
                <w:sz w:val="22"/>
                <w:szCs w:val="22"/>
              </w:rPr>
              <w:tab/>
            </w:r>
            <w:r w:rsidRPr="00A57991">
              <w:rPr>
                <w:rFonts w:ascii="Arial" w:hAnsi="Arial" w:cs="Arial"/>
                <w:noProof/>
                <w:webHidden/>
                <w:sz w:val="22"/>
                <w:szCs w:val="22"/>
              </w:rPr>
              <w:fldChar w:fldCharType="begin"/>
            </w:r>
            <w:r w:rsidRPr="00A57991">
              <w:rPr>
                <w:rFonts w:ascii="Arial" w:hAnsi="Arial" w:cs="Arial"/>
                <w:noProof/>
                <w:webHidden/>
                <w:sz w:val="22"/>
                <w:szCs w:val="22"/>
              </w:rPr>
              <w:instrText xml:space="preserve"> PAGEREF _Toc234737803 \h </w:instrText>
            </w:r>
            <w:r w:rsidRPr="00A57991">
              <w:rPr>
                <w:rFonts w:ascii="Arial" w:hAnsi="Arial" w:cs="Arial"/>
                <w:noProof/>
                <w:webHidden/>
                <w:sz w:val="22"/>
                <w:szCs w:val="22"/>
              </w:rPr>
            </w:r>
            <w:r w:rsidRPr="00A57991">
              <w:rPr>
                <w:rFonts w:ascii="Arial" w:hAnsi="Arial" w:cs="Arial"/>
                <w:noProof/>
                <w:webHidden/>
                <w:sz w:val="22"/>
                <w:szCs w:val="22"/>
              </w:rPr>
              <w:fldChar w:fldCharType="separate"/>
            </w:r>
            <w:r w:rsidRPr="00A57991">
              <w:rPr>
                <w:rFonts w:ascii="Arial" w:hAnsi="Arial" w:cs="Arial"/>
                <w:noProof/>
                <w:webHidden/>
                <w:sz w:val="22"/>
                <w:szCs w:val="22"/>
              </w:rPr>
              <w:t>13</w:t>
            </w:r>
            <w:r w:rsidRPr="00A57991">
              <w:rPr>
                <w:rFonts w:ascii="Arial" w:hAnsi="Arial" w:cs="Arial"/>
                <w:noProof/>
                <w:webHidden/>
                <w:sz w:val="22"/>
                <w:szCs w:val="22"/>
              </w:rPr>
              <w:fldChar w:fldCharType="end"/>
            </w:r>
          </w:hyperlink>
        </w:p>
        <w:p w14:paraId="1AD2B95B" w14:textId="31F3605B" w:rsidR="00A57991" w:rsidRDefault="00A57991" w:rsidP="00A57991">
          <w:pPr>
            <w:spacing w:line="360" w:lineRule="auto"/>
          </w:pPr>
          <w:r w:rsidRPr="00A57991">
            <w:rPr>
              <w:rFonts w:ascii="Arial" w:hAnsi="Arial" w:cs="Arial"/>
              <w:noProof/>
              <w:sz w:val="22"/>
              <w:szCs w:val="22"/>
            </w:rPr>
            <w:fldChar w:fldCharType="end"/>
          </w:r>
        </w:p>
      </w:sdtContent>
    </w:sdt>
    <w:p w14:paraId="22B3F4D0" w14:textId="2D1AB911" w:rsidR="001A2C1D" w:rsidRPr="00DF024D" w:rsidRDefault="001A2C1D" w:rsidP="00DF024D">
      <w:pPr>
        <w:pStyle w:val="Heading1"/>
        <w:spacing w:line="360" w:lineRule="auto"/>
        <w:rPr>
          <w:rFonts w:ascii="Arial" w:hAnsi="Arial" w:cs="Arial"/>
          <w:sz w:val="22"/>
          <w:szCs w:val="22"/>
        </w:rPr>
      </w:pPr>
      <w:bookmarkStart w:id="0" w:name="_Toc234736627"/>
      <w:bookmarkStart w:id="1" w:name="_Toc234737786"/>
      <w:r w:rsidRPr="00DF024D">
        <w:rPr>
          <w:rFonts w:ascii="Arial" w:eastAsia="Calibri" w:hAnsi="Arial" w:cs="Arial"/>
          <w:b/>
          <w:bCs/>
          <w:sz w:val="22"/>
          <w:szCs w:val="22"/>
        </w:rPr>
        <w:t>1. Introduction</w:t>
      </w:r>
      <w:bookmarkEnd w:id="0"/>
      <w:bookmarkEnd w:id="1"/>
    </w:p>
    <w:p w14:paraId="6CC39C10"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Organisational culture refers to the shared values, beliefs, assumptions and behaviours that influence how employees think, make decisions and interact within an organisation. It shapes leadership, communication, motivation and performance, making it one of the most important factors affecting long-term business success (Schein, 2010). A strong culture provides employees with a shared purpose, whereas a weak or misaligned culture can reduce engagement, increase resistance to change and damage organisational effectiveness (Mullins and Christy, 2016).</w:t>
      </w:r>
    </w:p>
    <w:p w14:paraId="2746FD1D"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In today's competitive environment, organisations must respond to rapid technological change, global competition, sustainability requirements and evolving customer expectations. Organisational culture has therefore become a strategic resource that enables adaptation while maintaining operational excellence (Alvesson, 2013). Organisations with cultures that encourage innovation, learning and collaboration are generally better able to sustain competitive advantage.</w:t>
      </w:r>
    </w:p>
    <w:p w14:paraId="6968F934"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This report examines the organisational culture of Toyota Motor Corporation, one of the world's largest automotive manufacturers. Since its establishment in 1937, Toyota has built a reputation for high-quality, reliable vehicles through its distinctive culture. Central to this is The Toyota Way, founded on two principles: Continuous Improvement (Kaizen) and Respect for People (Liker, 2004; Toyota Motor Corporation, 2024). These principles influence leadership, employee behaviour, structure and strategic decision-making throughout the organisation.</w:t>
      </w:r>
    </w:p>
    <w:p w14:paraId="7B2D3E84"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The report critically evaluates Toyota's culture using Schein's Three Levels of Organisational Culture, Hofstede's Organisational Culture Dimensions and Handy's Cultural Types. It examines how Toyota's culture supports adaptation to external challenges, considers whether culture can act as a barrier to effectiveness, and evaluates culture's impact on performance, demonstrating how it has contributed to sustained competitive advantage while highlighting where further adaptation is required.</w:t>
      </w:r>
    </w:p>
    <w:p w14:paraId="11C44D1C" w14:textId="77777777" w:rsidR="001A2C1D" w:rsidRPr="00DF024D" w:rsidRDefault="001A2C1D" w:rsidP="00DF024D">
      <w:pPr>
        <w:pStyle w:val="Heading1"/>
        <w:spacing w:line="360" w:lineRule="auto"/>
        <w:rPr>
          <w:rFonts w:ascii="Arial" w:hAnsi="Arial" w:cs="Arial"/>
          <w:sz w:val="22"/>
          <w:szCs w:val="22"/>
        </w:rPr>
      </w:pPr>
      <w:bookmarkStart w:id="2" w:name="_Toc234736628"/>
      <w:bookmarkStart w:id="3" w:name="_Toc234737787"/>
      <w:r w:rsidRPr="00DF024D">
        <w:rPr>
          <w:rFonts w:ascii="Arial" w:eastAsia="Calibri" w:hAnsi="Arial" w:cs="Arial"/>
          <w:b/>
          <w:bCs/>
          <w:sz w:val="22"/>
          <w:szCs w:val="22"/>
        </w:rPr>
        <w:lastRenderedPageBreak/>
        <w:t>2. Organisational Culture at Toyota</w:t>
      </w:r>
      <w:bookmarkEnd w:id="2"/>
      <w:bookmarkEnd w:id="3"/>
    </w:p>
    <w:p w14:paraId="32CEE817"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 is widely recognised as an organisation whose competitive advantage is built on a strong organisational culture rather than technology alone. Its culture is centred on The Toyota Way, promoting Continuous Improvement (Kaizen) and Respect for People (Toyota Motor Corporation, 2024), which influence employee behaviour, leadership, decision-making and operational performance across Toyota's global operations.</w:t>
      </w:r>
    </w:p>
    <w:p w14:paraId="46AA87AE"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Kaizen encourages employees at every level to identify inefficiencies, solve problems and make continuous, incremental improvements to products and processes (Ohno, 1988). Rather than relying on occasional large-scale change, Toyota believes many small improvements lead to greater long-term success (Liker, 2004), so employees are encouraged to suggest ideas and eliminate waste, creating a culture of learning and innovation.</w:t>
      </w:r>
    </w:p>
    <w:p w14:paraId="17240970"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Respect for People is equally important. Toyota treats employees as valuable strategic assets and invests heavily in training, leadership development and teamwork (Liker and Convis, 2012). Employees participate in decision-making and collaborate across departments, which strengthens commitment, motivation and knowledge sharing.</w:t>
      </w:r>
    </w:p>
    <w:p w14:paraId="5C8ABE64" w14:textId="67A2BB6F"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This culture is reinforced through the Toyota Production System (TPS), a lean manufacturing system designed to eliminate waste while maximising quality (Ohno, 1988). A distinctive feature is employee empowerment: workers are authorised to stop the production line if defects are identified, so quality problems are addressed immediately rather than passed further down the line. This reflects Toyota's belief that quality is every employee's responsibility, not only </w:t>
      </w:r>
      <w:r w:rsidR="000C32ED" w:rsidRPr="00DF024D">
        <w:rPr>
          <w:rFonts w:ascii="Arial" w:eastAsia="Calibri" w:hAnsi="Arial" w:cs="Arial"/>
          <w:sz w:val="22"/>
          <w:szCs w:val="22"/>
        </w:rPr>
        <w:t>managements</w:t>
      </w:r>
      <w:r w:rsidRPr="00DF024D">
        <w:rPr>
          <w:rFonts w:ascii="Arial" w:eastAsia="Calibri" w:hAnsi="Arial" w:cs="Arial"/>
          <w:sz w:val="22"/>
          <w:szCs w:val="22"/>
        </w:rPr>
        <w:t>.</w:t>
      </w:r>
    </w:p>
    <w:p w14:paraId="51B6DEB7"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Teamwork is another defining feature. Employees work in cross-functional teams where communication and collective problem-solving are encouraged; rather than blaming individuals for mistakes, Toyota applies techniques such as the Five Whys to identify root causes (Ohno, 1988), building trust and supporting continuous improvement.</w:t>
      </w:r>
    </w:p>
    <w:p w14:paraId="6F8AEAE5"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Leadership also reflects these values. Managers are expected to act as coaches who develop employees rather than simply supervise performance (Liker and Convis, 2012), focusing on building capable people who can solve problems independently.</w:t>
      </w:r>
    </w:p>
    <w:p w14:paraId="3F6239EB"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Toyota's long-term orientation further distinguishes its culture: strategic decisions prioritise sustainable growth over short-term financial gain. For example, Toyota invested heavily in hybrid technology through the Prius long before regulation and consumer demand made low-emission vehicles mainstream (Toyota Motor Corporation, 2024), showing how culture shapes strategic planning.</w:t>
      </w:r>
    </w:p>
    <w:p w14:paraId="3654C769"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lastRenderedPageBreak/>
        <w:t>Despite these strengths, Toyota's culture has limitations. Its emphasis on consensus-building and incremental improvement can reduce agility; competitors such as Tesla have adopted more entrepreneurial cultures that allow faster experimentation and decision-making in response to technological change (Alvesson, 2013).</w:t>
      </w:r>
    </w:p>
    <w:p w14:paraId="6D72D538"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Toyota shows how a strong culture can create sustainable competitive advantage through employee involvement, operational excellence and continuous learning, though maintaining this requires balancing tradition with greater flexibility.</w:t>
      </w:r>
    </w:p>
    <w:p w14:paraId="696AA985" w14:textId="77777777" w:rsidR="001A2C1D" w:rsidRPr="00DF024D" w:rsidRDefault="001A2C1D" w:rsidP="00DF024D">
      <w:pPr>
        <w:pStyle w:val="Heading1"/>
        <w:spacing w:line="360" w:lineRule="auto"/>
        <w:rPr>
          <w:rFonts w:ascii="Arial" w:hAnsi="Arial" w:cs="Arial"/>
          <w:sz w:val="22"/>
          <w:szCs w:val="22"/>
        </w:rPr>
      </w:pPr>
      <w:bookmarkStart w:id="4" w:name="_Toc234736629"/>
      <w:bookmarkStart w:id="5" w:name="_Toc234737788"/>
      <w:r w:rsidRPr="00DF024D">
        <w:rPr>
          <w:rFonts w:ascii="Arial" w:eastAsia="Calibri" w:hAnsi="Arial" w:cs="Arial"/>
          <w:b/>
          <w:bCs/>
          <w:sz w:val="22"/>
          <w:szCs w:val="22"/>
        </w:rPr>
        <w:t>3. Influence of Culture on Organisational Structure and Decision-Making</w:t>
      </w:r>
      <w:bookmarkEnd w:id="4"/>
      <w:bookmarkEnd w:id="5"/>
    </w:p>
    <w:p w14:paraId="3BF64DF9"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Organisational culture strongly influences structure and decision-making because it shapes communication, leadership and employee behaviour (Mullins and Christy, 2016). At Toyota, The Toyota Way encourages decentralised decision-making, employee empowerment and collaborative working, supporting both quality and continuous improvement.</w:t>
      </w:r>
    </w:p>
    <w:p w14:paraId="731A308E"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Unlike highly hierarchical organisations, Toyota empowers frontline employees to identify problems and recommend improvements, since they hold detailed knowledge of production processes (Liker, 2004). This participative approach improves decision quality while increasing commitment and accountability.</w:t>
      </w:r>
    </w:p>
    <w:p w14:paraId="4EC5B564"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 also promotes cross-functional teamwork: employees from engineering, production, purchasing and quality departments collaborate to solve operational challenges (Liker and Convis, 2012), improving communication and reducing departmental barriers.</w:t>
      </w:r>
    </w:p>
    <w:p w14:paraId="11CC9645"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Decision-making is influenced by the Japanese concept of Nemawashi, whereby managers consult employees before implementing significant decisions. Although this requires additional time, it improves commitment and reduces resistance during implementation (Liker, 2004). Toyota also follows Genchi Genbutsu ("go and see"), requiring managers to observe problems directly, ensuring solutions are evidence-based rather than assumed (Ohno, 1988).</w:t>
      </w:r>
    </w:p>
    <w:p w14:paraId="70AD9FD8"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However, this approach has limitations: consensus-building can slow responses when rapid decisions are required. This was evident during the 2009–2011 vehicle recall crisis, when Toyota was criticised for responding slowly to quality concerns affecting millions of vehicles (Toyota Motor Corporation, 2024), while competitors such as Tesla have often reacted more quickly to developments in electric vehicle technology due to less bureaucratic decision-making (Alvesson, 2013).</w:t>
      </w:r>
    </w:p>
    <w:p w14:paraId="4FDA05F2"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Schein (2010) argues that organisational structures reflect underlying cultural assumptions; Toyota supports this view, as its decentralised structure and participative management stem </w:t>
      </w:r>
      <w:r w:rsidRPr="00DF024D">
        <w:rPr>
          <w:rFonts w:ascii="Arial" w:eastAsia="Calibri" w:hAnsi="Arial" w:cs="Arial"/>
          <w:sz w:val="22"/>
          <w:szCs w:val="22"/>
        </w:rPr>
        <w:lastRenderedPageBreak/>
        <w:t>from deeply embedded beliefs about teamwork and quality, which in turn generally produce higher organisational performance.</w:t>
      </w:r>
    </w:p>
    <w:p w14:paraId="7A230514"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Toyota's structure and decision-making closely align with its culture. Employee empowerment and evidence-based decision-making have supported operational excellence, though future competitiveness will depend on balancing consensus-based decision-making with greater agility.</w:t>
      </w:r>
    </w:p>
    <w:p w14:paraId="2C86CD3F" w14:textId="77777777" w:rsidR="001A2C1D" w:rsidRPr="00DF024D" w:rsidRDefault="001A2C1D" w:rsidP="00DF024D">
      <w:pPr>
        <w:pStyle w:val="Heading1"/>
        <w:spacing w:line="360" w:lineRule="auto"/>
        <w:rPr>
          <w:rFonts w:ascii="Arial" w:hAnsi="Arial" w:cs="Arial"/>
          <w:sz w:val="22"/>
          <w:szCs w:val="22"/>
        </w:rPr>
      </w:pPr>
      <w:bookmarkStart w:id="6" w:name="_Toc234736630"/>
      <w:bookmarkStart w:id="7" w:name="_Toc234737789"/>
      <w:r w:rsidRPr="00DF024D">
        <w:rPr>
          <w:rFonts w:ascii="Arial" w:eastAsia="Calibri" w:hAnsi="Arial" w:cs="Arial"/>
          <w:b/>
          <w:bCs/>
          <w:sz w:val="22"/>
          <w:szCs w:val="22"/>
        </w:rPr>
        <w:t>4. Identifying Toyota's Organisational Culture Using Cultural Models</w:t>
      </w:r>
      <w:bookmarkEnd w:id="6"/>
      <w:bookmarkEnd w:id="7"/>
    </w:p>
    <w:p w14:paraId="4A7CC2D4" w14:textId="5DD9B25C"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Understanding organisational culture requires recognised theoretical models that explain how shared values and behaviours influence performance. Applying several frameworks provides a broader understanding, as each </w:t>
      </w:r>
      <w:r w:rsidR="000C32ED" w:rsidRPr="00DF024D">
        <w:rPr>
          <w:rFonts w:ascii="Arial" w:eastAsia="Calibri" w:hAnsi="Arial" w:cs="Arial"/>
          <w:sz w:val="22"/>
          <w:szCs w:val="22"/>
        </w:rPr>
        <w:t>focus</w:t>
      </w:r>
      <w:r w:rsidRPr="00DF024D">
        <w:rPr>
          <w:rFonts w:ascii="Arial" w:eastAsia="Calibri" w:hAnsi="Arial" w:cs="Arial"/>
          <w:sz w:val="22"/>
          <w:szCs w:val="22"/>
        </w:rPr>
        <w:t xml:space="preserve"> on a different aspect of organisational behaviour (Mullins and Christy, 2016). This section evaluates Toyota using Schein's Three Levels of Organisational Culture, Hofstede's Organisational Culture Dimensions and Handy's Cultural Types.</w:t>
      </w:r>
    </w:p>
    <w:p w14:paraId="2F4B09CC" w14:textId="77777777" w:rsidR="001A2C1D" w:rsidRPr="00DF024D" w:rsidRDefault="001A2C1D" w:rsidP="00DF024D">
      <w:pPr>
        <w:pStyle w:val="Heading2"/>
        <w:spacing w:before="320" w:after="160" w:line="360" w:lineRule="auto"/>
        <w:rPr>
          <w:rFonts w:ascii="Arial" w:hAnsi="Arial" w:cs="Arial"/>
          <w:sz w:val="22"/>
          <w:szCs w:val="22"/>
        </w:rPr>
      </w:pPr>
      <w:bookmarkStart w:id="8" w:name="_Toc234736631"/>
      <w:bookmarkStart w:id="9" w:name="_Toc234737790"/>
      <w:r w:rsidRPr="00DF024D">
        <w:rPr>
          <w:rFonts w:ascii="Arial" w:eastAsia="Calibri" w:hAnsi="Arial" w:cs="Arial"/>
          <w:b/>
          <w:bCs/>
          <w:sz w:val="22"/>
          <w:szCs w:val="22"/>
        </w:rPr>
        <w:t>4.1 Schein's Three Levels of Organisational Culture</w:t>
      </w:r>
      <w:bookmarkEnd w:id="8"/>
      <w:bookmarkEnd w:id="9"/>
    </w:p>
    <w:p w14:paraId="6CC39539"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Schein (2010) argues that culture exists at three interconnected levels: artefacts, espoused values and basic underlying assumptions.</w:t>
      </w:r>
    </w:p>
    <w:p w14:paraId="26409BCD"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Artefacts are the visible aspects of culture. At Toyota these include standardised production systems, uniforms, quality circles, visual performance boards and lean manufacturing practices — disciplined working practices and strong teamwork that demonstrate commitment to operational excellence, without fully explaining why employees behave this way.</w:t>
      </w:r>
    </w:p>
    <w:p w14:paraId="17A5D720"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Espoused values are the principles publicly promoted by the organisation. Toyota's are expressed through The Toyota Way, focusing on Kaizen and Respect for People (Liker, 2004), encouraging teamwork, learning, innovation and customer satisfaction, reinforced through leadership development and training.</w:t>
      </w:r>
    </w:p>
    <w:p w14:paraId="503A9D52"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The deepest level, basic underlying assumptions, comprises unconscious beliefs employees accept without question. At Toyota, employees naturally believe quality should never be compromised and that improvement is everyone's responsibility (Ohno, 1988) — explaining why employees participate in problem-solving without constant supervision.</w:t>
      </w:r>
    </w:p>
    <w:p w14:paraId="73B2438E"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Schein's model effectively explains Toyota's long-term success, given the strong alignment between practices, values and beliefs. However, it focuses mainly on internal culture and gives less attention to external influences such as technological disruption (Alvesson, 2013).</w:t>
      </w:r>
    </w:p>
    <w:p w14:paraId="18D68697" w14:textId="77777777" w:rsidR="001A2C1D" w:rsidRPr="00DF024D" w:rsidRDefault="001A2C1D" w:rsidP="00DF024D">
      <w:pPr>
        <w:pStyle w:val="Heading2"/>
        <w:spacing w:before="320" w:after="160" w:line="360" w:lineRule="auto"/>
        <w:rPr>
          <w:rFonts w:ascii="Arial" w:hAnsi="Arial" w:cs="Arial"/>
          <w:sz w:val="22"/>
          <w:szCs w:val="22"/>
        </w:rPr>
      </w:pPr>
      <w:bookmarkStart w:id="10" w:name="_Toc234736632"/>
      <w:bookmarkStart w:id="11" w:name="_Toc234737791"/>
      <w:r w:rsidRPr="00DF024D">
        <w:rPr>
          <w:rFonts w:ascii="Arial" w:eastAsia="Calibri" w:hAnsi="Arial" w:cs="Arial"/>
          <w:b/>
          <w:bCs/>
          <w:sz w:val="22"/>
          <w:szCs w:val="22"/>
        </w:rPr>
        <w:lastRenderedPageBreak/>
        <w:t>4.2 Hofstede's Organisational Culture Dimensions</w:t>
      </w:r>
      <w:bookmarkEnd w:id="10"/>
      <w:bookmarkEnd w:id="11"/>
    </w:p>
    <w:p w14:paraId="78F606D3"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Beyond the national-culture dimensions in Hofstede, Hofstede and Minkov (2010), later Hofstede-derived research identifies organisational-level dimensions that are useful for analysing companies such as Toyota.</w:t>
      </w:r>
    </w:p>
    <w:p w14:paraId="1170C0CB"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 is primarily goal-oriented, with employees focused on customer satisfaction and long-term objectives rather than procedures for their own sake, and externally driven, continually adapting to changing customer expectations and legislation — evident in its investment in hybrid, hydrogen and electric vehicles (Toyota Motor Corporation, 2024).</w:t>
      </w:r>
    </w:p>
    <w:p w14:paraId="2DA0F434"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The organisation shows a relatively strict culture, with detailed quality standards and disciplined manufacturing systems, though this does not prevent innovation, since employees are encouraged to improve existing processes through Kaizen. Toyota also displays a strongly professional, employee-oriented culture: employees identify with organisational goals across international operations, and the company invests heavily in training and wellbeing, treating staff as long-term contributors rather than production resources (Liker and Convis, 2012).</w:t>
      </w:r>
    </w:p>
    <w:p w14:paraId="12C53B2C"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While this framework offers valuable insight into Toyota's values, organisations rarely fit neatly into single dimensions; Toyota illustrates this by combining strict operational control with employee empowerment and continuous improvement (Alvesson, 2013).</w:t>
      </w:r>
    </w:p>
    <w:p w14:paraId="337BB704" w14:textId="77777777" w:rsidR="001A2C1D" w:rsidRPr="00DF024D" w:rsidRDefault="001A2C1D" w:rsidP="00DF024D">
      <w:pPr>
        <w:pStyle w:val="Heading2"/>
        <w:spacing w:before="320" w:after="160" w:line="360" w:lineRule="auto"/>
        <w:rPr>
          <w:rFonts w:ascii="Arial" w:hAnsi="Arial" w:cs="Arial"/>
          <w:sz w:val="22"/>
          <w:szCs w:val="22"/>
        </w:rPr>
      </w:pPr>
      <w:bookmarkStart w:id="12" w:name="_Toc234736633"/>
      <w:bookmarkStart w:id="13" w:name="_Toc234737792"/>
      <w:r w:rsidRPr="00DF024D">
        <w:rPr>
          <w:rFonts w:ascii="Arial" w:eastAsia="Calibri" w:hAnsi="Arial" w:cs="Arial"/>
          <w:b/>
          <w:bCs/>
          <w:sz w:val="22"/>
          <w:szCs w:val="22"/>
        </w:rPr>
        <w:t>4.3 Handy's Cultural Types</w:t>
      </w:r>
      <w:bookmarkEnd w:id="12"/>
      <w:bookmarkEnd w:id="13"/>
    </w:p>
    <w:p w14:paraId="2C28D87D"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Handy (1993) identified four organisational culture types: Power, Role, Task and Person Culture.</w:t>
      </w:r>
    </w:p>
    <w:p w14:paraId="36060A8D"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 most closely reflects a Task Culture, where teamwork and problem-solving across departments are central to success, combined with elements of Role Culture, since it operates through clearly defined procedures and structured management systems that ensure consistency globally. Power Culture is limited, as authority is shared across teams rather than concentrated at senior level, and Person Culture is largely inapplicable, since organisational goals consistently take priority over individual preferences.</w:t>
      </w:r>
    </w:p>
    <w:p w14:paraId="20CFA694"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Toyota combines the flexibility of Task Culture with the stability of Role Culture, encouraging innovation while maintaining operational discipline and consistently high product quality.</w:t>
      </w:r>
    </w:p>
    <w:p w14:paraId="5936500F" w14:textId="77777777" w:rsidR="001A2C1D" w:rsidRPr="00DF024D" w:rsidRDefault="001A2C1D" w:rsidP="00DF024D">
      <w:pPr>
        <w:pStyle w:val="Heading2"/>
        <w:spacing w:before="320" w:after="160" w:line="360" w:lineRule="auto"/>
        <w:rPr>
          <w:rFonts w:ascii="Arial" w:hAnsi="Arial" w:cs="Arial"/>
          <w:sz w:val="22"/>
          <w:szCs w:val="22"/>
        </w:rPr>
      </w:pPr>
      <w:bookmarkStart w:id="14" w:name="_Toc234736634"/>
      <w:bookmarkStart w:id="15" w:name="_Toc234737793"/>
      <w:r w:rsidRPr="00DF024D">
        <w:rPr>
          <w:rFonts w:ascii="Arial" w:eastAsia="Calibri" w:hAnsi="Arial" w:cs="Arial"/>
          <w:b/>
          <w:bCs/>
          <w:sz w:val="22"/>
          <w:szCs w:val="22"/>
        </w:rPr>
        <w:lastRenderedPageBreak/>
        <w:t>Critical Evaluation</w:t>
      </w:r>
      <w:bookmarkEnd w:id="14"/>
      <w:bookmarkEnd w:id="15"/>
    </w:p>
    <w:p w14:paraId="13AA368E"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Each framework offers distinct insight: Schein explains the link between values and behaviour, Hofstede highlights organisational values and management philosophy, and Handy shows how teamwork and structure contribute to effectiveness. No single model fully explains Toyota's culture, but combining these perspectives gives a more complete picture of how Toyota has sustained competitive advantage while adapting to a changing business environment.</w:t>
      </w:r>
    </w:p>
    <w:p w14:paraId="03FB96AB" w14:textId="77777777" w:rsidR="001A2C1D" w:rsidRPr="00DF024D" w:rsidRDefault="001A2C1D" w:rsidP="00DF024D">
      <w:pPr>
        <w:pStyle w:val="Heading1"/>
        <w:spacing w:line="360" w:lineRule="auto"/>
        <w:rPr>
          <w:rFonts w:ascii="Arial" w:hAnsi="Arial" w:cs="Arial"/>
          <w:sz w:val="22"/>
          <w:szCs w:val="22"/>
        </w:rPr>
      </w:pPr>
      <w:bookmarkStart w:id="16" w:name="_Toc234736635"/>
      <w:bookmarkStart w:id="17" w:name="_Toc234737794"/>
      <w:r w:rsidRPr="00DF024D">
        <w:rPr>
          <w:rFonts w:ascii="Arial" w:eastAsia="Calibri" w:hAnsi="Arial" w:cs="Arial"/>
          <w:b/>
          <w:bCs/>
          <w:sz w:val="22"/>
          <w:szCs w:val="22"/>
        </w:rPr>
        <w:t>5. Culture and the External Environment</w:t>
      </w:r>
      <w:bookmarkEnd w:id="16"/>
      <w:bookmarkEnd w:id="17"/>
    </w:p>
    <w:p w14:paraId="65CFD09F"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Modern organisations operate in complex environments shaped by technological innovation, global competition, environmental regulation and changing consumer expectations, and culture plays an essential role in how effectively they respond (Mullins and Christy, 2016). Toyota has developed a culture that balances stability with continuous improvement, enabling it to adapt while maintaining core values.</w:t>
      </w:r>
    </w:p>
    <w:p w14:paraId="70834DEF"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Global competition is a significant challenge: manufacturers such as Tesla, BYD and Volkswagen continue to invest heavily in electric vehicles, artificial intelligence and autonomous driving. Toyota responds by embedding innovation within its culture through Kaizen (Liker, 2004), and has invested extensively in hybrid, hydrogen fuel-cell, battery-electric and intelligent manufacturing technologies, reflecting its long-term strategic philosophy (Toyota Motor Corporation, 2024), though it generally adopts a more cautious approach than competitors focused on rapid expansion.</w:t>
      </w:r>
    </w:p>
    <w:p w14:paraId="7851B26C"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Environmental sustainability is another major influence. Toyota has responded through initiatives such as the Toyota Environmental Challenge 2050, aiming to reduce carbon emissions, improve recycling and achieve carbon neutrality (Toyota Motor Corporation, 2024), demonstrating that sustainability is embedded within its culture rather than treated purely as a legal requirement.</w:t>
      </w:r>
    </w:p>
    <w:p w14:paraId="7136C8F3"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Operating in more than 170 countries also requires Toyota to balance global consistency with local responsiveness. While The Toyota Way provides common values across international operations, regional subsidiaries retain sufficient flexibility to respond to local market conditions (Liker and Convis, 2012).</w:t>
      </w:r>
    </w:p>
    <w:p w14:paraId="5DC80BE2"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Toyota's investment in hybrid, hydrogen and electric vehicle technologies demonstrates a real capacity to adapt to a changing environment. However, critics argue Toyota responded more cautiously than competitors to the rapid growth of battery-electric vehicles, illustrating the limits </w:t>
      </w:r>
      <w:r w:rsidRPr="00DF024D">
        <w:rPr>
          <w:rFonts w:ascii="Arial" w:eastAsia="Calibri" w:hAnsi="Arial" w:cs="Arial"/>
          <w:sz w:val="22"/>
          <w:szCs w:val="22"/>
        </w:rPr>
        <w:lastRenderedPageBreak/>
        <w:t>of a culture that prioritises incremental improvement over disruptive innovation (Alvesson, 2013).</w:t>
      </w:r>
    </w:p>
    <w:p w14:paraId="5E7CD5CF"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employee involvement, consistent values and a clear long-term mission have contributed significantly to Toyota's ability to adapt to external pressures, though future competitiveness will require responding more rapidly to technological disruption while preserving these cultural strengths.</w:t>
      </w:r>
    </w:p>
    <w:p w14:paraId="762357F0" w14:textId="77777777" w:rsidR="001A2C1D" w:rsidRPr="00DF024D" w:rsidRDefault="001A2C1D" w:rsidP="00DF024D">
      <w:pPr>
        <w:pStyle w:val="Heading1"/>
        <w:spacing w:line="360" w:lineRule="auto"/>
        <w:rPr>
          <w:rFonts w:ascii="Arial" w:hAnsi="Arial" w:cs="Arial"/>
          <w:sz w:val="22"/>
          <w:szCs w:val="22"/>
        </w:rPr>
      </w:pPr>
      <w:bookmarkStart w:id="18" w:name="_Toc234736636"/>
      <w:bookmarkStart w:id="19" w:name="_Toc234737795"/>
      <w:r w:rsidRPr="00DF024D">
        <w:rPr>
          <w:rFonts w:ascii="Arial" w:eastAsia="Calibri" w:hAnsi="Arial" w:cs="Arial"/>
          <w:b/>
          <w:bCs/>
          <w:sz w:val="22"/>
          <w:szCs w:val="22"/>
        </w:rPr>
        <w:t>6. Organisational Culture as a Barrier to Organisational Effectiveness</w:t>
      </w:r>
      <w:bookmarkEnd w:id="18"/>
      <w:bookmarkEnd w:id="19"/>
    </w:p>
    <w:p w14:paraId="44F1880D" w14:textId="626E738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Although Toyota's culture has been fundamental to its success, it can also create barriers to effectiveness. Strong cultures provide stability and </w:t>
      </w:r>
      <w:r w:rsidR="00A6392A" w:rsidRPr="00DF024D">
        <w:rPr>
          <w:rFonts w:ascii="Arial" w:eastAsia="Calibri" w:hAnsi="Arial" w:cs="Arial"/>
          <w:sz w:val="22"/>
          <w:szCs w:val="22"/>
        </w:rPr>
        <w:t>consistency but</w:t>
      </w:r>
      <w:r w:rsidRPr="00DF024D">
        <w:rPr>
          <w:rFonts w:ascii="Arial" w:eastAsia="Calibri" w:hAnsi="Arial" w:cs="Arial"/>
          <w:sz w:val="22"/>
          <w:szCs w:val="22"/>
        </w:rPr>
        <w:t xml:space="preserve"> may reduce flexibility if employees become too committed to established ways of working (Alvesson, 2013).</w:t>
      </w:r>
    </w:p>
    <w:p w14:paraId="00FD29ED"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One barrier is the consensus-based decision-making of Nemawashi: while it improves communication and implementation, it can slow strategic decisions during periods of rapid technological change (Liker, 2004), in contrast to more entrepreneurial competitors such as Tesla.</w:t>
      </w:r>
    </w:p>
    <w:p w14:paraId="0B3E1C5A"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A second limitation is Toyota's reliance on standardisation through TPS. Standard operating procedures ensure quality and efficiency but may discourage radical innovation, as employees focus on improving existing systems rather than creating disruptive technologies (Ohno, 1988) — a growing concern as the industry shifts towards artificial intelligence, autonomous driving and battery-electric vehicles.</w:t>
      </w:r>
    </w:p>
    <w:p w14:paraId="68D26576"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Toyota's culture also faced significant challenges during the 2009–2011 global recall crisis, when rapid global expansion placed pressure on communication and quality management, delaying responses to customer concerns (Liker and Convis, 2012). Although the crisis damaged Toyota's reputation, it also demonstrated organisational learning: Toyota strengthened governance, quality assurance and training, reinforcing that continuous improvement applies to management systems as well as manufacturing (Toyota Motor Corporation, 2024).</w:t>
      </w:r>
    </w:p>
    <w:p w14:paraId="6A8B511E"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Globalisation presents a further challenge, as maintaining consistent values while adapting leadership and communication styles across diverse national cultures requires considerable flexibility (Hofstede, Hofstede and Minkov, 2010).</w:t>
      </w:r>
    </w:p>
    <w:p w14:paraId="7DB3EDF8"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Toyota's culture shows that organisational strengths can also become weaknesses if they limit responsiveness. Its commitment to continuous improvement, however, enables it to learn from challenges and evolve — one of its greatest competitive strengths.</w:t>
      </w:r>
    </w:p>
    <w:p w14:paraId="7ABD4FE1" w14:textId="77777777" w:rsidR="001A2C1D" w:rsidRPr="00DF024D" w:rsidRDefault="001A2C1D" w:rsidP="00DF024D">
      <w:pPr>
        <w:pStyle w:val="Heading1"/>
        <w:spacing w:line="360" w:lineRule="auto"/>
        <w:rPr>
          <w:rFonts w:ascii="Arial" w:hAnsi="Arial" w:cs="Arial"/>
          <w:sz w:val="22"/>
          <w:szCs w:val="22"/>
        </w:rPr>
      </w:pPr>
      <w:bookmarkStart w:id="20" w:name="_Toc234736637"/>
      <w:bookmarkStart w:id="21" w:name="_Toc234737796"/>
      <w:r w:rsidRPr="00DF024D">
        <w:rPr>
          <w:rFonts w:ascii="Arial" w:eastAsia="Calibri" w:hAnsi="Arial" w:cs="Arial"/>
          <w:b/>
          <w:bCs/>
          <w:sz w:val="22"/>
          <w:szCs w:val="22"/>
        </w:rPr>
        <w:lastRenderedPageBreak/>
        <w:t>7. Impact of Organisational Culture on Organisational Performance</w:t>
      </w:r>
      <w:bookmarkEnd w:id="20"/>
      <w:bookmarkEnd w:id="21"/>
    </w:p>
    <w:p w14:paraId="4BAE76A1"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Organisational culture directly influences performance because it affects employee behaviour, innovation, efficiency and customer satisfaction (Mullins and Christy, 2016). Toyota demonstrates how a strong culture creates sustainable competitive advantage by aligning employee behaviour with organisational objectives.</w:t>
      </w:r>
    </w:p>
    <w:p w14:paraId="7F09DD1F"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One of Toyota's greatest achievements is TPS, which focuses on eliminating waste and improving quality and productivity (Ohno, 1988); employees are encouraged to identify inefficiencies, stop production when defects occur, and recommend improvements through Kaizen, enabling exceptionally high manufacturing standards at reduced cost.</w:t>
      </w:r>
    </w:p>
    <w:p w14:paraId="3874D7E9"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Toyota's culture also strengthens product quality, as every employee shares responsibility for maintaining standards, building a global reputation for reliability that strengthens customer loyalty and brand value (Toyota Motor Corporation, 2024). Employee engagement benefits similarly: heavy investment in leadership development, training and teamwork (Liker and Convis, 2012) increases motivation, commitment and knowledge sharing.</w:t>
      </w:r>
    </w:p>
    <w:p w14:paraId="758BE3FA" w14:textId="6AE7617B"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Innovation also </w:t>
      </w:r>
      <w:r w:rsidR="00CD2C13" w:rsidRPr="00DF024D">
        <w:rPr>
          <w:rFonts w:ascii="Arial" w:eastAsia="Calibri" w:hAnsi="Arial" w:cs="Arial"/>
          <w:sz w:val="22"/>
          <w:szCs w:val="22"/>
        </w:rPr>
        <w:t>benefits</w:t>
      </w:r>
      <w:r w:rsidRPr="00DF024D">
        <w:rPr>
          <w:rFonts w:ascii="Arial" w:eastAsia="Calibri" w:hAnsi="Arial" w:cs="Arial"/>
          <w:sz w:val="22"/>
          <w:szCs w:val="22"/>
        </w:rPr>
        <w:t xml:space="preserve"> continuous improvement has enabled Toyota to lead in hybrid vehicle technology while continuing to invest in hydrogen fuel cells, electric vehicles and intelligent manufacturing (Toyota Motor Corporation, 2024). However, this strategy generally favours incremental improvement over disruptive change, reducing risk but potentially slowing responses to rapidly changing markets (Alvesson, 2013).</w:t>
      </w:r>
    </w:p>
    <w:p w14:paraId="12B5E1F6"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Financially, Toyota's culture has supported sustainable growth by combining operational efficiency with long-term planning, prioritising customer value and employee development over short-term profit, which strengthens shareholder confidence and organisational resilience.</w:t>
      </w:r>
    </w:p>
    <w:p w14:paraId="66AA62D2"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Theoretical models support these findings: Schein (2010) explains how shared assumptions influence behaviour, Handy (1993) demonstrates the benefits of teamwork, and Hofstede, Hofstede and Minkov (2010) emphasise employee-oriented cultures — together showing that Toyota's culture is a strategic capability contributing directly to operational excellence and long-term performance.</w:t>
      </w:r>
    </w:p>
    <w:p w14:paraId="319E04EE"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Toyota illustrates how culture can become a powerful source of competitive advantage, though maintaining it will require balancing stability with greater agility as technology and customer expectations evolve.</w:t>
      </w:r>
    </w:p>
    <w:p w14:paraId="162FF4DB" w14:textId="77777777" w:rsidR="001A2C1D" w:rsidRPr="00DF024D" w:rsidRDefault="001A2C1D" w:rsidP="00DF024D">
      <w:pPr>
        <w:pStyle w:val="Heading1"/>
        <w:spacing w:line="360" w:lineRule="auto"/>
        <w:rPr>
          <w:rFonts w:ascii="Arial" w:hAnsi="Arial" w:cs="Arial"/>
          <w:sz w:val="22"/>
          <w:szCs w:val="22"/>
        </w:rPr>
      </w:pPr>
      <w:bookmarkStart w:id="22" w:name="_Toc234736638"/>
      <w:bookmarkStart w:id="23" w:name="_Toc234737797"/>
      <w:r w:rsidRPr="00DF024D">
        <w:rPr>
          <w:rFonts w:ascii="Arial" w:eastAsia="Calibri" w:hAnsi="Arial" w:cs="Arial"/>
          <w:b/>
          <w:bCs/>
          <w:sz w:val="22"/>
          <w:szCs w:val="22"/>
        </w:rPr>
        <w:lastRenderedPageBreak/>
        <w:t>8. Conclusion and Recommendations</w:t>
      </w:r>
      <w:bookmarkEnd w:id="22"/>
      <w:bookmarkEnd w:id="23"/>
    </w:p>
    <w:p w14:paraId="48D13998"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This report has demonstrated that organisational culture is a major contributor to organisational success and long-term competitive advantage. Toyota has developed a strong culture based on The Toyota Way, particularly Continuous Improvement (Kaizen) and Respect for People, shaping leadership, employee behaviour, decision-making and operational excellence, and helping it become one of the world's most successful automotive manufacturers.</w:t>
      </w:r>
    </w:p>
    <w:p w14:paraId="1D9B535D"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Applying Schein's Three Levels, Hofstede's Organisational Culture Dimensions and Handy's Cultural Types showed that Toyota has successfully aligned its values with business strategy: employee involvement, collaborative leadership and continuous learning have contributed significantly to quality, innovation, engagement and customer satisfaction.</w:t>
      </w:r>
    </w:p>
    <w:p w14:paraId="6AD9D3C6" w14:textId="2214F34B"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 xml:space="preserve">The report also recognised that culture </w:t>
      </w:r>
      <w:r w:rsidR="000C32ED" w:rsidRPr="00DF024D">
        <w:rPr>
          <w:rFonts w:ascii="Arial" w:eastAsia="Calibri" w:hAnsi="Arial" w:cs="Arial"/>
          <w:sz w:val="22"/>
          <w:szCs w:val="22"/>
        </w:rPr>
        <w:t>could</w:t>
      </w:r>
      <w:r w:rsidRPr="00DF024D">
        <w:rPr>
          <w:rFonts w:ascii="Arial" w:eastAsia="Calibri" w:hAnsi="Arial" w:cs="Arial"/>
          <w:sz w:val="22"/>
          <w:szCs w:val="22"/>
        </w:rPr>
        <w:t xml:space="preserve"> create barriers. Consensus-based decision-making, standardisation and incremental improvement have occasionally reduced Toyota's ability to respond rapidly to technological disruption, particularly during the expansion of the electric vehicle market. Nevertheless, Toyota's commitment to organisational learning enabled it to strengthen governance, quality management and innovation following challenges such as the global recall crisis.</w:t>
      </w:r>
    </w:p>
    <w:p w14:paraId="419E4D96"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Overall, Toyota demonstrates that a strong organisational culture remains one of its greatest strategic resources, though continued success will depend on balancing operational stability with greater organisational agility.</w:t>
      </w:r>
    </w:p>
    <w:p w14:paraId="71135AAA" w14:textId="77777777" w:rsidR="001A2C1D" w:rsidRPr="00DF024D" w:rsidRDefault="001A2C1D" w:rsidP="00DF024D">
      <w:pPr>
        <w:pStyle w:val="Heading2"/>
        <w:spacing w:before="320" w:after="160" w:line="360" w:lineRule="auto"/>
        <w:rPr>
          <w:rFonts w:ascii="Arial" w:hAnsi="Arial" w:cs="Arial"/>
          <w:sz w:val="22"/>
          <w:szCs w:val="22"/>
        </w:rPr>
      </w:pPr>
      <w:bookmarkStart w:id="24" w:name="_Toc234736639"/>
      <w:bookmarkStart w:id="25" w:name="_Toc234737798"/>
      <w:r w:rsidRPr="00DF024D">
        <w:rPr>
          <w:rFonts w:ascii="Arial" w:eastAsia="Calibri" w:hAnsi="Arial" w:cs="Arial"/>
          <w:b/>
          <w:bCs/>
          <w:sz w:val="22"/>
          <w:szCs w:val="22"/>
        </w:rPr>
        <w:t>Recommendations</w:t>
      </w:r>
      <w:bookmarkEnd w:id="24"/>
      <w:bookmarkEnd w:id="25"/>
    </w:p>
    <w:p w14:paraId="0E8A3089" w14:textId="77777777" w:rsidR="001A2C1D" w:rsidRPr="00DF024D" w:rsidRDefault="001A2C1D" w:rsidP="00DF024D">
      <w:pPr>
        <w:pStyle w:val="ListParagraph"/>
        <w:numPr>
          <w:ilvl w:val="0"/>
          <w:numId w:val="1"/>
        </w:numPr>
        <w:spacing w:after="120" w:line="360" w:lineRule="auto"/>
        <w:contextualSpacing w:val="0"/>
        <w:rPr>
          <w:rFonts w:ascii="Arial" w:hAnsi="Arial" w:cs="Arial"/>
          <w:sz w:val="22"/>
          <w:szCs w:val="22"/>
        </w:rPr>
      </w:pPr>
      <w:r w:rsidRPr="00DF024D">
        <w:rPr>
          <w:rFonts w:ascii="Arial" w:eastAsia="Calibri" w:hAnsi="Arial" w:cs="Arial"/>
          <w:sz w:val="22"/>
          <w:szCs w:val="22"/>
        </w:rPr>
        <w:t>Continue strengthening investment in electric vehicle, artificial intelligence and autonomous driving technologies while maintaining Toyota's commitment to quality.</w:t>
      </w:r>
    </w:p>
    <w:p w14:paraId="6674A626" w14:textId="77777777" w:rsidR="001A2C1D" w:rsidRPr="00DF024D" w:rsidRDefault="001A2C1D" w:rsidP="00DF024D">
      <w:pPr>
        <w:pStyle w:val="ListParagraph"/>
        <w:numPr>
          <w:ilvl w:val="0"/>
          <w:numId w:val="1"/>
        </w:numPr>
        <w:spacing w:after="120" w:line="360" w:lineRule="auto"/>
        <w:contextualSpacing w:val="0"/>
        <w:rPr>
          <w:rFonts w:ascii="Arial" w:hAnsi="Arial" w:cs="Arial"/>
          <w:sz w:val="22"/>
          <w:szCs w:val="22"/>
        </w:rPr>
      </w:pPr>
      <w:r w:rsidRPr="00DF024D">
        <w:rPr>
          <w:rFonts w:ascii="Arial" w:eastAsia="Calibri" w:hAnsi="Arial" w:cs="Arial"/>
          <w:sz w:val="22"/>
          <w:szCs w:val="22"/>
        </w:rPr>
        <w:t>Encourage faster decision-making for strategic innovation without losing the benefits of employee consultation.</w:t>
      </w:r>
    </w:p>
    <w:p w14:paraId="2416EA5B" w14:textId="77777777" w:rsidR="001A2C1D" w:rsidRPr="00DF024D" w:rsidRDefault="001A2C1D" w:rsidP="00DF024D">
      <w:pPr>
        <w:pStyle w:val="ListParagraph"/>
        <w:numPr>
          <w:ilvl w:val="0"/>
          <w:numId w:val="1"/>
        </w:numPr>
        <w:spacing w:after="120" w:line="360" w:lineRule="auto"/>
        <w:contextualSpacing w:val="0"/>
        <w:rPr>
          <w:rFonts w:ascii="Arial" w:hAnsi="Arial" w:cs="Arial"/>
          <w:sz w:val="22"/>
          <w:szCs w:val="22"/>
        </w:rPr>
      </w:pPr>
      <w:r w:rsidRPr="00DF024D">
        <w:rPr>
          <w:rFonts w:ascii="Arial" w:eastAsia="Calibri" w:hAnsi="Arial" w:cs="Arial"/>
          <w:sz w:val="22"/>
          <w:szCs w:val="22"/>
        </w:rPr>
        <w:t>Increase collaboration with technology companies and research institutions to accelerate innovation.</w:t>
      </w:r>
    </w:p>
    <w:p w14:paraId="1E2963C7" w14:textId="77777777" w:rsidR="001A2C1D" w:rsidRPr="00DF024D" w:rsidRDefault="001A2C1D" w:rsidP="00DF024D">
      <w:pPr>
        <w:pStyle w:val="ListParagraph"/>
        <w:numPr>
          <w:ilvl w:val="0"/>
          <w:numId w:val="1"/>
        </w:numPr>
        <w:spacing w:after="120" w:line="360" w:lineRule="auto"/>
        <w:contextualSpacing w:val="0"/>
        <w:rPr>
          <w:rFonts w:ascii="Arial" w:hAnsi="Arial" w:cs="Arial"/>
          <w:sz w:val="22"/>
          <w:szCs w:val="22"/>
        </w:rPr>
      </w:pPr>
      <w:r w:rsidRPr="00DF024D">
        <w:rPr>
          <w:rFonts w:ascii="Arial" w:eastAsia="Calibri" w:hAnsi="Arial" w:cs="Arial"/>
          <w:sz w:val="22"/>
          <w:szCs w:val="22"/>
        </w:rPr>
        <w:t>Continue investing in employee development and leadership training to reinforce The Toyota Way across global operations.</w:t>
      </w:r>
    </w:p>
    <w:p w14:paraId="34E57E0B" w14:textId="77777777" w:rsidR="001A2C1D" w:rsidRPr="00DF024D" w:rsidRDefault="001A2C1D" w:rsidP="00DF024D">
      <w:pPr>
        <w:pStyle w:val="ListParagraph"/>
        <w:numPr>
          <w:ilvl w:val="0"/>
          <w:numId w:val="1"/>
        </w:numPr>
        <w:spacing w:after="120" w:line="360" w:lineRule="auto"/>
        <w:contextualSpacing w:val="0"/>
        <w:rPr>
          <w:rFonts w:ascii="Arial" w:hAnsi="Arial" w:cs="Arial"/>
          <w:sz w:val="22"/>
          <w:szCs w:val="22"/>
        </w:rPr>
      </w:pPr>
      <w:r w:rsidRPr="00DF024D">
        <w:rPr>
          <w:rFonts w:ascii="Arial" w:eastAsia="Calibri" w:hAnsi="Arial" w:cs="Arial"/>
          <w:sz w:val="22"/>
          <w:szCs w:val="22"/>
        </w:rPr>
        <w:t>Maintain the balance between global organisational values and local cultural adaptation to support international growth.</w:t>
      </w:r>
    </w:p>
    <w:p w14:paraId="6321410A"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lastRenderedPageBreak/>
        <w:t>By implementing these recommendations, Toyota will be well positioned to sustain its competitive advantage while responding effectively to future technological, environmental and market challenges.</w:t>
      </w:r>
    </w:p>
    <w:p w14:paraId="666575BA" w14:textId="0B05FB24" w:rsidR="000C32ED" w:rsidRPr="00DF024D" w:rsidRDefault="000C32ED" w:rsidP="000C32ED">
      <w:pPr>
        <w:pStyle w:val="Heading2"/>
        <w:spacing w:before="320" w:after="160" w:line="360" w:lineRule="auto"/>
        <w:rPr>
          <w:rFonts w:ascii="Arial" w:hAnsi="Arial" w:cs="Arial"/>
          <w:sz w:val="22"/>
          <w:szCs w:val="22"/>
        </w:rPr>
      </w:pPr>
      <w:r w:rsidRPr="00DF024D">
        <w:rPr>
          <w:rFonts w:ascii="Arial" w:eastAsia="Calibri" w:hAnsi="Arial" w:cs="Arial"/>
          <w:b/>
          <w:bCs/>
          <w:sz w:val="22"/>
          <w:szCs w:val="22"/>
        </w:rPr>
        <w:t>Re</w:t>
      </w:r>
      <w:r>
        <w:rPr>
          <w:rFonts w:ascii="Arial" w:eastAsia="Calibri" w:hAnsi="Arial" w:cs="Arial"/>
          <w:b/>
          <w:bCs/>
          <w:sz w:val="22"/>
          <w:szCs w:val="22"/>
        </w:rPr>
        <w:t>ferences</w:t>
      </w:r>
    </w:p>
    <w:p w14:paraId="08B0BBCE"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Alvesson, M. (2013) Understanding Organizational Culture. 2nd ed. London: Sage.</w:t>
      </w:r>
    </w:p>
    <w:p w14:paraId="7F2194CA"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Handy, C. (1993) Understanding Organizations. 4th ed. London: Penguin.</w:t>
      </w:r>
    </w:p>
    <w:p w14:paraId="46560A1C"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Hofstede, G., Hofstede, G.J. and Minkov, M. (2010) Cultures and Organizations: Software of the Mind. 3rd ed. New York: McGraw-Hill.</w:t>
      </w:r>
    </w:p>
    <w:p w14:paraId="6DCEB068"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Liker, J.K. (2004) The Toyota Way. New York: McGraw-Hill.</w:t>
      </w:r>
    </w:p>
    <w:p w14:paraId="2D5276A0"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Liker, J.K. and Convis, G.L. (2012) The Toyota Way to Lean Leadership. New York: McGraw-Hill.</w:t>
      </w:r>
    </w:p>
    <w:p w14:paraId="4F9DA0E1"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Mullins, L.J. and Christy, G. (2016) Management and Organisational Behaviour. 11th ed. Harlow: Pearson.</w:t>
      </w:r>
    </w:p>
    <w:p w14:paraId="6D31BFE3"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Ohno, T. (1988) Toyota Production System: Beyond Large-Scale Production. Portland: Productivity Press.</w:t>
      </w:r>
    </w:p>
    <w:p w14:paraId="289B53BD"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Schein, E.H. (2010) Organizational Culture and Leadership. 4th ed. San Francisco: Jossey-Bass.</w:t>
      </w:r>
    </w:p>
    <w:p w14:paraId="69E83F44" w14:textId="77777777" w:rsidR="001A2C1D" w:rsidRPr="00DF024D" w:rsidRDefault="001A2C1D" w:rsidP="00CD2C13">
      <w:pPr>
        <w:spacing w:after="160" w:line="360" w:lineRule="auto"/>
        <w:ind w:left="720" w:hanging="720"/>
        <w:rPr>
          <w:rFonts w:ascii="Arial" w:hAnsi="Arial" w:cs="Arial"/>
          <w:sz w:val="22"/>
          <w:szCs w:val="22"/>
        </w:rPr>
      </w:pPr>
      <w:r w:rsidRPr="00DF024D">
        <w:rPr>
          <w:rFonts w:ascii="Arial" w:eastAsia="Calibri" w:hAnsi="Arial" w:cs="Arial"/>
          <w:sz w:val="22"/>
          <w:szCs w:val="22"/>
        </w:rPr>
        <w:t>Toyota Motor Corporation (2024) Integrated Report 2024.</w:t>
      </w:r>
    </w:p>
    <w:p w14:paraId="0DD00A18" w14:textId="77777777" w:rsidR="001A2C1D" w:rsidRPr="00DF024D" w:rsidRDefault="001A2C1D" w:rsidP="00DF024D">
      <w:pPr>
        <w:spacing w:line="360" w:lineRule="auto"/>
        <w:rPr>
          <w:rFonts w:ascii="Arial" w:hAnsi="Arial" w:cs="Arial"/>
          <w:sz w:val="22"/>
          <w:szCs w:val="22"/>
        </w:rPr>
      </w:pPr>
      <w:r w:rsidRPr="00DF024D">
        <w:rPr>
          <w:rFonts w:ascii="Arial" w:hAnsi="Arial" w:cs="Arial"/>
          <w:sz w:val="22"/>
          <w:szCs w:val="22"/>
        </w:rPr>
        <w:br w:type="page"/>
      </w:r>
    </w:p>
    <w:p w14:paraId="011FEDE6" w14:textId="77777777" w:rsidR="001A2C1D" w:rsidRPr="00DF024D" w:rsidRDefault="001A2C1D" w:rsidP="00DF024D">
      <w:pPr>
        <w:pStyle w:val="Heading1"/>
        <w:spacing w:line="360" w:lineRule="auto"/>
        <w:rPr>
          <w:rFonts w:ascii="Arial" w:hAnsi="Arial" w:cs="Arial"/>
          <w:sz w:val="22"/>
          <w:szCs w:val="22"/>
        </w:rPr>
      </w:pPr>
      <w:bookmarkStart w:id="26" w:name="_Toc234736641"/>
      <w:bookmarkStart w:id="27" w:name="_Toc234737800"/>
      <w:r w:rsidRPr="00DF024D">
        <w:rPr>
          <w:rFonts w:ascii="Arial" w:eastAsia="Calibri" w:hAnsi="Arial" w:cs="Arial"/>
          <w:b/>
          <w:bCs/>
          <w:sz w:val="22"/>
          <w:szCs w:val="22"/>
        </w:rPr>
        <w:lastRenderedPageBreak/>
        <w:t>Appendices</w:t>
      </w:r>
      <w:bookmarkEnd w:id="26"/>
      <w:bookmarkEnd w:id="27"/>
    </w:p>
    <w:p w14:paraId="40F6465A" w14:textId="77777777" w:rsidR="001A2C1D" w:rsidRPr="00DF024D" w:rsidRDefault="001A2C1D" w:rsidP="00DF024D">
      <w:pPr>
        <w:pStyle w:val="Heading2"/>
        <w:spacing w:before="320" w:after="160" w:line="360" w:lineRule="auto"/>
        <w:rPr>
          <w:rFonts w:ascii="Arial" w:hAnsi="Arial" w:cs="Arial"/>
          <w:sz w:val="22"/>
          <w:szCs w:val="22"/>
        </w:rPr>
      </w:pPr>
      <w:bookmarkStart w:id="28" w:name="_Toc234736642"/>
      <w:bookmarkStart w:id="29" w:name="_Toc234737801"/>
      <w:r w:rsidRPr="00DF024D">
        <w:rPr>
          <w:rFonts w:ascii="Arial" w:eastAsia="Calibri" w:hAnsi="Arial" w:cs="Arial"/>
          <w:b/>
          <w:bCs/>
          <w:sz w:val="22"/>
          <w:szCs w:val="22"/>
        </w:rPr>
        <w:t>Appendix A: Schein's Three Levels of Organisational Culture at Toyota</w:t>
      </w:r>
      <w:bookmarkEnd w:id="28"/>
      <w:bookmarkEnd w:id="29"/>
    </w:p>
    <w:p w14:paraId="42F5D492"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Summary of Schein's (2010) model as applied to Toyota, discussed in Section 4.1.</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600"/>
        <w:gridCol w:w="3706"/>
      </w:tblGrid>
      <w:tr w:rsidR="001A2C1D" w:rsidRPr="00DF024D" w14:paraId="5DBCD988" w14:textId="77777777" w:rsidTr="001A5EB7">
        <w:trPr>
          <w:tblHeader/>
        </w:trPr>
        <w:tc>
          <w:tcPr>
            <w:tcW w:w="2200" w:type="dxa"/>
            <w:shd w:val="clear" w:color="auto" w:fill="1F3864"/>
            <w:tcMar>
              <w:top w:w="100" w:type="dxa"/>
              <w:left w:w="120" w:type="dxa"/>
              <w:bottom w:w="100" w:type="dxa"/>
              <w:right w:w="120" w:type="dxa"/>
            </w:tcMar>
            <w:vAlign w:val="center"/>
          </w:tcPr>
          <w:p w14:paraId="6BE8BD3A"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Level</w:t>
            </w:r>
          </w:p>
        </w:tc>
        <w:tc>
          <w:tcPr>
            <w:tcW w:w="3600" w:type="dxa"/>
            <w:shd w:val="clear" w:color="auto" w:fill="1F3864"/>
            <w:tcMar>
              <w:top w:w="100" w:type="dxa"/>
              <w:left w:w="120" w:type="dxa"/>
              <w:bottom w:w="100" w:type="dxa"/>
              <w:right w:w="120" w:type="dxa"/>
            </w:tcMar>
            <w:vAlign w:val="center"/>
          </w:tcPr>
          <w:p w14:paraId="5AB05241"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Description</w:t>
            </w:r>
          </w:p>
        </w:tc>
        <w:tc>
          <w:tcPr>
            <w:tcW w:w="3706" w:type="dxa"/>
            <w:shd w:val="clear" w:color="auto" w:fill="1F3864"/>
            <w:tcMar>
              <w:top w:w="100" w:type="dxa"/>
              <w:left w:w="120" w:type="dxa"/>
              <w:bottom w:w="100" w:type="dxa"/>
              <w:right w:w="120" w:type="dxa"/>
            </w:tcMar>
            <w:vAlign w:val="center"/>
          </w:tcPr>
          <w:p w14:paraId="39506EF1"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Application to Toyota</w:t>
            </w:r>
          </w:p>
        </w:tc>
      </w:tr>
      <w:tr w:rsidR="001A2C1D" w:rsidRPr="00DF024D" w14:paraId="0D16688F" w14:textId="77777777" w:rsidTr="001A5EB7">
        <w:tc>
          <w:tcPr>
            <w:tcW w:w="2200" w:type="dxa"/>
            <w:tcMar>
              <w:top w:w="100" w:type="dxa"/>
              <w:left w:w="120" w:type="dxa"/>
              <w:bottom w:w="100" w:type="dxa"/>
              <w:right w:w="120" w:type="dxa"/>
            </w:tcMar>
            <w:vAlign w:val="center"/>
          </w:tcPr>
          <w:p w14:paraId="30F22946"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Artefacts</w:t>
            </w:r>
          </w:p>
        </w:tc>
        <w:tc>
          <w:tcPr>
            <w:tcW w:w="3600" w:type="dxa"/>
            <w:tcMar>
              <w:top w:w="100" w:type="dxa"/>
              <w:left w:w="120" w:type="dxa"/>
              <w:bottom w:w="100" w:type="dxa"/>
              <w:right w:w="120" w:type="dxa"/>
            </w:tcMar>
            <w:vAlign w:val="center"/>
          </w:tcPr>
          <w:p w14:paraId="5526275D"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Visible aspects of culture</w:t>
            </w:r>
          </w:p>
        </w:tc>
        <w:tc>
          <w:tcPr>
            <w:tcW w:w="3706" w:type="dxa"/>
            <w:tcMar>
              <w:top w:w="100" w:type="dxa"/>
              <w:left w:w="120" w:type="dxa"/>
              <w:bottom w:w="100" w:type="dxa"/>
              <w:right w:w="120" w:type="dxa"/>
            </w:tcMar>
            <w:vAlign w:val="center"/>
          </w:tcPr>
          <w:p w14:paraId="33C0F8D2"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Standardised production systems, uniforms, quality circles, visual performance boards, lean manufacturing practices</w:t>
            </w:r>
          </w:p>
        </w:tc>
      </w:tr>
      <w:tr w:rsidR="001A2C1D" w:rsidRPr="00DF024D" w14:paraId="35C28FF7" w14:textId="77777777" w:rsidTr="001A5EB7">
        <w:tc>
          <w:tcPr>
            <w:tcW w:w="2200" w:type="dxa"/>
            <w:tcMar>
              <w:top w:w="100" w:type="dxa"/>
              <w:left w:w="120" w:type="dxa"/>
              <w:bottom w:w="100" w:type="dxa"/>
              <w:right w:w="120" w:type="dxa"/>
            </w:tcMar>
            <w:vAlign w:val="center"/>
          </w:tcPr>
          <w:p w14:paraId="2FB5E861"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Espoused values</w:t>
            </w:r>
          </w:p>
        </w:tc>
        <w:tc>
          <w:tcPr>
            <w:tcW w:w="3600" w:type="dxa"/>
            <w:tcMar>
              <w:top w:w="100" w:type="dxa"/>
              <w:left w:w="120" w:type="dxa"/>
              <w:bottom w:w="100" w:type="dxa"/>
              <w:right w:w="120" w:type="dxa"/>
            </w:tcMar>
            <w:vAlign w:val="center"/>
          </w:tcPr>
          <w:p w14:paraId="70A08E14"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Publicly promoted principles</w:t>
            </w:r>
          </w:p>
        </w:tc>
        <w:tc>
          <w:tcPr>
            <w:tcW w:w="3706" w:type="dxa"/>
            <w:tcMar>
              <w:top w:w="100" w:type="dxa"/>
              <w:left w:w="120" w:type="dxa"/>
              <w:bottom w:w="100" w:type="dxa"/>
              <w:right w:w="120" w:type="dxa"/>
            </w:tcMar>
            <w:vAlign w:val="center"/>
          </w:tcPr>
          <w:p w14:paraId="5A7781FC"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The Toyota Way: Continuous Improvement (Kaizen) and Respect for People</w:t>
            </w:r>
          </w:p>
        </w:tc>
      </w:tr>
      <w:tr w:rsidR="001A2C1D" w:rsidRPr="00DF024D" w14:paraId="7E2A58CA" w14:textId="77777777" w:rsidTr="001A5EB7">
        <w:tc>
          <w:tcPr>
            <w:tcW w:w="2200" w:type="dxa"/>
            <w:tcMar>
              <w:top w:w="100" w:type="dxa"/>
              <w:left w:w="120" w:type="dxa"/>
              <w:bottom w:w="100" w:type="dxa"/>
              <w:right w:w="120" w:type="dxa"/>
            </w:tcMar>
            <w:vAlign w:val="center"/>
          </w:tcPr>
          <w:p w14:paraId="0419D465"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Basic underlying assumptions</w:t>
            </w:r>
          </w:p>
        </w:tc>
        <w:tc>
          <w:tcPr>
            <w:tcW w:w="3600" w:type="dxa"/>
            <w:tcMar>
              <w:top w:w="100" w:type="dxa"/>
              <w:left w:w="120" w:type="dxa"/>
              <w:bottom w:w="100" w:type="dxa"/>
              <w:right w:w="120" w:type="dxa"/>
            </w:tcMar>
            <w:vAlign w:val="center"/>
          </w:tcPr>
          <w:p w14:paraId="6DF5DC1D"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Unconscious, taken-for-granted beliefs</w:t>
            </w:r>
          </w:p>
        </w:tc>
        <w:tc>
          <w:tcPr>
            <w:tcW w:w="3706" w:type="dxa"/>
            <w:tcMar>
              <w:top w:w="100" w:type="dxa"/>
              <w:left w:w="120" w:type="dxa"/>
              <w:bottom w:w="100" w:type="dxa"/>
              <w:right w:w="120" w:type="dxa"/>
            </w:tcMar>
            <w:vAlign w:val="center"/>
          </w:tcPr>
          <w:p w14:paraId="0C0A31EF"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Quality should never be compromised; problems should be solved at their root cause; improvement is everyone's responsibility</w:t>
            </w:r>
          </w:p>
        </w:tc>
      </w:tr>
    </w:tbl>
    <w:p w14:paraId="399D3BB6" w14:textId="77777777" w:rsidR="001A2C1D" w:rsidRPr="00DF024D" w:rsidRDefault="001A2C1D" w:rsidP="00DF024D">
      <w:pPr>
        <w:spacing w:before="320" w:line="360" w:lineRule="auto"/>
        <w:rPr>
          <w:rFonts w:ascii="Arial" w:hAnsi="Arial" w:cs="Arial"/>
          <w:sz w:val="22"/>
          <w:szCs w:val="22"/>
        </w:rPr>
      </w:pPr>
    </w:p>
    <w:p w14:paraId="6008988C" w14:textId="77777777" w:rsidR="001A2C1D" w:rsidRPr="00DF024D" w:rsidRDefault="001A2C1D" w:rsidP="00DF024D">
      <w:pPr>
        <w:pStyle w:val="Heading2"/>
        <w:spacing w:before="320" w:after="160" w:line="360" w:lineRule="auto"/>
        <w:rPr>
          <w:rFonts w:ascii="Arial" w:hAnsi="Arial" w:cs="Arial"/>
          <w:sz w:val="22"/>
          <w:szCs w:val="22"/>
        </w:rPr>
      </w:pPr>
      <w:bookmarkStart w:id="30" w:name="_Toc234736643"/>
      <w:bookmarkStart w:id="31" w:name="_Toc234737802"/>
      <w:r w:rsidRPr="00DF024D">
        <w:rPr>
          <w:rFonts w:ascii="Arial" w:eastAsia="Calibri" w:hAnsi="Arial" w:cs="Arial"/>
          <w:b/>
          <w:bCs/>
          <w:sz w:val="22"/>
          <w:szCs w:val="22"/>
        </w:rPr>
        <w:t>Appendix B: Hofstede's Organisational Culture Dimensions at Toyota</w:t>
      </w:r>
      <w:bookmarkEnd w:id="30"/>
      <w:bookmarkEnd w:id="31"/>
    </w:p>
    <w:p w14:paraId="44D10E1F"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Summary of the organisational-culture dimensions applied to Toyota, discussed in Section 4.2.</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300"/>
        <w:gridCol w:w="3606"/>
      </w:tblGrid>
      <w:tr w:rsidR="001A2C1D" w:rsidRPr="00DF024D" w14:paraId="20EBADD9" w14:textId="77777777" w:rsidTr="001A5EB7">
        <w:trPr>
          <w:tblHeader/>
        </w:trPr>
        <w:tc>
          <w:tcPr>
            <w:tcW w:w="2600" w:type="dxa"/>
            <w:shd w:val="clear" w:color="auto" w:fill="1F3864"/>
            <w:tcMar>
              <w:top w:w="100" w:type="dxa"/>
              <w:left w:w="120" w:type="dxa"/>
              <w:bottom w:w="100" w:type="dxa"/>
              <w:right w:w="120" w:type="dxa"/>
            </w:tcMar>
            <w:vAlign w:val="center"/>
          </w:tcPr>
          <w:p w14:paraId="23179E3E"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Dimension</w:t>
            </w:r>
          </w:p>
        </w:tc>
        <w:tc>
          <w:tcPr>
            <w:tcW w:w="3300" w:type="dxa"/>
            <w:shd w:val="clear" w:color="auto" w:fill="1F3864"/>
            <w:tcMar>
              <w:top w:w="100" w:type="dxa"/>
              <w:left w:w="120" w:type="dxa"/>
              <w:bottom w:w="100" w:type="dxa"/>
              <w:right w:w="120" w:type="dxa"/>
            </w:tcMar>
            <w:vAlign w:val="center"/>
          </w:tcPr>
          <w:p w14:paraId="5C1E8857"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Description</w:t>
            </w:r>
          </w:p>
        </w:tc>
        <w:tc>
          <w:tcPr>
            <w:tcW w:w="3606" w:type="dxa"/>
            <w:shd w:val="clear" w:color="auto" w:fill="1F3864"/>
            <w:tcMar>
              <w:top w:w="100" w:type="dxa"/>
              <w:left w:w="120" w:type="dxa"/>
              <w:bottom w:w="100" w:type="dxa"/>
              <w:right w:w="120" w:type="dxa"/>
            </w:tcMar>
            <w:vAlign w:val="center"/>
          </w:tcPr>
          <w:p w14:paraId="1A6146F4"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Toyota's Position</w:t>
            </w:r>
          </w:p>
        </w:tc>
      </w:tr>
      <w:tr w:rsidR="001A2C1D" w:rsidRPr="00DF024D" w14:paraId="7E5AD727" w14:textId="77777777" w:rsidTr="001A5EB7">
        <w:tc>
          <w:tcPr>
            <w:tcW w:w="2600" w:type="dxa"/>
            <w:tcMar>
              <w:top w:w="100" w:type="dxa"/>
              <w:left w:w="120" w:type="dxa"/>
              <w:bottom w:w="100" w:type="dxa"/>
              <w:right w:w="120" w:type="dxa"/>
            </w:tcMar>
            <w:vAlign w:val="center"/>
          </w:tcPr>
          <w:p w14:paraId="0C7921F2"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Goal- vs process-oriented</w:t>
            </w:r>
          </w:p>
        </w:tc>
        <w:tc>
          <w:tcPr>
            <w:tcW w:w="3300" w:type="dxa"/>
            <w:tcMar>
              <w:top w:w="100" w:type="dxa"/>
              <w:left w:w="120" w:type="dxa"/>
              <w:bottom w:w="100" w:type="dxa"/>
              <w:right w:w="120" w:type="dxa"/>
            </w:tcMar>
            <w:vAlign w:val="center"/>
          </w:tcPr>
          <w:p w14:paraId="1E17F8AA"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Focus on results vs focus on procedures</w:t>
            </w:r>
          </w:p>
        </w:tc>
        <w:tc>
          <w:tcPr>
            <w:tcW w:w="3606" w:type="dxa"/>
            <w:tcMar>
              <w:top w:w="100" w:type="dxa"/>
              <w:left w:w="120" w:type="dxa"/>
              <w:bottom w:w="100" w:type="dxa"/>
              <w:right w:w="120" w:type="dxa"/>
            </w:tcMar>
            <w:vAlign w:val="center"/>
          </w:tcPr>
          <w:p w14:paraId="18AB4AA2"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Goal-oriented — centred on customer satisfaction and long-term objectives</w:t>
            </w:r>
          </w:p>
        </w:tc>
      </w:tr>
      <w:tr w:rsidR="001A2C1D" w:rsidRPr="00DF024D" w14:paraId="109738A8" w14:textId="77777777" w:rsidTr="001A5EB7">
        <w:tc>
          <w:tcPr>
            <w:tcW w:w="2600" w:type="dxa"/>
            <w:tcMar>
              <w:top w:w="100" w:type="dxa"/>
              <w:left w:w="120" w:type="dxa"/>
              <w:bottom w:w="100" w:type="dxa"/>
              <w:right w:w="120" w:type="dxa"/>
            </w:tcMar>
            <w:vAlign w:val="center"/>
          </w:tcPr>
          <w:p w14:paraId="7DFCFD1C"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Internally vs externally driven</w:t>
            </w:r>
          </w:p>
        </w:tc>
        <w:tc>
          <w:tcPr>
            <w:tcW w:w="3300" w:type="dxa"/>
            <w:tcMar>
              <w:top w:w="100" w:type="dxa"/>
              <w:left w:w="120" w:type="dxa"/>
              <w:bottom w:w="100" w:type="dxa"/>
              <w:right w:w="120" w:type="dxa"/>
            </w:tcMar>
            <w:vAlign w:val="center"/>
          </w:tcPr>
          <w:p w14:paraId="6D870472"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Focus on internal norms vs market/customer response</w:t>
            </w:r>
          </w:p>
        </w:tc>
        <w:tc>
          <w:tcPr>
            <w:tcW w:w="3606" w:type="dxa"/>
            <w:tcMar>
              <w:top w:w="100" w:type="dxa"/>
              <w:left w:w="120" w:type="dxa"/>
              <w:bottom w:w="100" w:type="dxa"/>
              <w:right w:w="120" w:type="dxa"/>
            </w:tcMar>
            <w:vAlign w:val="center"/>
          </w:tcPr>
          <w:p w14:paraId="6FC26B31"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Externally driven — adapts to customer expectations and legislation</w:t>
            </w:r>
          </w:p>
        </w:tc>
      </w:tr>
      <w:tr w:rsidR="001A2C1D" w:rsidRPr="00DF024D" w14:paraId="10A86FD7" w14:textId="77777777" w:rsidTr="001A5EB7">
        <w:tc>
          <w:tcPr>
            <w:tcW w:w="2600" w:type="dxa"/>
            <w:tcMar>
              <w:top w:w="100" w:type="dxa"/>
              <w:left w:w="120" w:type="dxa"/>
              <w:bottom w:w="100" w:type="dxa"/>
              <w:right w:w="120" w:type="dxa"/>
            </w:tcMar>
            <w:vAlign w:val="center"/>
          </w:tcPr>
          <w:p w14:paraId="14653045"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lastRenderedPageBreak/>
              <w:t>Easy-going vs strict</w:t>
            </w:r>
          </w:p>
        </w:tc>
        <w:tc>
          <w:tcPr>
            <w:tcW w:w="3300" w:type="dxa"/>
            <w:tcMar>
              <w:top w:w="100" w:type="dxa"/>
              <w:left w:w="120" w:type="dxa"/>
              <w:bottom w:w="100" w:type="dxa"/>
              <w:right w:w="120" w:type="dxa"/>
            </w:tcMar>
            <w:vAlign w:val="center"/>
          </w:tcPr>
          <w:p w14:paraId="08F97321"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Degree of internal structure and control</w:t>
            </w:r>
          </w:p>
        </w:tc>
        <w:tc>
          <w:tcPr>
            <w:tcW w:w="3606" w:type="dxa"/>
            <w:tcMar>
              <w:top w:w="100" w:type="dxa"/>
              <w:left w:w="120" w:type="dxa"/>
              <w:bottom w:w="100" w:type="dxa"/>
              <w:right w:w="120" w:type="dxa"/>
            </w:tcMar>
            <w:vAlign w:val="center"/>
          </w:tcPr>
          <w:p w14:paraId="64C264F8"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Relatively strict — detailed quality standards and disciplined systems, balanced by Kaizen</w:t>
            </w:r>
          </w:p>
        </w:tc>
      </w:tr>
      <w:tr w:rsidR="001A2C1D" w:rsidRPr="00DF024D" w14:paraId="14F1A088" w14:textId="77777777" w:rsidTr="001A5EB7">
        <w:tc>
          <w:tcPr>
            <w:tcW w:w="2600" w:type="dxa"/>
            <w:tcMar>
              <w:top w:w="100" w:type="dxa"/>
              <w:left w:w="120" w:type="dxa"/>
              <w:bottom w:w="100" w:type="dxa"/>
              <w:right w:w="120" w:type="dxa"/>
            </w:tcMar>
            <w:vAlign w:val="center"/>
          </w:tcPr>
          <w:p w14:paraId="28D7343E"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Job- vs professional-oriented</w:t>
            </w:r>
          </w:p>
        </w:tc>
        <w:tc>
          <w:tcPr>
            <w:tcW w:w="3300" w:type="dxa"/>
            <w:tcMar>
              <w:top w:w="100" w:type="dxa"/>
              <w:left w:w="120" w:type="dxa"/>
              <w:bottom w:w="100" w:type="dxa"/>
              <w:right w:w="120" w:type="dxa"/>
            </w:tcMar>
            <w:vAlign w:val="center"/>
          </w:tcPr>
          <w:p w14:paraId="62FBFDA5"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Identification with role vs organisation</w:t>
            </w:r>
          </w:p>
        </w:tc>
        <w:tc>
          <w:tcPr>
            <w:tcW w:w="3606" w:type="dxa"/>
            <w:tcMar>
              <w:top w:w="100" w:type="dxa"/>
              <w:left w:w="120" w:type="dxa"/>
              <w:bottom w:w="100" w:type="dxa"/>
              <w:right w:w="120" w:type="dxa"/>
            </w:tcMar>
            <w:vAlign w:val="center"/>
          </w:tcPr>
          <w:p w14:paraId="783E9BF3"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Professional-oriented — strong identification with organisational goals</w:t>
            </w:r>
          </w:p>
        </w:tc>
      </w:tr>
      <w:tr w:rsidR="001A2C1D" w:rsidRPr="00DF024D" w14:paraId="578DB3A5" w14:textId="77777777" w:rsidTr="001A5EB7">
        <w:tc>
          <w:tcPr>
            <w:tcW w:w="2600" w:type="dxa"/>
            <w:tcMar>
              <w:top w:w="100" w:type="dxa"/>
              <w:left w:w="120" w:type="dxa"/>
              <w:bottom w:w="100" w:type="dxa"/>
              <w:right w:w="120" w:type="dxa"/>
            </w:tcMar>
            <w:vAlign w:val="center"/>
          </w:tcPr>
          <w:p w14:paraId="14A84093"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Employee- vs work-oriented</w:t>
            </w:r>
          </w:p>
        </w:tc>
        <w:tc>
          <w:tcPr>
            <w:tcW w:w="3300" w:type="dxa"/>
            <w:tcMar>
              <w:top w:w="100" w:type="dxa"/>
              <w:left w:w="120" w:type="dxa"/>
              <w:bottom w:w="100" w:type="dxa"/>
              <w:right w:w="120" w:type="dxa"/>
            </w:tcMar>
            <w:vAlign w:val="center"/>
          </w:tcPr>
          <w:p w14:paraId="15C1FF9A"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Concern for people vs concern for output</w:t>
            </w:r>
          </w:p>
        </w:tc>
        <w:tc>
          <w:tcPr>
            <w:tcW w:w="3606" w:type="dxa"/>
            <w:tcMar>
              <w:top w:w="100" w:type="dxa"/>
              <w:left w:w="120" w:type="dxa"/>
              <w:bottom w:w="100" w:type="dxa"/>
              <w:right w:w="120" w:type="dxa"/>
            </w:tcMar>
            <w:vAlign w:val="center"/>
          </w:tcPr>
          <w:p w14:paraId="4E777343"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Strongly employee-oriented — significant investment in training and wellbeing</w:t>
            </w:r>
          </w:p>
        </w:tc>
      </w:tr>
    </w:tbl>
    <w:p w14:paraId="7231A6C4" w14:textId="77777777" w:rsidR="001A2C1D" w:rsidRPr="00DF024D" w:rsidRDefault="001A2C1D" w:rsidP="00DF024D">
      <w:pPr>
        <w:spacing w:before="320" w:line="360" w:lineRule="auto"/>
        <w:rPr>
          <w:rFonts w:ascii="Arial" w:hAnsi="Arial" w:cs="Arial"/>
          <w:sz w:val="22"/>
          <w:szCs w:val="22"/>
        </w:rPr>
      </w:pPr>
    </w:p>
    <w:p w14:paraId="75D7A7A2" w14:textId="77777777" w:rsidR="001A2C1D" w:rsidRPr="00DF024D" w:rsidRDefault="001A2C1D" w:rsidP="00DF024D">
      <w:pPr>
        <w:pStyle w:val="Heading2"/>
        <w:spacing w:before="320" w:after="160" w:line="360" w:lineRule="auto"/>
        <w:rPr>
          <w:rFonts w:ascii="Arial" w:hAnsi="Arial" w:cs="Arial"/>
          <w:sz w:val="22"/>
          <w:szCs w:val="22"/>
        </w:rPr>
      </w:pPr>
      <w:bookmarkStart w:id="32" w:name="_Toc234736644"/>
      <w:bookmarkStart w:id="33" w:name="_Toc234737803"/>
      <w:r w:rsidRPr="00DF024D">
        <w:rPr>
          <w:rFonts w:ascii="Arial" w:eastAsia="Calibri" w:hAnsi="Arial" w:cs="Arial"/>
          <w:b/>
          <w:bCs/>
          <w:sz w:val="22"/>
          <w:szCs w:val="22"/>
        </w:rPr>
        <w:t>Appendix C: Handy's Cultural Types at Toyota</w:t>
      </w:r>
      <w:bookmarkEnd w:id="32"/>
      <w:bookmarkEnd w:id="33"/>
    </w:p>
    <w:p w14:paraId="6D46EA8F" w14:textId="77777777" w:rsidR="001A2C1D" w:rsidRPr="00DF024D" w:rsidRDefault="001A2C1D" w:rsidP="00DF024D">
      <w:pPr>
        <w:spacing w:after="200" w:line="360" w:lineRule="auto"/>
        <w:jc w:val="both"/>
        <w:rPr>
          <w:rFonts w:ascii="Arial" w:hAnsi="Arial" w:cs="Arial"/>
          <w:sz w:val="22"/>
          <w:szCs w:val="22"/>
        </w:rPr>
      </w:pPr>
      <w:r w:rsidRPr="00DF024D">
        <w:rPr>
          <w:rFonts w:ascii="Arial" w:eastAsia="Calibri" w:hAnsi="Arial" w:cs="Arial"/>
          <w:sz w:val="22"/>
          <w:szCs w:val="22"/>
        </w:rPr>
        <w:t>Summary of Handy's (1993) cultural types applied to Toyota, discussed in Section 4.3.</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600"/>
        <w:gridCol w:w="3706"/>
      </w:tblGrid>
      <w:tr w:rsidR="001A2C1D" w:rsidRPr="00DF024D" w14:paraId="56222752" w14:textId="77777777" w:rsidTr="001A5EB7">
        <w:trPr>
          <w:tblHeader/>
        </w:trPr>
        <w:tc>
          <w:tcPr>
            <w:tcW w:w="2200" w:type="dxa"/>
            <w:shd w:val="clear" w:color="auto" w:fill="1F3864"/>
            <w:tcMar>
              <w:top w:w="100" w:type="dxa"/>
              <w:left w:w="120" w:type="dxa"/>
              <w:bottom w:w="100" w:type="dxa"/>
              <w:right w:w="120" w:type="dxa"/>
            </w:tcMar>
            <w:vAlign w:val="center"/>
          </w:tcPr>
          <w:p w14:paraId="54A161C4"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Culture Type</w:t>
            </w:r>
          </w:p>
        </w:tc>
        <w:tc>
          <w:tcPr>
            <w:tcW w:w="3600" w:type="dxa"/>
            <w:shd w:val="clear" w:color="auto" w:fill="1F3864"/>
            <w:tcMar>
              <w:top w:w="100" w:type="dxa"/>
              <w:left w:w="120" w:type="dxa"/>
              <w:bottom w:w="100" w:type="dxa"/>
              <w:right w:w="120" w:type="dxa"/>
            </w:tcMar>
            <w:vAlign w:val="center"/>
          </w:tcPr>
          <w:p w14:paraId="4E3072BF"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Key Characteristic</w:t>
            </w:r>
          </w:p>
        </w:tc>
        <w:tc>
          <w:tcPr>
            <w:tcW w:w="3706" w:type="dxa"/>
            <w:shd w:val="clear" w:color="auto" w:fill="1F3864"/>
            <w:tcMar>
              <w:top w:w="100" w:type="dxa"/>
              <w:left w:w="120" w:type="dxa"/>
              <w:bottom w:w="100" w:type="dxa"/>
              <w:right w:w="120" w:type="dxa"/>
            </w:tcMar>
            <w:vAlign w:val="center"/>
          </w:tcPr>
          <w:p w14:paraId="33AEDB5C"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b/>
                <w:bCs/>
                <w:color w:val="FFFFFF"/>
                <w:sz w:val="22"/>
                <w:szCs w:val="22"/>
              </w:rPr>
              <w:t>Relevance to Toyota</w:t>
            </w:r>
          </w:p>
        </w:tc>
      </w:tr>
      <w:tr w:rsidR="001A2C1D" w:rsidRPr="00DF024D" w14:paraId="1EA05866" w14:textId="77777777" w:rsidTr="001A5EB7">
        <w:tc>
          <w:tcPr>
            <w:tcW w:w="2200" w:type="dxa"/>
            <w:tcMar>
              <w:top w:w="100" w:type="dxa"/>
              <w:left w:w="120" w:type="dxa"/>
              <w:bottom w:w="100" w:type="dxa"/>
              <w:right w:w="120" w:type="dxa"/>
            </w:tcMar>
            <w:vAlign w:val="center"/>
          </w:tcPr>
          <w:p w14:paraId="774B58E4"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Power Culture</w:t>
            </w:r>
          </w:p>
        </w:tc>
        <w:tc>
          <w:tcPr>
            <w:tcW w:w="3600" w:type="dxa"/>
            <w:tcMar>
              <w:top w:w="100" w:type="dxa"/>
              <w:left w:w="120" w:type="dxa"/>
              <w:bottom w:w="100" w:type="dxa"/>
              <w:right w:w="120" w:type="dxa"/>
            </w:tcMar>
            <w:vAlign w:val="center"/>
          </w:tcPr>
          <w:p w14:paraId="209E1672"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Authority concentrated in a central figure or small group</w:t>
            </w:r>
          </w:p>
        </w:tc>
        <w:tc>
          <w:tcPr>
            <w:tcW w:w="3706" w:type="dxa"/>
            <w:tcMar>
              <w:top w:w="100" w:type="dxa"/>
              <w:left w:w="120" w:type="dxa"/>
              <w:bottom w:w="100" w:type="dxa"/>
              <w:right w:w="120" w:type="dxa"/>
            </w:tcMar>
            <w:vAlign w:val="center"/>
          </w:tcPr>
          <w:p w14:paraId="6BCFD161"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Limited — authority is shared across teams rather than concentrated at senior level</w:t>
            </w:r>
          </w:p>
        </w:tc>
      </w:tr>
      <w:tr w:rsidR="001A2C1D" w:rsidRPr="00DF024D" w14:paraId="7443BD63" w14:textId="77777777" w:rsidTr="001A5EB7">
        <w:tc>
          <w:tcPr>
            <w:tcW w:w="2200" w:type="dxa"/>
            <w:tcMar>
              <w:top w:w="100" w:type="dxa"/>
              <w:left w:w="120" w:type="dxa"/>
              <w:bottom w:w="100" w:type="dxa"/>
              <w:right w:w="120" w:type="dxa"/>
            </w:tcMar>
            <w:vAlign w:val="center"/>
          </w:tcPr>
          <w:p w14:paraId="086BF2BC"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Role Culture</w:t>
            </w:r>
          </w:p>
        </w:tc>
        <w:tc>
          <w:tcPr>
            <w:tcW w:w="3600" w:type="dxa"/>
            <w:tcMar>
              <w:top w:w="100" w:type="dxa"/>
              <w:left w:w="120" w:type="dxa"/>
              <w:bottom w:w="100" w:type="dxa"/>
              <w:right w:w="120" w:type="dxa"/>
            </w:tcMar>
            <w:vAlign w:val="center"/>
          </w:tcPr>
          <w:p w14:paraId="304BDA2F"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Clearly defined procedures, roles and hierarchy</w:t>
            </w:r>
          </w:p>
        </w:tc>
        <w:tc>
          <w:tcPr>
            <w:tcW w:w="3706" w:type="dxa"/>
            <w:tcMar>
              <w:top w:w="100" w:type="dxa"/>
              <w:left w:w="120" w:type="dxa"/>
              <w:bottom w:w="100" w:type="dxa"/>
              <w:right w:w="120" w:type="dxa"/>
            </w:tcMar>
            <w:vAlign w:val="center"/>
          </w:tcPr>
          <w:p w14:paraId="68FE0647"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Evident — structured management systems and quality standards ensure global consistency</w:t>
            </w:r>
          </w:p>
        </w:tc>
      </w:tr>
      <w:tr w:rsidR="001A2C1D" w:rsidRPr="00DF024D" w14:paraId="4C0F684C" w14:textId="77777777" w:rsidTr="001A5EB7">
        <w:tc>
          <w:tcPr>
            <w:tcW w:w="2200" w:type="dxa"/>
            <w:tcMar>
              <w:top w:w="100" w:type="dxa"/>
              <w:left w:w="120" w:type="dxa"/>
              <w:bottom w:w="100" w:type="dxa"/>
              <w:right w:w="120" w:type="dxa"/>
            </w:tcMar>
            <w:vAlign w:val="center"/>
          </w:tcPr>
          <w:p w14:paraId="65C578DF"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Task Culture</w:t>
            </w:r>
          </w:p>
        </w:tc>
        <w:tc>
          <w:tcPr>
            <w:tcW w:w="3600" w:type="dxa"/>
            <w:tcMar>
              <w:top w:w="100" w:type="dxa"/>
              <w:left w:w="120" w:type="dxa"/>
              <w:bottom w:w="100" w:type="dxa"/>
              <w:right w:w="120" w:type="dxa"/>
            </w:tcMar>
            <w:vAlign w:val="center"/>
          </w:tcPr>
          <w:p w14:paraId="63BAF13B"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Teamwork and problem-solving are central</w:t>
            </w:r>
          </w:p>
        </w:tc>
        <w:tc>
          <w:tcPr>
            <w:tcW w:w="3706" w:type="dxa"/>
            <w:tcMar>
              <w:top w:w="100" w:type="dxa"/>
              <w:left w:w="120" w:type="dxa"/>
              <w:bottom w:w="100" w:type="dxa"/>
              <w:right w:w="120" w:type="dxa"/>
            </w:tcMar>
            <w:vAlign w:val="center"/>
          </w:tcPr>
          <w:p w14:paraId="15C545B2"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Dominant — cross-functional teams collaborate to solve operational problems</w:t>
            </w:r>
          </w:p>
        </w:tc>
      </w:tr>
      <w:tr w:rsidR="001A2C1D" w:rsidRPr="00DF024D" w14:paraId="77D1E38B" w14:textId="77777777" w:rsidTr="001A5EB7">
        <w:tc>
          <w:tcPr>
            <w:tcW w:w="2200" w:type="dxa"/>
            <w:tcMar>
              <w:top w:w="100" w:type="dxa"/>
              <w:left w:w="120" w:type="dxa"/>
              <w:bottom w:w="100" w:type="dxa"/>
              <w:right w:w="120" w:type="dxa"/>
            </w:tcMar>
            <w:vAlign w:val="center"/>
          </w:tcPr>
          <w:p w14:paraId="06211304"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Person Culture</w:t>
            </w:r>
          </w:p>
        </w:tc>
        <w:tc>
          <w:tcPr>
            <w:tcW w:w="3600" w:type="dxa"/>
            <w:tcMar>
              <w:top w:w="100" w:type="dxa"/>
              <w:left w:w="120" w:type="dxa"/>
              <w:bottom w:w="100" w:type="dxa"/>
              <w:right w:w="120" w:type="dxa"/>
            </w:tcMar>
            <w:vAlign w:val="center"/>
          </w:tcPr>
          <w:p w14:paraId="3DE3270B"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Individual goals take priority over organisational ones</w:t>
            </w:r>
          </w:p>
        </w:tc>
        <w:tc>
          <w:tcPr>
            <w:tcW w:w="3706" w:type="dxa"/>
            <w:tcMar>
              <w:top w:w="100" w:type="dxa"/>
              <w:left w:w="120" w:type="dxa"/>
              <w:bottom w:w="100" w:type="dxa"/>
              <w:right w:w="120" w:type="dxa"/>
            </w:tcMar>
            <w:vAlign w:val="center"/>
          </w:tcPr>
          <w:p w14:paraId="4E5D9960" w14:textId="77777777" w:rsidR="001A2C1D" w:rsidRPr="00DF024D" w:rsidRDefault="001A2C1D" w:rsidP="00DF024D">
            <w:pPr>
              <w:spacing w:line="360" w:lineRule="auto"/>
              <w:rPr>
                <w:rFonts w:ascii="Arial" w:hAnsi="Arial" w:cs="Arial"/>
                <w:sz w:val="22"/>
                <w:szCs w:val="22"/>
              </w:rPr>
            </w:pPr>
            <w:r w:rsidRPr="00DF024D">
              <w:rPr>
                <w:rFonts w:ascii="Arial" w:eastAsia="Calibri" w:hAnsi="Arial" w:cs="Arial"/>
                <w:sz w:val="22"/>
                <w:szCs w:val="22"/>
              </w:rPr>
              <w:t>Largely inapplicable — organisational goals consistently take priority</w:t>
            </w:r>
          </w:p>
        </w:tc>
      </w:tr>
    </w:tbl>
    <w:p w14:paraId="160420FC" w14:textId="24742CD0" w:rsidR="001A2C1D" w:rsidRPr="00DF024D" w:rsidRDefault="001A2C1D" w:rsidP="00DF024D">
      <w:pPr>
        <w:spacing w:line="360" w:lineRule="auto"/>
        <w:rPr>
          <w:rFonts w:ascii="Arial" w:hAnsi="Arial" w:cs="Arial"/>
          <w:sz w:val="22"/>
          <w:szCs w:val="22"/>
        </w:rPr>
      </w:pPr>
    </w:p>
    <w:p w14:paraId="61E65E88" w14:textId="77777777" w:rsidR="001A2C1D" w:rsidRDefault="001A2C1D"/>
    <w:sectPr w:rsidR="001A2C1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FFA54" w14:textId="77777777" w:rsidR="00887B57" w:rsidRDefault="00887B57" w:rsidP="00EE7D16">
      <w:r>
        <w:separator/>
      </w:r>
    </w:p>
  </w:endnote>
  <w:endnote w:type="continuationSeparator" w:id="0">
    <w:p w14:paraId="5FD3FDD8" w14:textId="77777777" w:rsidR="00887B57" w:rsidRDefault="00887B57" w:rsidP="00EE7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7480917"/>
      <w:docPartObj>
        <w:docPartGallery w:val="Page Numbers (Bottom of Page)"/>
        <w:docPartUnique/>
      </w:docPartObj>
    </w:sdtPr>
    <w:sdtEndPr>
      <w:rPr>
        <w:color w:val="7F7F7F" w:themeColor="background1" w:themeShade="7F"/>
        <w:spacing w:val="60"/>
      </w:rPr>
    </w:sdtEndPr>
    <w:sdtContent>
      <w:p w14:paraId="41AA0642" w14:textId="57AA424B" w:rsidR="00EE7D16" w:rsidRDefault="00EE7D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14E994" w14:textId="77777777" w:rsidR="00EE7D16" w:rsidRDefault="00EE7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2D5AC" w14:textId="77777777" w:rsidR="00887B57" w:rsidRDefault="00887B57" w:rsidP="00EE7D16">
      <w:r>
        <w:separator/>
      </w:r>
    </w:p>
  </w:footnote>
  <w:footnote w:type="continuationSeparator" w:id="0">
    <w:p w14:paraId="3B8B3300" w14:textId="77777777" w:rsidR="00887B57" w:rsidRDefault="00887B57" w:rsidP="00EE7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608CC" w14:textId="0FAF0D2D" w:rsidR="00B841D2" w:rsidRDefault="00B841D2" w:rsidP="00B841D2">
    <w:pPr>
      <w:pStyle w:val="Header"/>
      <w:jc w:val="right"/>
    </w:pPr>
    <w:r>
      <w:rPr>
        <w:noProof/>
      </w:rPr>
      <w:drawing>
        <wp:inline distT="0" distB="0" distL="0" distR="0" wp14:anchorId="52C8AC12" wp14:editId="66DD1086">
          <wp:extent cx="400050" cy="400050"/>
          <wp:effectExtent l="0" t="0" r="0" b="0"/>
          <wp:docPr id="477882123" name="Picture 2" descr="UWTSD Birmingham |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Birmingham | Birmingh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B6948"/>
    <w:multiLevelType w:val="hybridMultilevel"/>
    <w:tmpl w:val="B9A81A70"/>
    <w:lvl w:ilvl="0" w:tplc="AB9AE8B0">
      <w:start w:val="1"/>
      <w:numFmt w:val="bullet"/>
      <w:lvlText w:val="●"/>
      <w:lvlJc w:val="left"/>
      <w:pPr>
        <w:ind w:left="720" w:hanging="360"/>
      </w:pPr>
    </w:lvl>
    <w:lvl w:ilvl="1" w:tplc="4396559C">
      <w:start w:val="1"/>
      <w:numFmt w:val="bullet"/>
      <w:lvlText w:val="○"/>
      <w:lvlJc w:val="left"/>
      <w:pPr>
        <w:ind w:left="1440" w:hanging="360"/>
      </w:pPr>
    </w:lvl>
    <w:lvl w:ilvl="2" w:tplc="C4326358">
      <w:start w:val="1"/>
      <w:numFmt w:val="bullet"/>
      <w:lvlText w:val="■"/>
      <w:lvlJc w:val="left"/>
      <w:pPr>
        <w:ind w:left="2160" w:hanging="360"/>
      </w:pPr>
    </w:lvl>
    <w:lvl w:ilvl="3" w:tplc="BF7C9350">
      <w:start w:val="1"/>
      <w:numFmt w:val="bullet"/>
      <w:lvlText w:val="●"/>
      <w:lvlJc w:val="left"/>
      <w:pPr>
        <w:ind w:left="2880" w:hanging="360"/>
      </w:pPr>
    </w:lvl>
    <w:lvl w:ilvl="4" w:tplc="DB4C8764">
      <w:start w:val="1"/>
      <w:numFmt w:val="bullet"/>
      <w:lvlText w:val="○"/>
      <w:lvlJc w:val="left"/>
      <w:pPr>
        <w:ind w:left="3600" w:hanging="360"/>
      </w:pPr>
    </w:lvl>
    <w:lvl w:ilvl="5" w:tplc="AF586954">
      <w:start w:val="1"/>
      <w:numFmt w:val="bullet"/>
      <w:lvlText w:val="■"/>
      <w:lvlJc w:val="left"/>
      <w:pPr>
        <w:ind w:left="4320" w:hanging="360"/>
      </w:pPr>
    </w:lvl>
    <w:lvl w:ilvl="6" w:tplc="1FA2EFF8">
      <w:start w:val="1"/>
      <w:numFmt w:val="bullet"/>
      <w:lvlText w:val="●"/>
      <w:lvlJc w:val="left"/>
      <w:pPr>
        <w:ind w:left="5040" w:hanging="360"/>
      </w:pPr>
    </w:lvl>
    <w:lvl w:ilvl="7" w:tplc="A02646C8">
      <w:start w:val="1"/>
      <w:numFmt w:val="bullet"/>
      <w:lvlText w:val="●"/>
      <w:lvlJc w:val="left"/>
      <w:pPr>
        <w:ind w:left="5760" w:hanging="360"/>
      </w:pPr>
    </w:lvl>
    <w:lvl w:ilvl="8" w:tplc="FA30CF30">
      <w:start w:val="1"/>
      <w:numFmt w:val="bullet"/>
      <w:lvlText w:val="●"/>
      <w:lvlJc w:val="left"/>
      <w:pPr>
        <w:ind w:left="6480" w:hanging="360"/>
      </w:pPr>
    </w:lvl>
  </w:abstractNum>
  <w:num w:numId="1" w16cid:durableId="209724250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C1D"/>
    <w:rsid w:val="00007818"/>
    <w:rsid w:val="00097583"/>
    <w:rsid w:val="000C32ED"/>
    <w:rsid w:val="001A2C1D"/>
    <w:rsid w:val="00557DC1"/>
    <w:rsid w:val="0068173A"/>
    <w:rsid w:val="00887B57"/>
    <w:rsid w:val="009F14FD"/>
    <w:rsid w:val="00A57991"/>
    <w:rsid w:val="00A6392A"/>
    <w:rsid w:val="00A6423A"/>
    <w:rsid w:val="00B841D2"/>
    <w:rsid w:val="00CD2C13"/>
    <w:rsid w:val="00DF024D"/>
    <w:rsid w:val="00EE7D16"/>
    <w:rsid w:val="00FD2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77CD7"/>
  <w15:chartTrackingRefBased/>
  <w15:docId w15:val="{4F4D85A1-F151-4FB5-8744-9212B99D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C1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A2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2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2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2C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C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C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C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2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2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2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C1D"/>
    <w:rPr>
      <w:rFonts w:eastAsiaTheme="majorEastAsia" w:cstheme="majorBidi"/>
      <w:color w:val="272727" w:themeColor="text1" w:themeTint="D8"/>
    </w:rPr>
  </w:style>
  <w:style w:type="paragraph" w:styleId="Title">
    <w:name w:val="Title"/>
    <w:basedOn w:val="Normal"/>
    <w:next w:val="Normal"/>
    <w:link w:val="TitleChar"/>
    <w:uiPriority w:val="10"/>
    <w:qFormat/>
    <w:rsid w:val="001A2C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C1D"/>
    <w:pPr>
      <w:spacing w:before="160"/>
      <w:jc w:val="center"/>
    </w:pPr>
    <w:rPr>
      <w:i/>
      <w:iCs/>
      <w:color w:val="404040" w:themeColor="text1" w:themeTint="BF"/>
    </w:rPr>
  </w:style>
  <w:style w:type="character" w:customStyle="1" w:styleId="QuoteChar">
    <w:name w:val="Quote Char"/>
    <w:basedOn w:val="DefaultParagraphFont"/>
    <w:link w:val="Quote"/>
    <w:uiPriority w:val="29"/>
    <w:rsid w:val="001A2C1D"/>
    <w:rPr>
      <w:i/>
      <w:iCs/>
      <w:color w:val="404040" w:themeColor="text1" w:themeTint="BF"/>
    </w:rPr>
  </w:style>
  <w:style w:type="paragraph" w:styleId="ListParagraph">
    <w:name w:val="List Paragraph"/>
    <w:basedOn w:val="Normal"/>
    <w:qFormat/>
    <w:rsid w:val="001A2C1D"/>
    <w:pPr>
      <w:ind w:left="720"/>
      <w:contextualSpacing/>
    </w:pPr>
  </w:style>
  <w:style w:type="character" w:styleId="IntenseEmphasis">
    <w:name w:val="Intense Emphasis"/>
    <w:basedOn w:val="DefaultParagraphFont"/>
    <w:uiPriority w:val="21"/>
    <w:qFormat/>
    <w:rsid w:val="001A2C1D"/>
    <w:rPr>
      <w:i/>
      <w:iCs/>
      <w:color w:val="0F4761" w:themeColor="accent1" w:themeShade="BF"/>
    </w:rPr>
  </w:style>
  <w:style w:type="paragraph" w:styleId="IntenseQuote">
    <w:name w:val="Intense Quote"/>
    <w:basedOn w:val="Normal"/>
    <w:next w:val="Normal"/>
    <w:link w:val="IntenseQuoteChar"/>
    <w:uiPriority w:val="30"/>
    <w:qFormat/>
    <w:rsid w:val="001A2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2C1D"/>
    <w:rPr>
      <w:i/>
      <w:iCs/>
      <w:color w:val="0F4761" w:themeColor="accent1" w:themeShade="BF"/>
    </w:rPr>
  </w:style>
  <w:style w:type="character" w:styleId="IntenseReference">
    <w:name w:val="Intense Reference"/>
    <w:basedOn w:val="DefaultParagraphFont"/>
    <w:uiPriority w:val="32"/>
    <w:qFormat/>
    <w:rsid w:val="001A2C1D"/>
    <w:rPr>
      <w:b/>
      <w:bCs/>
      <w:smallCaps/>
      <w:color w:val="0F4761" w:themeColor="accent1" w:themeShade="BF"/>
      <w:spacing w:val="5"/>
    </w:rPr>
  </w:style>
  <w:style w:type="character" w:styleId="Hyperlink">
    <w:name w:val="Hyperlink"/>
    <w:uiPriority w:val="99"/>
    <w:unhideWhenUsed/>
    <w:rsid w:val="001A2C1D"/>
    <w:rPr>
      <w:color w:val="0563C1"/>
      <w:u w:val="single"/>
    </w:rPr>
  </w:style>
  <w:style w:type="paragraph" w:styleId="TOC1">
    <w:name w:val="toc 1"/>
    <w:basedOn w:val="Normal"/>
    <w:next w:val="Normal"/>
    <w:autoRedefine/>
    <w:uiPriority w:val="39"/>
    <w:unhideWhenUsed/>
    <w:rsid w:val="001A2C1D"/>
    <w:pPr>
      <w:spacing w:after="100"/>
    </w:pPr>
  </w:style>
  <w:style w:type="paragraph" w:styleId="TOC2">
    <w:name w:val="toc 2"/>
    <w:basedOn w:val="Normal"/>
    <w:next w:val="Normal"/>
    <w:autoRedefine/>
    <w:uiPriority w:val="39"/>
    <w:unhideWhenUsed/>
    <w:rsid w:val="001A2C1D"/>
    <w:pPr>
      <w:spacing w:after="100"/>
      <w:ind w:left="200"/>
    </w:pPr>
  </w:style>
  <w:style w:type="paragraph" w:styleId="Header">
    <w:name w:val="header"/>
    <w:basedOn w:val="Normal"/>
    <w:link w:val="HeaderChar"/>
    <w:uiPriority w:val="99"/>
    <w:unhideWhenUsed/>
    <w:rsid w:val="00EE7D16"/>
    <w:pPr>
      <w:tabs>
        <w:tab w:val="center" w:pos="4513"/>
        <w:tab w:val="right" w:pos="9026"/>
      </w:tabs>
    </w:pPr>
  </w:style>
  <w:style w:type="character" w:customStyle="1" w:styleId="HeaderChar">
    <w:name w:val="Header Char"/>
    <w:basedOn w:val="DefaultParagraphFont"/>
    <w:link w:val="Header"/>
    <w:uiPriority w:val="99"/>
    <w:rsid w:val="00EE7D1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EE7D16"/>
    <w:pPr>
      <w:tabs>
        <w:tab w:val="center" w:pos="4513"/>
        <w:tab w:val="right" w:pos="9026"/>
      </w:tabs>
    </w:pPr>
  </w:style>
  <w:style w:type="character" w:customStyle="1" w:styleId="FooterChar">
    <w:name w:val="Footer Char"/>
    <w:basedOn w:val="DefaultParagraphFont"/>
    <w:link w:val="Footer"/>
    <w:uiPriority w:val="99"/>
    <w:rsid w:val="00EE7D16"/>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A57991"/>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E462B-4251-4F75-B790-C7CA9E40A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4048</Words>
  <Characters>23078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 Bashar</dc:creator>
  <cp:keywords/>
  <dc:description/>
  <cp:lastModifiedBy>Abs Bashar</cp:lastModifiedBy>
  <cp:revision>11</cp:revision>
  <dcterms:created xsi:type="dcterms:W3CDTF">2026-07-12T07:12:00Z</dcterms:created>
  <dcterms:modified xsi:type="dcterms:W3CDTF">2026-07-12T07:49:00Z</dcterms:modified>
</cp:coreProperties>
</file>