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C39A8A" w14:textId="2792AAF7" w:rsidR="00AF7BF4" w:rsidRDefault="008F4CC5">
      <w:r>
        <w:rPr>
          <w:noProof/>
        </w:rPr>
        <w:drawing>
          <wp:anchor distT="0" distB="0" distL="114300" distR="114300" simplePos="0" relativeHeight="251658240" behindDoc="0" locked="0" layoutInCell="1" allowOverlap="1" wp14:anchorId="587FEE86" wp14:editId="59AA2FEB">
            <wp:simplePos x="0" y="0"/>
            <wp:positionH relativeFrom="margin">
              <wp:posOffset>-342900</wp:posOffset>
            </wp:positionH>
            <wp:positionV relativeFrom="paragraph">
              <wp:posOffset>0</wp:posOffset>
            </wp:positionV>
            <wp:extent cx="2333625" cy="1092200"/>
            <wp:effectExtent l="0" t="0" r="9525" b="0"/>
            <wp:wrapSquare wrapText="bothSides"/>
            <wp:docPr id="951739780" name="Picture 1"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rcRect/>
                    <a:stretch>
                      <a:fillRect/>
                    </a:stretch>
                  </pic:blipFill>
                  <pic:spPr>
                    <a:xfrm>
                      <a:off x="0" y="0"/>
                      <a:ext cx="2333625" cy="1092200"/>
                    </a:xfrm>
                    <a:prstGeom prst="rect">
                      <a:avLst/>
                    </a:prstGeom>
                    <a:noFill/>
                    <a:ln>
                      <a:noFill/>
                      <a:prstDash/>
                    </a:ln>
                  </pic:spPr>
                </pic:pic>
              </a:graphicData>
            </a:graphic>
            <wp14:sizeRelH relativeFrom="page">
              <wp14:pctWidth>0</wp14:pctWidth>
            </wp14:sizeRelH>
            <wp14:sizeRelV relativeFrom="page">
              <wp14:pctHeight>0</wp14:pctHeight>
            </wp14:sizeRelV>
          </wp:anchor>
        </w:drawing>
      </w:r>
    </w:p>
    <w:p w14:paraId="283B6599" w14:textId="2D4768F8" w:rsidR="003A008D" w:rsidRDefault="003A008D"/>
    <w:p w14:paraId="7BB3443A" w14:textId="77777777" w:rsidR="003B119B" w:rsidRDefault="003B119B"/>
    <w:p w14:paraId="51B1B798" w14:textId="77777777" w:rsidR="008F4CC5" w:rsidRDefault="008F4CC5"/>
    <w:p w14:paraId="0E6FC03A" w14:textId="77777777" w:rsidR="003A008D" w:rsidRDefault="003A008D"/>
    <w:p w14:paraId="42568E13" w14:textId="3E064AA7" w:rsidR="00A97980" w:rsidRPr="00CF236D" w:rsidRDefault="00A97980" w:rsidP="00C40F7D">
      <w:pPr>
        <w:suppressAutoHyphens/>
        <w:autoSpaceDN w:val="0"/>
        <w:spacing w:line="360" w:lineRule="auto"/>
        <w:rPr>
          <w:rFonts w:ascii="Arial" w:eastAsia="Aptos" w:hAnsi="Arial" w:cs="Arial"/>
          <w:kern w:val="3"/>
          <w:lang w:eastAsia="en-US"/>
          <w14:ligatures w14:val="none"/>
        </w:rPr>
      </w:pPr>
      <w:r w:rsidRPr="00CF236D">
        <w:rPr>
          <w:rFonts w:ascii="Arial" w:eastAsia="Aptos" w:hAnsi="Arial" w:cs="Arial"/>
          <w:b/>
          <w:bCs/>
          <w:kern w:val="3"/>
          <w:sz w:val="22"/>
          <w:szCs w:val="22"/>
          <w:lang w:eastAsia="en-US"/>
          <w14:ligatures w14:val="none"/>
        </w:rPr>
        <w:t xml:space="preserve">Name: </w:t>
      </w:r>
      <w:r w:rsidRPr="00CF236D">
        <w:rPr>
          <w:rFonts w:ascii="Arial" w:eastAsia="Aptos" w:hAnsi="Arial" w:cs="Arial"/>
          <w:kern w:val="3"/>
          <w:sz w:val="22"/>
          <w:szCs w:val="22"/>
          <w:lang w:eastAsia="en-US"/>
          <w14:ligatures w14:val="none"/>
        </w:rPr>
        <w:t xml:space="preserve"> Helena Vemba Joao</w:t>
      </w:r>
      <w:r w:rsidR="00C40F7D" w:rsidRPr="00CF236D">
        <w:rPr>
          <w:rFonts w:ascii="Arial" w:eastAsia="Aptos" w:hAnsi="Arial" w:cs="Arial"/>
          <w:kern w:val="3"/>
          <w:lang w:eastAsia="en-US"/>
          <w14:ligatures w14:val="none"/>
        </w:rPr>
        <w:t xml:space="preserve">        </w:t>
      </w:r>
      <w:r w:rsidRPr="00CF236D">
        <w:rPr>
          <w:rFonts w:ascii="Arial" w:eastAsia="Aptos" w:hAnsi="Arial" w:cs="Arial"/>
          <w:b/>
          <w:bCs/>
          <w:kern w:val="3"/>
          <w:sz w:val="22"/>
          <w:szCs w:val="22"/>
          <w:lang w:eastAsia="en-US"/>
          <w14:ligatures w14:val="none"/>
        </w:rPr>
        <w:t>Student ID:</w:t>
      </w:r>
      <w:r w:rsidRPr="00CF236D">
        <w:rPr>
          <w:rFonts w:ascii="Arial" w:eastAsia="Aptos" w:hAnsi="Arial" w:cs="Arial"/>
          <w:kern w:val="3"/>
          <w:sz w:val="22"/>
          <w:szCs w:val="22"/>
          <w:lang w:eastAsia="en-US"/>
          <w14:ligatures w14:val="none"/>
        </w:rPr>
        <w:t xml:space="preserve"> 2515363</w:t>
      </w:r>
    </w:p>
    <w:p w14:paraId="35A994F4" w14:textId="0F4FCCA9" w:rsidR="00A97980" w:rsidRPr="00CF236D" w:rsidRDefault="00A97980" w:rsidP="00C40F7D">
      <w:pPr>
        <w:suppressAutoHyphens/>
        <w:autoSpaceDN w:val="0"/>
        <w:spacing w:line="360" w:lineRule="auto"/>
        <w:rPr>
          <w:rFonts w:ascii="Arial" w:eastAsia="Aptos" w:hAnsi="Arial" w:cs="Arial"/>
          <w:kern w:val="3"/>
          <w:lang w:eastAsia="en-US"/>
          <w14:ligatures w14:val="none"/>
        </w:rPr>
      </w:pPr>
      <w:r w:rsidRPr="00CF236D">
        <w:rPr>
          <w:rFonts w:ascii="Arial" w:eastAsia="Aptos" w:hAnsi="Arial" w:cs="Arial"/>
          <w:b/>
          <w:bCs/>
          <w:kern w:val="3"/>
          <w:sz w:val="22"/>
          <w:szCs w:val="22"/>
          <w:lang w:eastAsia="en-US"/>
          <w14:ligatures w14:val="none"/>
        </w:rPr>
        <w:t>Module Code:</w:t>
      </w:r>
      <w:r w:rsidRPr="00CF236D">
        <w:rPr>
          <w:rFonts w:ascii="Arial" w:eastAsia="Aptos" w:hAnsi="Arial" w:cs="Arial"/>
          <w:kern w:val="3"/>
          <w:sz w:val="22"/>
          <w:szCs w:val="22"/>
          <w:lang w:eastAsia="en-US"/>
          <w14:ligatures w14:val="none"/>
        </w:rPr>
        <w:t xml:space="preserve"> LCHS400</w:t>
      </w:r>
      <w:r w:rsidR="00C52CA4" w:rsidRPr="00CF236D">
        <w:rPr>
          <w:rFonts w:ascii="Arial" w:eastAsia="Aptos" w:hAnsi="Arial" w:cs="Arial"/>
          <w:kern w:val="3"/>
          <w:sz w:val="22"/>
          <w:szCs w:val="22"/>
          <w:lang w:eastAsia="en-US"/>
          <w14:ligatures w14:val="none"/>
        </w:rPr>
        <w:t>3</w:t>
      </w:r>
      <w:r w:rsidR="00C40F7D" w:rsidRPr="00CF236D">
        <w:rPr>
          <w:rFonts w:ascii="Arial" w:eastAsia="Aptos" w:hAnsi="Arial" w:cs="Arial"/>
          <w:kern w:val="3"/>
          <w:lang w:eastAsia="en-US"/>
          <w14:ligatures w14:val="none"/>
        </w:rPr>
        <w:t xml:space="preserve">            </w:t>
      </w:r>
      <w:r w:rsidRPr="00CF236D">
        <w:rPr>
          <w:rFonts w:ascii="Arial" w:eastAsia="Aptos" w:hAnsi="Arial" w:cs="Arial"/>
          <w:b/>
          <w:bCs/>
          <w:kern w:val="3"/>
          <w:sz w:val="22"/>
          <w:szCs w:val="22"/>
          <w:lang w:eastAsia="en-US"/>
          <w14:ligatures w14:val="none"/>
        </w:rPr>
        <w:t>Module:</w:t>
      </w:r>
      <w:r w:rsidRPr="00CF236D">
        <w:rPr>
          <w:rFonts w:ascii="Arial" w:eastAsia="Aptos" w:hAnsi="Arial" w:cs="Arial"/>
          <w:kern w:val="3"/>
          <w:sz w:val="22"/>
          <w:szCs w:val="22"/>
          <w:lang w:eastAsia="en-US"/>
          <w14:ligatures w14:val="none"/>
        </w:rPr>
        <w:t xml:space="preserve"> </w:t>
      </w:r>
      <w:r w:rsidR="00841FC8" w:rsidRPr="00CF236D">
        <w:rPr>
          <w:rFonts w:ascii="Arial" w:eastAsia="Aptos" w:hAnsi="Arial" w:cs="Arial"/>
          <w:kern w:val="3"/>
          <w:sz w:val="22"/>
          <w:szCs w:val="22"/>
          <w:lang w:eastAsia="en-US"/>
          <w14:ligatures w14:val="none"/>
        </w:rPr>
        <w:t>Introduction to Health and Social Care</w:t>
      </w:r>
    </w:p>
    <w:p w14:paraId="6D39178C" w14:textId="1B08546D" w:rsidR="00324A97" w:rsidRPr="00CF236D" w:rsidRDefault="00A97980" w:rsidP="00C40F7D">
      <w:pPr>
        <w:suppressAutoHyphens/>
        <w:autoSpaceDN w:val="0"/>
        <w:spacing w:line="360" w:lineRule="auto"/>
        <w:rPr>
          <w:rFonts w:ascii="Arial" w:eastAsia="Aptos" w:hAnsi="Arial" w:cs="Arial"/>
          <w:kern w:val="3"/>
          <w:lang w:eastAsia="en-US"/>
          <w14:ligatures w14:val="none"/>
        </w:rPr>
      </w:pPr>
      <w:r w:rsidRPr="00CF236D">
        <w:rPr>
          <w:rFonts w:ascii="Arial" w:eastAsia="Aptos" w:hAnsi="Arial" w:cs="Arial"/>
          <w:b/>
          <w:bCs/>
          <w:kern w:val="3"/>
          <w:sz w:val="22"/>
          <w:szCs w:val="22"/>
          <w:lang w:eastAsia="en-US"/>
          <w14:ligatures w14:val="none"/>
        </w:rPr>
        <w:t>Lecturer:</w:t>
      </w:r>
      <w:r w:rsidR="004752C3" w:rsidRPr="00CF236D">
        <w:rPr>
          <w:rFonts w:ascii="Arial" w:eastAsia="Aptos" w:hAnsi="Arial" w:cs="Arial"/>
          <w:b/>
          <w:bCs/>
          <w:kern w:val="3"/>
          <w:sz w:val="22"/>
          <w:szCs w:val="22"/>
          <w:lang w:eastAsia="en-US"/>
          <w14:ligatures w14:val="none"/>
        </w:rPr>
        <w:t xml:space="preserve"> Dr.</w:t>
      </w:r>
      <w:r w:rsidRPr="00CF236D">
        <w:rPr>
          <w:rFonts w:ascii="Arial" w:eastAsia="Aptos" w:hAnsi="Arial" w:cs="Arial"/>
          <w:kern w:val="3"/>
          <w:sz w:val="22"/>
          <w:szCs w:val="22"/>
          <w:lang w:eastAsia="en-US"/>
          <w14:ligatures w14:val="none"/>
        </w:rPr>
        <w:t xml:space="preserve"> </w:t>
      </w:r>
      <w:r w:rsidR="00BD5C99" w:rsidRPr="00CF236D">
        <w:rPr>
          <w:rFonts w:ascii="Arial" w:eastAsia="Aptos" w:hAnsi="Arial" w:cs="Arial"/>
          <w:kern w:val="3"/>
          <w:sz w:val="22"/>
          <w:szCs w:val="22"/>
          <w:lang w:eastAsia="en-US"/>
          <w14:ligatures w14:val="none"/>
        </w:rPr>
        <w:t>Aisha</w:t>
      </w:r>
      <w:r w:rsidR="006433E7" w:rsidRPr="00CF236D">
        <w:rPr>
          <w:rFonts w:ascii="Arial" w:eastAsia="Aptos" w:hAnsi="Arial" w:cs="Arial"/>
          <w:kern w:val="3"/>
          <w:sz w:val="22"/>
          <w:szCs w:val="22"/>
          <w:lang w:eastAsia="en-US"/>
          <w14:ligatures w14:val="none"/>
        </w:rPr>
        <w:t>t</w:t>
      </w:r>
      <w:r w:rsidR="00BD5C99" w:rsidRPr="00CF236D">
        <w:rPr>
          <w:rFonts w:ascii="Arial" w:eastAsia="Aptos" w:hAnsi="Arial" w:cs="Arial"/>
          <w:kern w:val="3"/>
          <w:sz w:val="22"/>
          <w:szCs w:val="22"/>
          <w:lang w:eastAsia="en-US"/>
          <w14:ligatures w14:val="none"/>
        </w:rPr>
        <w:t xml:space="preserve"> Bakre</w:t>
      </w:r>
    </w:p>
    <w:p w14:paraId="11973FA6" w14:textId="77777777" w:rsidR="00324A97" w:rsidRPr="00CF236D" w:rsidRDefault="00324A97" w:rsidP="008F4CC5">
      <w:pPr>
        <w:suppressAutoHyphens/>
        <w:autoSpaceDN w:val="0"/>
        <w:spacing w:line="360" w:lineRule="auto"/>
        <w:rPr>
          <w:rFonts w:ascii="Arial" w:eastAsia="Aptos" w:hAnsi="Arial" w:cs="Arial"/>
          <w:b/>
          <w:bCs/>
          <w:kern w:val="3"/>
          <w:sz w:val="48"/>
          <w:szCs w:val="48"/>
          <w:lang w:eastAsia="en-US"/>
          <w14:ligatures w14:val="none"/>
        </w:rPr>
      </w:pPr>
    </w:p>
    <w:p w14:paraId="4202D838" w14:textId="77777777" w:rsidR="00C40F7D" w:rsidRPr="00CF236D" w:rsidRDefault="00C40F7D" w:rsidP="008F4CC5">
      <w:pPr>
        <w:suppressAutoHyphens/>
        <w:autoSpaceDN w:val="0"/>
        <w:spacing w:line="360" w:lineRule="auto"/>
        <w:rPr>
          <w:rFonts w:ascii="Arial" w:eastAsia="Aptos" w:hAnsi="Arial" w:cs="Arial"/>
          <w:b/>
          <w:bCs/>
          <w:kern w:val="3"/>
          <w:sz w:val="48"/>
          <w:szCs w:val="48"/>
          <w:lang w:eastAsia="en-US"/>
          <w14:ligatures w14:val="none"/>
        </w:rPr>
      </w:pPr>
    </w:p>
    <w:p w14:paraId="204032AB" w14:textId="622228FB" w:rsidR="00D056F4" w:rsidRPr="00BA725F" w:rsidRDefault="00FF2DFA" w:rsidP="00BA725F">
      <w:pPr>
        <w:suppressAutoHyphens/>
        <w:autoSpaceDN w:val="0"/>
        <w:spacing w:line="360" w:lineRule="auto"/>
        <w:jc w:val="center"/>
        <w:rPr>
          <w:rFonts w:ascii="Arial" w:eastAsia="Aptos" w:hAnsi="Arial" w:cs="Arial"/>
          <w:b/>
          <w:bCs/>
          <w:kern w:val="3"/>
          <w:sz w:val="48"/>
          <w:szCs w:val="48"/>
          <w:lang w:eastAsia="en-US"/>
          <w14:ligatures w14:val="none"/>
        </w:rPr>
      </w:pPr>
      <w:r w:rsidRPr="00CF236D">
        <w:rPr>
          <w:rFonts w:ascii="Arial" w:eastAsia="Aptos" w:hAnsi="Arial" w:cs="Arial"/>
          <w:b/>
          <w:bCs/>
          <w:kern w:val="3"/>
          <w:sz w:val="48"/>
          <w:szCs w:val="48"/>
          <w:lang w:eastAsia="en-US"/>
          <w14:ligatures w14:val="none"/>
        </w:rPr>
        <w:t xml:space="preserve">Residential </w:t>
      </w:r>
      <w:r w:rsidR="00D056F4" w:rsidRPr="00CF236D">
        <w:rPr>
          <w:rFonts w:ascii="Arial" w:eastAsia="Aptos" w:hAnsi="Arial" w:cs="Arial"/>
          <w:b/>
          <w:bCs/>
          <w:kern w:val="3"/>
          <w:sz w:val="48"/>
          <w:szCs w:val="48"/>
          <w:lang w:eastAsia="en-US"/>
          <w14:ligatures w14:val="none"/>
        </w:rPr>
        <w:t>Care H</w:t>
      </w:r>
      <w:r w:rsidR="00BA725F">
        <w:rPr>
          <w:rFonts w:ascii="Arial" w:eastAsia="Aptos" w:hAnsi="Arial" w:cs="Arial"/>
          <w:b/>
          <w:bCs/>
          <w:kern w:val="3"/>
          <w:sz w:val="48"/>
          <w:szCs w:val="48"/>
          <w:lang w:eastAsia="en-US"/>
          <w14:ligatures w14:val="none"/>
        </w:rPr>
        <w:t>ome</w:t>
      </w:r>
    </w:p>
    <w:p w14:paraId="1959CC50" w14:textId="4E4EDC56" w:rsidR="00D056F4" w:rsidRPr="00CF236D" w:rsidRDefault="00D056F4" w:rsidP="00A97980">
      <w:pPr>
        <w:suppressAutoHyphens/>
        <w:autoSpaceDN w:val="0"/>
        <w:spacing w:line="360" w:lineRule="auto"/>
        <w:jc w:val="center"/>
        <w:rPr>
          <w:rFonts w:ascii="Arial" w:eastAsia="Aptos" w:hAnsi="Arial" w:cs="Arial"/>
          <w:b/>
          <w:bCs/>
          <w:kern w:val="3"/>
          <w:sz w:val="48"/>
          <w:szCs w:val="48"/>
          <w:lang w:eastAsia="en-US"/>
          <w14:ligatures w14:val="none"/>
        </w:rPr>
      </w:pPr>
      <w:r w:rsidRPr="00CF236D">
        <w:rPr>
          <w:rFonts w:ascii="Arial" w:eastAsia="Aptos" w:hAnsi="Arial" w:cs="Arial"/>
          <w:b/>
          <w:bCs/>
          <w:kern w:val="3"/>
          <w:sz w:val="48"/>
          <w:szCs w:val="48"/>
          <w:lang w:eastAsia="en-US"/>
          <w14:ligatures w14:val="none"/>
        </w:rPr>
        <w:t>&amp;</w:t>
      </w:r>
    </w:p>
    <w:p w14:paraId="45B73A4F" w14:textId="78A40773" w:rsidR="00A97980" w:rsidRPr="00C25558" w:rsidRDefault="003F6667" w:rsidP="00C25558">
      <w:pPr>
        <w:spacing w:line="360" w:lineRule="auto"/>
        <w:jc w:val="center"/>
        <w:rPr>
          <w:rFonts w:ascii="Arial" w:hAnsi="Arial" w:cs="Arial"/>
        </w:rPr>
      </w:pPr>
      <w:r w:rsidRPr="00CF236D">
        <w:rPr>
          <w:rFonts w:ascii="Arial" w:eastAsia="Aptos" w:hAnsi="Arial" w:cs="Arial"/>
          <w:b/>
          <w:bCs/>
          <w:kern w:val="3"/>
          <w:sz w:val="48"/>
          <w:szCs w:val="48"/>
          <w:lang w:eastAsia="en-US"/>
          <w14:ligatures w14:val="none"/>
        </w:rPr>
        <w:t>Pharmacy Services</w:t>
      </w:r>
      <w:r w:rsidR="008F4CC5" w:rsidRPr="00CF236D">
        <w:rPr>
          <w:rFonts w:ascii="Arial" w:eastAsia="Aptos" w:hAnsi="Arial" w:cs="Arial"/>
          <w:b/>
          <w:bCs/>
          <w:kern w:val="3"/>
          <w:sz w:val="48"/>
          <w:szCs w:val="48"/>
          <w:lang w:eastAsia="en-US"/>
          <w14:ligatures w14:val="none"/>
        </w:rPr>
        <w:br/>
      </w:r>
    </w:p>
    <w:p w14:paraId="23FF61A5" w14:textId="77777777" w:rsidR="00324A97" w:rsidRPr="00CF236D" w:rsidRDefault="00324A97" w:rsidP="00F50160">
      <w:pPr>
        <w:suppressAutoHyphens/>
        <w:autoSpaceDN w:val="0"/>
        <w:spacing w:line="360" w:lineRule="auto"/>
        <w:rPr>
          <w:rFonts w:ascii="Arial" w:eastAsia="Aptos" w:hAnsi="Arial" w:cs="Arial"/>
          <w:kern w:val="3"/>
          <w:sz w:val="22"/>
          <w:szCs w:val="22"/>
          <w:lang w:eastAsia="en-US"/>
          <w14:ligatures w14:val="none"/>
        </w:rPr>
      </w:pPr>
    </w:p>
    <w:p w14:paraId="3764AA1B" w14:textId="369B3DDB" w:rsidR="00324A97" w:rsidRPr="00CF236D" w:rsidRDefault="00324A97" w:rsidP="00F50160">
      <w:pPr>
        <w:suppressAutoHyphens/>
        <w:autoSpaceDN w:val="0"/>
        <w:spacing w:line="360" w:lineRule="auto"/>
        <w:rPr>
          <w:rFonts w:ascii="Arial" w:eastAsia="Aptos" w:hAnsi="Arial" w:cs="Arial"/>
          <w:kern w:val="3"/>
          <w:sz w:val="22"/>
          <w:szCs w:val="22"/>
          <w:lang w:eastAsia="en-US"/>
          <w14:ligatures w14:val="none"/>
        </w:rPr>
      </w:pPr>
    </w:p>
    <w:p w14:paraId="185C56C6" w14:textId="0D8285E7" w:rsidR="00324A97" w:rsidRPr="00CF236D" w:rsidRDefault="00324A97" w:rsidP="00F50160">
      <w:pPr>
        <w:suppressAutoHyphens/>
        <w:autoSpaceDN w:val="0"/>
        <w:spacing w:line="360" w:lineRule="auto"/>
        <w:rPr>
          <w:rFonts w:ascii="Arial" w:eastAsia="Aptos" w:hAnsi="Arial" w:cs="Arial"/>
          <w:kern w:val="3"/>
          <w:sz w:val="22"/>
          <w:szCs w:val="22"/>
          <w:lang w:eastAsia="en-US"/>
          <w14:ligatures w14:val="none"/>
        </w:rPr>
      </w:pPr>
    </w:p>
    <w:p w14:paraId="38A13B93" w14:textId="198B56A1" w:rsidR="00324A97" w:rsidRPr="00CF236D" w:rsidRDefault="00324A97" w:rsidP="00F50160">
      <w:pPr>
        <w:suppressAutoHyphens/>
        <w:autoSpaceDN w:val="0"/>
        <w:spacing w:line="360" w:lineRule="auto"/>
        <w:rPr>
          <w:rFonts w:ascii="Arial" w:eastAsia="Aptos" w:hAnsi="Arial" w:cs="Arial"/>
          <w:kern w:val="3"/>
          <w:sz w:val="22"/>
          <w:szCs w:val="22"/>
          <w:lang w:eastAsia="en-US"/>
          <w14:ligatures w14:val="none"/>
        </w:rPr>
      </w:pPr>
    </w:p>
    <w:p w14:paraId="299B9D32" w14:textId="1A19BF9D" w:rsidR="00324A97" w:rsidRPr="00CF236D" w:rsidRDefault="00324A97" w:rsidP="00F50160">
      <w:pPr>
        <w:suppressAutoHyphens/>
        <w:autoSpaceDN w:val="0"/>
        <w:spacing w:line="360" w:lineRule="auto"/>
        <w:rPr>
          <w:rFonts w:ascii="Arial" w:eastAsia="Aptos" w:hAnsi="Arial" w:cs="Arial"/>
          <w:kern w:val="3"/>
          <w:sz w:val="22"/>
          <w:szCs w:val="22"/>
          <w:lang w:eastAsia="en-US"/>
          <w14:ligatures w14:val="none"/>
        </w:rPr>
      </w:pPr>
    </w:p>
    <w:p w14:paraId="3113664E" w14:textId="6B5642B8" w:rsidR="00A97980" w:rsidRPr="00CF236D" w:rsidRDefault="00A97980" w:rsidP="00324A97">
      <w:pPr>
        <w:suppressAutoHyphens/>
        <w:autoSpaceDN w:val="0"/>
        <w:spacing w:line="360" w:lineRule="auto"/>
        <w:jc w:val="center"/>
        <w:rPr>
          <w:rFonts w:ascii="Arial" w:eastAsia="Aptos" w:hAnsi="Arial" w:cs="Arial"/>
          <w:kern w:val="3"/>
          <w:lang w:eastAsia="en-US"/>
          <w14:ligatures w14:val="none"/>
        </w:rPr>
      </w:pPr>
      <w:r w:rsidRPr="00CF236D">
        <w:rPr>
          <w:rFonts w:ascii="Arial" w:eastAsia="Aptos" w:hAnsi="Arial" w:cs="Arial"/>
          <w:kern w:val="3"/>
          <w:sz w:val="22"/>
          <w:szCs w:val="22"/>
          <w:lang w:eastAsia="en-US"/>
          <w14:ligatures w14:val="none"/>
        </w:rPr>
        <w:t xml:space="preserve">Submitted </w:t>
      </w:r>
      <w:r w:rsidR="009D0B33" w:rsidRPr="00CF236D">
        <w:rPr>
          <w:rFonts w:ascii="Arial" w:eastAsia="Aptos" w:hAnsi="Arial" w:cs="Arial"/>
          <w:kern w:val="3"/>
          <w:sz w:val="22"/>
          <w:szCs w:val="22"/>
          <w:lang w:eastAsia="en-US"/>
          <w14:ligatures w14:val="none"/>
        </w:rPr>
        <w:t>by</w:t>
      </w:r>
      <w:r w:rsidRPr="00CF236D">
        <w:rPr>
          <w:rFonts w:ascii="Arial" w:eastAsia="Aptos" w:hAnsi="Arial" w:cs="Arial"/>
          <w:kern w:val="3"/>
          <w:sz w:val="22"/>
          <w:szCs w:val="22"/>
          <w:lang w:eastAsia="en-US"/>
          <w14:ligatures w14:val="none"/>
        </w:rPr>
        <w:t xml:space="preserve"> </w:t>
      </w:r>
      <w:r w:rsidRPr="00CF236D">
        <w:rPr>
          <w:rFonts w:ascii="Arial" w:eastAsia="Aptos" w:hAnsi="Arial" w:cs="Arial"/>
          <w:b/>
          <w:bCs/>
          <w:kern w:val="3"/>
          <w:sz w:val="22"/>
          <w:szCs w:val="22"/>
          <w:lang w:eastAsia="en-US"/>
          <w14:ligatures w14:val="none"/>
        </w:rPr>
        <w:t>2</w:t>
      </w:r>
      <w:r w:rsidR="003F6667" w:rsidRPr="00CF236D">
        <w:rPr>
          <w:rFonts w:ascii="Arial" w:eastAsia="Aptos" w:hAnsi="Arial" w:cs="Arial"/>
          <w:b/>
          <w:bCs/>
          <w:kern w:val="3"/>
          <w:sz w:val="22"/>
          <w:szCs w:val="22"/>
          <w:lang w:eastAsia="en-US"/>
          <w14:ligatures w14:val="none"/>
        </w:rPr>
        <w:t>3</w:t>
      </w:r>
      <w:r w:rsidR="003F6667" w:rsidRPr="00CF236D">
        <w:rPr>
          <w:rFonts w:ascii="Arial" w:eastAsia="Aptos" w:hAnsi="Arial" w:cs="Arial"/>
          <w:b/>
          <w:bCs/>
          <w:kern w:val="3"/>
          <w:sz w:val="22"/>
          <w:szCs w:val="22"/>
          <w:vertAlign w:val="superscript"/>
          <w:lang w:eastAsia="en-US"/>
          <w14:ligatures w14:val="none"/>
        </w:rPr>
        <w:t>rd</w:t>
      </w:r>
      <w:r w:rsidR="003F6667" w:rsidRPr="00CF236D">
        <w:rPr>
          <w:rFonts w:ascii="Arial" w:eastAsia="Aptos" w:hAnsi="Arial" w:cs="Arial"/>
          <w:b/>
          <w:bCs/>
          <w:kern w:val="3"/>
          <w:sz w:val="22"/>
          <w:szCs w:val="22"/>
          <w:lang w:eastAsia="en-US"/>
          <w14:ligatures w14:val="none"/>
        </w:rPr>
        <w:t xml:space="preserve"> </w:t>
      </w:r>
      <w:r w:rsidR="003A008D" w:rsidRPr="00CF236D">
        <w:rPr>
          <w:rFonts w:ascii="Arial" w:eastAsia="Aptos" w:hAnsi="Arial" w:cs="Arial"/>
          <w:b/>
          <w:bCs/>
          <w:kern w:val="3"/>
          <w:sz w:val="22"/>
          <w:szCs w:val="22"/>
          <w:lang w:eastAsia="en-US"/>
          <w14:ligatures w14:val="none"/>
        </w:rPr>
        <w:t>February 2026</w:t>
      </w:r>
    </w:p>
    <w:p w14:paraId="504886CA" w14:textId="5635653E" w:rsidR="00A97980" w:rsidRPr="00A97980" w:rsidRDefault="00A97980" w:rsidP="00A97980">
      <w:pPr>
        <w:suppressAutoHyphens/>
        <w:autoSpaceDN w:val="0"/>
        <w:spacing w:line="360" w:lineRule="auto"/>
        <w:rPr>
          <w:rFonts w:ascii="Arial" w:eastAsia="Aptos" w:hAnsi="Arial" w:cs="Arial"/>
          <w:kern w:val="3"/>
          <w:sz w:val="22"/>
          <w:szCs w:val="22"/>
          <w:lang w:eastAsia="en-US"/>
          <w14:ligatures w14:val="none"/>
        </w:rPr>
      </w:pPr>
    </w:p>
    <w:p w14:paraId="523B695A" w14:textId="06533AA5" w:rsidR="00324A97" w:rsidRDefault="00324A97">
      <w:pPr>
        <w:sectPr w:rsidR="00324A97" w:rsidSect="00F50160">
          <w:pgSz w:w="11906" w:h="16838"/>
          <w:pgMar w:top="1440" w:right="1440" w:bottom="1440" w:left="1440" w:header="708" w:footer="708" w:gutter="0"/>
          <w:cols w:space="708"/>
          <w:docGrid w:linePitch="360"/>
        </w:sectPr>
      </w:pPr>
    </w:p>
    <w:p w14:paraId="7F41251F" w14:textId="1EA4D173" w:rsidR="00F50160" w:rsidRDefault="00C81BA3">
      <w:pPr>
        <w:sectPr w:rsidR="00F50160" w:rsidSect="00CC5580">
          <w:pgSz w:w="16838" w:h="11906" w:orient="landscape"/>
          <w:pgMar w:top="0" w:right="0" w:bottom="0" w:left="0" w:header="709" w:footer="709" w:gutter="0"/>
          <w:cols w:space="708"/>
          <w:docGrid w:linePitch="360"/>
        </w:sectPr>
      </w:pPr>
      <w:r>
        <w:rPr>
          <w:noProof/>
        </w:rPr>
        <w:lastRenderedPageBreak/>
        <w:drawing>
          <wp:anchor distT="0" distB="0" distL="114300" distR="114300" simplePos="0" relativeHeight="251529216" behindDoc="0" locked="0" layoutInCell="1" allowOverlap="1" wp14:anchorId="5A8A2276" wp14:editId="2161E88C">
            <wp:simplePos x="0" y="0"/>
            <wp:positionH relativeFrom="margin">
              <wp:posOffset>4314825</wp:posOffset>
            </wp:positionH>
            <wp:positionV relativeFrom="paragraph">
              <wp:posOffset>0</wp:posOffset>
            </wp:positionV>
            <wp:extent cx="1238250" cy="825500"/>
            <wp:effectExtent l="0" t="0" r="0" b="0"/>
            <wp:wrapSquare wrapText="bothSides"/>
            <wp:docPr id="589030517" name="Picture 13" descr="Our Homes | Core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Our Homes | Core Childre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238250" cy="825500"/>
                    </a:xfrm>
                    <a:prstGeom prst="ellipse">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803648" behindDoc="0" locked="0" layoutInCell="1" allowOverlap="1" wp14:anchorId="672ABD43" wp14:editId="0B20F724">
                <wp:simplePos x="0" y="0"/>
                <wp:positionH relativeFrom="column">
                  <wp:posOffset>8648700</wp:posOffset>
                </wp:positionH>
                <wp:positionV relativeFrom="paragraph">
                  <wp:posOffset>7277100</wp:posOffset>
                </wp:positionV>
                <wp:extent cx="1781175" cy="247650"/>
                <wp:effectExtent l="0" t="0" r="28575" b="19050"/>
                <wp:wrapSquare wrapText="bothSides"/>
                <wp:docPr id="3718465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1175" cy="247650"/>
                        </a:xfrm>
                        <a:prstGeom prst="rect">
                          <a:avLst/>
                        </a:prstGeom>
                        <a:solidFill>
                          <a:srgbClr val="FFFFFF"/>
                        </a:solidFill>
                        <a:ln w="9525">
                          <a:solidFill>
                            <a:schemeClr val="bg1"/>
                          </a:solidFill>
                          <a:miter lim="800000"/>
                          <a:headEnd/>
                          <a:tailEnd/>
                        </a:ln>
                      </wps:spPr>
                      <wps:txbx>
                        <w:txbxContent>
                          <w:p w14:paraId="02B7D899" w14:textId="0B32C11C" w:rsidR="00C81BA3" w:rsidRPr="00C81BA3" w:rsidRDefault="00C81BA3">
                            <w:pPr>
                              <w:rPr>
                                <w:sz w:val="20"/>
                                <w:szCs w:val="20"/>
                              </w:rPr>
                            </w:pPr>
                            <w:r w:rsidRPr="00C81BA3">
                              <w:rPr>
                                <w:sz w:val="20"/>
                                <w:szCs w:val="20"/>
                              </w:rPr>
                              <w:t>Reference list at the bottom.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72ABD43" id="_x0000_t202" coordsize="21600,21600" o:spt="202" path="m,l,21600r21600,l21600,xe">
                <v:stroke joinstyle="miter"/>
                <v:path gradientshapeok="t" o:connecttype="rect"/>
              </v:shapetype>
              <v:shape id="Text Box 2" o:spid="_x0000_s1026" type="#_x0000_t202" style="position:absolute;margin-left:681pt;margin-top:573pt;width:140.25pt;height:19.5pt;z-index:251803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BYIFgIAAB4EAAAOAAAAZHJzL2Uyb0RvYy54bWysU8Fu2zAMvQ/YPwi6L46DpEmNOEWXLsOA&#10;rhvQ7QNkWbaFSaImKbGzrx8lp2mW3Yb5IIgm9Ug+Pq7vBq3IQTgvwZQ0n0wpEYZDLU1b0u/fdu9W&#10;lPjATM0UGFHSo/D0bvP2zbq3hZhBB6oWjiCI8UVvS9qFYIss87wTmvkJWGHQ2YDTLKDp2qx2rEd0&#10;rbLZdHqT9eBq64AL7/Hvw+ikm4TfNIKHL03jRSCqpFhbSKdLZxXPbLNmReuY7SQ/lcH+oQrNpMGk&#10;Z6gHFhjZO/kXlJbcgYcmTDjoDJpGcpF6wG7y6VU3zx2zIvWC5Hh7psn/P1j+dHi2Xx0Jw3sYcICp&#10;CW8fgf/wxMC2Y6YV985B3wlWY+I8Upb11henp5FqX/gIUvWfocYhs32ABDQ0TkdWsE+C6DiA45l0&#10;MQTCY8rlKs+XC0o4+mbz5c0iTSVjxctr63z4KECTeCmpw6EmdHZ49CFWw4qXkJjMg5L1TiqVDNdW&#10;W+XIgaEAdulLDVyFKUP6kt4uZouRgD8gohbFGaRqRwquELQMKGQldUlX0/iN0oqsfTB1kllgUo13&#10;rFiZE42RuZHDMFQDBkY6K6iPSKiDUbC4YHjpwP2ipEexltT/3DMnKFGfDA7lNp/Po7qTMV8sZ2i4&#10;S0916WGGI1RJAyXjdRvSRkS+DNzj8BqZeH2t5FQrijDRfVqYqPJLO0W9rvXmNwAAAP//AwBQSwME&#10;FAAGAAgAAAAhAJ1czd7gAAAADwEAAA8AAABkcnMvZG93bnJldi54bWxMT0FOwzAQvCPxB2uRuFG7&#10;IbXaEKdCIHpDiIBKj068JBGxHcVuG3g9mxPcZnZGszP5drI9O+EYOu8ULBcCGLram841Ct7fnm7W&#10;wELUzujeO1TwjQG2xeVFrjPjz+4VT2VsGIW4kGkFbYxDxnmoW7Q6LPyAjrRPP1odiY4NN6M+U7jt&#10;eSKE5FZ3jj60esCHFuuv8mgVhFrI/Uta7j8qvsOfjTGPh92zUtdX0/0dsIhT/DPDXJ+qQ0GdKn90&#10;JrCe+K1MaEwktEwlodkj02QFrJpv65UAXuT8/47iFwAA//8DAFBLAQItABQABgAIAAAAIQC2gziS&#10;/gAAAOEBAAATAAAAAAAAAAAAAAAAAAAAAABbQ29udGVudF9UeXBlc10ueG1sUEsBAi0AFAAGAAgA&#10;AAAhADj9If/WAAAAlAEAAAsAAAAAAAAAAAAAAAAALwEAAF9yZWxzLy5yZWxzUEsBAi0AFAAGAAgA&#10;AAAhAEocFggWAgAAHgQAAA4AAAAAAAAAAAAAAAAALgIAAGRycy9lMm9Eb2MueG1sUEsBAi0AFAAG&#10;AAgAAAAhAJ1czd7gAAAADwEAAA8AAAAAAAAAAAAAAAAAcAQAAGRycy9kb3ducmV2LnhtbFBLBQYA&#10;AAAABAAEAPMAAAB9BQAAAAA=&#10;" strokecolor="white [3212]">
                <v:textbox>
                  <w:txbxContent>
                    <w:p w14:paraId="02B7D899" w14:textId="0B32C11C" w:rsidR="00C81BA3" w:rsidRPr="00C81BA3" w:rsidRDefault="00C81BA3">
                      <w:pPr>
                        <w:rPr>
                          <w:sz w:val="20"/>
                          <w:szCs w:val="20"/>
                        </w:rPr>
                      </w:pPr>
                      <w:r w:rsidRPr="00C81BA3">
                        <w:rPr>
                          <w:sz w:val="20"/>
                          <w:szCs w:val="20"/>
                        </w:rPr>
                        <w:t>Reference list at the bottom.</w:t>
                      </w:r>
                    </w:p>
                  </w:txbxContent>
                </v:textbox>
                <w10:wrap type="square"/>
              </v:shape>
            </w:pict>
          </mc:Fallback>
        </mc:AlternateContent>
      </w:r>
      <w:r>
        <w:rPr>
          <w:noProof/>
        </w:rPr>
        <mc:AlternateContent>
          <mc:Choice Requires="wps">
            <w:drawing>
              <wp:anchor distT="0" distB="0" distL="114300" distR="114300" simplePos="0" relativeHeight="251719680" behindDoc="0" locked="0" layoutInCell="1" allowOverlap="1" wp14:anchorId="1272C08C" wp14:editId="6810B975">
                <wp:simplePos x="0" y="0"/>
                <wp:positionH relativeFrom="page">
                  <wp:posOffset>8710295</wp:posOffset>
                </wp:positionH>
                <wp:positionV relativeFrom="paragraph">
                  <wp:posOffset>4134485</wp:posOffset>
                </wp:positionV>
                <wp:extent cx="1880007" cy="3100898"/>
                <wp:effectExtent l="0" t="0" r="25400" b="23495"/>
                <wp:wrapNone/>
                <wp:docPr id="1204120149" name="Text Box 14"/>
                <wp:cNvGraphicFramePr/>
                <a:graphic xmlns:a="http://schemas.openxmlformats.org/drawingml/2006/main">
                  <a:graphicData uri="http://schemas.microsoft.com/office/word/2010/wordprocessingShape">
                    <wps:wsp>
                      <wps:cNvSpPr txBox="1"/>
                      <wps:spPr>
                        <a:xfrm>
                          <a:off x="0" y="0"/>
                          <a:ext cx="1880007" cy="3100898"/>
                        </a:xfrm>
                        <a:prstGeom prst="roundRect">
                          <a:avLst/>
                        </a:prstGeom>
                        <a:noFill/>
                        <a:ln/>
                      </wps:spPr>
                      <wps:style>
                        <a:lnRef idx="2">
                          <a:schemeClr val="accent1"/>
                        </a:lnRef>
                        <a:fillRef idx="1">
                          <a:schemeClr val="lt1"/>
                        </a:fillRef>
                        <a:effectRef idx="0">
                          <a:schemeClr val="accent1"/>
                        </a:effectRef>
                        <a:fontRef idx="minor">
                          <a:schemeClr val="dk1"/>
                        </a:fontRef>
                      </wps:style>
                      <wps:txbx>
                        <w:txbxContent>
                          <w:p w14:paraId="10C684F9" w14:textId="77777777" w:rsidR="003447E1" w:rsidRPr="00132128" w:rsidRDefault="003447E1" w:rsidP="00172E2A">
                            <w:pPr>
                              <w:pStyle w:val="BodyText"/>
                              <w:jc w:val="center"/>
                              <w:rPr>
                                <w:rFonts w:ascii="Arial" w:hAnsi="Arial" w:cs="Arial"/>
                                <w:b/>
                                <w:bCs/>
                                <w:sz w:val="16"/>
                                <w:szCs w:val="16"/>
                                <w:u w:val="single"/>
                                <w:lang w:val="en-GB"/>
                              </w:rPr>
                            </w:pPr>
                            <w:r w:rsidRPr="00132128">
                              <w:rPr>
                                <w:rFonts w:ascii="Arial" w:hAnsi="Arial" w:cs="Arial"/>
                                <w:b/>
                                <w:bCs/>
                                <w:sz w:val="16"/>
                                <w:szCs w:val="16"/>
                                <w:u w:val="single"/>
                                <w:lang w:val="en-GB"/>
                              </w:rPr>
                              <w:t>2. Quality and Consistency of Care</w:t>
                            </w:r>
                          </w:p>
                          <w:p w14:paraId="4FA38B12" w14:textId="2AE7FD1B" w:rsidR="00EF2CD5" w:rsidRPr="00EF2CD5" w:rsidRDefault="003447E1" w:rsidP="003447E1">
                            <w:pPr>
                              <w:pStyle w:val="BodyText"/>
                              <w:jc w:val="both"/>
                              <w:rPr>
                                <w:rFonts w:ascii="Arial" w:hAnsi="Arial" w:cs="Arial"/>
                                <w:sz w:val="16"/>
                                <w:szCs w:val="16"/>
                                <w:lang w:val="en-GB"/>
                              </w:rPr>
                            </w:pPr>
                            <w:r w:rsidRPr="003447E1">
                              <w:rPr>
                                <w:rFonts w:ascii="Arial" w:hAnsi="Arial" w:cs="Arial"/>
                                <w:sz w:val="16"/>
                                <w:szCs w:val="16"/>
                                <w:lang w:val="en-GB"/>
                              </w:rPr>
                              <w:t>Maintaining high-quality care across different residential homes remains a significant challenge. Variations in management, staff training, and resource availability can result in disparities in resident experiences. Reports of under-staffing, inadequate supervision, and limited personalised attention highlight risks to resident safety and wellbeing (Care Quality Commission, 2025). Ensuring regulatory compliance while fostering a supportive, homely environment is an ongoing balancing act, requiring robust inspection systems, continuous staff development, and effective management practices.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272C08C" id="Text Box 14" o:spid="_x0000_s1027" style="position:absolute;margin-left:685.85pt;margin-top:325.55pt;width:148.05pt;height:244.15pt;z-index:2517196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5MRaZwIAAB4FAAAOAAAAZHJzL2Uyb0RvYy54bWysVN9v2jAQfp+0/8Hy+0hg3UpRQ8WomCah&#10;tiqd+mwcu0RzfJ59kLC/fmcHUtbxNO3FOefuu5/f+fqmrQ3bKR8qsAUfDnLOlJVQVval4N+fFh/G&#10;nAUUthQGrCr4XgV+M33/7rpxEzWCDZhSeUZObJg0ruAbRDfJsiA3qhZhAE5ZUmrwtUC6+pes9KIh&#10;77XJRnn+OWvAl86DVCHQ39tOyafJv9ZK4r3WQSEzBafcMJ0+net4ZtNrMXnxwm0qeUhD/EMWtags&#10;Be1d3QoUbOurv1zVlfQQQONAQp2B1pVUqQaqZpi/qWa1EU6lWqg5wfVtCv/PrbzbrdyDZ9h+gZYG&#10;GBvSuDAJ9DPW02pfxy9lykhPLdz3bVMtMhlB43Ge55ecSdJ9HOb5+Goc/WSvcOcDflVQsygU3MPW&#10;lo80nNQzsVsG7OyPdjGkhUVlTBqQsVH9mleScG9UtDP2UWlWlZTJKPlL5FFz49lO0NiFlMpiqowy&#10;StYRpsl5DxyeA5oedLCNMJVI1QPzc8A/I/aIFBUs9uC6suDPOSh/HNPVnf2x+q7mWD6265aKPhnZ&#10;Gso9TdJDR/Lg5KKibi9FwAfhidU0PNpUvKdDG2gKDgeJsw34X+f+R3siG2k5a2hLCh5+boVXnJlv&#10;lmh4Nby4iGuVLhefLkd08aea9anGbus50ESG9CY4mcRoj+Yoag/1My30LEYllbCSYhccj+Icu92l&#10;B0Gq2SwZ0SI5gUu7cjK6jl2ONHpqn4V3B8IhcfUOjvskJm8o19lGpIXZFkFXiY+xz11XD/2nJUy0&#10;PjwYcctP78nq9Vmb/gYAAP//AwBQSwMEFAAGAAgAAAAhACY80wniAAAADgEAAA8AAABkcnMvZG93&#10;bnJldi54bWxMjz1PwzAQhnck/oN1SGzUNm0TCHEqQIKBAUEplNGNjyQitiPbTcO/5zrBdq/u0ftR&#10;ribbsxFD7LxTIGcCGLram841CjZvDxdXwGLSzujeO1TwgxFW1elJqQvjD+4Vx3VqGJm4WGgFbUpD&#10;wXmsW7Q6zvyAjn5fPlidSIaGm6APZG57filExq3uHCW0esD7Fuvv9d4qeHkP45OQ0X9+LO5w+bzZ&#10;CvO4Ver8bLq9AZZwSn8wHOtTdaio087vnYmsJz3PZU6sgmwpJbAjkmU5zdnRJefXC+BVyf/PqH4B&#10;AAD//wMAUEsBAi0AFAAGAAgAAAAhALaDOJL+AAAA4QEAABMAAAAAAAAAAAAAAAAAAAAAAFtDb250&#10;ZW50X1R5cGVzXS54bWxQSwECLQAUAAYACAAAACEAOP0h/9YAAACUAQAACwAAAAAAAAAAAAAAAAAv&#10;AQAAX3JlbHMvLnJlbHNQSwECLQAUAAYACAAAACEAQOTEWmcCAAAeBQAADgAAAAAAAAAAAAAAAAAu&#10;AgAAZHJzL2Uyb0RvYy54bWxQSwECLQAUAAYACAAAACEAJjzTCeIAAAAOAQAADwAAAAAAAAAAAAAA&#10;AADBBAAAZHJzL2Rvd25yZXYueG1sUEsFBgAAAAAEAAQA8wAAANAFAAAAAA==&#10;" filled="f" strokecolor="#156082 [3204]" strokeweight="1.5pt">
                <v:stroke joinstyle="miter"/>
                <v:textbox>
                  <w:txbxContent>
                    <w:p w14:paraId="10C684F9" w14:textId="77777777" w:rsidR="003447E1" w:rsidRPr="00132128" w:rsidRDefault="003447E1" w:rsidP="00172E2A">
                      <w:pPr>
                        <w:pStyle w:val="BodyText"/>
                        <w:jc w:val="center"/>
                        <w:rPr>
                          <w:rFonts w:ascii="Arial" w:hAnsi="Arial" w:cs="Arial"/>
                          <w:b/>
                          <w:bCs/>
                          <w:sz w:val="16"/>
                          <w:szCs w:val="16"/>
                          <w:u w:val="single"/>
                          <w:lang w:val="en-GB"/>
                        </w:rPr>
                      </w:pPr>
                      <w:r w:rsidRPr="00132128">
                        <w:rPr>
                          <w:rFonts w:ascii="Arial" w:hAnsi="Arial" w:cs="Arial"/>
                          <w:b/>
                          <w:bCs/>
                          <w:sz w:val="16"/>
                          <w:szCs w:val="16"/>
                          <w:u w:val="single"/>
                          <w:lang w:val="en-GB"/>
                        </w:rPr>
                        <w:t>2. Quality and Consistency of Care</w:t>
                      </w:r>
                    </w:p>
                    <w:p w14:paraId="4FA38B12" w14:textId="2AE7FD1B" w:rsidR="00EF2CD5" w:rsidRPr="00EF2CD5" w:rsidRDefault="003447E1" w:rsidP="003447E1">
                      <w:pPr>
                        <w:pStyle w:val="BodyText"/>
                        <w:jc w:val="both"/>
                        <w:rPr>
                          <w:rFonts w:ascii="Arial" w:hAnsi="Arial" w:cs="Arial"/>
                          <w:sz w:val="16"/>
                          <w:szCs w:val="16"/>
                          <w:lang w:val="en-GB"/>
                        </w:rPr>
                      </w:pPr>
                      <w:r w:rsidRPr="003447E1">
                        <w:rPr>
                          <w:rFonts w:ascii="Arial" w:hAnsi="Arial" w:cs="Arial"/>
                          <w:sz w:val="16"/>
                          <w:szCs w:val="16"/>
                          <w:lang w:val="en-GB"/>
                        </w:rPr>
                        <w:t>Maintaining high-quality care across different residential homes remains a significant challenge. Variations in management, staff training, and resource availability can result in disparities in resident experiences. Reports of under-staffing, inadequate supervision, and limited personalised attention highlight risks to resident safety and wellbeing (Care Quality Commission, 2025). Ensuring regulatory compliance while fostering a supportive, homely environment is an ongoing balancing act, requiring robust inspection systems, continuous staff development, and effective management practices.</w:t>
                      </w:r>
                    </w:p>
                  </w:txbxContent>
                </v:textbox>
                <w10:wrap anchorx="page"/>
              </v:roundrect>
            </w:pict>
          </mc:Fallback>
        </mc:AlternateContent>
      </w:r>
      <w:r>
        <w:rPr>
          <w:noProof/>
        </w:rPr>
        <mc:AlternateContent>
          <mc:Choice Requires="wps">
            <w:drawing>
              <wp:anchor distT="0" distB="0" distL="114300" distR="114300" simplePos="0" relativeHeight="251561984" behindDoc="0" locked="0" layoutInCell="1" allowOverlap="1" wp14:anchorId="4277CB79" wp14:editId="5ECD4DE8">
                <wp:simplePos x="0" y="0"/>
                <wp:positionH relativeFrom="column">
                  <wp:posOffset>6868795</wp:posOffset>
                </wp:positionH>
                <wp:positionV relativeFrom="paragraph">
                  <wp:posOffset>4085590</wp:posOffset>
                </wp:positionV>
                <wp:extent cx="1924216" cy="2989690"/>
                <wp:effectExtent l="0" t="0" r="19050" b="20320"/>
                <wp:wrapNone/>
                <wp:docPr id="2072034528" name="Text Box 14"/>
                <wp:cNvGraphicFramePr/>
                <a:graphic xmlns:a="http://schemas.openxmlformats.org/drawingml/2006/main">
                  <a:graphicData uri="http://schemas.microsoft.com/office/word/2010/wordprocessingShape">
                    <wps:wsp>
                      <wps:cNvSpPr txBox="1"/>
                      <wps:spPr>
                        <a:xfrm>
                          <a:off x="0" y="0"/>
                          <a:ext cx="1924216" cy="2989690"/>
                        </a:xfrm>
                        <a:prstGeom prst="roundRect">
                          <a:avLst/>
                        </a:prstGeom>
                        <a:noFill/>
                        <a:ln/>
                      </wps:spPr>
                      <wps:style>
                        <a:lnRef idx="2">
                          <a:schemeClr val="accent1"/>
                        </a:lnRef>
                        <a:fillRef idx="1">
                          <a:schemeClr val="lt1"/>
                        </a:fillRef>
                        <a:effectRef idx="0">
                          <a:schemeClr val="accent1"/>
                        </a:effectRef>
                        <a:fontRef idx="minor">
                          <a:schemeClr val="dk1"/>
                        </a:fontRef>
                      </wps:style>
                      <wps:txbx>
                        <w:txbxContent>
                          <w:p w14:paraId="66D800A6" w14:textId="77777777" w:rsidR="00EF2CD5" w:rsidRPr="00132128" w:rsidRDefault="00EF2CD5" w:rsidP="00172E2A">
                            <w:pPr>
                              <w:jc w:val="center"/>
                              <w:rPr>
                                <w:rFonts w:ascii="Arial" w:hAnsi="Arial" w:cs="Arial"/>
                                <w:b/>
                                <w:bCs/>
                                <w:sz w:val="16"/>
                                <w:szCs w:val="16"/>
                                <w:u w:val="single"/>
                              </w:rPr>
                            </w:pPr>
                            <w:r w:rsidRPr="00132128">
                              <w:rPr>
                                <w:rFonts w:ascii="Arial" w:hAnsi="Arial" w:cs="Arial"/>
                                <w:b/>
                                <w:bCs/>
                                <w:sz w:val="16"/>
                                <w:szCs w:val="16"/>
                                <w:u w:val="single"/>
                              </w:rPr>
                              <w:t>1. Staffing Shortages</w:t>
                            </w:r>
                          </w:p>
                          <w:p w14:paraId="079DD7BF" w14:textId="77777777" w:rsidR="00EF2CD5" w:rsidRPr="00EF2CD5" w:rsidRDefault="00EF2CD5" w:rsidP="00EF2CD5">
                            <w:pPr>
                              <w:jc w:val="both"/>
                              <w:rPr>
                                <w:rFonts w:ascii="Arial" w:hAnsi="Arial" w:cs="Arial"/>
                                <w:sz w:val="16"/>
                                <w:szCs w:val="16"/>
                              </w:rPr>
                            </w:pPr>
                            <w:r w:rsidRPr="00EF2CD5">
                              <w:rPr>
                                <w:rFonts w:ascii="Arial" w:hAnsi="Arial" w:cs="Arial"/>
                                <w:sz w:val="16"/>
                                <w:szCs w:val="16"/>
                              </w:rPr>
                              <w:t>Residential care facilities frequently struggle with recruitment and retention of qualified staff. Low wages, limited career progression, high physical and emotional demands, and staff burnout contribute to high turnover rates (Skills for Care, 2025). Staffing shortages can lead to inconsistent care, overworked staff, and reduced capacity to deliver person-centred support. These challenges are particularly acute in private facilities, which rely heavily on flexible staffing arrangements and may be constrained by financial limitations.</w:t>
                            </w:r>
                          </w:p>
                          <w:p w14:paraId="39BE9E43" w14:textId="77777777" w:rsidR="00EF0F6E" w:rsidRPr="00EF2CD5" w:rsidRDefault="00EF0F6E" w:rsidP="00EF0F6E">
                            <w:pPr>
                              <w:pStyle w:val="BodyText"/>
                              <w:jc w:val="both"/>
                              <w:rPr>
                                <w:rFonts w:ascii="Arial" w:hAnsi="Arial" w:cs="Arial"/>
                                <w:sz w:val="16"/>
                                <w:szCs w:val="16"/>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77CB79" id="_x0000_s1028" style="position:absolute;margin-left:540.85pt;margin-top:321.7pt;width:151.5pt;height:235.4pt;z-index:251561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o9OawIAAB4FAAAOAAAAZHJzL2Uyb0RvYy54bWysVE1v2zAMvQ/YfxB0X50YWdcEdYosRYcB&#10;RVs0LXpWZCkxJouaxMTOfv0o2XG7LqdhF5ky+fjxSOryqq0N2ysfKrAFH5+NOFNWQlnZTcGfn24+&#10;XXAWUNhSGLCq4AcV+NX844fLxs1UDlswpfKMnNgwa1zBt4hulmVBblUtwhk4ZUmpwdcC6eo3WelF&#10;Q95rk+Wj0XnWgC+dB6lCoL/XnZLPk3+tlcR7rYNCZgpOuWE6fTrX8czml2K28cJtK9mnIf4hi1pU&#10;loIOrq4FCrbz1V+u6kp6CKDxTEKdgdaVVKkGqmY8elfNaiucSrUQOcENNIX/51be7VfuwTNsv0JL&#10;DYyENC7MAv2M9bTa1/FLmTLSE4WHgTbVIpMRNM0n+ficM0m6fHoxPZ8mYrNXuPMBvymoWRQK7mFn&#10;y0dqTuJM7G8DUlyyP9rFkBZuKmNSg4yN6te8koQHo6KdsY9Ks6qkTPLkLw2PWhrP9oLaLqRUFlNl&#10;FCFZR5gm5wNwfApoBlBvG2EqDdUAHJ0C/hlxQKSoYHEA15UFf8pB+eOYru7sj9V3NcfysV23VHSs&#10;uW/ZGsoDddJDN+TByZuK2L4VAR+Ep6mm5tGm4j0d2kBTcOglzrbgf536H+1p2EjLWUNbUvDwcye8&#10;4sx8tzSG0/FkEtcqXSafv+R08W8167cau6uXQB0Z05vgZBKjPZqjqD3UL7TQixiVVMJKil1wPIpL&#10;7HaXHgSpFotkRIvkBN7alZPRdWQ5jtFT+yK86wcOaVbv4LhPYvZu5DrbiLSw2CHoKs1j5Lljteef&#10;ljCNaf9gxC1/e09Wr8/a/DcAAAD//wMAUEsDBBQABgAIAAAAIQCB6mSY4gAAAA4BAAAPAAAAZHJz&#10;L2Rvd25yZXYueG1sTI/BTsMwEETvSPyDtUjcqJ3WlCjEqQAJDhxQKYVydOMliYjtyHbT8PdsT3Db&#10;2R3NvilXk+3ZiCF23inIZgIYutqbzjUKtm+PVzmwmLQzuvcOFfxghFV1flbqwvije8VxkxpGIS4W&#10;WkGb0lBwHusWrY4zP6Cj25cPVieSoeEm6COF257PhVhyqztHH1o94EOL9ffmYBWs38P4LLLoPz/k&#10;PV6/bHfCPO2UuryY7m6BJZzSnxlO+IQOFTHt/cGZyHrSIs9uyKtgKRcS2MmyyCWt9jRlmZwDr0r+&#10;v0b1CwAA//8DAFBLAQItABQABgAIAAAAIQC2gziS/gAAAOEBAAATAAAAAAAAAAAAAAAAAAAAAABb&#10;Q29udGVudF9UeXBlc10ueG1sUEsBAi0AFAAGAAgAAAAhADj9If/WAAAAlAEAAAsAAAAAAAAAAAAA&#10;AAAALwEAAF9yZWxzLy5yZWxzUEsBAi0AFAAGAAgAAAAhAOWqj05rAgAAHgUAAA4AAAAAAAAAAAAA&#10;AAAALgIAAGRycy9lMm9Eb2MueG1sUEsBAi0AFAAGAAgAAAAhAIHqZJjiAAAADgEAAA8AAAAAAAAA&#10;AAAAAAAAxQQAAGRycy9kb3ducmV2LnhtbFBLBQYAAAAABAAEAPMAAADUBQAAAAA=&#10;" filled="f" strokecolor="#156082 [3204]" strokeweight="1.5pt">
                <v:stroke joinstyle="miter"/>
                <v:textbox>
                  <w:txbxContent>
                    <w:p w14:paraId="66D800A6" w14:textId="77777777" w:rsidR="00EF2CD5" w:rsidRPr="00132128" w:rsidRDefault="00EF2CD5" w:rsidP="00172E2A">
                      <w:pPr>
                        <w:jc w:val="center"/>
                        <w:rPr>
                          <w:rFonts w:ascii="Arial" w:hAnsi="Arial" w:cs="Arial"/>
                          <w:b/>
                          <w:bCs/>
                          <w:sz w:val="16"/>
                          <w:szCs w:val="16"/>
                          <w:u w:val="single"/>
                        </w:rPr>
                      </w:pPr>
                      <w:r w:rsidRPr="00132128">
                        <w:rPr>
                          <w:rFonts w:ascii="Arial" w:hAnsi="Arial" w:cs="Arial"/>
                          <w:b/>
                          <w:bCs/>
                          <w:sz w:val="16"/>
                          <w:szCs w:val="16"/>
                          <w:u w:val="single"/>
                        </w:rPr>
                        <w:t>1. Staffing Shortages</w:t>
                      </w:r>
                    </w:p>
                    <w:p w14:paraId="079DD7BF" w14:textId="77777777" w:rsidR="00EF2CD5" w:rsidRPr="00EF2CD5" w:rsidRDefault="00EF2CD5" w:rsidP="00EF2CD5">
                      <w:pPr>
                        <w:jc w:val="both"/>
                        <w:rPr>
                          <w:rFonts w:ascii="Arial" w:hAnsi="Arial" w:cs="Arial"/>
                          <w:sz w:val="16"/>
                          <w:szCs w:val="16"/>
                        </w:rPr>
                      </w:pPr>
                      <w:r w:rsidRPr="00EF2CD5">
                        <w:rPr>
                          <w:rFonts w:ascii="Arial" w:hAnsi="Arial" w:cs="Arial"/>
                          <w:sz w:val="16"/>
                          <w:szCs w:val="16"/>
                        </w:rPr>
                        <w:t>Residential care facilities frequently struggle with recruitment and retention of qualified staff. Low wages, limited career progression, high physical and emotional demands, and staff burnout contribute to high turnover rates (Skills for Care, 2025). Staffing shortages can lead to inconsistent care, overworked staff, and reduced capacity to deliver person-centred support. These challenges are particularly acute in private facilities, which rely heavily on flexible staffing arrangements and may be constrained by financial limitations.</w:t>
                      </w:r>
                    </w:p>
                    <w:p w14:paraId="39BE9E43" w14:textId="77777777" w:rsidR="00EF0F6E" w:rsidRPr="00EF2CD5" w:rsidRDefault="00EF0F6E" w:rsidP="00EF0F6E">
                      <w:pPr>
                        <w:pStyle w:val="BodyText"/>
                        <w:jc w:val="both"/>
                        <w:rPr>
                          <w:rFonts w:ascii="Arial" w:hAnsi="Arial" w:cs="Arial"/>
                          <w:sz w:val="16"/>
                          <w:szCs w:val="16"/>
                          <w:lang w:val="en-GB"/>
                        </w:rPr>
                      </w:pPr>
                    </w:p>
                  </w:txbxContent>
                </v:textbox>
              </v:roundrect>
            </w:pict>
          </mc:Fallback>
        </mc:AlternateContent>
      </w:r>
      <w:r>
        <w:rPr>
          <w:noProof/>
        </w:rPr>
        <mc:AlternateContent>
          <mc:Choice Requires="wps">
            <w:drawing>
              <wp:anchor distT="0" distB="0" distL="114300" distR="114300" simplePos="0" relativeHeight="251760640" behindDoc="0" locked="0" layoutInCell="1" allowOverlap="1" wp14:anchorId="717B5FC6" wp14:editId="23962C2C">
                <wp:simplePos x="0" y="0"/>
                <wp:positionH relativeFrom="column">
                  <wp:posOffset>9201150</wp:posOffset>
                </wp:positionH>
                <wp:positionV relativeFrom="paragraph">
                  <wp:posOffset>3896360</wp:posOffset>
                </wp:positionV>
                <wp:extent cx="47625" cy="226060"/>
                <wp:effectExtent l="38100" t="0" r="66675" b="59690"/>
                <wp:wrapNone/>
                <wp:docPr id="766441919" name="Connector: Curved 17"/>
                <wp:cNvGraphicFramePr/>
                <a:graphic xmlns:a="http://schemas.openxmlformats.org/drawingml/2006/main">
                  <a:graphicData uri="http://schemas.microsoft.com/office/word/2010/wordprocessingShape">
                    <wps:wsp>
                      <wps:cNvCnPr/>
                      <wps:spPr>
                        <a:xfrm>
                          <a:off x="0" y="0"/>
                          <a:ext cx="47625" cy="226060"/>
                        </a:xfrm>
                        <a:prstGeom prst="curvedConnector3">
                          <a:avLst>
                            <a:gd name="adj1" fmla="val 2252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AE08DF9"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17" o:spid="_x0000_s1026" type="#_x0000_t38" style="position:absolute;margin-left:724.5pt;margin-top:306.8pt;width:3.75pt;height:17.8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KbYV1gEAAPkDAAAOAAAAZHJzL2Uyb0RvYy54bWysU9uO0zAQfUfiHyy/01xgC4qa7kMXeEGw&#10;YuEDvPa4MfJNtjdJ/56xm6YIkFZCvEzseM7xnDPj3e1sNBkhROVsT5tNTQlY7oSyx55+//bh1TtK&#10;YmJWMO0s9PQEkd7uX77YTb6D1g1OCwgESWzsJt/TISXfVVXkAxgWN86DxUPpgmEJt+FYicAmZDe6&#10;aut6W00uCB8chxjx7935kO4Lv5TA0xcpIySie4q1pRJDiY85Vvsd646B+UHxpQz2D1UYpixeulLd&#10;scTIU1B/UBnFg4tOpg13pnJSKg5FA6pp6t/UPAzMQ9GC5kS/2hT/Hy3/PB7sfUAbJh+76O9DVjHL&#10;YPIX6yNzMeu0mgVzIhx/vnm7bW8o4XjSttt6W7ysrlgfYvoIzpC86Cl/CiOIg7MWe+LC6+IWGz/F&#10;VGwTxDKD88HEj4YSaTR2YWSatO1N2+QuIfOSjasLd4Zqm2NiSr+3gqSTR5YUFLNHDQswp1RXfWWV&#10;ThrO8K8giRKoqC01ldGDgw4E78eCOAebLiVoi9kZJpXWK7B+HrjkZyiUsVzBzfPgFVFudjatYKOs&#10;C38jSPOlZHnOvzhw1p0teHTiVDpfrMH5KiYvbyEP8K/7Ar++2P1PAAAA//8DAFBLAwQUAAYACAAA&#10;ACEAFi/bl+EAAAANAQAADwAAAGRycy9kb3ducmV2LnhtbEyPzU7DMBCE70i8g7VI3KjTkgQa4lSI&#10;H6kXVFF4ADfexhH2OrKdJvD0uCc4zuxo9pt6M1vDTuhD70jAcpEBQ2qd6qkT8PnxenMPLERJShpH&#10;KOAbA2yay4taVspN9I6nfexYKqFQSQE6xqHiPLQarQwLNyCl29F5K2OSvuPKyymVW8NXWVZyK3tK&#10;H7Qc8Elj+7UfrYDi+eeozW58u9u+RL+N5bQzfhLi+mp+fAAWcY5/YTjjJ3RoEtPBjaQCM0nn+TqN&#10;iQLK5W0J7BzJi7IAdkhWvl4Bb2r+f0XzCwAA//8DAFBLAQItABQABgAIAAAAIQC2gziS/gAAAOEB&#10;AAATAAAAAAAAAAAAAAAAAAAAAABbQ29udGVudF9UeXBlc10ueG1sUEsBAi0AFAAGAAgAAAAhADj9&#10;If/WAAAAlAEAAAsAAAAAAAAAAAAAAAAALwEAAF9yZWxzLy5yZWxzUEsBAi0AFAAGAAgAAAAhAPsp&#10;thXWAQAA+QMAAA4AAAAAAAAAAAAAAAAALgIAAGRycy9lMm9Eb2MueG1sUEsBAi0AFAAGAAgAAAAh&#10;ABYv25fhAAAADQEAAA8AAAAAAAAAAAAAAAAAMAQAAGRycy9kb3ducmV2LnhtbFBLBQYAAAAABAAE&#10;APMAAAA+BQAAAAA=&#10;" adj="4865" strokecolor="#156082 [3204]" strokeweight="1.5pt">
                <v:stroke endarrow="block" joinstyle="miter"/>
              </v:shape>
            </w:pict>
          </mc:Fallback>
        </mc:AlternateContent>
      </w:r>
      <w:r>
        <w:rPr>
          <w:noProof/>
        </w:rPr>
        <mc:AlternateContent>
          <mc:Choice Requires="wps">
            <w:drawing>
              <wp:anchor distT="0" distB="0" distL="114300" distR="114300" simplePos="0" relativeHeight="251738112" behindDoc="0" locked="0" layoutInCell="1" allowOverlap="1" wp14:anchorId="63F265EB" wp14:editId="1717BDC4">
                <wp:simplePos x="0" y="0"/>
                <wp:positionH relativeFrom="column">
                  <wp:posOffset>7421245</wp:posOffset>
                </wp:positionH>
                <wp:positionV relativeFrom="paragraph">
                  <wp:posOffset>3865880</wp:posOffset>
                </wp:positionV>
                <wp:extent cx="82394" cy="235636"/>
                <wp:effectExtent l="0" t="0" r="51435" b="50165"/>
                <wp:wrapNone/>
                <wp:docPr id="985460651" name="Connector: Curved 17"/>
                <wp:cNvGraphicFramePr/>
                <a:graphic xmlns:a="http://schemas.openxmlformats.org/drawingml/2006/main">
                  <a:graphicData uri="http://schemas.microsoft.com/office/word/2010/wordprocessingShape">
                    <wps:wsp>
                      <wps:cNvCnPr/>
                      <wps:spPr>
                        <a:xfrm>
                          <a:off x="0" y="0"/>
                          <a:ext cx="82394" cy="235636"/>
                        </a:xfrm>
                        <a:prstGeom prst="curvedConnector3">
                          <a:avLst>
                            <a:gd name="adj1" fmla="val 55806"/>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0CCA09" id="Connector: Curved 17" o:spid="_x0000_s1026" type="#_x0000_t38" style="position:absolute;margin-left:584.35pt;margin-top:304.4pt;width:6.5pt;height:18.5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1Kgz1QEAAPkDAAAOAAAAZHJzL2Uyb0RvYy54bWysU02P0zAQvSPxHyzfadKUViVquocucEGw&#10;YuEHeO1xY+Qv2d6k+feM3TZFgLQS4jKJ7Xlv5j2Pd3cno8kAISpnO7pc1JSA5U4oe+zo928f3mwp&#10;iYlZwbSz0NEJIr3bv361G30LjeudFhAIktjYjr6jfUq+rarIezAsLpwHi4fSBcMSLsOxEoGNyG50&#10;1dT1phpdED44DjHi7v35kO4Lv5TA0xcpIySiO4q9pRJDiU85Vvsda4+B+V7xSxvsH7owTFksOlPd&#10;s8TIc1B/UBnFg4tOpgV3pnJSKg5FA6pZ1r+peeyZh6IFzYl+tin+P1r+eTjYh4A2jD620T+ErOIk&#10;g8lf7I+cilnTbBacEuG4uW1W795SwvGkWa03q032srphfYjpIzhD8k9H+XMYQByctXgnLqyKW2z4&#10;FFOxTRDLDM4HEz+WlEij8RYGpsl6va2vzJdsrHHlzlBtc0xM6fdWkDR5ZElBMXvUcGkpp1Q3feUv&#10;TRrO8K8giRKoqCk9ldGDgw4E62NDnINNy5kJszNMKq1nYP0y8JKfoVDGcgYvXwbPiFLZ2TSDjbIu&#10;/I0gna4ty3P+1YGz7mzBkxNTufliDc5Xub7LW8gD/Ou6wG8vdv8TAAD//wMAUEsDBBQABgAIAAAA&#10;IQDvSa643gAAAA0BAAAPAAAAZHJzL2Rvd25yZXYueG1sTI/BTsMwEETvSPyDtZW4USeUhpDGqapK&#10;nBENH7BNTBLVXofYaU2/nu0JjjP7NDtTbqM14qwnPzhSkC4TEJoa1w7UKfis3x5zED4gtWgcaQU/&#10;2sO2ur8rsWjdhT70+RA6wSHkC1TQhzAWUvqm1xb90o2a+PblJouB5dTJdsILh1sjn5IkkxYH4g89&#10;jnrf6+Z0mK2C636FtfleNSHGXT1beX1fn2qlHhZxtwERdAx/MNzqc3WouNPRzdR6YVinWf7CrIIs&#10;yXnEDUnzlK0jW8/rV5BVKf+vqH4BAAD//wMAUEsBAi0AFAAGAAgAAAAhALaDOJL+AAAA4QEAABMA&#10;AAAAAAAAAAAAAAAAAAAAAFtDb250ZW50X1R5cGVzXS54bWxQSwECLQAUAAYACAAAACEAOP0h/9YA&#10;AACUAQAACwAAAAAAAAAAAAAAAAAvAQAAX3JlbHMvLnJlbHNQSwECLQAUAAYACAAAACEAU9SoM9UB&#10;AAD5AwAADgAAAAAAAAAAAAAAAAAuAgAAZHJzL2Uyb0RvYy54bWxQSwECLQAUAAYACAAAACEA70mu&#10;uN4AAAANAQAADwAAAAAAAAAAAAAAAAAvBAAAZHJzL2Rvd25yZXYueG1sUEsFBgAAAAAEAAQA8wAA&#10;ADoFAAAAAA==&#10;" adj="12054" strokecolor="#156082 [3204]" strokeweight="1.5pt">
                <v:stroke endarrow="block" joinstyle="miter"/>
              </v:shape>
            </w:pict>
          </mc:Fallback>
        </mc:AlternateContent>
      </w:r>
      <w:r>
        <w:rPr>
          <w:noProof/>
        </w:rPr>
        <mc:AlternateContent>
          <mc:Choice Requires="wps">
            <w:drawing>
              <wp:anchor distT="0" distB="0" distL="114300" distR="114300" simplePos="0" relativeHeight="251637760" behindDoc="0" locked="0" layoutInCell="1" allowOverlap="1" wp14:anchorId="701275B3" wp14:editId="23DDC89D">
                <wp:simplePos x="0" y="0"/>
                <wp:positionH relativeFrom="column">
                  <wp:posOffset>6784975</wp:posOffset>
                </wp:positionH>
                <wp:positionV relativeFrom="paragraph">
                  <wp:posOffset>3273425</wp:posOffset>
                </wp:positionV>
                <wp:extent cx="3546282" cy="620202"/>
                <wp:effectExtent l="0" t="0" r="16510" b="27940"/>
                <wp:wrapNone/>
                <wp:docPr id="1122171812" name="Text Box 14"/>
                <wp:cNvGraphicFramePr/>
                <a:graphic xmlns:a="http://schemas.openxmlformats.org/drawingml/2006/main">
                  <a:graphicData uri="http://schemas.microsoft.com/office/word/2010/wordprocessingShape">
                    <wps:wsp>
                      <wps:cNvSpPr txBox="1"/>
                      <wps:spPr>
                        <a:xfrm>
                          <a:off x="0" y="0"/>
                          <a:ext cx="3546282" cy="620202"/>
                        </a:xfrm>
                        <a:prstGeom prst="roundRect">
                          <a:avLst/>
                        </a:prstGeom>
                        <a:noFill/>
                        <a:ln/>
                      </wps:spPr>
                      <wps:style>
                        <a:lnRef idx="2">
                          <a:schemeClr val="accent1"/>
                        </a:lnRef>
                        <a:fillRef idx="1">
                          <a:schemeClr val="lt1"/>
                        </a:fillRef>
                        <a:effectRef idx="0">
                          <a:schemeClr val="accent1"/>
                        </a:effectRef>
                        <a:fontRef idx="minor">
                          <a:schemeClr val="dk1"/>
                        </a:fontRef>
                      </wps:style>
                      <wps:txbx>
                        <w:txbxContent>
                          <w:p w14:paraId="28123B41" w14:textId="77777777" w:rsidR="00EF0F6E" w:rsidRPr="00EF0F6E" w:rsidRDefault="00EF0F6E" w:rsidP="00EF0F6E">
                            <w:pPr>
                              <w:jc w:val="both"/>
                              <w:rPr>
                                <w:rFonts w:ascii="Arial" w:hAnsi="Arial" w:cs="Arial"/>
                                <w:sz w:val="18"/>
                                <w:szCs w:val="18"/>
                              </w:rPr>
                            </w:pPr>
                            <w:r w:rsidRPr="00EF0F6E">
                              <w:rPr>
                                <w:rFonts w:ascii="Arial" w:hAnsi="Arial" w:cs="Arial"/>
                                <w:sz w:val="18"/>
                                <w:szCs w:val="18"/>
                              </w:rPr>
                              <w:t>Despite its importance, residential home care faces several challenges. Two of the most pressing issues are staffing shortages and quality and consistency of care.</w:t>
                            </w:r>
                          </w:p>
                          <w:p w14:paraId="3B7ED4C2" w14:textId="514390AE" w:rsidR="00BA6141" w:rsidRPr="00EF0F6E" w:rsidRDefault="00BA6141" w:rsidP="00BA6141">
                            <w:pPr>
                              <w:pStyle w:val="BodyText"/>
                              <w:jc w:val="both"/>
                              <w:rPr>
                                <w:rFonts w:ascii="Arial" w:hAnsi="Arial" w:cs="Arial"/>
                                <w:sz w:val="18"/>
                                <w:szCs w:val="18"/>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01275B3" id="_x0000_s1029" style="position:absolute;margin-left:534.25pt;margin-top:257.75pt;width:279.25pt;height:48.85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WZQXagIAAB0FAAAOAAAAZHJzL2Uyb0RvYy54bWysVE1v2zAMvQ/YfxB0X5x4adYFdYqsRYYB&#10;QVu0HXpWZKkxJouaxMTOfv0oOXa7LqdhMCBT4ofIx0ddXLa1YXvlQwW24JPRmDNlJZSVfS7498fV&#10;h3POAgpbCgNWFfygAr9cvH930bi5ymELplSeURAb5o0r+BbRzbMsyK2qRRiBU5aUGnwtkLb+OSu9&#10;aCh6bbJ8PJ5lDfjSeZAqBDq97pR8keJrrSTeah0UMlNwyg3T6tO6iWu2uBDzZy/ctpLHNMQ/ZFGL&#10;ytKlQ6hrgYLtfPVXqLqSHgJoHEmoM9C6kirVQNVMxm+qedgKp1ItBE5wA0zh/4WVN/sHd+cZtl+g&#10;pQZGQBoX5oEOYz2t9nX8U6aM9AThYYBNtcgkHX48m87y85wzSbpZPqYvhslevJ0P+FVBzaJQcA87&#10;W95TbxJkYr8O2Nn3dvFGC6vKmNQfY6P6Ja0k4cGoaGfsvdKsKimRPMVL3FFXxrO9oK4LKZXFVBhl&#10;lKyjm6bgg+PklKMZnI620U0lTg2O41OOf944eKRbweLgXFcW/KkA5Y8+Xd3Z99V3Ncfysd20VDSB&#10;33dsA+WBGumh43hwclUR2msR8E54IjX1jgYVb2nRBpqCw1HibAv+16nzaE9cIy1nDQ1JwcPPnfCK&#10;M/PNEgs/T6bTOFVpMz37lNPGv9ZsXmvsrr4C6siEngQnkxjt0fSi9lA/0Twv462kElbS3QXHXrzC&#10;bnTpPZBquUxGNEdO4No+OBlDR5QjjR7bJ+HdkXBIVL2BfpzE/A3lOtvoaWG5Q9BV4mPEuUP1iD/N&#10;YKL18b2IQ/56n6xeXrXFbwAAAP//AwBQSwMEFAAGAAgAAAAhAFxWhT3hAAAADQEAAA8AAABkcnMv&#10;ZG93bnJldi54bWxMjz1PwzAQhnck/oN1SGzUTiChCnEqQIKBAUEplNGNjyQiPkexm4Z/z3WC7V7d&#10;o/ejXM2uFxOOofOkIVkoEEi1tx01GjZvDxdLECEasqb3hBp+MMCqOj0pTWH9gV5xWsdGsAmFwmho&#10;YxwKKUPdojNh4Qck/n350ZnIcmykHc2BzV0vU6Vy6UxHnNCaAe9brL/Xe6fh5X2cnlQS/OfH1R1m&#10;z5utso9brc/P5tsbEBHn+AfDsT5Xh4o77fyebBA9a5UvM2Y1ZEnGxxHJ02vet9OQJ5cpyKqU/1dU&#10;vwAAAP//AwBQSwECLQAUAAYACAAAACEAtoM4kv4AAADhAQAAEwAAAAAAAAAAAAAAAAAAAAAAW0Nv&#10;bnRlbnRfVHlwZXNdLnhtbFBLAQItABQABgAIAAAAIQA4/SH/1gAAAJQBAAALAAAAAAAAAAAAAAAA&#10;AC8BAABfcmVscy8ucmVsc1BLAQItABQABgAIAAAAIQCuWZQXagIAAB0FAAAOAAAAAAAAAAAAAAAA&#10;AC4CAABkcnMvZTJvRG9jLnhtbFBLAQItABQABgAIAAAAIQBcVoU94QAAAA0BAAAPAAAAAAAAAAAA&#10;AAAAAMQEAABkcnMvZG93bnJldi54bWxQSwUGAAAAAAQABADzAAAA0gUAAAAA&#10;" filled="f" strokecolor="#156082 [3204]" strokeweight="1.5pt">
                <v:stroke joinstyle="miter"/>
                <v:textbox>
                  <w:txbxContent>
                    <w:p w14:paraId="28123B41" w14:textId="77777777" w:rsidR="00EF0F6E" w:rsidRPr="00EF0F6E" w:rsidRDefault="00EF0F6E" w:rsidP="00EF0F6E">
                      <w:pPr>
                        <w:jc w:val="both"/>
                        <w:rPr>
                          <w:rFonts w:ascii="Arial" w:hAnsi="Arial" w:cs="Arial"/>
                          <w:sz w:val="18"/>
                          <w:szCs w:val="18"/>
                        </w:rPr>
                      </w:pPr>
                      <w:r w:rsidRPr="00EF0F6E">
                        <w:rPr>
                          <w:rFonts w:ascii="Arial" w:hAnsi="Arial" w:cs="Arial"/>
                          <w:sz w:val="18"/>
                          <w:szCs w:val="18"/>
                        </w:rPr>
                        <w:t>Despite its importance, residential home care faces several challenges. Two of the most pressing issues are staffing shortages and quality and consistency of care.</w:t>
                      </w:r>
                    </w:p>
                    <w:p w14:paraId="3B7ED4C2" w14:textId="514390AE" w:rsidR="00BA6141" w:rsidRPr="00EF0F6E" w:rsidRDefault="00BA6141" w:rsidP="00BA6141">
                      <w:pPr>
                        <w:pStyle w:val="BodyText"/>
                        <w:jc w:val="both"/>
                        <w:rPr>
                          <w:rFonts w:ascii="Arial" w:hAnsi="Arial" w:cs="Arial"/>
                          <w:sz w:val="18"/>
                          <w:szCs w:val="18"/>
                          <w:lang w:val="en-GB"/>
                        </w:rPr>
                      </w:pPr>
                    </w:p>
                  </w:txbxContent>
                </v:textbox>
              </v:roundrect>
            </w:pict>
          </mc:Fallback>
        </mc:AlternateContent>
      </w:r>
      <w:r>
        <w:rPr>
          <w:noProof/>
        </w:rPr>
        <mc:AlternateContent>
          <mc:Choice Requires="wps">
            <w:drawing>
              <wp:anchor distT="45720" distB="45720" distL="114300" distR="114300" simplePos="0" relativeHeight="251656192" behindDoc="0" locked="0" layoutInCell="1" allowOverlap="1" wp14:anchorId="676D0961" wp14:editId="535FBD5C">
                <wp:simplePos x="0" y="0"/>
                <wp:positionH relativeFrom="margin">
                  <wp:posOffset>7910830</wp:posOffset>
                </wp:positionH>
                <wp:positionV relativeFrom="paragraph">
                  <wp:posOffset>3092450</wp:posOffset>
                </wp:positionV>
                <wp:extent cx="1438275" cy="270344"/>
                <wp:effectExtent l="0" t="0" r="28575" b="15875"/>
                <wp:wrapSquare wrapText="bothSides"/>
                <wp:docPr id="21121635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8275" cy="270344"/>
                        </a:xfrm>
                        <a:prstGeom prst="rect">
                          <a:avLst/>
                        </a:prstGeom>
                        <a:solidFill>
                          <a:srgbClr val="C5FBF8"/>
                        </a:solidFill>
                        <a:ln w="9525">
                          <a:solidFill>
                            <a:schemeClr val="bg1"/>
                          </a:solidFill>
                          <a:miter lim="800000"/>
                          <a:headEnd/>
                          <a:tailEnd/>
                        </a:ln>
                      </wps:spPr>
                      <wps:txbx>
                        <w:txbxContent>
                          <w:p w14:paraId="41CD7F08" w14:textId="35E01469" w:rsidR="00FB009A" w:rsidRPr="006C7FE7" w:rsidRDefault="00FB009A" w:rsidP="00FB009A">
                            <w:pPr>
                              <w:jc w:val="center"/>
                              <w:rPr>
                                <w:b/>
                                <w:bCs/>
                                <w:color w:val="0CA8A1"/>
                              </w:rPr>
                            </w:pPr>
                            <w:r>
                              <w:rPr>
                                <w:b/>
                                <w:bCs/>
                                <w:color w:val="0CA8A1"/>
                              </w:rPr>
                              <w:t xml:space="preserve">Challenges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6D0961" id="_x0000_s1030" type="#_x0000_t202" style="position:absolute;margin-left:622.9pt;margin-top:243.5pt;width:113.25pt;height:21.3pt;z-index:251656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3pT3HgIAACUEAAAOAAAAZHJzL2Uyb0RvYy54bWysk99u2yAUxu8n7R0Q94sdN1lSK07Vpss0&#10;qfsjdXsAjLGNhjkMSOzs6XfAbpp2d9NygTgBf+ec3/nY3AydIkdhnQRd0PkspURoDpXUTUF/fN+/&#10;W1PiPNMVU6BFQU/C0Zvt2zeb3uQigxZUJSxBEe3y3hS09d7kSeJ4KzrmZmCExsMabMc8hrZJKst6&#10;VO9UkqXp+6QHWxkLXDiH/96Ph3Qb9etacP+1rp3wRBUUa/NxtXEtw5psNyxvLDOt5FMZ7B+q6JjU&#10;mPQsdc88Iwcr/5LqJLfgoPYzDl0CdS25iD1gN/P0VTePLTMi9oJwnDljcv9Pln85PppvlvjhDgYc&#10;YGzCmQfgPx3RsGuZbsSttdC3glWYeB6QJb1x+fRpQO1yF0TK/jNUOGR28BCFhtp2gQr2SVAdB3A6&#10;QxeDJzykXFyts9WSEo5n2Sq9WixiCpY/fW2s8x8FdCRsCmpxqFGdHR+cD9Ww/OlKSOZAyWovlYqB&#10;bcqdsuTI0AC75f5uv57UX1xTmvQFvV5myxHAC4ngRXEWKZsRwatEnfRoZCW7gq7T8ButFah90FW0&#10;mWdSjXusWOkJYyA3MvRDORBZFTQCCFRLqE7I1cLoW3xnuGnB/qakR88W1P06MCsoUZ80zuZ6vlgE&#10;k8dgsVxlGNjLk/LyhGmOUgX1lIzbnY8PI2DTcIszrGXE+1zJVDJ6MVKf3k0w+2Ucbz2/7u0fAAAA&#10;//8DAFBLAwQUAAYACAAAACEA6A6k8OIAAAANAQAADwAAAGRycy9kb3ducmV2LnhtbEyPQU+DQBSE&#10;7yb+h80z8dLYpRQoIktjTIyJB6PoD9jCk0XZt4TdUvz3vp70OJnJzDflfrGDmHHyvSMFm3UEAqlx&#10;bU+dgo/3x5schA+aWj04QgU/6GFfXV6Uumjdid5wrkMnuIR8oRWYEMZCSt8YtNqv3YjE3qebrA4s&#10;p062kz5xuR1kHEWZtLonXjB6xAeDzXd9tAqs+6qzMD+95qvnJt0a/7Lp+pVS11fL/R2IgEv4C8MZ&#10;n9GhYqaDO1LrxcA6TlJmDwqSfMevzpFkF29BHBSk8W0Gsirl/xfVLwAAAP//AwBQSwECLQAUAAYA&#10;CAAAACEAtoM4kv4AAADhAQAAEwAAAAAAAAAAAAAAAAAAAAAAW0NvbnRlbnRfVHlwZXNdLnhtbFBL&#10;AQItABQABgAIAAAAIQA4/SH/1gAAAJQBAAALAAAAAAAAAAAAAAAAAC8BAABfcmVscy8ucmVsc1BL&#10;AQItABQABgAIAAAAIQB13pT3HgIAACUEAAAOAAAAAAAAAAAAAAAAAC4CAABkcnMvZTJvRG9jLnht&#10;bFBLAQItABQABgAIAAAAIQDoDqTw4gAAAA0BAAAPAAAAAAAAAAAAAAAAAHgEAABkcnMvZG93bnJl&#10;di54bWxQSwUGAAAAAAQABADzAAAAhwUAAAAA&#10;" fillcolor="#c5fbf8" strokecolor="white [3212]">
                <v:textbox>
                  <w:txbxContent>
                    <w:p w14:paraId="41CD7F08" w14:textId="35E01469" w:rsidR="00FB009A" w:rsidRPr="006C7FE7" w:rsidRDefault="00FB009A" w:rsidP="00FB009A">
                      <w:pPr>
                        <w:jc w:val="center"/>
                        <w:rPr>
                          <w:b/>
                          <w:bCs/>
                          <w:color w:val="0CA8A1"/>
                        </w:rPr>
                      </w:pPr>
                      <w:r>
                        <w:rPr>
                          <w:b/>
                          <w:bCs/>
                          <w:color w:val="0CA8A1"/>
                        </w:rPr>
                        <w:t xml:space="preserve">Challenges </w:t>
                      </w:r>
                    </w:p>
                  </w:txbxContent>
                </v:textbox>
                <w10:wrap type="square" anchorx="margin"/>
              </v:shape>
            </w:pict>
          </mc:Fallback>
        </mc:AlternateContent>
      </w:r>
      <w:r w:rsidR="001C1F40">
        <w:rPr>
          <w:noProof/>
        </w:rPr>
        <w:drawing>
          <wp:anchor distT="0" distB="0" distL="114300" distR="114300" simplePos="0" relativeHeight="251545600" behindDoc="0" locked="0" layoutInCell="1" allowOverlap="1" wp14:anchorId="08877BD9" wp14:editId="383051DD">
            <wp:simplePos x="0" y="0"/>
            <wp:positionH relativeFrom="margin">
              <wp:posOffset>6648450</wp:posOffset>
            </wp:positionH>
            <wp:positionV relativeFrom="paragraph">
              <wp:posOffset>123825</wp:posOffset>
            </wp:positionV>
            <wp:extent cx="4019550" cy="3200400"/>
            <wp:effectExtent l="0" t="0" r="0" b="0"/>
            <wp:wrapSquare wrapText="bothSides"/>
            <wp:docPr id="1595951115"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margin">
              <wp14:pctWidth>0</wp14:pctWidth>
            </wp14:sizeRelH>
            <wp14:sizeRelV relativeFrom="margin">
              <wp14:pctHeight>0</wp14:pctHeight>
            </wp14:sizeRelV>
          </wp:anchor>
        </w:drawing>
      </w:r>
      <w:r w:rsidR="003333D8">
        <w:rPr>
          <w:noProof/>
        </w:rPr>
        <mc:AlternateContent>
          <mc:Choice Requires="wps">
            <w:drawing>
              <wp:anchor distT="45720" distB="45720" distL="114300" distR="114300" simplePos="0" relativeHeight="251801600" behindDoc="0" locked="0" layoutInCell="1" allowOverlap="1" wp14:anchorId="58BB2FE8" wp14:editId="3DA00842">
                <wp:simplePos x="0" y="0"/>
                <wp:positionH relativeFrom="column">
                  <wp:posOffset>4350385</wp:posOffset>
                </wp:positionH>
                <wp:positionV relativeFrom="paragraph">
                  <wp:posOffset>648335</wp:posOffset>
                </wp:positionV>
                <wp:extent cx="2369820" cy="323850"/>
                <wp:effectExtent l="0" t="0" r="0" b="0"/>
                <wp:wrapSquare wrapText="bothSides"/>
                <wp:docPr id="19980699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9820" cy="323850"/>
                        </a:xfrm>
                        <a:prstGeom prst="flowChartPreparation">
                          <a:avLst/>
                        </a:prstGeom>
                        <a:solidFill>
                          <a:srgbClr val="C5FBF8"/>
                        </a:solidFill>
                        <a:ln w="9525">
                          <a:noFill/>
                          <a:miter lim="800000"/>
                          <a:headEnd/>
                          <a:tailEnd/>
                        </a:ln>
                      </wps:spPr>
                      <wps:txbx>
                        <w:txbxContent>
                          <w:p w14:paraId="161F7E3C" w14:textId="712E105F" w:rsidR="00397AB6" w:rsidRPr="0048124A" w:rsidRDefault="001C1F40" w:rsidP="00397AB6">
                            <w:pPr>
                              <w:jc w:val="center"/>
                              <w:rPr>
                                <w:b/>
                                <w:bCs/>
                                <w:color w:val="0CA8A1"/>
                              </w:rPr>
                            </w:pPr>
                            <w:r>
                              <w:rPr>
                                <w:b/>
                                <w:bCs/>
                                <w:color w:val="0CA8A1"/>
                              </w:rPr>
                              <w:t>Why this topic?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8BB2FE8" id="_x0000_t117" coordsize="21600,21600" o:spt="117" path="m4353,l17214,r4386,10800l17214,21600r-12861,l,10800xe">
                <v:stroke joinstyle="miter"/>
                <v:path gradientshapeok="t" o:connecttype="rect" textboxrect="4353,0,17214,21600"/>
              </v:shapetype>
              <v:shape id="_x0000_s1031" type="#_x0000_t117" style="position:absolute;margin-left:342.55pt;margin-top:51.05pt;width:186.6pt;height:25.5pt;z-index:251801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s7jHwIAAA0EAAAOAAAAZHJzL2Uyb0RvYy54bWysU9tu2zAMfR+wfxD0vjg3d4kRp2jTZRjQ&#10;bQW6fYAiy7EwWdQoJXb39aXkNA26t2F+EERTPCQPD1fXfWvYUaHXYEs+GY05U1ZCpe2+5D9/bD8s&#10;OPNB2EoYsKrkT8rz6/X7d6vOFWoKDZhKISMQ64vOlbwJwRVZ5mWjWuFH4JQlZw3YikAm7rMKRUfo&#10;rcmm4/FV1gFWDkEq7+nv3eDk64Rf10qG73XtVWCm5FRbSCemcxfPbL0SxR6Fa7Q8lSH+oYpWaEtJ&#10;z1B3Igh2QP0XVKslgoc6jCS0GdS1lir1QN1Mxm+6eWyEU6kXIse7M03+/8HKb8dH94As9LfQ0wBT&#10;E97dg/zlmYVNI+xe3SBC1yhRUeJJpCzrnC9OoZFqX/gIsuu+QkVDFocACaivsY2sUJ+M0GkAT2fS&#10;VR+YpJ/T2dVyMSWXJN9sOlvkaSqZKF6iHfrwWUHL4qXktYGO6sLwgMoJFIGkl7KJ470PsTpRvITE&#10;5B6MrrbamGTgfrcxyI6CBLHJt7fbRWrozTNjWVfyZT7NE7KFGJ+00upAgjW6LfliHL9BQpGdT7ZK&#10;T4LQZrhTJcae6IoMDVyFftczXZU8j7GRvR1UT8QfwqBP2ie6NIB/OOtImyX3vw8CFWfmi6UZLCfz&#10;eRRzMub5x8geXnp2lx5hJUGVPHA2XDchLUCkw8INzarWibbXSk4lk+YSm6f9iKK+tNOr1y1ePwMA&#10;AP//AwBQSwMEFAAGAAgAAAAhADgTj27dAAAADAEAAA8AAABkcnMvZG93bnJldi54bWxMj8FugzAQ&#10;RO+V+g/WRuqtsUlKhAgmQpGaQ28lUc8b7AIC28h2Av37bk7tbVbzNDtTHBYzsrv2oXdWQrIWwLRt&#10;nOptK+Fyfn/NgIWIVuHorJbwowMcyuenAnPlZvup73VsGYXYkKOELsYp5zw0nTYY1m7Slrxv5w1G&#10;On3LlceZws3IN0LsuMHe0ocOJ33sdDPUNyNBnHl8w4ufh+EDq+r4dZprPEn5slqqPbCol/gHw6M+&#10;VYeSOl3dzarARgm7LE0IJUNsSDwIkWZbYFdS6TYBXhb8/4jyFwAA//8DAFBLAQItABQABgAIAAAA&#10;IQC2gziS/gAAAOEBAAATAAAAAAAAAAAAAAAAAAAAAABbQ29udGVudF9UeXBlc10ueG1sUEsBAi0A&#10;FAAGAAgAAAAhADj9If/WAAAAlAEAAAsAAAAAAAAAAAAAAAAALwEAAF9yZWxzLy5yZWxzUEsBAi0A&#10;FAAGAAgAAAAhANEazuMfAgAADQQAAA4AAAAAAAAAAAAAAAAALgIAAGRycy9lMm9Eb2MueG1sUEsB&#10;Ai0AFAAGAAgAAAAhADgTj27dAAAADAEAAA8AAAAAAAAAAAAAAAAAeQQAAGRycy9kb3ducmV2Lnht&#10;bFBLBQYAAAAABAAEAPMAAACDBQAAAAA=&#10;" fillcolor="#c5fbf8" stroked="f">
                <v:textbox>
                  <w:txbxContent>
                    <w:p w14:paraId="161F7E3C" w14:textId="712E105F" w:rsidR="00397AB6" w:rsidRPr="0048124A" w:rsidRDefault="001C1F40" w:rsidP="00397AB6">
                      <w:pPr>
                        <w:jc w:val="center"/>
                        <w:rPr>
                          <w:b/>
                          <w:bCs/>
                          <w:color w:val="0CA8A1"/>
                        </w:rPr>
                      </w:pPr>
                      <w:r>
                        <w:rPr>
                          <w:b/>
                          <w:bCs/>
                          <w:color w:val="0CA8A1"/>
                        </w:rPr>
                        <w:t>Why this topic?</w:t>
                      </w:r>
                    </w:p>
                  </w:txbxContent>
                </v:textbox>
                <w10:wrap type="square"/>
              </v:shape>
            </w:pict>
          </mc:Fallback>
        </mc:AlternateContent>
      </w:r>
      <w:r w:rsidR="003333D8">
        <w:rPr>
          <w:noProof/>
        </w:rPr>
        <mc:AlternateContent>
          <mc:Choice Requires="wps">
            <w:drawing>
              <wp:anchor distT="45720" distB="45720" distL="114300" distR="114300" simplePos="0" relativeHeight="251697152" behindDoc="0" locked="0" layoutInCell="1" allowOverlap="1" wp14:anchorId="64B8D92F" wp14:editId="7CA131CE">
                <wp:simplePos x="0" y="0"/>
                <wp:positionH relativeFrom="column">
                  <wp:posOffset>428625</wp:posOffset>
                </wp:positionH>
                <wp:positionV relativeFrom="paragraph">
                  <wp:posOffset>714375</wp:posOffset>
                </wp:positionV>
                <wp:extent cx="3457575" cy="323850"/>
                <wp:effectExtent l="0" t="0" r="9525" b="0"/>
                <wp:wrapSquare wrapText="bothSides"/>
                <wp:docPr id="4272298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7575" cy="323850"/>
                        </a:xfrm>
                        <a:prstGeom prst="flowChartPreparation">
                          <a:avLst/>
                        </a:prstGeom>
                        <a:solidFill>
                          <a:srgbClr val="C5FBF8"/>
                        </a:solidFill>
                        <a:ln w="9525">
                          <a:noFill/>
                          <a:miter lim="800000"/>
                          <a:headEnd/>
                          <a:tailEnd/>
                        </a:ln>
                      </wps:spPr>
                      <wps:txbx>
                        <w:txbxContent>
                          <w:p w14:paraId="7F953B8E" w14:textId="21C491CC" w:rsidR="00723FA8" w:rsidRPr="0048124A" w:rsidRDefault="00723FA8" w:rsidP="00723FA8">
                            <w:pPr>
                              <w:jc w:val="center"/>
                              <w:rPr>
                                <w:b/>
                                <w:bCs/>
                                <w:color w:val="0CA8A1"/>
                              </w:rPr>
                            </w:pPr>
                            <w:r w:rsidRPr="0048124A">
                              <w:rPr>
                                <w:b/>
                                <w:bCs/>
                                <w:color w:val="0CA8A1"/>
                              </w:rPr>
                              <w:t xml:space="preserve">Residential Care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B8D92F" id="_x0000_s1032" type="#_x0000_t117" style="position:absolute;margin-left:33.75pt;margin-top:56.25pt;width:272.25pt;height:25.5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9UYHgIAAA0EAAAOAAAAZHJzL2Uyb0RvYy54bWysU9tu2zAMfR+wfxD0vjjXLjXiFG26DAO6&#10;rUC3D5BlORYmixqlxM6+vpScpkH3NswGBFIUj8jDo9VN3xp2UOg12IJPRmPOlJVQabsr+M8f2w9L&#10;znwQthIGrCr4UXl+s37/btW5XE2hAVMpZARifd65gjchuDzLvGxUK/wInLIUrAFbEcjFXVah6Ai9&#10;Ndl0PL7KOsDKIUjlPe3eD0G+Tvh1rWT4XtdeBWYKTrWFtGJay7hm65XIdyhco+WpDPEPVbRCW7r0&#10;DHUvgmB71H9BtVoieKjDSEKbQV1rqVIP1M1k/Kabp0Y4lXohcrw70+T/H6z8dnhyj8hCfwc9DTA1&#10;4d0DyF+eWdg0wu7ULSJ0jRIVXTyJlGWd8/kpNVLtcx9Byu4rVDRksQ+QgPoa28gK9ckInQZwPJOu&#10;+sAkbc7mi4/0cyYpNpvOlos0lUzkL9kOffisoGXRKHhtoKO6MDyicgJFIOml28ThwYdYnchfUuLl&#10;HoyuttqY5OCu3BhkB0GC2Cy2d9tlaujNMWNZV/DrxXSRkC3E/KSVVgcSrNFtwZfj+A0Siux8slU6&#10;EoQ2g02VGHuiKzI0cBX6sme6KvhVzI3slVAdiT+EQZ/0nshoAP9w1pE2C+5/7wUqzswXSzO4nszn&#10;UczJIfqm5OBlpLyMCCsJquCBs8HchPQAIh0WbmlWtU60vVZyKpk0l9g8vY8o6ks/nXp9xetnAAAA&#10;//8DAFBLAwQUAAYACAAAACEAHC5E3dwAAAAKAQAADwAAAGRycy9kb3ducmV2LnhtbEyPQU/DMAyF&#10;70j8h8hI3FjawgoqTadqEjtwo5s4e01oqzZOlWRr+feYE9zs56fn75W71U7ianwYHClINwkIQ63T&#10;A3UKTse3hxcQISJpnBwZBd8mwK66vSmx0G6hD3NtYic4hEKBCvoY50LK0PbGYti42RDfvpy3GHn1&#10;ndQeFw63k8ySJJcWB+IPPc5m35t2bC5WQXKU8QlPfhnHd6zr/edhafCg1P3dWr+CiGaNf2b4xWd0&#10;qJjp7C6kg5gU5M9bdrKeZjywIU8zLndmJX/cgqxK+b9C9QMAAP//AwBQSwECLQAUAAYACAAAACEA&#10;toM4kv4AAADhAQAAEwAAAAAAAAAAAAAAAAAAAAAAW0NvbnRlbnRfVHlwZXNdLnhtbFBLAQItABQA&#10;BgAIAAAAIQA4/SH/1gAAAJQBAAALAAAAAAAAAAAAAAAAAC8BAABfcmVscy8ucmVsc1BLAQItABQA&#10;BgAIAAAAIQC2/9UYHgIAAA0EAAAOAAAAAAAAAAAAAAAAAC4CAABkcnMvZTJvRG9jLnhtbFBLAQIt&#10;ABQABgAIAAAAIQAcLkTd3AAAAAoBAAAPAAAAAAAAAAAAAAAAAHgEAABkcnMvZG93bnJldi54bWxQ&#10;SwUGAAAAAAQABADzAAAAgQUAAAAA&#10;" fillcolor="#c5fbf8" stroked="f">
                <v:textbox>
                  <w:txbxContent>
                    <w:p w14:paraId="7F953B8E" w14:textId="21C491CC" w:rsidR="00723FA8" w:rsidRPr="0048124A" w:rsidRDefault="00723FA8" w:rsidP="00723FA8">
                      <w:pPr>
                        <w:jc w:val="center"/>
                        <w:rPr>
                          <w:b/>
                          <w:bCs/>
                          <w:color w:val="0CA8A1"/>
                        </w:rPr>
                      </w:pPr>
                      <w:r w:rsidRPr="0048124A">
                        <w:rPr>
                          <w:b/>
                          <w:bCs/>
                          <w:color w:val="0CA8A1"/>
                        </w:rPr>
                        <w:t xml:space="preserve">Residential Care </w:t>
                      </w:r>
                    </w:p>
                  </w:txbxContent>
                </v:textbox>
                <w10:wrap type="square"/>
              </v:shape>
            </w:pict>
          </mc:Fallback>
        </mc:AlternateContent>
      </w:r>
      <w:r w:rsidR="00397AB6">
        <w:rPr>
          <w:noProof/>
        </w:rPr>
        <mc:AlternateContent>
          <mc:Choice Requires="wps">
            <w:drawing>
              <wp:anchor distT="0" distB="0" distL="114300" distR="114300" simplePos="0" relativeHeight="251676672" behindDoc="0" locked="0" layoutInCell="1" allowOverlap="1" wp14:anchorId="38DD89B1" wp14:editId="047CE68D">
                <wp:simplePos x="0" y="0"/>
                <wp:positionH relativeFrom="column">
                  <wp:posOffset>3628338</wp:posOffset>
                </wp:positionH>
                <wp:positionV relativeFrom="paragraph">
                  <wp:posOffset>4791456</wp:posOffset>
                </wp:positionV>
                <wp:extent cx="504749" cy="936346"/>
                <wp:effectExtent l="0" t="0" r="48260" b="54610"/>
                <wp:wrapNone/>
                <wp:docPr id="1941154626" name="Connector: Curved 14"/>
                <wp:cNvGraphicFramePr/>
                <a:graphic xmlns:a="http://schemas.openxmlformats.org/drawingml/2006/main">
                  <a:graphicData uri="http://schemas.microsoft.com/office/word/2010/wordprocessingShape">
                    <wps:wsp>
                      <wps:cNvCnPr/>
                      <wps:spPr>
                        <a:xfrm>
                          <a:off x="0" y="0"/>
                          <a:ext cx="504749" cy="936346"/>
                        </a:xfrm>
                        <a:prstGeom prst="curvedConnector3">
                          <a:avLst>
                            <a:gd name="adj1" fmla="val 5672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87B6B4" id="Connector: Curved 14" o:spid="_x0000_s1026" type="#_x0000_t38" style="position:absolute;margin-left:285.7pt;margin-top:377.3pt;width:39.75pt;height:73.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YSt2QEAAPoDAAAOAAAAZHJzL2Uyb0RvYy54bWysU9uO0zAQfUfiHyy/0yRtt8tGTfehC7wg&#10;WHH5AK89box8k+1N2r9n7KYpAqSVEC+T2J5zZs7xeHt/NJoMEKJytqPNoqYELHdC2UNHv397/+Yt&#10;JTExK5h2Fjp6gkjvd69fbUffwtL1TgsIBElsbEff0T4l31ZV5D0YFhfOg8VD6YJhCZfhUInARmQ3&#10;ulrW9aYaXRA+OA4x4u7D+ZDuCr+UwNNnKSMkojuKvaUSQ4lPOVa7LWsPgfle8akN9g9dGKYsFp2p&#10;Hlhi5DmoP6iM4sFFJ9OCO1M5KRWHogHVNPVvar72zEPRguZEP9sU/x8t/zTs7WNAG0Yf2+gfQ1Zx&#10;lMHkL/ZHjsWs02wWHBPhuHlTr2/Xd5RwPLpbbVbrTTazuoJ9iOkDOEPyT0f5cxhA7J21eCkurIpd&#10;bPgYU/FNEMsMDggTPxpKpNF4DQPT5GZzu2wm5ikba1y4M1TbHBNT+p0VJJ08sqSgmD1omIA5pboK&#10;LH/ppOEM/wKSKIGSlqWnMnuw14FgfWyIc7Dp0oK2mJ1hUmk9A+uXgVN+hkKZyxncvAyeEaWys2kG&#10;G2Vd+BtBOl5aluf8iwNn3dmCJydO5eqLNThg5fqmx5An+Nd1gV+f7O4nAAAA//8DAFBLAwQUAAYA&#10;CAAAACEAvQ40/t8AAAALAQAADwAAAGRycy9kb3ducmV2LnhtbEyPwU7DMBBE70j8g7VIXCpqJ2oc&#10;mmZTISSOSFB64ebGbhIRryPbacPfY05wXM3TzNt6v9iRXYwPgyOEbC2AGWqdHqhDOH68PDwCC1GR&#10;VqMjg/BtAuyb25taVdpd6d1cDrFjqYRCpRD6GKeK89D2xqqwdpOhlJ2dtyqm03dce3VN5XbkuRCS&#10;WzVQWujVZJ57034dZoswl2/ycxVeV7qX+uhdJ1zeCsT7u+VpByyaJf7B8Kuf1KFJTic3kw5sRCjK&#10;bJNQhLLYSGCJkIXYAjshbEWeAW9q/v+H5gcAAP//AwBQSwECLQAUAAYACAAAACEAtoM4kv4AAADh&#10;AQAAEwAAAAAAAAAAAAAAAAAAAAAAW0NvbnRlbnRfVHlwZXNdLnhtbFBLAQItABQABgAIAAAAIQA4&#10;/SH/1gAAAJQBAAALAAAAAAAAAAAAAAAAAC8BAABfcmVscy8ucmVsc1BLAQItABQABgAIAAAAIQDf&#10;yYSt2QEAAPoDAAAOAAAAAAAAAAAAAAAAAC4CAABkcnMvZTJvRG9jLnhtbFBLAQItABQABgAIAAAA&#10;IQC9DjT+3wAAAAsBAAAPAAAAAAAAAAAAAAAAADMEAABkcnMvZG93bnJldi54bWxQSwUGAAAAAAQA&#10;BADzAAAAPwUAAAAA&#10;" adj="12252" strokecolor="#156082 [3204]" strokeweight="1.5pt">
                <v:stroke endarrow="block" joinstyle="miter"/>
              </v:shape>
            </w:pict>
          </mc:Fallback>
        </mc:AlternateContent>
      </w:r>
      <w:r w:rsidR="00397AB6">
        <w:rPr>
          <w:noProof/>
        </w:rPr>
        <w:drawing>
          <wp:anchor distT="0" distB="0" distL="114300" distR="114300" simplePos="0" relativeHeight="251621376" behindDoc="1" locked="0" layoutInCell="1" allowOverlap="1" wp14:anchorId="2CE13F21" wp14:editId="5CF45104">
            <wp:simplePos x="0" y="0"/>
            <wp:positionH relativeFrom="margin">
              <wp:posOffset>3471824</wp:posOffset>
            </wp:positionH>
            <wp:positionV relativeFrom="paragraph">
              <wp:posOffset>5404663</wp:posOffset>
            </wp:positionV>
            <wp:extent cx="3411220" cy="2147392"/>
            <wp:effectExtent l="19050" t="0" r="17780" b="5715"/>
            <wp:wrapTight wrapText="bothSides">
              <wp:wrapPolygon edited="0">
                <wp:start x="8203" y="0"/>
                <wp:lineTo x="7961" y="767"/>
                <wp:lineTo x="7961" y="3450"/>
                <wp:lineTo x="2774" y="4025"/>
                <wp:lineTo x="2171" y="4217"/>
                <wp:lineTo x="2171" y="10925"/>
                <wp:lineTo x="5187" y="12650"/>
                <wp:lineTo x="-121" y="13224"/>
                <wp:lineTo x="-121" y="20316"/>
                <wp:lineTo x="9891" y="21466"/>
                <wp:lineTo x="11821" y="21466"/>
                <wp:lineTo x="17973" y="21083"/>
                <wp:lineTo x="21592" y="20316"/>
                <wp:lineTo x="21592" y="13416"/>
                <wp:lineTo x="21109" y="13224"/>
                <wp:lineTo x="16164" y="12650"/>
                <wp:lineTo x="19541" y="10733"/>
                <wp:lineTo x="19662" y="4408"/>
                <wp:lineTo x="18576" y="3833"/>
                <wp:lineTo x="13631" y="3450"/>
                <wp:lineTo x="13510" y="0"/>
                <wp:lineTo x="8203" y="0"/>
              </wp:wrapPolygon>
            </wp:wrapTight>
            <wp:docPr id="970544050" name="Diagram 18" descr="VHGFHG"/>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14:sizeRelH relativeFrom="margin">
              <wp14:pctWidth>0</wp14:pctWidth>
            </wp14:sizeRelH>
            <wp14:sizeRelV relativeFrom="margin">
              <wp14:pctHeight>0</wp14:pctHeight>
            </wp14:sizeRelV>
          </wp:anchor>
        </w:drawing>
      </w:r>
      <w:r w:rsidR="00397AB6">
        <w:rPr>
          <w:noProof/>
        </w:rPr>
        <mc:AlternateContent>
          <mc:Choice Requires="wps">
            <w:drawing>
              <wp:anchor distT="0" distB="0" distL="114300" distR="114300" simplePos="0" relativeHeight="251781120" behindDoc="0" locked="0" layoutInCell="1" allowOverlap="1" wp14:anchorId="0B1DA590" wp14:editId="4AD1831E">
                <wp:simplePos x="0" y="0"/>
                <wp:positionH relativeFrom="column">
                  <wp:posOffset>4396435</wp:posOffset>
                </wp:positionH>
                <wp:positionV relativeFrom="paragraph">
                  <wp:posOffset>863194</wp:posOffset>
                </wp:positionV>
                <wp:extent cx="2186940" cy="4513478"/>
                <wp:effectExtent l="0" t="0" r="22860" b="20955"/>
                <wp:wrapNone/>
                <wp:docPr id="1054350733" name="Text Box 14"/>
                <wp:cNvGraphicFramePr/>
                <a:graphic xmlns:a="http://schemas.openxmlformats.org/drawingml/2006/main">
                  <a:graphicData uri="http://schemas.microsoft.com/office/word/2010/wordprocessingShape">
                    <wps:wsp>
                      <wps:cNvSpPr txBox="1"/>
                      <wps:spPr>
                        <a:xfrm>
                          <a:off x="0" y="0"/>
                          <a:ext cx="2186940" cy="4513478"/>
                        </a:xfrm>
                        <a:prstGeom prst="roundRect">
                          <a:avLst/>
                        </a:prstGeom>
                        <a:noFill/>
                        <a:ln/>
                      </wps:spPr>
                      <wps:style>
                        <a:lnRef idx="2">
                          <a:schemeClr val="accent1"/>
                        </a:lnRef>
                        <a:fillRef idx="1">
                          <a:schemeClr val="lt1"/>
                        </a:fillRef>
                        <a:effectRef idx="0">
                          <a:schemeClr val="accent1"/>
                        </a:effectRef>
                        <a:fontRef idx="minor">
                          <a:schemeClr val="dk1"/>
                        </a:fontRef>
                      </wps:style>
                      <wps:txbx>
                        <w:txbxContent>
                          <w:p w14:paraId="5B919149" w14:textId="77777777" w:rsidR="00397AB6" w:rsidRPr="00397AB6" w:rsidRDefault="00397AB6" w:rsidP="00397AB6">
                            <w:pPr>
                              <w:jc w:val="both"/>
                              <w:rPr>
                                <w:rFonts w:ascii="Arial" w:hAnsi="Arial" w:cs="Arial"/>
                                <w:sz w:val="16"/>
                                <w:szCs w:val="16"/>
                              </w:rPr>
                            </w:pPr>
                            <w:r w:rsidRPr="00397AB6">
                              <w:rPr>
                                <w:rFonts w:ascii="Arial" w:hAnsi="Arial" w:cs="Arial"/>
                                <w:sz w:val="16"/>
                                <w:szCs w:val="16"/>
                              </w:rPr>
                              <w:t>Residential home care facilities, often referred to as care homes, nursing homes, or assisted living facilities, provide accommodation and daily support for people who cannot manage their personal care independently. Services commonly offered include assistance with bathing, dressing, eating, mobility, medication management, and medical monitoring (NHS, 2025). Many facilities also offer social and recreational activities, physiotherapy, and support for cognitive conditions such as dementia, recognising that holistic care improves both physical health and mental wellbeing.</w:t>
                            </w:r>
                          </w:p>
                          <w:p w14:paraId="7A7F8657" w14:textId="77777777" w:rsidR="00397AB6" w:rsidRPr="00397AB6" w:rsidRDefault="00397AB6" w:rsidP="00397AB6">
                            <w:pPr>
                              <w:jc w:val="both"/>
                              <w:rPr>
                                <w:rFonts w:ascii="Arial" w:hAnsi="Arial" w:cs="Arial"/>
                                <w:sz w:val="16"/>
                                <w:szCs w:val="16"/>
                              </w:rPr>
                            </w:pPr>
                            <w:r w:rsidRPr="00397AB6">
                              <w:rPr>
                                <w:rFonts w:ascii="Arial" w:hAnsi="Arial" w:cs="Arial"/>
                                <w:sz w:val="16"/>
                                <w:szCs w:val="16"/>
                              </w:rPr>
                              <w:t>The primary distinction between residential care and domiciliary care lies in the intensity and availability of support. Residential homes provide continuous care and supervision, which is particularly essential for individuals with complex medical needs or high dependency levels. Staffed by trained healthcare professionals and care assistants, these facilities operate under strict regulations to ensure safety, dignity, and quality care (Care Quality Commission, 2025).</w:t>
                            </w:r>
                          </w:p>
                          <w:p w14:paraId="1E6FB522" w14:textId="42AE1558" w:rsidR="000F4B30" w:rsidRPr="00397AB6" w:rsidRDefault="000F4B30" w:rsidP="000F4B30">
                            <w:pPr>
                              <w:pStyle w:val="BodyText"/>
                              <w:jc w:val="both"/>
                              <w:rPr>
                                <w:rFonts w:ascii="Arial" w:hAnsi="Arial" w:cs="Arial"/>
                                <w:sz w:val="16"/>
                                <w:szCs w:val="16"/>
                                <w:lang w:val="en-GB"/>
                              </w:rPr>
                            </w:pPr>
                            <w:r w:rsidRPr="00397AB6">
                              <w:rPr>
                                <w:rFonts w:ascii="Arial" w:hAnsi="Arial" w:cs="Arial"/>
                                <w:b/>
                                <w:bCs/>
                                <w:sz w:val="16"/>
                                <w:szCs w:val="16"/>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B1DA590" id="_x0000_s1033" style="position:absolute;margin-left:346.2pt;margin-top:67.95pt;width:172.2pt;height:355.4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qAsagIAAB4FAAAOAAAAZHJzL2Uyb0RvYy54bWysVN9P2zAQfp+0/8Hy+5qmK1AqUtSBOk1C&#10;gICJZ9exaTTH59nXJt1fv7PTBMb6NO0lOfvuvvv1nS8u29qwnfKhAlvwfDTmTFkJZWVfCv79afVp&#10;xllAYUthwKqC71Xgl4uPHy4aN1cT2IAplWcEYsO8cQXfILp5lgW5UbUII3DKklKDrwXS0b9kpRcN&#10;odcmm4zHp1kDvnQepAqBbq87JV8kfK2VxDutg0JmCk65Yfr69F3Hb7a4EPMXL9ymkoc0xD9kUYvK&#10;UtAB6lqgYFtf/QVVV9JDAI0jCXUGWldSpRqomnz8rprHjXAq1ULNCW5oU/h/sPJ29+juPcP2C7Q0&#10;wNiQxoV5oMtYT6t9Hf+UKSM9tXA/tE21yCRdTvLZ6fmUVJJ005P88/RsFnGyV3fnA35VULMoFNzD&#10;1pYPNJzUM7G7CdjZ93YxpIVVZUwakLFR/ZpXknBvVLQz9kFpVpUxk4SXyKOujGc7QWMXUiqLqTLK&#10;KFlHN03gg2N+zNEMTgfb6KYSqQbH8THHPyMOHikqWByc68qCPwZQ/ujT1Z19X31Xcywf23VLRRf8&#10;rB/ZGso9TdJDR/Lg5Kqibt+IgPfCE6tpQrSpeEcfbaApOBwkzjbgfx27j/ZENtJy1tCWFDz83Aqv&#10;ODPfLNHwPJ/GwWM6TE/OJnTwbzXrtxq7ra+AJpLTm+BkEqM9ml7UHupnWuhljEoqYSXFLjj24hV2&#10;u0sPglTLZTKiRXICb+yjkxE6djnS6Kl9Ft4dCIfE1Vvo90nM31Gus42eFpZbBF0lPsY+d1099J+W&#10;MNH68GDELX97Tlavz9riNwAAAP//AwBQSwMEFAAGAAgAAAAhAMz/D3jiAAAADAEAAA8AAABkcnMv&#10;ZG93bnJldi54bWxMj8FOwzAQRO9I/IO1SNyo3TYNbYhTARIcOCAohXJ04yWJiNdR7Kbh79me4Lia&#10;p9k3+Xp0rRiwD40nDdOJAoFUettQpWH79nC1BBGiIWtaT6jhBwOsi/Oz3GTWH+kVh02sBJdQyIyG&#10;OsYukzKUNToTJr5D4uzL985EPvtK2t4cudy1cqZUKp1piD/UpsP7GsvvzcFpeHnvhyc1Df7zI7nD&#10;xfN2p+zjTuvLi/H2BkTEMf7BcNJndSjYae8PZINoNaSrWcIoB/PFCsSJUPOU1+w1LJP0GmSRy/8j&#10;il8AAAD//wMAUEsBAi0AFAAGAAgAAAAhALaDOJL+AAAA4QEAABMAAAAAAAAAAAAAAAAAAAAAAFtD&#10;b250ZW50X1R5cGVzXS54bWxQSwECLQAUAAYACAAAACEAOP0h/9YAAACUAQAACwAAAAAAAAAAAAAA&#10;AAAvAQAAX3JlbHMvLnJlbHNQSwECLQAUAAYACAAAACEAJZqgLGoCAAAeBQAADgAAAAAAAAAAAAAA&#10;AAAuAgAAZHJzL2Uyb0RvYy54bWxQSwECLQAUAAYACAAAACEAzP8PeOIAAAAMAQAADwAAAAAAAAAA&#10;AAAAAADEBAAAZHJzL2Rvd25yZXYueG1sUEsFBgAAAAAEAAQA8wAAANMFAAAAAA==&#10;" filled="f" strokecolor="#156082 [3204]" strokeweight="1.5pt">
                <v:stroke joinstyle="miter"/>
                <v:textbox>
                  <w:txbxContent>
                    <w:p w14:paraId="5B919149" w14:textId="77777777" w:rsidR="00397AB6" w:rsidRPr="00397AB6" w:rsidRDefault="00397AB6" w:rsidP="00397AB6">
                      <w:pPr>
                        <w:jc w:val="both"/>
                        <w:rPr>
                          <w:rFonts w:ascii="Arial" w:hAnsi="Arial" w:cs="Arial"/>
                          <w:sz w:val="16"/>
                          <w:szCs w:val="16"/>
                        </w:rPr>
                      </w:pPr>
                      <w:r w:rsidRPr="00397AB6">
                        <w:rPr>
                          <w:rFonts w:ascii="Arial" w:hAnsi="Arial" w:cs="Arial"/>
                          <w:sz w:val="16"/>
                          <w:szCs w:val="16"/>
                        </w:rPr>
                        <w:t>Residential home care facilities, often referred to as care homes, nursing homes, or assisted living facilities, provide accommodation and daily support for people who cannot manage their personal care independently. Services commonly offered include assistance with bathing, dressing, eating, mobility, medication management, and medical monitoring (NHS, 2025). Many facilities also offer social and recreational activities, physiotherapy, and support for cognitive conditions such as dementia, recognising that holistic care improves both physical health and mental wellbeing.</w:t>
                      </w:r>
                    </w:p>
                    <w:p w14:paraId="7A7F8657" w14:textId="77777777" w:rsidR="00397AB6" w:rsidRPr="00397AB6" w:rsidRDefault="00397AB6" w:rsidP="00397AB6">
                      <w:pPr>
                        <w:jc w:val="both"/>
                        <w:rPr>
                          <w:rFonts w:ascii="Arial" w:hAnsi="Arial" w:cs="Arial"/>
                          <w:sz w:val="16"/>
                          <w:szCs w:val="16"/>
                        </w:rPr>
                      </w:pPr>
                      <w:r w:rsidRPr="00397AB6">
                        <w:rPr>
                          <w:rFonts w:ascii="Arial" w:hAnsi="Arial" w:cs="Arial"/>
                          <w:sz w:val="16"/>
                          <w:szCs w:val="16"/>
                        </w:rPr>
                        <w:t>The primary distinction between residential care and domiciliary care lies in the intensity and availability of support. Residential homes provide continuous care and supervision, which is particularly essential for individuals with complex medical needs or high dependency levels. Staffed by trained healthcare professionals and care assistants, these facilities operate under strict regulations to ensure safety, dignity, and quality care (Care Quality Commission, 2025).</w:t>
                      </w:r>
                    </w:p>
                    <w:p w14:paraId="1E6FB522" w14:textId="42AE1558" w:rsidR="000F4B30" w:rsidRPr="00397AB6" w:rsidRDefault="000F4B30" w:rsidP="000F4B30">
                      <w:pPr>
                        <w:pStyle w:val="BodyText"/>
                        <w:jc w:val="both"/>
                        <w:rPr>
                          <w:rFonts w:ascii="Arial" w:hAnsi="Arial" w:cs="Arial"/>
                          <w:sz w:val="16"/>
                          <w:szCs w:val="16"/>
                          <w:lang w:val="en-GB"/>
                        </w:rPr>
                      </w:pPr>
                      <w:r w:rsidRPr="00397AB6">
                        <w:rPr>
                          <w:rFonts w:ascii="Arial" w:hAnsi="Arial" w:cs="Arial"/>
                          <w:b/>
                          <w:bCs/>
                          <w:sz w:val="16"/>
                          <w:szCs w:val="16"/>
                        </w:rPr>
                        <w:br/>
                      </w:r>
                    </w:p>
                  </w:txbxContent>
                </v:textbox>
              </v:roundrect>
            </w:pict>
          </mc:Fallback>
        </mc:AlternateContent>
      </w:r>
      <w:r w:rsidR="00397AB6">
        <w:rPr>
          <w:noProof/>
        </w:rPr>
        <mc:AlternateContent>
          <mc:Choice Requires="wps">
            <w:drawing>
              <wp:anchor distT="0" distB="0" distL="114300" distR="114300" simplePos="0" relativeHeight="251598848" behindDoc="0" locked="0" layoutInCell="1" allowOverlap="1" wp14:anchorId="20E8DA7C" wp14:editId="4481AF61">
                <wp:simplePos x="0" y="0"/>
                <wp:positionH relativeFrom="column">
                  <wp:posOffset>4198925</wp:posOffset>
                </wp:positionH>
                <wp:positionV relativeFrom="paragraph">
                  <wp:posOffset>709574</wp:posOffset>
                </wp:positionV>
                <wp:extent cx="1214323" cy="1272845"/>
                <wp:effectExtent l="0" t="0" r="24130" b="22860"/>
                <wp:wrapNone/>
                <wp:docPr id="927268303" name="Rectangle 19"/>
                <wp:cNvGraphicFramePr/>
                <a:graphic xmlns:a="http://schemas.openxmlformats.org/drawingml/2006/main">
                  <a:graphicData uri="http://schemas.microsoft.com/office/word/2010/wordprocessingShape">
                    <wps:wsp>
                      <wps:cNvSpPr/>
                      <wps:spPr>
                        <a:xfrm>
                          <a:off x="0" y="0"/>
                          <a:ext cx="1214323" cy="1272845"/>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30ACC" id="Rectangle 19" o:spid="_x0000_s1026" style="position:absolute;margin-left:330.6pt;margin-top:55.85pt;width:95.6pt;height:100.2pt;z-index:251598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DlOewIAAIcFAAAOAAAAZHJzL2Uyb0RvYy54bWysVE1v2zAMvQ/YfxB0X/3RdO2COkWQIsOA&#10;oi3aDj0rshQLkEVNUuJkv36U7DhtV+xQ7CKLIvlIPpO8vNq1mmyF8wpMRYuTnBJhONTKrCv682n5&#10;5YISH5ipmQYjKroXnl7NPn+67OxUlNCAroUjCGL8tLMVbUKw0yzzvBEt8ydghUGlBNeygKJbZ7Vj&#10;HaK3Oivz/GvWgautAy68x9frXklnCV9KwcOdlF4EoiuKuYV0unSu4pnNLtl07ZhtFB/SYB/IomXK&#10;YNAR6poFRjZO/QXVKu7AgwwnHNoMpFRcpBqwmiJ/U81jw6xItSA53o40+f8Hy2+3j/beIQ2d9VOP&#10;11jFTro2fjE/sktk7UeyxC4Qjo9FWUxOy1NKOOqK8ry8mJxFOrOju3U+fBfQknipqMO/kUhi2xsf&#10;etODSYzmQat6qbROQuwAsdCObBn+u9W6GMBfWWnzIUfMMXpmx5rTLey1iHjaPAhJVI1Vlinh1I7H&#10;ZBjnwoSiVzWsFn2OxVmep45C+NEjEZIAI7LE6kbsAeB1oQfsnp7BPrqK1M2jc/6vxHrn0SNFBhNG&#10;51YZcO8BaKxqiNzbH0jqqYksraDe3zvioJ8lb/lS4e+9YT7cM4fDg2OGCyHc4SE1dBWF4UZJA+73&#10;e+/RHnsatZR0OIwV9b82zAlK9A+D3f6tmEzi9CZhcnZeouBealYvNWbTLgB7psDVY3m6RvugD1fp&#10;oH3GvTGPUVHFDMfYFeXBHYRF6JcEbh4u5vNkhhNrWbgxj5ZH8MhqbN+n3TNzdujxgONxC4fBZdM3&#10;rd7bRk8D800AqdIcHHkd+MZpT40zbKa4Tl7Kyeq4P2d/AAAA//8DAFBLAwQUAAYACAAAACEAbiIg&#10;BOAAAAALAQAADwAAAGRycy9kb3ducmV2LnhtbEyPQU+DQBCF7yb+h82YeLPLYsWKLI1p4s3EWG3a&#10;4wIjoOwsYbdA/fVOT3qcvC/vfZOtZ9uJEQffOtKgFhEIpNJVLdUaPt6fb1YgfDBUmc4Rajihh3V+&#10;eZGZtHITveG4DbXgEvKp0dCE0KdS+rJBa/zC9UicfbrBmsDnUMtqMBOX207GUZRIa1rihcb0uGmw&#10;/N4erYbiUL8Uszstd7sf5fZfm5Gmh1etr6/mp0cQAefwB8NZn9UhZ6fCHanyotOQJCpmlAOl7kEw&#10;sbqLlyAKDbcqViDzTP7/If8FAAD//wMAUEsBAi0AFAAGAAgAAAAhALaDOJL+AAAA4QEAABMAAAAA&#10;AAAAAAAAAAAAAAAAAFtDb250ZW50X1R5cGVzXS54bWxQSwECLQAUAAYACAAAACEAOP0h/9YAAACU&#10;AQAACwAAAAAAAAAAAAAAAAAvAQAAX3JlbHMvLnJlbHNQSwECLQAUAAYACAAAACEAYLg5TnsCAACH&#10;BQAADgAAAAAAAAAAAAAAAAAuAgAAZHJzL2Uyb0RvYy54bWxQSwECLQAUAAYACAAAACEAbiIgBOAA&#10;AAALAQAADwAAAAAAAAAAAAAAAADVBAAAZHJzL2Rvd25yZXYueG1sUEsFBgAAAAAEAAQA8wAAAOIF&#10;AAAAAA==&#10;" fillcolor="white [3212]" strokecolor="white [3212]" strokeweight="1.5pt"/>
            </w:pict>
          </mc:Fallback>
        </mc:AlternateContent>
      </w:r>
      <w:r w:rsidR="00EF2CD5">
        <w:rPr>
          <w:noProof/>
        </w:rPr>
        <mc:AlternateContent>
          <mc:Choice Requires="wps">
            <w:drawing>
              <wp:anchor distT="45720" distB="45720" distL="114300" distR="114300" simplePos="0" relativeHeight="251578368" behindDoc="0" locked="0" layoutInCell="1" allowOverlap="1" wp14:anchorId="248DBC2D" wp14:editId="4A1626E8">
                <wp:simplePos x="0" y="0"/>
                <wp:positionH relativeFrom="margin">
                  <wp:posOffset>358444</wp:posOffset>
                </wp:positionH>
                <wp:positionV relativeFrom="paragraph">
                  <wp:posOffset>4342738</wp:posOffset>
                </wp:positionV>
                <wp:extent cx="3067050" cy="342900"/>
                <wp:effectExtent l="0" t="0" r="19050" b="19050"/>
                <wp:wrapSquare wrapText="bothSides"/>
                <wp:docPr id="1572540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7050" cy="342900"/>
                        </a:xfrm>
                        <a:prstGeom prst="rect">
                          <a:avLst/>
                        </a:prstGeom>
                        <a:solidFill>
                          <a:srgbClr val="C5FBF8"/>
                        </a:solidFill>
                        <a:ln w="9525">
                          <a:solidFill>
                            <a:schemeClr val="bg1"/>
                          </a:solidFill>
                          <a:miter lim="800000"/>
                          <a:headEnd/>
                          <a:tailEnd/>
                        </a:ln>
                      </wps:spPr>
                      <wps:txbx>
                        <w:txbxContent>
                          <w:p w14:paraId="7FB57C7E" w14:textId="6FA01F90" w:rsidR="00BC51AB" w:rsidRPr="006C7FE7" w:rsidRDefault="00E32D4D" w:rsidP="00BC51AB">
                            <w:pPr>
                              <w:jc w:val="center"/>
                              <w:rPr>
                                <w:b/>
                                <w:bCs/>
                                <w:color w:val="0CA8A1"/>
                              </w:rPr>
                            </w:pPr>
                            <w:r w:rsidRPr="006C7FE7">
                              <w:rPr>
                                <w:b/>
                                <w:bCs/>
                                <w:color w:val="0CA8A1"/>
                              </w:rPr>
                              <w:t>Functioning of the Residential Care Home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8DBC2D" id="_x0000_s1034" type="#_x0000_t202" style="position:absolute;margin-left:28.2pt;margin-top:341.95pt;width:241.5pt;height:27pt;z-index:2515783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iPNHQIAACUEAAAOAAAAZHJzL2Uyb0RvYy54bWysk99u2yAUxu8n7R0Q94udNGkTK07Vpss0&#10;qfsjdXsADNhGwxwGJHb39DvgNM2yu2m+QOADH+f8zsf6dug0OUjnFZiSTic5JdJwEMo0Jf3+bfdu&#10;SYkPzAimwciSPktPbzdv36x7W8gZtKCFdARFjC96W9I2BFtkmeet7JifgJUGgzW4jgVcuiYTjvWo&#10;3ulslufXWQ9OWAdceo9/H8Yg3ST9upY8fKlrLwPRJcXcQhpdGqs4Zps1KxrHbKv4MQ32D1l0TBm8&#10;9CT1wAIje6f+kuoUd+ChDhMOXQZ1rbhMNWA10/yimqeWWZlqQTjenjD5/yfLPx+e7FdHwnAPAzYw&#10;FeHtI/AfnhjYtsw08s456FvJBF48jciy3vrieDSi9oWPIlX/CQQ2me0DJKGhdl2kgnUSVMcGPJ+g&#10;yyEQjj+v8uubfIEhjrGr+WyVp65krHg5bZ0PHyR0JE5K6rCpSZ0dHn2I2bDiZUu8zINWYqe0TgvX&#10;VFvtyIGhAbaL3f1umQq42KYN6Uu6WswWI4A/JKIX5UmkakYEFwqdCmhkrbqSLvP4jdaK1N4bkWwW&#10;mNLjHDPW5ogxkhsZhqEaiBIoEM9GqhWIZ+TqYPQtvjOctOB+UdKjZ0vqf+6Zk5TojwZ7s5rO59Hk&#10;aTFf3Mxw4c4j1XmEGY5SJQ2UjNNtSA8jYjNwhz2sVcL7mskxZfRion58N9Hs5+u06/V1b34DAAD/&#10;/wMAUEsDBBQABgAIAAAAIQBZZxWg4AAAAAoBAAAPAAAAZHJzL2Rvd25yZXYueG1sTI/BToNAEIbv&#10;Jr7DZky8NHapCAVkaIyJMfFgFPsAW5iyKLtL2C3Ft3c86XFmvvzz/eVuMYOYafK9swibdQSCbOPa&#10;3nYI+4+nmwyED8q2anCWEL7Jw666vChV0bqzfae5Dp3gEOsLhaBDGAspfaPJKL92I1m+Hd1kVOBx&#10;6mQ7qTOHm0HeRlEqjeotf9BqpEdNzVd9MgjGfdZpmJ/fstVLk8Tav266foV4fbU83IMItIQ/GH71&#10;WR0qdjq4k229GBCS9I5JhDSLcxAMJHHOmwPCNt7mIKtS/q9Q/QAAAP//AwBQSwECLQAUAAYACAAA&#10;ACEAtoM4kv4AAADhAQAAEwAAAAAAAAAAAAAAAAAAAAAAW0NvbnRlbnRfVHlwZXNdLnhtbFBLAQIt&#10;ABQABgAIAAAAIQA4/SH/1gAAAJQBAAALAAAAAAAAAAAAAAAAAC8BAABfcmVscy8ucmVsc1BLAQIt&#10;ABQABgAIAAAAIQAPjiPNHQIAACUEAAAOAAAAAAAAAAAAAAAAAC4CAABkcnMvZTJvRG9jLnhtbFBL&#10;AQItABQABgAIAAAAIQBZZxWg4AAAAAoBAAAPAAAAAAAAAAAAAAAAAHcEAABkcnMvZG93bnJldi54&#10;bWxQSwUGAAAAAAQABADzAAAAhAUAAAAA&#10;" fillcolor="#c5fbf8" strokecolor="white [3212]">
                <v:textbox>
                  <w:txbxContent>
                    <w:p w14:paraId="7FB57C7E" w14:textId="6FA01F90" w:rsidR="00BC51AB" w:rsidRPr="006C7FE7" w:rsidRDefault="00E32D4D" w:rsidP="00BC51AB">
                      <w:pPr>
                        <w:jc w:val="center"/>
                        <w:rPr>
                          <w:b/>
                          <w:bCs/>
                          <w:color w:val="0CA8A1"/>
                        </w:rPr>
                      </w:pPr>
                      <w:r w:rsidRPr="006C7FE7">
                        <w:rPr>
                          <w:b/>
                          <w:bCs/>
                          <w:color w:val="0CA8A1"/>
                        </w:rPr>
                        <w:t>Functioning of the Residential Care Home</w:t>
                      </w:r>
                    </w:p>
                  </w:txbxContent>
                </v:textbox>
                <w10:wrap type="square" anchorx="margin"/>
              </v:shape>
            </w:pict>
          </mc:Fallback>
        </mc:AlternateContent>
      </w:r>
      <w:r w:rsidR="00EF2CD5">
        <w:rPr>
          <w:noProof/>
        </w:rPr>
        <mc:AlternateContent>
          <mc:Choice Requires="wps">
            <w:drawing>
              <wp:anchor distT="0" distB="0" distL="114300" distR="114300" simplePos="0" relativeHeight="251570176" behindDoc="0" locked="0" layoutInCell="1" allowOverlap="1" wp14:anchorId="5959703D" wp14:editId="66AE0EBC">
                <wp:simplePos x="0" y="0"/>
                <wp:positionH relativeFrom="column">
                  <wp:posOffset>71562</wp:posOffset>
                </wp:positionH>
                <wp:positionV relativeFrom="paragraph">
                  <wp:posOffset>4476584</wp:posOffset>
                </wp:positionV>
                <wp:extent cx="3593990" cy="2973788"/>
                <wp:effectExtent l="0" t="0" r="26035" b="17145"/>
                <wp:wrapNone/>
                <wp:docPr id="1491348434" name="Text Box 14"/>
                <wp:cNvGraphicFramePr/>
                <a:graphic xmlns:a="http://schemas.openxmlformats.org/drawingml/2006/main">
                  <a:graphicData uri="http://schemas.microsoft.com/office/word/2010/wordprocessingShape">
                    <wps:wsp>
                      <wps:cNvSpPr txBox="1"/>
                      <wps:spPr>
                        <a:xfrm>
                          <a:off x="0" y="0"/>
                          <a:ext cx="3593990" cy="2973788"/>
                        </a:xfrm>
                        <a:prstGeom prst="roundRect">
                          <a:avLst/>
                        </a:prstGeom>
                        <a:noFill/>
                        <a:ln/>
                      </wps:spPr>
                      <wps:style>
                        <a:lnRef idx="2">
                          <a:schemeClr val="accent1"/>
                        </a:lnRef>
                        <a:fillRef idx="1">
                          <a:schemeClr val="lt1"/>
                        </a:fillRef>
                        <a:effectRef idx="0">
                          <a:schemeClr val="accent1"/>
                        </a:effectRef>
                        <a:fontRef idx="minor">
                          <a:schemeClr val="dk1"/>
                        </a:fontRef>
                      </wps:style>
                      <wps:txbx>
                        <w:txbxContent>
                          <w:p w14:paraId="436E9387" w14:textId="77777777" w:rsidR="00224D8A" w:rsidRPr="00224D8A" w:rsidRDefault="00224D8A" w:rsidP="00224D8A">
                            <w:pPr>
                              <w:pStyle w:val="BodyText"/>
                              <w:jc w:val="both"/>
                              <w:rPr>
                                <w:rFonts w:ascii="Arial" w:hAnsi="Arial" w:cs="Arial"/>
                                <w:sz w:val="20"/>
                                <w:szCs w:val="20"/>
                                <w:lang w:val="en-GB"/>
                              </w:rPr>
                            </w:pPr>
                            <w:r w:rsidRPr="00224D8A">
                              <w:rPr>
                                <w:rFonts w:ascii="Arial" w:hAnsi="Arial" w:cs="Arial"/>
                                <w:sz w:val="20"/>
                                <w:szCs w:val="20"/>
                                <w:lang w:val="en-GB"/>
                              </w:rPr>
                              <w:t>Today, residential home care in the UK is delivered by a mix of private providers, voluntary organisations, and local authority-run services (Age UK, 2025; Care Quality Commission, 2025). Local authorities assess needs, arrange placements, and contribute to funding when individuals meet eligibility criteria. Funding arrangements often combine personal contributions with local authority or NHS support (NHS, 2025; Care Act, 2014).</w:t>
                            </w:r>
                          </w:p>
                          <w:p w14:paraId="041E88EC" w14:textId="77777777" w:rsidR="00224D8A" w:rsidRPr="00224D8A" w:rsidRDefault="00224D8A" w:rsidP="00224D8A">
                            <w:pPr>
                              <w:pStyle w:val="BodyText"/>
                              <w:jc w:val="both"/>
                              <w:rPr>
                                <w:rFonts w:ascii="Arial" w:hAnsi="Arial" w:cs="Arial"/>
                                <w:sz w:val="20"/>
                                <w:szCs w:val="20"/>
                                <w:lang w:val="en-GB"/>
                              </w:rPr>
                            </w:pPr>
                            <w:r w:rsidRPr="00224D8A">
                              <w:rPr>
                                <w:rFonts w:ascii="Arial" w:hAnsi="Arial" w:cs="Arial"/>
                                <w:sz w:val="20"/>
                                <w:szCs w:val="20"/>
                                <w:lang w:val="en-GB"/>
                              </w:rPr>
                              <w:t>Before admission, prospective residents undergo a comprehensive needs assessment (Care Act, 2014; NHS, 2025). An individualised care plan is then developed and regularly reviewed to adapt to changing circumstances. This ensures responsive and person-centred support (NICE, 2023; Care Quality Commission, 2025).</w:t>
                            </w:r>
                          </w:p>
                          <w:p w14:paraId="524C743E" w14:textId="781B7BC9" w:rsidR="00CF236D" w:rsidRPr="00224D8A" w:rsidRDefault="00CF236D" w:rsidP="00D57C02">
                            <w:pPr>
                              <w:pStyle w:val="BodyText"/>
                              <w:jc w:val="both"/>
                              <w:rPr>
                                <w:rFonts w:ascii="Arial" w:hAnsi="Arial" w:cs="Arial"/>
                                <w:sz w:val="20"/>
                                <w:szCs w:val="20"/>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59703D" id="_x0000_s1035" style="position:absolute;margin-left:5.65pt;margin-top:352.5pt;width:283pt;height:234.15pt;z-index:251570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QWagIAAB4FAAAOAAAAZHJzL2Uyb0RvYy54bWysVEtv2zAMvg/YfxB0X5yk7fJAnSJrkWFA&#10;0BZth54VWWqMyaImMbGzXz9Kjt2uy2nYxabE98ePurxqKsP2yocSbM5HgyFnykooSvuS8+9Pq09T&#10;zgIKWwgDVuX8oAK/Wnz8cFm7uRrDFkyhPKMgNsxrl/MtoptnWZBbVYkwAKcsKTX4SiAd/UtWeFFT&#10;9Mpk4+Hwc1aDL5wHqUKg25tWyRcpvtZK4p3WQSEzOafaMH19+m7iN1tcivmLF25bymMZ4h+qqERp&#10;KWkf6kagYDtf/hWqKqWHABoHEqoMtC6lSj1QN6Phu24et8Kp1AuBE1wPU/h/YeXt/tHde4bNF2ho&#10;gBGQ2oV5oMvYT6N9Ff9UKSM9QXjoYVMNMkmXZxezs9mMVJJ049nkbDKdxjjZq7vzAb8qqFgUcu5h&#10;Z4sHGk7CTOzXAVv7zi6mtLAqjUkDMjaqX+tKEh6MinbGPijNyoIqGad4iTzq2ni2FzR2IaWymDqj&#10;ipJ1dNMUvHccnXI0vdPRNrqpRKrecXjK8c+MvUfKChZ756q04E8FKH505erWvuu+7Tm2j82moaZz&#10;PutGtoHiQJP00JI8OLkqCe21CHgvPLGaJkSbinf00QbqnMNR4mwL/tep+2hPZCMtZzVtSc7Dz53w&#10;ijPzzRINZ6Pz87hW6XB+MRnTwb/VbN5q7K66BprIiN4EJ5MY7dF0ovZQPdNCL2NWUgkrKXfOsROv&#10;sd1dehCkWi6TES2SE7i2j07G0BHlSKOn5ll4dyQcEldvodsnMX9HudY2elpY7hB0mfgYcW5RPeJP&#10;S5hofXww4pa/PSer12dt8RsAAP//AwBQSwMEFAAGAAgAAAAhAAl1IeffAAAACwEAAA8AAABkcnMv&#10;ZG93bnJldi54bWxMj8FOwzAQRO9I/IO1SNyoHUIICnEqQIIDB1RKoRzdeEki4nUUu2n4e7YnOM7O&#10;aPZNuZxdLyYcQ+dJQ7JQIJBqbztqNGzeHi9uQIRoyJreE2r4wQDL6vSkNIX1B3rFaR0bwSUUCqOh&#10;jXEopAx1i86EhR+Q2PvyozOR5dhIO5oDl7teXip1LZ3piD+0ZsCHFuvv9d5pWL2P07NKgv/8uLrH&#10;7GWzVfZpq/X52Xx3CyLiHP/CcMRndKiYaef3ZIPoWScpJzXkKuNNHMjynC+7o5OnKciqlP83VL8A&#10;AAD//wMAUEsBAi0AFAAGAAgAAAAhALaDOJL+AAAA4QEAABMAAAAAAAAAAAAAAAAAAAAAAFtDb250&#10;ZW50X1R5cGVzXS54bWxQSwECLQAUAAYACAAAACEAOP0h/9YAAACUAQAACwAAAAAAAAAAAAAAAAAv&#10;AQAAX3JlbHMvLnJlbHNQSwECLQAUAAYACAAAACEAwxPkFmoCAAAeBQAADgAAAAAAAAAAAAAAAAAu&#10;AgAAZHJzL2Uyb0RvYy54bWxQSwECLQAUAAYACAAAACEACXUh598AAAALAQAADwAAAAAAAAAAAAAA&#10;AADEBAAAZHJzL2Rvd25yZXYueG1sUEsFBgAAAAAEAAQA8wAAANAFAAAAAA==&#10;" filled="f" strokecolor="#156082 [3204]" strokeweight="1.5pt">
                <v:stroke joinstyle="miter"/>
                <v:textbox>
                  <w:txbxContent>
                    <w:p w14:paraId="436E9387" w14:textId="77777777" w:rsidR="00224D8A" w:rsidRPr="00224D8A" w:rsidRDefault="00224D8A" w:rsidP="00224D8A">
                      <w:pPr>
                        <w:pStyle w:val="BodyText"/>
                        <w:jc w:val="both"/>
                        <w:rPr>
                          <w:rFonts w:ascii="Arial" w:hAnsi="Arial" w:cs="Arial"/>
                          <w:sz w:val="20"/>
                          <w:szCs w:val="20"/>
                          <w:lang w:val="en-GB"/>
                        </w:rPr>
                      </w:pPr>
                      <w:r w:rsidRPr="00224D8A">
                        <w:rPr>
                          <w:rFonts w:ascii="Arial" w:hAnsi="Arial" w:cs="Arial"/>
                          <w:sz w:val="20"/>
                          <w:szCs w:val="20"/>
                          <w:lang w:val="en-GB"/>
                        </w:rPr>
                        <w:t>Today, residential home care in the UK is delivered by a mix of private providers, voluntary organisations, and local authority-run services (Age UK, 2025; Care Quality Commission, 2025). Local authorities assess needs, arrange placements, and contribute to funding when individuals meet eligibility criteria. Funding arrangements often combine personal contributions with local authority or NHS support (NHS, 2025; Care Act, 2014).</w:t>
                      </w:r>
                    </w:p>
                    <w:p w14:paraId="041E88EC" w14:textId="77777777" w:rsidR="00224D8A" w:rsidRPr="00224D8A" w:rsidRDefault="00224D8A" w:rsidP="00224D8A">
                      <w:pPr>
                        <w:pStyle w:val="BodyText"/>
                        <w:jc w:val="both"/>
                        <w:rPr>
                          <w:rFonts w:ascii="Arial" w:hAnsi="Arial" w:cs="Arial"/>
                          <w:sz w:val="20"/>
                          <w:szCs w:val="20"/>
                          <w:lang w:val="en-GB"/>
                        </w:rPr>
                      </w:pPr>
                      <w:r w:rsidRPr="00224D8A">
                        <w:rPr>
                          <w:rFonts w:ascii="Arial" w:hAnsi="Arial" w:cs="Arial"/>
                          <w:sz w:val="20"/>
                          <w:szCs w:val="20"/>
                          <w:lang w:val="en-GB"/>
                        </w:rPr>
                        <w:t>Before admission, prospective residents undergo a comprehensive needs assessment (Care Act, 2014; NHS, 2025). An individualised care plan is then developed and regularly reviewed to adapt to changing circumstances. This ensures responsive and person-centred support (NICE, 2023; Care Quality Commission, 2025).</w:t>
                      </w:r>
                    </w:p>
                    <w:p w14:paraId="524C743E" w14:textId="781B7BC9" w:rsidR="00CF236D" w:rsidRPr="00224D8A" w:rsidRDefault="00CF236D" w:rsidP="00D57C02">
                      <w:pPr>
                        <w:pStyle w:val="BodyText"/>
                        <w:jc w:val="both"/>
                        <w:rPr>
                          <w:rFonts w:ascii="Arial" w:hAnsi="Arial" w:cs="Arial"/>
                          <w:sz w:val="20"/>
                          <w:szCs w:val="20"/>
                          <w:lang w:val="en-GB"/>
                        </w:rPr>
                      </w:pPr>
                    </w:p>
                  </w:txbxContent>
                </v:textbox>
              </v:roundrect>
            </w:pict>
          </mc:Fallback>
        </mc:AlternateContent>
      </w:r>
      <w:r w:rsidR="00FB009A">
        <w:rPr>
          <w:noProof/>
        </w:rPr>
        <mc:AlternateContent>
          <mc:Choice Requires="wps">
            <w:drawing>
              <wp:anchor distT="0" distB="0" distL="114300" distR="114300" simplePos="0" relativeHeight="251600896" behindDoc="0" locked="0" layoutInCell="1" allowOverlap="1" wp14:anchorId="711A1D9E" wp14:editId="479912AB">
                <wp:simplePos x="0" y="0"/>
                <wp:positionH relativeFrom="column">
                  <wp:posOffset>28575</wp:posOffset>
                </wp:positionH>
                <wp:positionV relativeFrom="paragraph">
                  <wp:posOffset>962025</wp:posOffset>
                </wp:positionV>
                <wp:extent cx="4324350" cy="3305175"/>
                <wp:effectExtent l="0" t="0" r="19050" b="28575"/>
                <wp:wrapNone/>
                <wp:docPr id="683470195" name="Text Box 14"/>
                <wp:cNvGraphicFramePr/>
                <a:graphic xmlns:a="http://schemas.openxmlformats.org/drawingml/2006/main">
                  <a:graphicData uri="http://schemas.microsoft.com/office/word/2010/wordprocessingShape">
                    <wps:wsp>
                      <wps:cNvSpPr txBox="1"/>
                      <wps:spPr>
                        <a:xfrm>
                          <a:off x="0" y="0"/>
                          <a:ext cx="4324350" cy="3305175"/>
                        </a:xfrm>
                        <a:prstGeom prst="roundRect">
                          <a:avLst/>
                        </a:prstGeom>
                        <a:noFill/>
                        <a:ln/>
                      </wps:spPr>
                      <wps:style>
                        <a:lnRef idx="2">
                          <a:schemeClr val="accent1"/>
                        </a:lnRef>
                        <a:fillRef idx="1">
                          <a:schemeClr val="lt1"/>
                        </a:fillRef>
                        <a:effectRef idx="0">
                          <a:schemeClr val="accent1"/>
                        </a:effectRef>
                        <a:fontRef idx="minor">
                          <a:schemeClr val="dk1"/>
                        </a:fontRef>
                      </wps:style>
                      <wps:txbx>
                        <w:txbxContent>
                          <w:p w14:paraId="609A5C62" w14:textId="6FCAE498" w:rsidR="00D3686F" w:rsidRPr="007F0BE6" w:rsidRDefault="008B0CA2" w:rsidP="00CF236D">
                            <w:pPr>
                              <w:pStyle w:val="BodyText"/>
                              <w:jc w:val="both"/>
                              <w:rPr>
                                <w:rFonts w:ascii="Arial" w:hAnsi="Arial" w:cs="Arial"/>
                                <w:sz w:val="20"/>
                                <w:szCs w:val="20"/>
                                <w:lang w:val="en-GB"/>
                              </w:rPr>
                            </w:pPr>
                            <w:r w:rsidRPr="007F0BE6">
                              <w:rPr>
                                <w:rFonts w:ascii="Arial" w:hAnsi="Arial" w:cs="Arial"/>
                                <w:sz w:val="20"/>
                                <w:szCs w:val="20"/>
                                <w:lang w:val="en-GB"/>
                              </w:rPr>
                              <w:t>Residential home care is a critical component of the healthcare and social care system, providing 24-hour support to individuals who are unable to live independently due to age, disability, chronic illness, or cognitive impairments (Age UK, 2025; NHS, 2025). Unlike domiciliary care, which delivers assistance in a person’s own home, residential home care offers continuous supervision, structured routines, and comprehensive personal support within a dedicated living environment. This model of care ensures safety, promotes wellbeing, and enhances quality of life for individuals whose needs cannot be adequately met at home (Care Quality Commission, 2025; Care Act, 2014).</w:t>
                            </w:r>
                            <w:r w:rsidR="00282FE4">
                              <w:rPr>
                                <w:rFonts w:ascii="Arial" w:hAnsi="Arial" w:cs="Arial"/>
                                <w:sz w:val="20"/>
                                <w:szCs w:val="20"/>
                                <w:lang w:val="en-GB"/>
                              </w:rPr>
                              <w:t xml:space="preserve"> </w:t>
                            </w:r>
                            <w:r w:rsidR="007F0BE6" w:rsidRPr="007F0BE6">
                              <w:rPr>
                                <w:rFonts w:ascii="Arial" w:hAnsi="Arial" w:cs="Arial"/>
                                <w:sz w:val="20"/>
                                <w:szCs w:val="20"/>
                              </w:rPr>
                              <w:t>Residential care homes are designed to meet both physical and emotional needs (NICE, 2023; Age UK, 2025). By combining accommodation, personal care, and social engagement, these services provide stability and reassurance for residents and their families. The structured environment reduces risks associated with isolation, medication mismanagement, and mobility limitations, while fostering dignity and independence wherever possible (NHS, 2025; Care Quality Commission, 2025).</w:t>
                            </w:r>
                            <w:r w:rsidR="007725B4" w:rsidRPr="007F0BE6">
                              <w:rPr>
                                <w:rFonts w:ascii="Arial" w:hAnsi="Arial" w:cs="Arial"/>
                                <w:b/>
                                <w:bCs/>
                                <w:sz w:val="20"/>
                                <w:szCs w:val="20"/>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11A1D9E" id="_x0000_s1036" style="position:absolute;margin-left:2.25pt;margin-top:75.75pt;width:340.5pt;height:260.25pt;z-index:251600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tr3aQIAAB8FAAAOAAAAZHJzL2Uyb0RvYy54bWysVEtv2zAMvg/YfxB0X53nuhlxiqxFhwFF&#10;WzQdelZkqTEmi5rExM5+/Sg5cbIup2EXmxLJj6+Pml21tWFb5UMFtuDDiwFnykooK/ta8O/Ptx8+&#10;cRZQ2FIYsKrgOxX41fz9u1njcjWCNZhSeUYgNuSNK/ga0eVZFuRa1SJcgFOWlBp8LZCO/jUrvWgI&#10;vTbZaDD4mDXgS+dBqhDo9qZT8nnC11pJfNA6KGSm4JQbpq9P31X8ZvOZyF+9cOtK7tMQ/5BFLSpL&#10;QXuoG4GCbXz1F1RdSQ8BNF5IqDPQupIq1UDVDAdvqlmuhVOpFmpOcH2bwv+DlffbpXv0DNsv0NIA&#10;Y0MaF/JAl7GeVvs6/ilTRnpq4a5vm2qRSbqcjEeT8ZRUknTj8WA6vJxGnOzo7nzArwpqFoWCe9jY&#10;8omGk3omtncBO/uDXQxp4bYyJg3I2Kg+5pUk3BkV7Yx9UppVJWUySniJPOraeLYVNHYhpbKYKqOM&#10;knV00wTeOw7POZreaW8b3VQiVe84OOf4Z8TeI0UFi71zXVnw5wDKH4d0dWd/qL6rOZaP7aqlomlk&#10;icTxagXljkbpoWN5cPK2onbfiYCPwhOtaUS0qvhAH22gKTjsJc7W4H+du4/2xDbSctbQmhQ8/NwI&#10;rzgz3yzx8PNwMol7lQ6T6eWIDv5UszrV2E19DTSSIT0KTiYx2qM5iNpD/UIbvYhRSSWspNgFx4N4&#10;jd3y0osg1WKRjGiTnMA7u3QyQsc2Rx49ty/Cuz3jkMh6D4eFEvkbznW20dPCYoOgq0TIY1f3A6At&#10;TLzevxhxzU/Pyer4rs1/AwAA//8DAFBLAwQUAAYACAAAACEAjVxs5d4AAAAJAQAADwAAAGRycy9k&#10;b3ducmV2LnhtbEyPQU/DMAyF70j8h8hI3FjSaR1TaToBEhw4IDYG45g1pq1onCrJuvLvMSe4Pfs9&#10;PX8u15PrxYghdp40ZDMFAqn2tqNGw+714WoFIiZD1vSeUMM3RlhX52elKaw/0QbHbWoEl1AsjIY2&#10;paGQMtYtOhNnfkBi79MHZxKPoZE2mBOXu17OlVpKZzriC60Z8L7F+mt7dBpe3sL4pLLoP94Xd5g/&#10;7/bKPu61vryYbm9AJJzSXxh+8RkdKmY6+CPZKHoNi5yDvM4zFuwvVzmLA4vruQJZlfL/B9UPAAAA&#10;//8DAFBLAQItABQABgAIAAAAIQC2gziS/gAAAOEBAAATAAAAAAAAAAAAAAAAAAAAAABbQ29udGVu&#10;dF9UeXBlc10ueG1sUEsBAi0AFAAGAAgAAAAhADj9If/WAAAAlAEAAAsAAAAAAAAAAAAAAAAALwEA&#10;AF9yZWxzLy5yZWxzUEsBAi0AFAAGAAgAAAAhABOy2vdpAgAAHwUAAA4AAAAAAAAAAAAAAAAALgIA&#10;AGRycy9lMm9Eb2MueG1sUEsBAi0AFAAGAAgAAAAhAI1cbOXeAAAACQEAAA8AAAAAAAAAAAAAAAAA&#10;wwQAAGRycy9kb3ducmV2LnhtbFBLBQYAAAAABAAEAPMAAADOBQAAAAA=&#10;" filled="f" strokecolor="#156082 [3204]" strokeweight="1.5pt">
                <v:stroke joinstyle="miter"/>
                <v:textbox>
                  <w:txbxContent>
                    <w:p w14:paraId="609A5C62" w14:textId="6FCAE498" w:rsidR="00D3686F" w:rsidRPr="007F0BE6" w:rsidRDefault="008B0CA2" w:rsidP="00CF236D">
                      <w:pPr>
                        <w:pStyle w:val="BodyText"/>
                        <w:jc w:val="both"/>
                        <w:rPr>
                          <w:rFonts w:ascii="Arial" w:hAnsi="Arial" w:cs="Arial"/>
                          <w:sz w:val="20"/>
                          <w:szCs w:val="20"/>
                          <w:lang w:val="en-GB"/>
                        </w:rPr>
                      </w:pPr>
                      <w:r w:rsidRPr="007F0BE6">
                        <w:rPr>
                          <w:rFonts w:ascii="Arial" w:hAnsi="Arial" w:cs="Arial"/>
                          <w:sz w:val="20"/>
                          <w:szCs w:val="20"/>
                          <w:lang w:val="en-GB"/>
                        </w:rPr>
                        <w:t>Residential home care is a critical component of the healthcare and social care system, providing 24-hour support to individuals who are unable to live independently due to age, disability, chronic illness, or cognitive impairments (Age UK, 2025; NHS, 2025). Unlike domiciliary care, which delivers assistance in a person’s own home, residential home care offers continuous supervision, structured routines, and comprehensive personal support within a dedicated living environment. This model of care ensures safety, promotes wellbeing, and enhances quality of life for individuals whose needs cannot be adequately met at home (Care Quality Commission, 2025; Care Act, 2014).</w:t>
                      </w:r>
                      <w:r w:rsidR="00282FE4">
                        <w:rPr>
                          <w:rFonts w:ascii="Arial" w:hAnsi="Arial" w:cs="Arial"/>
                          <w:sz w:val="20"/>
                          <w:szCs w:val="20"/>
                          <w:lang w:val="en-GB"/>
                        </w:rPr>
                        <w:t xml:space="preserve"> </w:t>
                      </w:r>
                      <w:r w:rsidR="007F0BE6" w:rsidRPr="007F0BE6">
                        <w:rPr>
                          <w:rFonts w:ascii="Arial" w:hAnsi="Arial" w:cs="Arial"/>
                          <w:sz w:val="20"/>
                          <w:szCs w:val="20"/>
                        </w:rPr>
                        <w:t>Residential care homes are designed to meet both physical and emotional needs (NICE, 2023; Age UK, 2025). By combining accommodation, personal care, and social engagement, these services provide stability and reassurance for residents and their families. The structured environment reduces risks associated with isolation, medication mismanagement, and mobility limitations, while fostering dignity and independence wherever possible (NHS, 2025; Care Quality Commission, 2025).</w:t>
                      </w:r>
                      <w:r w:rsidR="007725B4" w:rsidRPr="007F0BE6">
                        <w:rPr>
                          <w:rFonts w:ascii="Arial" w:hAnsi="Arial" w:cs="Arial"/>
                          <w:b/>
                          <w:bCs/>
                          <w:sz w:val="20"/>
                          <w:szCs w:val="20"/>
                        </w:rPr>
                        <w:br/>
                      </w:r>
                    </w:p>
                  </w:txbxContent>
                </v:textbox>
              </v:roundrect>
            </w:pict>
          </mc:Fallback>
        </mc:AlternateContent>
      </w:r>
      <w:r w:rsidR="00FB009A">
        <w:rPr>
          <w:noProof/>
        </w:rPr>
        <mc:AlternateContent>
          <mc:Choice Requires="wps">
            <w:drawing>
              <wp:anchor distT="45720" distB="45720" distL="114300" distR="114300" simplePos="0" relativeHeight="251547648" behindDoc="0" locked="0" layoutInCell="1" allowOverlap="1" wp14:anchorId="56DFFCBA" wp14:editId="0AD04659">
                <wp:simplePos x="0" y="0"/>
                <wp:positionH relativeFrom="column">
                  <wp:posOffset>6981825</wp:posOffset>
                </wp:positionH>
                <wp:positionV relativeFrom="paragraph">
                  <wp:posOffset>66675</wp:posOffset>
                </wp:positionV>
                <wp:extent cx="2828925" cy="266700"/>
                <wp:effectExtent l="0" t="0" r="9525" b="0"/>
                <wp:wrapSquare wrapText="bothSides"/>
                <wp:docPr id="21135237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28925" cy="266700"/>
                        </a:xfrm>
                        <a:prstGeom prst="flowChartPreparation">
                          <a:avLst/>
                        </a:prstGeom>
                        <a:solidFill>
                          <a:srgbClr val="C5FBF8"/>
                        </a:solidFill>
                        <a:ln w="9525">
                          <a:noFill/>
                          <a:miter lim="800000"/>
                          <a:headEnd/>
                          <a:tailEnd/>
                        </a:ln>
                      </wps:spPr>
                      <wps:txbx>
                        <w:txbxContent>
                          <w:p w14:paraId="1C8A796F" w14:textId="77A248E4" w:rsidR="00F95992" w:rsidRPr="0048124A" w:rsidRDefault="0048124A" w:rsidP="00F95992">
                            <w:pPr>
                              <w:jc w:val="center"/>
                              <w:rPr>
                                <w:b/>
                                <w:bCs/>
                                <w:color w:val="0CA8A1"/>
                              </w:rPr>
                            </w:pPr>
                            <w:r>
                              <w:rPr>
                                <w:b/>
                                <w:bCs/>
                                <w:color w:val="0CA8A1"/>
                              </w:rPr>
                              <w:t xml:space="preserve">Brief </w:t>
                            </w:r>
                            <w:r w:rsidRPr="0048124A">
                              <w:rPr>
                                <w:b/>
                                <w:bCs/>
                                <w:color w:val="0CA8A1"/>
                              </w:rPr>
                              <w:t xml:space="preserve">History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DFFCBA" id="_x0000_s1037" type="#_x0000_t117" style="position:absolute;margin-left:549.75pt;margin-top:5.25pt;width:222.75pt;height:21pt;z-index:251547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DQtHgIAAA4EAAAOAAAAZHJzL2Uyb0RvYy54bWysU8GO2jAQvVfqP1i+l0AELESE1S5bqkrb&#10;dqVtP8A4DrHqeNyxIaFf37HDsmh7q5qD5cl4nt+8eV7d9q1hR4Vegy35ZDTmTFkJlbb7kv/4vv2w&#10;4MwHYSthwKqSn5Tnt+v371adK1QODZhKISMQ64vOlbwJwRVZ5mWjWuFH4JSlZA3YikAh7rMKRUfo&#10;rcny8XiedYCVQ5DKe/r7MCT5OuHXtZLhW117FZgpOXELacW07uKarVei2KNwjZZnGuIfWLRCW7r0&#10;AvUggmAH1H9BtVoieKjDSEKbQV1rqVIP1M1k/Kab50Y4lXohcby7yOT/H6z8enx2T8hCfw89DTA1&#10;4d0jyJ+eWdg0wu7VHSJ0jRIVXTyJkmWd88W5NErtCx9Bdt0XqGjI4hAgAfU1tlEV6pMROg3gdBFd&#10;9YFJ+pkv8sUyn3EmKZfP5zfjNJVMFC/VDn34pKBlcVPy2kBHvDA8oXICRSDrpdvE8dGHyE4ULyXx&#10;cg9GV1ttTApwv9sYZEdBhtjMtvfbRWrozTFjWVfy5Yx4xSoLsT55pdWBDGt0W/LFOH6DhaI6H22V&#10;jgShzbAnJsae5YoKDVqFftczXZGWScwo3w6qEwmIMBiUHhRtGsDfnHVkzpL7XweBijPz2dIQlpPp&#10;NLo5BdPZTU4BXmd21xlhJUGVPHA2bDchvYChszsaVq2Tbq9MzpzJdEnO8wOJrr6O06nXZ7z+AwAA&#10;//8DAFBLAwQUAAYACAAAACEAM1oAPNwAAAALAQAADwAAAGRycy9kb3ducmV2LnhtbEyPwU7DMBBE&#10;70j8g7WVuFG7VY1oiFNFleiBG2nFeRubJEpsR7bbhL9nc4LT7mhHs2/yw2wHdjchdt4p2KwFMONq&#10;rzvXKLic359fgcWETuPgnVHwYyIciseHHDPtJ/dp7lVqGIW4mKGCNqUx4zzWrbEY1340jm7fPlhM&#10;JEPDdcCJwu3At0K8cIudow8tjubYmrqvblaBOPO0w0uY+v4Dy/L4dZoqPCn1tJrLN2DJzOnPDAs+&#10;oUNBTFd/czqygbTY7yV5l43m4pA7SfWuCuRWAi9y/r9D8QsAAP//AwBQSwECLQAUAAYACAAAACEA&#10;toM4kv4AAADhAQAAEwAAAAAAAAAAAAAAAAAAAAAAW0NvbnRlbnRfVHlwZXNdLnhtbFBLAQItABQA&#10;BgAIAAAAIQA4/SH/1gAAAJQBAAALAAAAAAAAAAAAAAAAAC8BAABfcmVscy8ucmVsc1BLAQItABQA&#10;BgAIAAAAIQDU7DQtHgIAAA4EAAAOAAAAAAAAAAAAAAAAAC4CAABkcnMvZTJvRG9jLnhtbFBLAQIt&#10;ABQABgAIAAAAIQAzWgA83AAAAAsBAAAPAAAAAAAAAAAAAAAAAHgEAABkcnMvZG93bnJldi54bWxQ&#10;SwUGAAAAAAQABADzAAAAgQUAAAAA&#10;" fillcolor="#c5fbf8" stroked="f">
                <v:textbox>
                  <w:txbxContent>
                    <w:p w14:paraId="1C8A796F" w14:textId="77A248E4" w:rsidR="00F95992" w:rsidRPr="0048124A" w:rsidRDefault="0048124A" w:rsidP="00F95992">
                      <w:pPr>
                        <w:jc w:val="center"/>
                        <w:rPr>
                          <w:b/>
                          <w:bCs/>
                          <w:color w:val="0CA8A1"/>
                        </w:rPr>
                      </w:pPr>
                      <w:r>
                        <w:rPr>
                          <w:b/>
                          <w:bCs/>
                          <w:color w:val="0CA8A1"/>
                        </w:rPr>
                        <w:t xml:space="preserve">Brief </w:t>
                      </w:r>
                      <w:r w:rsidRPr="0048124A">
                        <w:rPr>
                          <w:b/>
                          <w:bCs/>
                          <w:color w:val="0CA8A1"/>
                        </w:rPr>
                        <w:t xml:space="preserve">History </w:t>
                      </w:r>
                    </w:p>
                  </w:txbxContent>
                </v:textbox>
                <w10:wrap type="square"/>
              </v:shape>
            </w:pict>
          </mc:Fallback>
        </mc:AlternateContent>
      </w:r>
      <w:r w:rsidR="00224D8A">
        <w:rPr>
          <w:noProof/>
        </w:rPr>
        <mc:AlternateContent>
          <mc:Choice Requires="wps">
            <w:drawing>
              <wp:anchor distT="0" distB="0" distL="114300" distR="114300" simplePos="0" relativeHeight="251658248" behindDoc="0" locked="0" layoutInCell="1" allowOverlap="1" wp14:anchorId="763359AA" wp14:editId="223C196E">
                <wp:simplePos x="0" y="0"/>
                <wp:positionH relativeFrom="column">
                  <wp:posOffset>21946</wp:posOffset>
                </wp:positionH>
                <wp:positionV relativeFrom="paragraph">
                  <wp:posOffset>5113324</wp:posOffset>
                </wp:positionV>
                <wp:extent cx="1409700" cy="2055571"/>
                <wp:effectExtent l="0" t="0" r="0" b="1905"/>
                <wp:wrapNone/>
                <wp:docPr id="699888098" name="Rectangle 19"/>
                <wp:cNvGraphicFramePr/>
                <a:graphic xmlns:a="http://schemas.openxmlformats.org/drawingml/2006/main">
                  <a:graphicData uri="http://schemas.microsoft.com/office/word/2010/wordprocessingShape">
                    <wps:wsp>
                      <wps:cNvSpPr/>
                      <wps:spPr>
                        <a:xfrm>
                          <a:off x="0" y="0"/>
                          <a:ext cx="1409700" cy="2055571"/>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6A71EB" id="Rectangle 19" o:spid="_x0000_s1026" style="position:absolute;margin-left:1.75pt;margin-top:402.6pt;width:111pt;height:161.8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xUjegIAAF8FAAAOAAAAZHJzL2Uyb0RvYy54bWysVE1v2zAMvQ/YfxB0X2wHyboGdYqgRYYB&#10;RVssHXpWZCkWIIuapMTJfv0o+SNtV+ww7CKLIvlIPpO8uj42mhyE8wpMSYtJTokwHCpldiX98bT+&#10;9IUSH5ipmAYjSnoSnl4vP364au1CTKEGXQlHEMT4RWtLWodgF1nmeS0a5idghUGlBNewgKLbZZVj&#10;LaI3Opvm+eesBVdZB1x4j6+3nZIuE76UgocHKb0IRJcUcwvpdOncxjNbXrHFzjFbK96nwf4hi4Yp&#10;g0FHqFsWGNk79QdUo7gDDzJMODQZSKm4SDVgNUX+pppNzaxItSA53o40+f8Hy+8PG/vokIbW+oXH&#10;a6ziKF0Tv5gfOSayTiNZ4hgIx8dill9e5MgpR900n8/nF0WkMzu7W+fDVwENiZeSOvwbiSR2uPOh&#10;Mx1MYjQPWlVrpXUSYgeIG+3IgeG/2+4G8FdW2kRbA9GrA4wv2bmWdAsnLaKdNt+FJKrC7KcpkdRm&#10;5yCMc2FC0alqVokudjHPsc4OfvRIhSbAiCwx/ojdA7wuYMDuYHr76CpSl47O+d8S65xHjxQZTBid&#10;G2XAvQegsao+cmc/kNRRE1naQnV6dMRBNyPe8rXC33bHfHhkDocCfzUOenjAQ2poSwr9jZIa3K/3&#10;3qM99ipqKWlxyErqf+6ZE5Tobwa7+LKYzeJUJmE2v5ii4F5qti81Zt/cAPZCgSvF8nSN9kEPV+mg&#10;ecZ9sIpRUcUMx9gl5cENwk3ohh83CherVTLDSbQs3JmN5RE8shrb8un4zJztezdg29/DMJBs8aaF&#10;O9voaWC1DyBV6u8zrz3fOMWpcfqNE9fESzlZnffi8jcAAAD//wMAUEsDBBQABgAIAAAAIQB+vz0J&#10;3wAAAAoBAAAPAAAAZHJzL2Rvd25yZXYueG1sTI/BTsMwDIbvSLxDZCRuLFmmTKU0ndAQ2gEJwUDi&#10;mramrWic0mRb9/aYExzt/9Pvz8Vm9oM44hT7QBaWCwUCqQ5NT62F97fHmwxETI4aNwRCC2eMsCkv&#10;LwqXN+FEr3jcp1ZwCcXcWehSGnMpY92hd3ERRiTOPsPkXeJxamUzuROX+0FqpdbSu574QudG3HZY&#10;f+0P3oJZkdpVZ5N9TNuXebd+eP5+6tDa66v5/g5Ewjn9wfCrz+pQslMVDtREMVhYGQYtZMpoEJxr&#10;bXhTMbjU2S3IspD/Xyh/AAAA//8DAFBLAQItABQABgAIAAAAIQC2gziS/gAAAOEBAAATAAAAAAAA&#10;AAAAAAAAAAAAAABbQ29udGVudF9UeXBlc10ueG1sUEsBAi0AFAAGAAgAAAAhADj9If/WAAAAlAEA&#10;AAsAAAAAAAAAAAAAAAAALwEAAF9yZWxzLy5yZWxzUEsBAi0AFAAGAAgAAAAhAEMHFSN6AgAAXwUA&#10;AA4AAAAAAAAAAAAAAAAALgIAAGRycy9lMm9Eb2MueG1sUEsBAi0AFAAGAAgAAAAhAH6/PQnfAAAA&#10;CgEAAA8AAAAAAAAAAAAAAAAA1AQAAGRycy9kb3ducmV2LnhtbFBLBQYAAAAABAAEAPMAAADgBQAA&#10;AAA=&#10;" fillcolor="white [3212]" stroked="f" strokeweight="1.5pt"/>
            </w:pict>
          </mc:Fallback>
        </mc:AlternateContent>
      </w:r>
      <w:r w:rsidR="00D57C02">
        <w:rPr>
          <w:noProof/>
        </w:rPr>
        <mc:AlternateContent>
          <mc:Choice Requires="wps">
            <w:drawing>
              <wp:anchor distT="0" distB="0" distL="114300" distR="114300" simplePos="0" relativeHeight="251658247" behindDoc="0" locked="0" layoutInCell="1" allowOverlap="1" wp14:anchorId="57111C70" wp14:editId="18D84C98">
                <wp:simplePos x="0" y="0"/>
                <wp:positionH relativeFrom="column">
                  <wp:posOffset>2619375</wp:posOffset>
                </wp:positionH>
                <wp:positionV relativeFrom="paragraph">
                  <wp:posOffset>5381625</wp:posOffset>
                </wp:positionV>
                <wp:extent cx="1409700" cy="790575"/>
                <wp:effectExtent l="0" t="0" r="0" b="9525"/>
                <wp:wrapNone/>
                <wp:docPr id="92927112" name="Rectangle 19"/>
                <wp:cNvGraphicFramePr/>
                <a:graphic xmlns:a="http://schemas.openxmlformats.org/drawingml/2006/main">
                  <a:graphicData uri="http://schemas.microsoft.com/office/word/2010/wordprocessingShape">
                    <wps:wsp>
                      <wps:cNvSpPr/>
                      <wps:spPr>
                        <a:xfrm>
                          <a:off x="0" y="0"/>
                          <a:ext cx="1409700" cy="790575"/>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7C9057" id="Rectangle 19" o:spid="_x0000_s1026" style="position:absolute;margin-left:206.25pt;margin-top:423.75pt;width:111pt;height:62.2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3V8reQIAAF4FAAAOAAAAZHJzL2Uyb0RvYy54bWysVMFu2zAMvQ/YPwi6r7aDZFmDOkXQosOA&#10;oi3WDj0rshQLkEVNUuJkXz9Kcpy2K3YYdpFFkXwkn0leXO47TXbCeQWmptVZSYkwHBplNjX98XTz&#10;6QslPjDTMA1G1PQgPL1cfvxw0duFmEALuhGOIIjxi97WtA3BLorC81Z0zJ+BFQaVElzHAopuUzSO&#10;9Yje6WJSlp+LHlxjHXDhPb5eZyVdJnwpBQ/3UnoRiK4p5hbS6dK5jmexvGCLjWO2VXxIg/1DFh1T&#10;BoOOUNcsMLJ16g+oTnEHHmQ449AVIKXiItWA1VTlm2oeW2ZFqgXJ8Xakyf8/WH63e7QPDmnorV94&#10;vMYq9tJ18Yv5kX0i6zCSJfaBcHyspuX5vEROOerm5+VsPotsFidv63z4KqAj8VJThz8jccR2tz5k&#10;06NJDOZBq+ZGaZ2E2ADiSjuyY/jr1ptqAH9lpU20NRC9MmB8KU6lpFs4aBHttPkuJFENJj9JiaQu&#10;OwVhnAsTqqxqWSNy7GpWYpkZfvRIhSbAiCwx/og9ALwu4IidYQb76CpSk47O5d8Sy86jR4oMJozO&#10;nTLg3gPQWNUQOdsfScrURJbW0BweHHGQR8RbfqPwt90yHx6Yw5nAP41zHu7xkBr6msJwo6QF9+u9&#10;92iPrYpaSnqcsZr6n1vmBCX6m8EmPq+m0ziUSZjO5hMU3EvN+qXGbLsrwF6ocKNYnq7RPujjVTro&#10;nnEdrGJUVDHDMXZNeXBH4Srk2ceFwsVqlcxwEC0Lt+bR8ggeWY1t+bR/Zs4OvRuw6+/gOI9s8aaF&#10;s230NLDaBpAq9feJ14FvHOLUOMPCiVvipZysTmtx+RsAAP//AwBQSwMEFAAGAAgAAAAhAArVwb3h&#10;AAAACwEAAA8AAABkcnMvZG93bnJldi54bWxMj8FOg0AQhu8mvsNmTLzZ3VKgiCyNqTE9mBitJl4X&#10;GIHIziK7benbO5709k/myz/fFJvZDuKIk+8daVguFAik2jU9tRre3x5vMhA+GGrM4Ag1nNHDpry8&#10;KEzeuBO94nEfWsEl5HOjoQthzKX0dYfW+IUbkXj36SZrAo9TK5vJnLjcDjJSKpXW9MQXOjPitsP6&#10;a3+wGpIVqV11TrKPafsy79KH5++nDrW+vprv70AEnMMfDL/6rA4lO1XuQI0Xg4Z4GSWMasjiNQcm&#10;0lXModJwu44UyLKQ/38ofwAAAP//AwBQSwECLQAUAAYACAAAACEAtoM4kv4AAADhAQAAEwAAAAAA&#10;AAAAAAAAAAAAAAAAW0NvbnRlbnRfVHlwZXNdLnhtbFBLAQItABQABgAIAAAAIQA4/SH/1gAAAJQB&#10;AAALAAAAAAAAAAAAAAAAAC8BAABfcmVscy8ucmVsc1BLAQItABQABgAIAAAAIQCr3V8reQIAAF4F&#10;AAAOAAAAAAAAAAAAAAAAAC4CAABkcnMvZTJvRG9jLnhtbFBLAQItABQABgAIAAAAIQAK1cG94QAA&#10;AAsBAAAPAAAAAAAAAAAAAAAAANMEAABkcnMvZG93bnJldi54bWxQSwUGAAAAAAQABADzAAAA4QUA&#10;AAAA&#10;" fillcolor="white [3212]" stroked="f" strokeweight="1.5pt"/>
            </w:pict>
          </mc:Fallback>
        </mc:AlternateContent>
      </w:r>
      <w:r w:rsidR="00CF236D">
        <w:rPr>
          <w:noProof/>
        </w:rPr>
        <mc:AlternateContent>
          <mc:Choice Requires="wps">
            <w:drawing>
              <wp:anchor distT="45720" distB="45720" distL="114300" distR="114300" simplePos="0" relativeHeight="251658244" behindDoc="0" locked="0" layoutInCell="1" allowOverlap="1" wp14:anchorId="425EAAF2" wp14:editId="51215857">
                <wp:simplePos x="0" y="0"/>
                <wp:positionH relativeFrom="margin">
                  <wp:align>left</wp:align>
                </wp:positionH>
                <wp:positionV relativeFrom="paragraph">
                  <wp:posOffset>85725</wp:posOffset>
                </wp:positionV>
                <wp:extent cx="463867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38675" cy="1404620"/>
                        </a:xfrm>
                        <a:prstGeom prst="rect">
                          <a:avLst/>
                        </a:prstGeom>
                        <a:noFill/>
                        <a:ln>
                          <a:noFill/>
                          <a:headEnd/>
                          <a:tailEnd/>
                        </a:ln>
                      </wps:spPr>
                      <wps:style>
                        <a:lnRef idx="2">
                          <a:schemeClr val="accent1"/>
                        </a:lnRef>
                        <a:fillRef idx="1">
                          <a:schemeClr val="lt1"/>
                        </a:fillRef>
                        <a:effectRef idx="0">
                          <a:schemeClr val="accent1"/>
                        </a:effectRef>
                        <a:fontRef idx="minor">
                          <a:schemeClr val="dk1"/>
                        </a:fontRef>
                      </wps:style>
                      <wps:txbx>
                        <w:txbxContent>
                          <w:p w14:paraId="0C9EBDD2" w14:textId="157C5C95" w:rsidR="00AF6DB4" w:rsidRPr="008B0CA2" w:rsidRDefault="00EC12FE" w:rsidP="00A47A2A">
                            <w:pPr>
                              <w:spacing w:after="0"/>
                              <w:rPr>
                                <w:rFonts w:ascii="Arial" w:hAnsi="Arial" w:cs="Arial"/>
                                <w:b/>
                                <w:color w:val="0B769F" w:themeColor="accent4" w:themeShade="BF"/>
                                <w:sz w:val="52"/>
                                <w:szCs w:val="52"/>
                                <w14:textOutline w14:w="12700" w14:cap="flat" w14:cmpd="sng" w14:algn="ctr">
                                  <w14:solidFill>
                                    <w14:schemeClr w14:val="accent4">
                                      <w14:lumMod w14:val="50000"/>
                                    </w14:schemeClr>
                                  </w14:solidFill>
                                  <w14:prstDash w14:val="solid"/>
                                  <w14:round/>
                                </w14:textOutline>
                              </w:rPr>
                            </w:pPr>
                            <w:r w:rsidRPr="00CF236D">
                              <w:rPr>
                                <w:rFonts w:ascii="Arial" w:hAnsi="Arial" w:cs="Arial"/>
                                <w:b/>
                                <w:color w:val="0B769F" w:themeColor="accent4" w:themeShade="BF"/>
                                <w:sz w:val="52"/>
                                <w:szCs w:val="52"/>
                                <w14:textOutline w14:w="12700" w14:cap="flat" w14:cmpd="sng" w14:algn="ctr">
                                  <w14:solidFill>
                                    <w14:schemeClr w14:val="accent4">
                                      <w14:lumMod w14:val="50000"/>
                                    </w14:schemeClr>
                                  </w14:solidFill>
                                  <w14:prstDash w14:val="solid"/>
                                  <w14:round/>
                                </w14:textOutline>
                              </w:rPr>
                              <w:t>RESIDENTIAL CARE HOME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25EAAF2" id="_x0000_s1038" type="#_x0000_t202" style="position:absolute;margin-left:0;margin-top:6.75pt;width:365.25pt;height:110.6pt;z-index:25165824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tVuPwIAALUEAAAOAAAAZHJzL2Uyb0RvYy54bWysVG1v0zAQ/o7Ef7D8nSYtXTeiptPoKEIa&#10;L2LwA1zHbqw5PmO7Tbpfz9lJszKQkBBfLMd399w999xled01mhyE8wpMSaeTnBJhOFTK7Er6/dvm&#10;1RUlPjBTMQ1GlPQoPL1evXyxbG0hZlCDroQjCGJ80dqS1iHYIss8r0XD/ASsMGiU4BoW8NPtssqx&#10;FtEbnc3yfJG14CrrgAvv8fW2N9JVwpdS8PBZSi8C0SXF2kI6XTq38cxWS1bsHLO14kMZ7B+qaJgy&#10;mHSEumWBkb1Tv0E1ijvwIMOEQ5OBlIqLxAHZTPNnbO5rZkXigs3xdmyT/3+w/NPh3n5xJHRvoUMB&#10;Ewlv74A/eGJgXTOzEzfOQVsLVmHiaWxZ1lpfDKGx1b7wEWTbfoQKRWb7AAmok66JXUGeBNFRgOPY&#10;dNEFwvFxvnh9tbi8oISjbTrP54tZkiVjxSncOh/eC2hIvJTUoaoJnh3ufIjlsOLkErMZ2Citk7La&#10;PHuILN6ZKhkDU7q/I0D0TLQik4FTOGoR47X5KiRRFVY76xsUx1OstSMHhoPFOBcm9J0ZvGOYxCrG&#10;wKGzvwbqMWjwjWEije0YmP894xiRsoIJY3CjDLg/AVQPp3Jl739i33OOkoZu2yFpFGUWNY9PW6iO&#10;qLODfo9w7/FSg3ukpMUdKqn/sWdOUKI/GJyVN9P5PC5d+phfXKKwxJ1btucWZjhClTRQ0l/XIS1q&#10;JOXtDc7URiW1nyoZisbdSEMw7HFcvvPv5PX0t1n9BAAA//8DAFBLAwQUAAYACAAAACEA01CfQd4A&#10;AAAHAQAADwAAAGRycy9kb3ducmV2LnhtbEyPQU/DMAyF70j8h8hI3Fi6FhiUphNiAiYkDgwkrl5j&#10;2rLGqZpsLfx6zAlufn7We5+L5eQ6daAhtJ4NzGcJKOLK25ZrA2+v92dXoEJEtth5JgNfFGBZHh8V&#10;mFs/8gsdNrFWEsIhRwNNjH2udagachhmvicW78MPDqPIodZ2wFHCXafTJLnUDluWhgZ7umuo2m32&#10;zkDLD+vd/LN9un72q8cR37851StjTk+m2xtQkab4dwy/+IIOpTBt/Z5tUJ0BeSTKNrsAJe4iS2TY&#10;Gkiz8wXostD/+csfAAAA//8DAFBLAQItABQABgAIAAAAIQC2gziS/gAAAOEBAAATAAAAAAAAAAAA&#10;AAAAAAAAAABbQ29udGVudF9UeXBlc10ueG1sUEsBAi0AFAAGAAgAAAAhADj9If/WAAAAlAEAAAsA&#10;AAAAAAAAAAAAAAAALwEAAF9yZWxzLy5yZWxzUEsBAi0AFAAGAAgAAAAhAKrG1W4/AgAAtQQAAA4A&#10;AAAAAAAAAAAAAAAALgIAAGRycy9lMm9Eb2MueG1sUEsBAi0AFAAGAAgAAAAhANNQn0HeAAAABwEA&#10;AA8AAAAAAAAAAAAAAAAAmQQAAGRycy9kb3ducmV2LnhtbFBLBQYAAAAABAAEAPMAAACkBQAAAAA=&#10;" filled="f" stroked="f" strokeweight="1.5pt">
                <v:textbox style="mso-fit-shape-to-text:t">
                  <w:txbxContent>
                    <w:p w14:paraId="0C9EBDD2" w14:textId="157C5C95" w:rsidR="00AF6DB4" w:rsidRPr="008B0CA2" w:rsidRDefault="00EC12FE" w:rsidP="00A47A2A">
                      <w:pPr>
                        <w:spacing w:after="0"/>
                        <w:rPr>
                          <w:rFonts w:ascii="Arial" w:hAnsi="Arial" w:cs="Arial"/>
                          <w:b/>
                          <w:color w:val="0B769F" w:themeColor="accent4" w:themeShade="BF"/>
                          <w:sz w:val="52"/>
                          <w:szCs w:val="52"/>
                          <w14:textOutline w14:w="12700" w14:cap="flat" w14:cmpd="sng" w14:algn="ctr">
                            <w14:solidFill>
                              <w14:schemeClr w14:val="accent4">
                                <w14:lumMod w14:val="50000"/>
                              </w14:schemeClr>
                            </w14:solidFill>
                            <w14:prstDash w14:val="solid"/>
                            <w14:round/>
                          </w14:textOutline>
                        </w:rPr>
                      </w:pPr>
                      <w:r w:rsidRPr="00CF236D">
                        <w:rPr>
                          <w:rFonts w:ascii="Arial" w:hAnsi="Arial" w:cs="Arial"/>
                          <w:b/>
                          <w:color w:val="0B769F" w:themeColor="accent4" w:themeShade="BF"/>
                          <w:sz w:val="52"/>
                          <w:szCs w:val="52"/>
                          <w14:textOutline w14:w="12700" w14:cap="flat" w14:cmpd="sng" w14:algn="ctr">
                            <w14:solidFill>
                              <w14:schemeClr w14:val="accent4">
                                <w14:lumMod w14:val="50000"/>
                              </w14:schemeClr>
                            </w14:solidFill>
                            <w14:prstDash w14:val="solid"/>
                            <w14:round/>
                          </w14:textOutline>
                        </w:rPr>
                        <w:t>RESIDENTIAL CARE HOME</w:t>
                      </w:r>
                    </w:p>
                  </w:txbxContent>
                </v:textbox>
                <w10:wrap type="square" anchorx="margin"/>
              </v:shape>
            </w:pict>
          </mc:Fallback>
        </mc:AlternateContent>
      </w:r>
      <w:r w:rsidR="00CD499B">
        <w:rPr>
          <w:noProof/>
        </w:rPr>
        <w:drawing>
          <wp:inline distT="0" distB="0" distL="0" distR="0" wp14:anchorId="3689D114" wp14:editId="4042C840">
            <wp:extent cx="5343525" cy="7553325"/>
            <wp:effectExtent l="0" t="0" r="9525" b="9525"/>
            <wp:docPr id="27030128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343525" cy="7553325"/>
                    </a:xfrm>
                    <a:prstGeom prst="rect">
                      <a:avLst/>
                    </a:prstGeom>
                    <a:noFill/>
                    <a:ln>
                      <a:noFill/>
                    </a:ln>
                  </pic:spPr>
                </pic:pic>
              </a:graphicData>
            </a:graphic>
          </wp:inline>
        </w:drawing>
      </w:r>
      <w:r w:rsidR="009F51E0">
        <w:rPr>
          <w:noProof/>
        </w:rPr>
        <w:drawing>
          <wp:inline distT="0" distB="0" distL="0" distR="0" wp14:anchorId="3554EF3A" wp14:editId="02B3A161">
            <wp:extent cx="5329415" cy="7533380"/>
            <wp:effectExtent l="0" t="0" r="5080" b="0"/>
            <wp:docPr id="101214258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10800000">
                      <a:off x="0" y="0"/>
                      <a:ext cx="5347049" cy="7558306"/>
                    </a:xfrm>
                    <a:prstGeom prst="rect">
                      <a:avLst/>
                    </a:prstGeom>
                    <a:noFill/>
                    <a:ln>
                      <a:noFill/>
                    </a:ln>
                  </pic:spPr>
                </pic:pic>
              </a:graphicData>
            </a:graphic>
          </wp:inline>
        </w:drawing>
      </w:r>
      <w:r w:rsidR="00CB0D6D">
        <w:rPr>
          <w:noProof/>
        </w:rPr>
        <mc:AlternateContent>
          <mc:Choice Requires="wps">
            <w:drawing>
              <wp:anchor distT="0" distB="0" distL="114300" distR="114300" simplePos="0" relativeHeight="251658241" behindDoc="0" locked="0" layoutInCell="1" allowOverlap="1" wp14:anchorId="78886034" wp14:editId="5B5F6E14">
                <wp:simplePos x="0" y="0"/>
                <wp:positionH relativeFrom="margin">
                  <wp:posOffset>19050</wp:posOffset>
                </wp:positionH>
                <wp:positionV relativeFrom="paragraph">
                  <wp:posOffset>-227965</wp:posOffset>
                </wp:positionV>
                <wp:extent cx="3009900" cy="9525"/>
                <wp:effectExtent l="19050" t="19050" r="19050" b="28575"/>
                <wp:wrapNone/>
                <wp:docPr id="1114258922" name="Straight Connector 4"/>
                <wp:cNvGraphicFramePr/>
                <a:graphic xmlns:a="http://schemas.openxmlformats.org/drawingml/2006/main">
                  <a:graphicData uri="http://schemas.microsoft.com/office/word/2010/wordprocessingShape">
                    <wps:wsp>
                      <wps:cNvCnPr/>
                      <wps:spPr>
                        <a:xfrm flipV="1">
                          <a:off x="0" y="0"/>
                          <a:ext cx="3009900" cy="9525"/>
                        </a:xfrm>
                        <a:prstGeom prst="line">
                          <a:avLst/>
                        </a:prstGeom>
                        <a:ln w="38100"/>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F56DF3" id="Straight Connector 4" o:spid="_x0000_s1026" style="position:absolute;flip:y;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5pt,-17.95pt" to="238.5pt,-1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IuCsQEAAKYDAAAOAAAAZHJzL2Uyb0RvYy54bWysU01v2zAMvQ/YfxB0X+xk6NAYcXpo0V2G&#10;tmi33VWZioXqC5QWO/9+lJy4w7b2UPQiSCL5+N4TtbkYrWF7wKi9a/lyUXMGTvpOu13Lf3y//nTO&#10;WUzCdcJ4By0/QOQX248fNkNoYOV7bzpARiAuNkNoeZ9SaKoqyh6siAsfwFFQebQi0RF3VYdiIHRr&#10;qlVdf6kGj11ALyFGur2agnxb8JUCmW6VipCYaTlxS2XFsj7mtdpuRLNDEXotjzTEG1hYoR01naGu&#10;RBLsF+p/oKyW6KNXaSG9rbxSWkLRQGqW9V9qHnoRoGghc2KYbYrvBytv9pfuDsmGIcQmhjvMKkaF&#10;limjw09606KLmLKx2HaYbYMxMUmXn+t6va7JXUmx9dnqLLtaTSgZLWBMX8FbljctN9plUaIR+28x&#10;TamnlHxtHBsI9HxJkDn6TKzs0sHAlHYPiumOCKwKXJkZuDTI9oJeu3taHnkYR5m5RGlj5qL69aJj&#10;bi6DMkdz4WTIi93m7NLRuzQXWu08/q9rGk9U1ZR/Uj1pzbIffXcoz1TsoGEoDh8HN0/bn+dS/vy9&#10;tr8BAAD//wMAUEsDBBQABgAIAAAAIQA2h+yA3wAAAAkBAAAPAAAAZHJzL2Rvd25yZXYueG1sTI9B&#10;T4NAEIXvJv6HzZh4axctWossDTH25MFITbC3LTsCkZ0l7BbQX+/0pMd57+XN99LtbDsx4uBbRwpu&#10;lhEIpMqZlmoF7/vd4gGED5qM7hyhgm/0sM0uL1KdGDfRG45FqAWXkE+0giaEPpHSVw1a7ZeuR2Lv&#10;0w1WBz6HWppBT1xuO3kbRffS6pb4Q6N7fGqw+ipOVkH53NMhb3/2Y5GXXTm/5i+7j0mp66s5fwQR&#10;cA5/YTjjMzpkzHR0JzJedApWvCQoWKzuNiDYj9drVo5nJY5BZqn8vyD7BQAA//8DAFBLAQItABQA&#10;BgAIAAAAIQC2gziS/gAAAOEBAAATAAAAAAAAAAAAAAAAAAAAAABbQ29udGVudF9UeXBlc10ueG1s&#10;UEsBAi0AFAAGAAgAAAAhADj9If/WAAAAlAEAAAsAAAAAAAAAAAAAAAAALwEAAF9yZWxzLy5yZWxz&#10;UEsBAi0AFAAGAAgAAAAhAFeki4KxAQAApgMAAA4AAAAAAAAAAAAAAAAALgIAAGRycy9lMm9Eb2Mu&#10;eG1sUEsBAi0AFAAGAAgAAAAhADaH7IDfAAAACQEAAA8AAAAAAAAAAAAAAAAACwQAAGRycy9kb3du&#10;cmV2LnhtbFBLBQYAAAAABAAEAPMAAAAXBQAAAAA=&#10;" strokecolor="black [3200]" strokeweight="3pt">
                <v:stroke joinstyle="miter"/>
                <w10:wrap anchorx="margin"/>
              </v:line>
            </w:pict>
          </mc:Fallback>
        </mc:AlternateContent>
      </w:r>
      <w:r w:rsidR="00CB0D6D">
        <w:rPr>
          <w:noProof/>
        </w:rPr>
        <mc:AlternateContent>
          <mc:Choice Requires="wps">
            <w:drawing>
              <wp:anchor distT="0" distB="0" distL="114300" distR="114300" simplePos="0" relativeHeight="251658242" behindDoc="0" locked="0" layoutInCell="1" allowOverlap="1" wp14:anchorId="79DBC7A7" wp14:editId="7F87450E">
                <wp:simplePos x="0" y="0"/>
                <wp:positionH relativeFrom="margin">
                  <wp:posOffset>0</wp:posOffset>
                </wp:positionH>
                <wp:positionV relativeFrom="paragraph">
                  <wp:posOffset>-189865</wp:posOffset>
                </wp:positionV>
                <wp:extent cx="3038475" cy="28575"/>
                <wp:effectExtent l="0" t="0" r="28575" b="28575"/>
                <wp:wrapNone/>
                <wp:docPr id="2117855406" name="Straight Connector 6"/>
                <wp:cNvGraphicFramePr/>
                <a:graphic xmlns:a="http://schemas.openxmlformats.org/drawingml/2006/main">
                  <a:graphicData uri="http://schemas.microsoft.com/office/word/2010/wordprocessingShape">
                    <wps:wsp>
                      <wps:cNvCnPr/>
                      <wps:spPr>
                        <a:xfrm flipV="1">
                          <a:off x="0" y="0"/>
                          <a:ext cx="3038475" cy="28575"/>
                        </a:xfrm>
                        <a:prstGeom prst="line">
                          <a:avLst/>
                        </a:prstGeom>
                        <a:ln w="9525"/>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3B52AD" id="Straight Connector 6" o:spid="_x0000_s1026" style="position:absolute;flip:y;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14.95pt" to="239.25pt,-1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FjPsQEAAKYDAAAOAAAAZHJzL2Uyb0RvYy54bWysU8Fu1DAQvSPxD5bvbLIpC9tosz20gguC&#10;igJ31xlvLGyPZZtN9u8ZO9u0AsoBcbEmnpk37z1PdleTNewIIWp0HV+vas7ASey1O3T865d3r7ac&#10;xSRcLww66PgJIr/av3yxG30LDQ5oegiMQFxsR9/xISXfVlWUA1gRV+jBUVJhsCLRZzhUfRAjoVtT&#10;NXX9phox9D6ghBjp9mZO8n3BVwpk+qRUhMRMx4lbKmco530+q/1OtIcg/KDlmYb4BxZWaEdDF6gb&#10;kQT7EfRvUFbLgBFVWkm0FSqlJRQNpGZd/6LmbhAeihYyJ/rFpvj/YOXH47W7DWTD6GMb/W3IKiYV&#10;LFNG+2/0pkUXMWVTse202AZTYpIuL+qL7eu3G84k5ZrthkLCq2aYDOdDTO8BLctBx412WZVoxfFD&#10;THPpQ0m+No6NHb/cNDPOI7ESpZOBueozKKZ7ItAUtLIzcG0COwp67f77+kzDOKrMLUobszTVf286&#10;1+Y2KHu0NM6GPDttqS4T0aWl0WqH4U9T0/RAVc315N4TrTm8x/5UnqkkaBmKwefFzdv29Lu0P/5e&#10;+58AAAD//wMAUEsDBBQABgAIAAAAIQBwKy903wAAAAgBAAAPAAAAZHJzL2Rvd25yZXYueG1sTI9R&#10;S8NAEITfBf/DsYIvpb1YGk1iLkUKQkEsGPsDrrk1Cc3txdwljf/e7ZM+zs4y802+nW0nJhx860jB&#10;wyoCgVQ501Kt4Pj5ukxA+KDJ6M4RKvhBD9vi9ibXmXEX+sCpDLXgEPKZVtCE0GdS+qpBq/3K9Ujs&#10;fbnB6sByqKUZ9IXDbSfXUfQorW6JGxrd467B6lyOVsE+fa+TKaY38308+/24OJQ7Wih1fze/PIMI&#10;OIe/Z7jiMzoUzHRyIxkvOgU8JChYrtMUBNubpyQGcbpe4g3IIpf/BxS/AAAA//8DAFBLAQItABQA&#10;BgAIAAAAIQC2gziS/gAAAOEBAAATAAAAAAAAAAAAAAAAAAAAAABbQ29udGVudF9UeXBlc10ueG1s&#10;UEsBAi0AFAAGAAgAAAAhADj9If/WAAAAlAEAAAsAAAAAAAAAAAAAAAAALwEAAF9yZWxzLy5yZWxz&#10;UEsBAi0AFAAGAAgAAAAhAIBkWM+xAQAApgMAAA4AAAAAAAAAAAAAAAAALgIAAGRycy9lMm9Eb2Mu&#10;eG1sUEsBAi0AFAAGAAgAAAAhAHArL3TfAAAACAEAAA8AAAAAAAAAAAAAAAAACwQAAGRycy9kb3du&#10;cmV2LnhtbFBLBQYAAAAABAAEAPMAAAAXBQAAAAA=&#10;" strokecolor="black [3200]">
                <v:stroke joinstyle="miter"/>
                <w10:wrap anchorx="margin"/>
              </v:line>
            </w:pict>
          </mc:Fallback>
        </mc:AlternateContent>
      </w:r>
    </w:p>
    <w:p w14:paraId="61E09939" w14:textId="6E7036EE" w:rsidR="00AF7BF4" w:rsidRPr="00CA1B0F" w:rsidRDefault="00077F43" w:rsidP="00CA1B0F">
      <w:pPr>
        <w:spacing w:line="360" w:lineRule="auto"/>
        <w:jc w:val="center"/>
        <w:rPr>
          <w:rFonts w:ascii="Arial" w:hAnsi="Arial" w:cs="Arial"/>
        </w:rPr>
      </w:pPr>
      <w:r w:rsidRPr="00CA1B0F">
        <w:rPr>
          <w:rFonts w:ascii="Arial" w:hAnsi="Arial" w:cs="Arial"/>
          <w:b/>
          <w:bCs/>
          <w:sz w:val="32"/>
          <w:szCs w:val="32"/>
        </w:rPr>
        <w:lastRenderedPageBreak/>
        <w:t>Pharmacy Services</w:t>
      </w:r>
      <w:r w:rsidR="003C7318" w:rsidRPr="00CA1B0F">
        <w:rPr>
          <w:rFonts w:ascii="Arial" w:hAnsi="Arial" w:cs="Arial"/>
        </w:rPr>
        <w:br/>
      </w:r>
    </w:p>
    <w:p w14:paraId="39985C00" w14:textId="77777777" w:rsidR="002D3875" w:rsidRDefault="002D3875" w:rsidP="00CA1B0F">
      <w:pPr>
        <w:spacing w:line="360" w:lineRule="auto"/>
        <w:jc w:val="center"/>
        <w:rPr>
          <w:rFonts w:ascii="Arial" w:hAnsi="Arial" w:cs="Arial"/>
        </w:rPr>
      </w:pPr>
    </w:p>
    <w:p w14:paraId="182106F0" w14:textId="79AD586E" w:rsidR="00BA725F" w:rsidRPr="003A00E4" w:rsidRDefault="003A00E4" w:rsidP="00CA1B0F">
      <w:pPr>
        <w:spacing w:line="360" w:lineRule="auto"/>
        <w:jc w:val="center"/>
        <w:rPr>
          <w:rFonts w:ascii="Arial" w:hAnsi="Arial" w:cs="Arial"/>
          <w:b/>
          <w:bCs/>
        </w:rPr>
      </w:pPr>
      <w:r w:rsidRPr="003A00E4">
        <w:rPr>
          <w:rFonts w:ascii="Arial" w:hAnsi="Arial" w:cs="Arial"/>
          <w:b/>
          <w:bCs/>
        </w:rPr>
        <w:t>INTRODUCTION</w:t>
      </w:r>
    </w:p>
    <w:p w14:paraId="6A1B29D2" w14:textId="77777777" w:rsidR="00E9767C" w:rsidRDefault="00A16084" w:rsidP="00CA1B0F">
      <w:pPr>
        <w:spacing w:line="360" w:lineRule="auto"/>
        <w:ind w:firstLine="720"/>
        <w:jc w:val="both"/>
        <w:rPr>
          <w:rFonts w:ascii="Arial" w:hAnsi="Arial" w:cs="Arial"/>
        </w:rPr>
      </w:pPr>
      <w:r w:rsidRPr="00CA1B0F">
        <w:rPr>
          <w:rFonts w:ascii="Arial" w:hAnsi="Arial" w:cs="Arial"/>
        </w:rPr>
        <w:t>Pharmacy services are a fundamental component of modern healthcare systems, ensuring the safe preparation, supply and optimisation of medicines across hospital, primary care and specialist settings. The origins of pharmacy can be traced to ancient civilisations where remedies were prepared using herbal and mineral substances based on empirical knowledge (Anderson, 2007; Urick and Meggs, 2019). During the medieval period, apothecaries became responsible for compounding and selling medicines, gradually separating from physicians as distinct practitioners (Urick and Meggs, 2019; BSHP, 2025).</w:t>
      </w:r>
    </w:p>
    <w:p w14:paraId="7E24146C" w14:textId="77777777" w:rsidR="004D6907" w:rsidRDefault="004D6907" w:rsidP="00CA1B0F">
      <w:pPr>
        <w:spacing w:line="360" w:lineRule="auto"/>
        <w:ind w:firstLine="720"/>
        <w:jc w:val="both"/>
        <w:rPr>
          <w:rFonts w:ascii="Arial" w:hAnsi="Arial" w:cs="Arial"/>
        </w:rPr>
      </w:pPr>
    </w:p>
    <w:p w14:paraId="73DEB403" w14:textId="626327FB" w:rsidR="008D478D" w:rsidRPr="004D6907" w:rsidRDefault="004D6907" w:rsidP="004D6907">
      <w:pPr>
        <w:spacing w:line="360" w:lineRule="auto"/>
        <w:ind w:firstLine="720"/>
        <w:jc w:val="center"/>
        <w:rPr>
          <w:rFonts w:ascii="Arial" w:hAnsi="Arial" w:cs="Arial"/>
          <w:b/>
          <w:bCs/>
        </w:rPr>
      </w:pPr>
      <w:r w:rsidRPr="004D6907">
        <w:rPr>
          <w:rFonts w:ascii="Arial" w:hAnsi="Arial" w:cs="Arial"/>
          <w:b/>
          <w:bCs/>
        </w:rPr>
        <w:t>ORIG</w:t>
      </w:r>
      <w:r>
        <w:rPr>
          <w:rFonts w:ascii="Arial" w:hAnsi="Arial" w:cs="Arial"/>
          <w:b/>
          <w:bCs/>
        </w:rPr>
        <w:t>I</w:t>
      </w:r>
      <w:r w:rsidRPr="004D6907">
        <w:rPr>
          <w:rFonts w:ascii="Arial" w:hAnsi="Arial" w:cs="Arial"/>
          <w:b/>
          <w:bCs/>
        </w:rPr>
        <w:t>NS OF PHARMACY SERVICES</w:t>
      </w:r>
    </w:p>
    <w:p w14:paraId="13E1C564" w14:textId="27C2754F" w:rsidR="002D3875" w:rsidRPr="00CA1B0F" w:rsidRDefault="00A16084" w:rsidP="00CA1B0F">
      <w:pPr>
        <w:spacing w:line="360" w:lineRule="auto"/>
        <w:ind w:firstLine="720"/>
        <w:jc w:val="both"/>
        <w:rPr>
          <w:rFonts w:ascii="Arial" w:hAnsi="Arial" w:cs="Arial"/>
        </w:rPr>
      </w:pPr>
      <w:r w:rsidRPr="00CA1B0F">
        <w:rPr>
          <w:rFonts w:ascii="Arial" w:hAnsi="Arial" w:cs="Arial"/>
        </w:rPr>
        <w:t xml:space="preserve"> In the United Kingdom, professionalisation accelerated in the nineteenth century with the establishment of the Pharmaceutical Society of Great Britain in 1841, which introduced formal education and ethical standards (BSHP, 2025; Anderson, 2007). These developments laid the structural foundations for regulated pharmacy services within the healthcare system.</w:t>
      </w:r>
    </w:p>
    <w:p w14:paraId="0262B97E" w14:textId="77777777" w:rsidR="00E9767C" w:rsidRDefault="00E9767C" w:rsidP="00CA1B0F">
      <w:pPr>
        <w:spacing w:line="360" w:lineRule="auto"/>
        <w:ind w:firstLine="720"/>
        <w:jc w:val="both"/>
        <w:rPr>
          <w:rFonts w:ascii="Arial" w:hAnsi="Arial" w:cs="Arial"/>
        </w:rPr>
      </w:pPr>
    </w:p>
    <w:p w14:paraId="6CFF9F5B" w14:textId="070A74EE" w:rsidR="00E9767C" w:rsidRPr="004D6907" w:rsidRDefault="004D6907" w:rsidP="004D6907">
      <w:pPr>
        <w:spacing w:line="360" w:lineRule="auto"/>
        <w:ind w:firstLine="720"/>
        <w:jc w:val="center"/>
        <w:rPr>
          <w:rFonts w:ascii="Arial" w:hAnsi="Arial" w:cs="Arial"/>
          <w:b/>
          <w:bCs/>
        </w:rPr>
      </w:pPr>
      <w:r>
        <w:rPr>
          <w:rFonts w:ascii="Arial" w:hAnsi="Arial" w:cs="Arial"/>
          <w:b/>
          <w:bCs/>
        </w:rPr>
        <w:t>THE DEVELOPMENT</w:t>
      </w:r>
      <w:r w:rsidRPr="004D6907">
        <w:rPr>
          <w:rFonts w:ascii="Arial" w:hAnsi="Arial" w:cs="Arial"/>
          <w:b/>
          <w:bCs/>
        </w:rPr>
        <w:t xml:space="preserve"> OF PHARMACY SERVICES</w:t>
      </w:r>
    </w:p>
    <w:p w14:paraId="3B6B47D8" w14:textId="0A1CF8D6" w:rsidR="00C25558" w:rsidRDefault="002A279A" w:rsidP="00CA1B0F">
      <w:pPr>
        <w:spacing w:line="360" w:lineRule="auto"/>
        <w:ind w:firstLine="720"/>
        <w:jc w:val="both"/>
        <w:rPr>
          <w:rFonts w:ascii="Arial" w:hAnsi="Arial" w:cs="Arial"/>
        </w:rPr>
      </w:pPr>
      <w:r w:rsidRPr="00CA1B0F">
        <w:rPr>
          <w:rFonts w:ascii="Arial" w:hAnsi="Arial" w:cs="Arial"/>
        </w:rPr>
        <w:t xml:space="preserve">The development of pharmacy services was shaped by industrialisation, scientific progress and public health reform. Rapid urban growth increased the demand for safe and regulated medicine supply, highlighting the risks posed by unqualified sellers (Anderson, 2007; BSHP, 2025). Legislative measures such as the Pharmacy Act 1852 and the Pharmacy and Poisons Act 1868 formalised professional registration and restricted the sale of dangerous substances (BSHP, 2025; Urick and Meggs, 2019). In the twentieth century, advances in pharmaceutical science shifted practice from compounding individual preparations to dispensing manufactured medicines, particularly antibiotics and synthetic drugs (Urick and Meggs, 2019; The </w:t>
      </w:r>
      <w:r w:rsidRPr="00CA1B0F">
        <w:rPr>
          <w:rFonts w:ascii="Arial" w:hAnsi="Arial" w:cs="Arial"/>
        </w:rPr>
        <w:lastRenderedPageBreak/>
        <w:t>King’s Fund, 2022). The creation of the National Health Service (NHS) in 1948 further expanded pharmacy services by integrating pharmacists into publicly funded healthcare and increasing prescription volumes (NHS England, 2023; The King’s Fund, 2022).</w:t>
      </w:r>
    </w:p>
    <w:p w14:paraId="50E17D78" w14:textId="77777777" w:rsidR="00823287" w:rsidRDefault="00823287" w:rsidP="00CA1B0F">
      <w:pPr>
        <w:spacing w:line="360" w:lineRule="auto"/>
        <w:ind w:firstLine="720"/>
        <w:jc w:val="both"/>
        <w:rPr>
          <w:rFonts w:ascii="Arial" w:hAnsi="Arial" w:cs="Arial"/>
        </w:rPr>
      </w:pPr>
    </w:p>
    <w:p w14:paraId="46571917" w14:textId="4A394DD5" w:rsidR="00823287" w:rsidRPr="00823287" w:rsidRDefault="00D6277A" w:rsidP="00823287">
      <w:pPr>
        <w:spacing w:line="360" w:lineRule="auto"/>
        <w:ind w:firstLine="720"/>
        <w:jc w:val="center"/>
        <w:rPr>
          <w:rFonts w:ascii="Arial" w:hAnsi="Arial" w:cs="Arial"/>
          <w:b/>
          <w:bCs/>
        </w:rPr>
      </w:pPr>
      <w:r>
        <w:rPr>
          <w:rFonts w:ascii="Arial" w:hAnsi="Arial" w:cs="Arial"/>
          <w:b/>
          <w:bCs/>
        </w:rPr>
        <w:t>CONTEMPORARY</w:t>
      </w:r>
      <w:r w:rsidR="00823287" w:rsidRPr="004D6907">
        <w:rPr>
          <w:rFonts w:ascii="Arial" w:hAnsi="Arial" w:cs="Arial"/>
          <w:b/>
          <w:bCs/>
        </w:rPr>
        <w:t xml:space="preserve"> OF PHARMACY SERVICES</w:t>
      </w:r>
    </w:p>
    <w:p w14:paraId="0272D0BB" w14:textId="5DD8E329" w:rsidR="002A279A" w:rsidRDefault="00816E9E" w:rsidP="00CA1B0F">
      <w:pPr>
        <w:spacing w:line="360" w:lineRule="auto"/>
        <w:ind w:firstLine="720"/>
        <w:jc w:val="both"/>
        <w:rPr>
          <w:rFonts w:ascii="Arial" w:hAnsi="Arial" w:cs="Arial"/>
        </w:rPr>
      </w:pPr>
      <w:r w:rsidRPr="00CA1B0F">
        <w:rPr>
          <w:rFonts w:ascii="Arial" w:hAnsi="Arial" w:cs="Arial"/>
        </w:rPr>
        <w:t>Today, pharmacy services operate across diverse sectors including hospital pharmacy, general practice, mental health and specialist clinical roles. Hospital pharmacists contribute to medicines reconciliation, clinical review and antimicrobial stewardship, playing a critical role in patient safety (NHS England, 2023; Pharmaceutical Journal, 2024). In primary care, pharmacists support prescribing optimisation, manage long-term conditions and reduce medication-related harm (The King’s Fund, 2022; Community Pharmacy England, 2023). The introduction of independent prescribing rights has expanded pharmacists’ clinical autonomy, enabling direct patient assessment and treatment in specific areas (NHS England, 2023; Pharmaceutical Journal, 2024). This shift reflects broader health policy priorities focused on multidisciplinary collaboration and improved medicines management (Urick and Meggs, 2019; The King’s Fund, 2022).</w:t>
      </w:r>
    </w:p>
    <w:p w14:paraId="14E10446" w14:textId="77777777" w:rsidR="00376C7D" w:rsidRDefault="00376C7D" w:rsidP="00CA1B0F">
      <w:pPr>
        <w:spacing w:line="360" w:lineRule="auto"/>
        <w:ind w:firstLine="720"/>
        <w:jc w:val="both"/>
        <w:rPr>
          <w:rFonts w:ascii="Arial" w:hAnsi="Arial" w:cs="Arial"/>
        </w:rPr>
      </w:pPr>
    </w:p>
    <w:p w14:paraId="66D1ADA1" w14:textId="0E72767A" w:rsidR="00376C7D" w:rsidRPr="0073214C" w:rsidRDefault="0073214C" w:rsidP="0073214C">
      <w:pPr>
        <w:spacing w:line="360" w:lineRule="auto"/>
        <w:ind w:firstLine="720"/>
        <w:jc w:val="center"/>
        <w:rPr>
          <w:rFonts w:ascii="Arial" w:hAnsi="Arial" w:cs="Arial"/>
          <w:b/>
          <w:bCs/>
        </w:rPr>
      </w:pPr>
      <w:r w:rsidRPr="0073214C">
        <w:rPr>
          <w:rFonts w:ascii="Arial" w:hAnsi="Arial" w:cs="Arial"/>
          <w:b/>
          <w:bCs/>
        </w:rPr>
        <w:t>CRITHICAL THI</w:t>
      </w:r>
      <w:r>
        <w:rPr>
          <w:rFonts w:ascii="Arial" w:hAnsi="Arial" w:cs="Arial"/>
          <w:b/>
          <w:bCs/>
        </w:rPr>
        <w:t>N</w:t>
      </w:r>
      <w:r w:rsidRPr="0073214C">
        <w:rPr>
          <w:rFonts w:ascii="Arial" w:hAnsi="Arial" w:cs="Arial"/>
          <w:b/>
          <w:bCs/>
        </w:rPr>
        <w:t>KING</w:t>
      </w:r>
    </w:p>
    <w:p w14:paraId="3AD65740" w14:textId="77777777" w:rsidR="00CA1B0F" w:rsidRPr="00CA1B0F" w:rsidRDefault="00CA1B0F" w:rsidP="00CA1B0F">
      <w:pPr>
        <w:spacing w:line="360" w:lineRule="auto"/>
        <w:ind w:firstLine="720"/>
        <w:jc w:val="both"/>
        <w:rPr>
          <w:rFonts w:ascii="Arial" w:hAnsi="Arial" w:cs="Arial"/>
        </w:rPr>
      </w:pPr>
      <w:r w:rsidRPr="00CA1B0F">
        <w:rPr>
          <w:rFonts w:ascii="Arial" w:hAnsi="Arial" w:cs="Arial"/>
        </w:rPr>
        <w:t>Critically, pharmacy services today demonstrate significant strengths but also face operational challenges. Pharmacists enhance patient safety by identifying drug interactions, improving adherence and promoting evidence-based therapy (Urick and Meggs, 2019; Pharmaceutical Journal, 2024). Their expanded clinical role helps alleviate pressure on medical practitioners and improves access to care, particularly within primary care settings (NHS England, 2023; The King’s Fund, 2022). However, workforce shortages, funding pressures and increasing service demands raise concerns regarding long-term sustainability (Community Pharmacy England, 2023; Pharmaceutical Journal, 2024). Variations in regional service provision may also create inequalities in access to advanced pharmacy services (The King’s Fund, 2022; NHS England, 2023).</w:t>
      </w:r>
    </w:p>
    <w:p w14:paraId="4BDE1455" w14:textId="77777777" w:rsidR="00CA1B0F" w:rsidRDefault="00CA1B0F" w:rsidP="00CA1B0F">
      <w:pPr>
        <w:spacing w:line="360" w:lineRule="auto"/>
        <w:ind w:firstLine="720"/>
        <w:jc w:val="both"/>
        <w:rPr>
          <w:rFonts w:ascii="Arial" w:hAnsi="Arial" w:cs="Arial"/>
        </w:rPr>
      </w:pPr>
      <w:r w:rsidRPr="00CA1B0F">
        <w:rPr>
          <w:rFonts w:ascii="Arial" w:hAnsi="Arial" w:cs="Arial"/>
        </w:rPr>
        <w:lastRenderedPageBreak/>
        <w:t>The significance of pharmacy services in enhancing quality of life is considerable. Effective medicines optimisation improves outcomes for patients with chronic illnesses such as cardiovascular disease, asthma and diabetes (Urick and Meggs, 2019; Pharmaceutical Journal, 2024). Pharmacists provide education and counselling that empower patients to manage conditions safely and confidently (Anderson, 2007; NHS England, 2023). Preventive initiatives, including vaccination programmes and public health campaigns, further support population health and reduce disease burden (Community Pharmacy England, 2023; The King’s Fund, 2022). By ensuring safe, accessible and effective medication use, pharmacy services directly contribute to improved wellbeing and healthcare efficiency.</w:t>
      </w:r>
    </w:p>
    <w:p w14:paraId="380D263A" w14:textId="77777777" w:rsidR="009B3EA2" w:rsidRDefault="009B3EA2" w:rsidP="00CA1B0F">
      <w:pPr>
        <w:spacing w:line="360" w:lineRule="auto"/>
        <w:ind w:firstLine="720"/>
        <w:jc w:val="both"/>
        <w:rPr>
          <w:rFonts w:ascii="Arial" w:hAnsi="Arial" w:cs="Arial"/>
        </w:rPr>
      </w:pPr>
    </w:p>
    <w:p w14:paraId="350E14B0" w14:textId="6AAEA211" w:rsidR="009B3EA2" w:rsidRPr="009B3EA2" w:rsidRDefault="009B3EA2" w:rsidP="009B3EA2">
      <w:pPr>
        <w:spacing w:line="360" w:lineRule="auto"/>
        <w:ind w:firstLine="720"/>
        <w:jc w:val="center"/>
        <w:rPr>
          <w:rFonts w:ascii="Arial" w:hAnsi="Arial" w:cs="Arial"/>
          <w:b/>
          <w:bCs/>
        </w:rPr>
      </w:pPr>
      <w:r w:rsidRPr="009B3EA2">
        <w:rPr>
          <w:rFonts w:ascii="Arial" w:hAnsi="Arial" w:cs="Arial"/>
          <w:b/>
          <w:bCs/>
        </w:rPr>
        <w:t>CONCLUSION</w:t>
      </w:r>
    </w:p>
    <w:p w14:paraId="264703A2" w14:textId="052CF72A" w:rsidR="00E53C0B" w:rsidRDefault="00CA1B0F" w:rsidP="00E53C0B">
      <w:pPr>
        <w:spacing w:line="360" w:lineRule="auto"/>
        <w:ind w:firstLine="720"/>
        <w:jc w:val="both"/>
        <w:rPr>
          <w:rFonts w:ascii="Arial" w:hAnsi="Arial" w:cs="Arial"/>
        </w:rPr>
        <w:sectPr w:rsidR="00E53C0B" w:rsidSect="00F50160">
          <w:pgSz w:w="11906" w:h="16838"/>
          <w:pgMar w:top="1440" w:right="1440" w:bottom="1440" w:left="1440" w:header="708" w:footer="708" w:gutter="0"/>
          <w:cols w:space="708"/>
          <w:docGrid w:linePitch="360"/>
        </w:sectPr>
      </w:pPr>
      <w:r w:rsidRPr="00CA1B0F">
        <w:rPr>
          <w:rFonts w:ascii="Arial" w:hAnsi="Arial" w:cs="Arial"/>
        </w:rPr>
        <w:t>In conclusion, pharmacy services have evolved from early apothecary practice into highly regulated and clinically integrated healthcare functions. Shaped by legislative reform, scientific innovation and NHS development, they now play a central role in medicines optimisation and patient safety (BSHP, 2025; NHS England, 2023). Despite financial and workforce challenges, pharmacy services remain essential to enhancing quality of life through safe and effective medication management (Urick and Meggs, 2019; Pharmaceutical Journal, 2024</w:t>
      </w:r>
      <w:r w:rsidR="00EA503C">
        <w:rPr>
          <w:rFonts w:ascii="Arial" w:hAnsi="Arial" w:cs="Arial"/>
        </w:rPr>
        <w:t>).</w:t>
      </w:r>
    </w:p>
    <w:p w14:paraId="391A8C84" w14:textId="17D99DFB" w:rsidR="005E20FC" w:rsidRDefault="0007378B" w:rsidP="00D77212">
      <w:pPr>
        <w:spacing w:line="360" w:lineRule="auto"/>
        <w:jc w:val="center"/>
        <w:rPr>
          <w:rFonts w:ascii="Arial" w:hAnsi="Arial" w:cs="Arial"/>
          <w:b/>
          <w:bCs/>
          <w:sz w:val="28"/>
          <w:szCs w:val="28"/>
        </w:rPr>
      </w:pPr>
      <w:r w:rsidRPr="00EE135F">
        <w:rPr>
          <w:rFonts w:ascii="Arial" w:hAnsi="Arial" w:cs="Arial"/>
          <w:b/>
          <w:bCs/>
          <w:sz w:val="28"/>
          <w:szCs w:val="28"/>
        </w:rPr>
        <w:lastRenderedPageBreak/>
        <w:t>References</w:t>
      </w:r>
      <w:r w:rsidR="00CA1B0F" w:rsidRPr="00EE135F">
        <w:rPr>
          <w:rFonts w:ascii="Arial" w:hAnsi="Arial" w:cs="Arial"/>
          <w:b/>
          <w:bCs/>
          <w:sz w:val="28"/>
          <w:szCs w:val="28"/>
        </w:rPr>
        <w:t xml:space="preserve"> List</w:t>
      </w:r>
    </w:p>
    <w:p w14:paraId="58871A60" w14:textId="77777777" w:rsidR="00D77212" w:rsidRPr="009D354C" w:rsidRDefault="00D77212" w:rsidP="00D77212">
      <w:pPr>
        <w:jc w:val="both"/>
      </w:pPr>
      <w:r w:rsidRPr="009D354C">
        <w:rPr>
          <w:b/>
          <w:bCs/>
        </w:rPr>
        <w:t>Age UK (2025)</w:t>
      </w:r>
      <w:r w:rsidRPr="009D354C">
        <w:t xml:space="preserve"> </w:t>
      </w:r>
      <w:r w:rsidRPr="009D354C">
        <w:rPr>
          <w:i/>
          <w:iCs/>
        </w:rPr>
        <w:t>Home care services: supporting independence in the community</w:t>
      </w:r>
      <w:r w:rsidRPr="009D354C">
        <w:t>. Available at</w:t>
      </w:r>
      <w:hyperlink r:id="rId19" w:history="1">
        <w:r w:rsidRPr="007C31DA">
          <w:rPr>
            <w:rStyle w:val="Hyperlink"/>
            <w:color w:val="0000FF"/>
          </w:rPr>
          <w:t>https://www.ageuk.org.uk/services/in-your-area/home-help/</w:t>
        </w:r>
      </w:hyperlink>
      <w:r w:rsidRPr="009D354C">
        <w:t xml:space="preserve"> Accessed: 28 January 2026</w:t>
      </w:r>
      <w:r>
        <w:t>.</w:t>
      </w:r>
    </w:p>
    <w:p w14:paraId="520BC3FE" w14:textId="77777777" w:rsidR="00D77212" w:rsidRPr="009D354C" w:rsidRDefault="00D77212" w:rsidP="00D77212">
      <w:pPr>
        <w:jc w:val="both"/>
      </w:pPr>
      <w:r w:rsidRPr="009D354C">
        <w:rPr>
          <w:b/>
          <w:bCs/>
        </w:rPr>
        <w:t>Anderson, S. (2007)</w:t>
      </w:r>
      <w:r w:rsidRPr="009D354C">
        <w:t xml:space="preserve"> ‘Community pharmacy and public health in Great Britain, 1936–2006: how a phoenix rose from the ashes’, </w:t>
      </w:r>
      <w:r w:rsidRPr="009D354C">
        <w:rPr>
          <w:i/>
          <w:iCs/>
        </w:rPr>
        <w:t>Journal of Epidemiology &amp; Community Health</w:t>
      </w:r>
      <w:r w:rsidRPr="009D354C">
        <w:t>, 61(10), pp. 844–848. Available at</w:t>
      </w:r>
      <w:r w:rsidRPr="00C64C83">
        <w:t xml:space="preserve"> </w:t>
      </w:r>
      <w:hyperlink r:id="rId20" w:history="1">
        <w:r w:rsidRPr="00C64C83">
          <w:rPr>
            <w:rStyle w:val="Hyperlink"/>
            <w:color w:val="0000FF"/>
          </w:rPr>
          <w:t>https://pmc.ncbi.nlm.nih.gov/articles/PMC2652958/</w:t>
        </w:r>
      </w:hyperlink>
      <w:r w:rsidRPr="00C64C83">
        <w:rPr>
          <w:color w:val="0000FF"/>
        </w:rPr>
        <w:t xml:space="preserve"> </w:t>
      </w:r>
      <w:r w:rsidRPr="009D354C">
        <w:rPr>
          <w:color w:val="0000FF"/>
        </w:rPr>
        <w:t xml:space="preserve"> </w:t>
      </w:r>
      <w:r w:rsidRPr="009D354C">
        <w:t>Accessed: 29 January 2026</w:t>
      </w:r>
      <w:r>
        <w:t>.</w:t>
      </w:r>
    </w:p>
    <w:p w14:paraId="286ACF6D" w14:textId="77777777" w:rsidR="00D77212" w:rsidRPr="009D354C" w:rsidRDefault="00D77212" w:rsidP="00D77212">
      <w:pPr>
        <w:jc w:val="both"/>
      </w:pPr>
      <w:r w:rsidRPr="009D354C">
        <w:rPr>
          <w:b/>
          <w:bCs/>
        </w:rPr>
        <w:t>British Society for the History of Pharmacy (2025)</w:t>
      </w:r>
      <w:r w:rsidRPr="009D354C">
        <w:t xml:space="preserve"> </w:t>
      </w:r>
      <w:r w:rsidRPr="009D354C">
        <w:rPr>
          <w:i/>
          <w:iCs/>
        </w:rPr>
        <w:t>History of pharmacy</w:t>
      </w:r>
      <w:r w:rsidRPr="009D354C">
        <w:t xml:space="preserve">. Available at: </w:t>
      </w:r>
      <w:hyperlink r:id="rId21" w:tgtFrame="_new" w:history="1">
        <w:r w:rsidRPr="009D354C">
          <w:rPr>
            <w:rStyle w:val="Hyperlink"/>
            <w:color w:val="0000FF"/>
          </w:rPr>
          <w:t>https://www.bshp.org/ourhistory</w:t>
        </w:r>
      </w:hyperlink>
      <w:r w:rsidRPr="009D354C">
        <w:rPr>
          <w:color w:val="0000FF"/>
        </w:rPr>
        <w:t xml:space="preserve"> </w:t>
      </w:r>
      <w:r>
        <w:t xml:space="preserve">, </w:t>
      </w:r>
      <w:r w:rsidRPr="009D354C">
        <w:t>Accessed: 30 January 2026</w:t>
      </w:r>
      <w:r>
        <w:t>.</w:t>
      </w:r>
    </w:p>
    <w:p w14:paraId="24A44E82" w14:textId="77777777" w:rsidR="00D77212" w:rsidRPr="009D354C" w:rsidRDefault="00D77212" w:rsidP="00D77212">
      <w:pPr>
        <w:jc w:val="both"/>
      </w:pPr>
      <w:r w:rsidRPr="009D354C">
        <w:rPr>
          <w:b/>
          <w:bCs/>
        </w:rPr>
        <w:t>Care Act 2014</w:t>
      </w:r>
      <w:r w:rsidRPr="009D354C">
        <w:t xml:space="preserve"> (2014) </w:t>
      </w:r>
      <w:r w:rsidRPr="009D354C">
        <w:rPr>
          <w:i/>
          <w:iCs/>
        </w:rPr>
        <w:t>Care Act 2014</w:t>
      </w:r>
      <w:r w:rsidRPr="009D354C">
        <w:t xml:space="preserve">. Available at: </w:t>
      </w:r>
      <w:hyperlink r:id="rId22" w:tgtFrame="_new" w:history="1">
        <w:r w:rsidRPr="009D354C">
          <w:rPr>
            <w:rStyle w:val="Hyperlink"/>
            <w:color w:val="0000FF"/>
          </w:rPr>
          <w:t>https://www.legislation.gov.uk/ukpga/2014/23/contents/enacted</w:t>
        </w:r>
      </w:hyperlink>
      <w:r w:rsidRPr="009D354C">
        <w:t xml:space="preserve"> </w:t>
      </w:r>
      <w:r>
        <w:t xml:space="preserve"> </w:t>
      </w:r>
      <w:r w:rsidRPr="009D354C">
        <w:t>Accessed: 31 January 2026</w:t>
      </w:r>
      <w:r>
        <w:t>.</w:t>
      </w:r>
    </w:p>
    <w:p w14:paraId="4E6496C2" w14:textId="77777777" w:rsidR="00D77212" w:rsidRPr="009D354C" w:rsidRDefault="00D77212" w:rsidP="00D77212">
      <w:pPr>
        <w:jc w:val="both"/>
      </w:pPr>
      <w:r w:rsidRPr="009D354C">
        <w:rPr>
          <w:b/>
          <w:bCs/>
        </w:rPr>
        <w:t>Care Quality Commission (2025)</w:t>
      </w:r>
      <w:r w:rsidRPr="009D354C">
        <w:t xml:space="preserve"> </w:t>
      </w:r>
      <w:r w:rsidRPr="009D354C">
        <w:rPr>
          <w:i/>
          <w:iCs/>
        </w:rPr>
        <w:t>The state of adult social care services 2025</w:t>
      </w:r>
      <w:r w:rsidRPr="009D354C">
        <w:t>. Available at</w:t>
      </w:r>
      <w:r w:rsidRPr="00B40C72">
        <w:t xml:space="preserve"> </w:t>
      </w:r>
      <w:hyperlink r:id="rId23" w:history="1">
        <w:r w:rsidRPr="00B40C72">
          <w:rPr>
            <w:rStyle w:val="Hyperlink"/>
            <w:color w:val="0000FF"/>
          </w:rPr>
          <w:t>https://www.cqc.org.uk/publications/major-report/state-care/2024-2025</w:t>
        </w:r>
      </w:hyperlink>
      <w:r>
        <w:t xml:space="preserve"> </w:t>
      </w:r>
      <w:r w:rsidRPr="009D354C">
        <w:t>Accessed: 1 February 2026</w:t>
      </w:r>
    </w:p>
    <w:p w14:paraId="03F87FE6" w14:textId="77777777" w:rsidR="00D77212" w:rsidRPr="009D354C" w:rsidRDefault="00D77212" w:rsidP="00D77212">
      <w:pPr>
        <w:jc w:val="both"/>
      </w:pPr>
      <w:r w:rsidRPr="009D354C">
        <w:rPr>
          <w:b/>
          <w:bCs/>
        </w:rPr>
        <w:t xml:space="preserve">Care Standards Act 2000 (2000) </w:t>
      </w:r>
      <w:r w:rsidRPr="009D354C">
        <w:rPr>
          <w:i/>
          <w:iCs/>
        </w:rPr>
        <w:t>Care Standards Act 2000</w:t>
      </w:r>
      <w:r w:rsidRPr="009D354C">
        <w:t xml:space="preserve">. Available at: </w:t>
      </w:r>
      <w:hyperlink r:id="rId24" w:tgtFrame="_new" w:history="1">
        <w:r w:rsidRPr="009D354C">
          <w:rPr>
            <w:rStyle w:val="Hyperlink"/>
            <w:color w:val="0000FF"/>
          </w:rPr>
          <w:t>https://www.legislation.gov.uk/ukpga/2000/14/contents</w:t>
        </w:r>
      </w:hyperlink>
      <w:r>
        <w:t xml:space="preserve">. </w:t>
      </w:r>
      <w:r w:rsidRPr="009D354C">
        <w:t>Accessed: 2 February 2026</w:t>
      </w:r>
    </w:p>
    <w:p w14:paraId="6F4F51D9" w14:textId="77777777" w:rsidR="00D77212" w:rsidRPr="009D354C" w:rsidRDefault="00D77212" w:rsidP="00D77212">
      <w:pPr>
        <w:jc w:val="both"/>
      </w:pPr>
      <w:r w:rsidRPr="009D354C">
        <w:rPr>
          <w:b/>
          <w:bCs/>
        </w:rPr>
        <w:t>Community Pharmacy England (2023)</w:t>
      </w:r>
      <w:r w:rsidRPr="009D354C">
        <w:t xml:space="preserve"> </w:t>
      </w:r>
      <w:r w:rsidRPr="009D354C">
        <w:rPr>
          <w:i/>
          <w:iCs/>
        </w:rPr>
        <w:t>The value of pharmacy services</w:t>
      </w:r>
      <w:r w:rsidRPr="009D354C">
        <w:t xml:space="preserve">. Available at: </w:t>
      </w:r>
      <w:hyperlink r:id="rId25" w:history="1">
        <w:r w:rsidRPr="007851E4">
          <w:rPr>
            <w:rStyle w:val="Hyperlink"/>
            <w:color w:val="0000FF"/>
          </w:rPr>
          <w:t>https://cpe.org.uk/quality-and-regulations/the-pharmacy-contract/pharmacy-access-scheme-phas/</w:t>
        </w:r>
      </w:hyperlink>
      <w:r w:rsidRPr="007851E4">
        <w:rPr>
          <w:color w:val="0000FF"/>
        </w:rPr>
        <w:t xml:space="preserve"> </w:t>
      </w:r>
      <w:r w:rsidRPr="009D354C">
        <w:t xml:space="preserve"> </w:t>
      </w:r>
      <w:r>
        <w:t xml:space="preserve">. </w:t>
      </w:r>
      <w:r w:rsidRPr="009D354C">
        <w:t>Accessed: 3 February 2026</w:t>
      </w:r>
      <w:r>
        <w:t>.</w:t>
      </w:r>
    </w:p>
    <w:p w14:paraId="5103F3FB" w14:textId="77777777" w:rsidR="00D77212" w:rsidRPr="009D354C" w:rsidRDefault="00D77212" w:rsidP="00D77212">
      <w:pPr>
        <w:jc w:val="both"/>
      </w:pPr>
      <w:r w:rsidRPr="009D354C">
        <w:rPr>
          <w:b/>
          <w:bCs/>
        </w:rPr>
        <w:t>Glasby, J. (2025)</w:t>
      </w:r>
      <w:r w:rsidRPr="009D354C">
        <w:t xml:space="preserve"> </w:t>
      </w:r>
      <w:r w:rsidRPr="009D354C">
        <w:rPr>
          <w:i/>
          <w:iCs/>
        </w:rPr>
        <w:t>Social care in the UK: historical and contemporary perspectives</w:t>
      </w:r>
      <w:r w:rsidRPr="009D354C">
        <w:t>. London: Routledge.</w:t>
      </w:r>
      <w:r>
        <w:t xml:space="preserve"> Available at: </w:t>
      </w:r>
      <w:hyperlink r:id="rId26" w:history="1">
        <w:r w:rsidRPr="00590783">
          <w:rPr>
            <w:rStyle w:val="Hyperlink"/>
            <w:color w:val="0000FF"/>
          </w:rPr>
          <w:t>https://www.routledge.com/health-and-social-care/social-work-and-social-policy/social-work-and-social-policy</w:t>
        </w:r>
      </w:hyperlink>
      <w:r>
        <w:t>/.Accessed: 25 January 2026.</w:t>
      </w:r>
    </w:p>
    <w:p w14:paraId="1FB3D1A8" w14:textId="77777777" w:rsidR="00D77212" w:rsidRPr="009D354C" w:rsidRDefault="00D77212" w:rsidP="00D77212">
      <w:pPr>
        <w:jc w:val="both"/>
      </w:pPr>
      <w:r w:rsidRPr="009D354C">
        <w:rPr>
          <w:b/>
          <w:bCs/>
        </w:rPr>
        <w:t>NHS (2025)</w:t>
      </w:r>
      <w:r w:rsidRPr="009D354C">
        <w:t xml:space="preserve"> </w:t>
      </w:r>
      <w:r w:rsidRPr="009D354C">
        <w:rPr>
          <w:i/>
          <w:iCs/>
        </w:rPr>
        <w:t>Residential care: overview and guidance</w:t>
      </w:r>
      <w:r w:rsidRPr="009D354C">
        <w:t xml:space="preserve">. Available at: </w:t>
      </w:r>
      <w:hyperlink r:id="rId27" w:history="1">
        <w:r w:rsidRPr="00BE22A1">
          <w:rPr>
            <w:rStyle w:val="Hyperlink"/>
            <w:color w:val="0000FF"/>
          </w:rPr>
          <w:t>https://www.nhs.uk/nhs-services/care-services-and-care-homes/</w:t>
        </w:r>
      </w:hyperlink>
      <w:r>
        <w:t>.</w:t>
      </w:r>
      <w:r w:rsidRPr="009D354C">
        <w:t>Accessed: 4 February 2026</w:t>
      </w:r>
    </w:p>
    <w:p w14:paraId="507EDBF8" w14:textId="77777777" w:rsidR="00D77212" w:rsidRPr="009D354C" w:rsidRDefault="00D77212" w:rsidP="00D77212">
      <w:pPr>
        <w:jc w:val="both"/>
      </w:pPr>
      <w:r w:rsidRPr="009D354C">
        <w:rPr>
          <w:b/>
          <w:bCs/>
        </w:rPr>
        <w:t>NHS England (2023)</w:t>
      </w:r>
      <w:r w:rsidRPr="009D354C">
        <w:t xml:space="preserve"> </w:t>
      </w:r>
      <w:r w:rsidRPr="009D354C">
        <w:rPr>
          <w:i/>
          <w:iCs/>
        </w:rPr>
        <w:t>Pharmacy workforce and clinical services</w:t>
      </w:r>
      <w:r w:rsidRPr="009D354C">
        <w:t xml:space="preserve">. Available at: </w:t>
      </w:r>
      <w:hyperlink r:id="rId28" w:history="1">
        <w:r w:rsidRPr="00EA240B">
          <w:rPr>
            <w:rStyle w:val="Hyperlink"/>
            <w:color w:val="0000FF"/>
          </w:rPr>
          <w:t>https://www.england.nhs.uk/primary-care/pharmacy/workforce-education-and-development/</w:t>
        </w:r>
      </w:hyperlink>
      <w:r w:rsidRPr="00EA240B">
        <w:rPr>
          <w:color w:val="0000FF"/>
        </w:rPr>
        <w:t xml:space="preserve"> </w:t>
      </w:r>
      <w:r>
        <w:t>.</w:t>
      </w:r>
      <w:r w:rsidRPr="009D354C">
        <w:t xml:space="preserve"> Accessed: </w:t>
      </w:r>
      <w:r>
        <w:t xml:space="preserve">4 </w:t>
      </w:r>
      <w:r w:rsidRPr="009D354C">
        <w:t>February 2026</w:t>
      </w:r>
    </w:p>
    <w:p w14:paraId="2DC98CF1" w14:textId="77777777" w:rsidR="00D77212" w:rsidRDefault="00D77212" w:rsidP="00D77212">
      <w:pPr>
        <w:jc w:val="both"/>
      </w:pPr>
      <w:r w:rsidRPr="00CA53C0">
        <w:rPr>
          <w:b/>
          <w:bCs/>
        </w:rPr>
        <w:t>Lalji, K. (2024)</w:t>
      </w:r>
      <w:r w:rsidRPr="00CA53C0">
        <w:t xml:space="preserve"> ‘Pharmacists are integral to launching more clinical trials in primary care’, </w:t>
      </w:r>
      <w:r w:rsidRPr="00CA53C0">
        <w:rPr>
          <w:i/>
          <w:iCs/>
        </w:rPr>
        <w:t>The Pharmaceutical Journal</w:t>
      </w:r>
      <w:r>
        <w:t xml:space="preserve">. </w:t>
      </w:r>
      <w:r w:rsidRPr="00CA53C0">
        <w:t>Available at</w:t>
      </w:r>
      <w:r>
        <w:t xml:space="preserve">: </w:t>
      </w:r>
      <w:hyperlink r:id="rId29" w:history="1">
        <w:r w:rsidRPr="001C2900">
          <w:rPr>
            <w:rStyle w:val="Hyperlink"/>
            <w:color w:val="0000FF"/>
          </w:rPr>
          <w:t>https://pharmaceutical-journal.com/article/opinion/pharmacists-are-integral-to-launching-more-clinical-trials-in-primary-care</w:t>
        </w:r>
      </w:hyperlink>
      <w:r w:rsidRPr="001C2900">
        <w:rPr>
          <w:color w:val="0000FF"/>
        </w:rPr>
        <w:t xml:space="preserve"> </w:t>
      </w:r>
      <w:r>
        <w:t>. Accessed: 26 January 20206.</w:t>
      </w:r>
    </w:p>
    <w:p w14:paraId="2830B6D8" w14:textId="77777777" w:rsidR="00D77212" w:rsidRDefault="00D77212" w:rsidP="00D77212">
      <w:pPr>
        <w:jc w:val="both"/>
      </w:pPr>
      <w:r w:rsidRPr="00A73952">
        <w:rPr>
          <w:b/>
          <w:bCs/>
        </w:rPr>
        <w:lastRenderedPageBreak/>
        <w:t>Skills for Care (2025)</w:t>
      </w:r>
      <w:r w:rsidRPr="0067008B">
        <w:t xml:space="preserve"> </w:t>
      </w:r>
      <w:r w:rsidRPr="0067008B">
        <w:rPr>
          <w:i/>
          <w:iCs/>
        </w:rPr>
        <w:t>The state of the adult social care sector and workforce in England, 2025</w:t>
      </w:r>
      <w:r w:rsidRPr="0067008B">
        <w:t>, p. 6. Leeds: Skills for Care. Available at:</w:t>
      </w:r>
      <w:r>
        <w:t xml:space="preserve"> </w:t>
      </w:r>
      <w:hyperlink r:id="rId30" w:history="1">
        <w:r w:rsidRPr="00A73952">
          <w:rPr>
            <w:rStyle w:val="Hyperlink"/>
            <w:color w:val="0000FF"/>
          </w:rPr>
          <w:t>https://www.skillsforcare.org.uk/Adult-Social-Care-Workforce-Data/workforceintelligence/resources/Reports/National/The-state-of-the-adult-social-care-sector-and-workforce-in-England-2025.pdf</w:t>
        </w:r>
      </w:hyperlink>
      <w:r>
        <w:t xml:space="preserve"> Accessed: 26 January 2023.</w:t>
      </w:r>
    </w:p>
    <w:p w14:paraId="6FE34645" w14:textId="77777777" w:rsidR="00D77212" w:rsidRPr="009D354C" w:rsidRDefault="00D77212" w:rsidP="00D77212">
      <w:pPr>
        <w:jc w:val="both"/>
      </w:pPr>
      <w:r>
        <w:br/>
      </w:r>
      <w:r w:rsidRPr="006A470E">
        <w:rPr>
          <w:b/>
          <w:bCs/>
        </w:rPr>
        <w:t>The King’s Fund (2022)</w:t>
      </w:r>
      <w:r w:rsidRPr="009D354C">
        <w:t xml:space="preserve"> </w:t>
      </w:r>
      <w:r w:rsidRPr="009D354C">
        <w:rPr>
          <w:i/>
          <w:iCs/>
        </w:rPr>
        <w:t>Community pharmacy explained</w:t>
      </w:r>
      <w:r w:rsidRPr="009D354C">
        <w:t xml:space="preserve">. Available at: </w:t>
      </w:r>
      <w:hyperlink r:id="rId31" w:history="1">
        <w:r w:rsidRPr="00784677">
          <w:rPr>
            <w:rStyle w:val="Hyperlink"/>
            <w:color w:val="0000FF"/>
          </w:rPr>
          <w:t>https://www.kingsfund.org.uk/insight-and-analysis/long-reads/community-pharmacy-explained</w:t>
        </w:r>
      </w:hyperlink>
      <w:r>
        <w:t xml:space="preserve">. </w:t>
      </w:r>
      <w:r w:rsidRPr="009D354C">
        <w:t>Accessed: 15 February 2026</w:t>
      </w:r>
      <w:r>
        <w:t>.</w:t>
      </w:r>
    </w:p>
    <w:p w14:paraId="0A143D1D" w14:textId="3015667B" w:rsidR="00AF7BF4" w:rsidRPr="003C7318" w:rsidRDefault="00D77212" w:rsidP="002A12D9">
      <w:pPr>
        <w:jc w:val="both"/>
        <w:rPr>
          <w:rFonts w:ascii="Arial" w:hAnsi="Arial" w:cs="Arial"/>
        </w:rPr>
      </w:pPr>
      <w:r w:rsidRPr="006A470E">
        <w:rPr>
          <w:b/>
          <w:bCs/>
        </w:rPr>
        <w:t>Urick, B.Y. and Meggs, E.V. (2019)</w:t>
      </w:r>
      <w:r w:rsidRPr="009D354C">
        <w:t xml:space="preserve"> ‘Towards a greater professional standing: evolution of pharmacy practice’, </w:t>
      </w:r>
      <w:r w:rsidRPr="009D354C">
        <w:rPr>
          <w:i/>
          <w:iCs/>
        </w:rPr>
        <w:t>Pharmacy</w:t>
      </w:r>
      <w:r w:rsidRPr="009D354C">
        <w:t xml:space="preserve">, 7(3), p. 98. Available at: </w:t>
      </w:r>
      <w:hyperlink r:id="rId32" w:history="1">
        <w:r w:rsidRPr="006A470E">
          <w:rPr>
            <w:rStyle w:val="Hyperlink"/>
            <w:color w:val="0000FF"/>
          </w:rPr>
          <w:t>https://www.mdpi.com/2226-4787/7/3/98</w:t>
        </w:r>
      </w:hyperlink>
      <w:r>
        <w:t xml:space="preserve"> . </w:t>
      </w:r>
      <w:r w:rsidRPr="009D354C">
        <w:t>Accessed: 18 February 2026</w:t>
      </w:r>
    </w:p>
    <w:p w14:paraId="50DFCAF3" w14:textId="64FB4C00" w:rsidR="00AF7BF4" w:rsidRPr="003C7318" w:rsidRDefault="00AF7BF4" w:rsidP="003C7318">
      <w:pPr>
        <w:spacing w:line="360" w:lineRule="auto"/>
        <w:rPr>
          <w:rFonts w:ascii="Arial" w:hAnsi="Arial" w:cs="Arial"/>
        </w:rPr>
      </w:pPr>
    </w:p>
    <w:sectPr w:rsidR="00AF7BF4" w:rsidRPr="003C7318" w:rsidSect="00F501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C48104" w14:textId="77777777" w:rsidR="00B679F7" w:rsidRDefault="00B679F7" w:rsidP="00F30740">
      <w:pPr>
        <w:spacing w:after="0" w:line="240" w:lineRule="auto"/>
      </w:pPr>
      <w:r>
        <w:separator/>
      </w:r>
    </w:p>
  </w:endnote>
  <w:endnote w:type="continuationSeparator" w:id="0">
    <w:p w14:paraId="63BC622A" w14:textId="77777777" w:rsidR="00B679F7" w:rsidRDefault="00B679F7" w:rsidP="00F307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2E96E1" w14:textId="77777777" w:rsidR="00B679F7" w:rsidRDefault="00B679F7" w:rsidP="00F30740">
      <w:pPr>
        <w:spacing w:after="0" w:line="240" w:lineRule="auto"/>
      </w:pPr>
      <w:r>
        <w:separator/>
      </w:r>
    </w:p>
  </w:footnote>
  <w:footnote w:type="continuationSeparator" w:id="0">
    <w:p w14:paraId="6132E36F" w14:textId="77777777" w:rsidR="00B679F7" w:rsidRDefault="00B679F7" w:rsidP="00F3074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BF4"/>
    <w:rsid w:val="000401B9"/>
    <w:rsid w:val="00047814"/>
    <w:rsid w:val="0007378B"/>
    <w:rsid w:val="00077F43"/>
    <w:rsid w:val="00093044"/>
    <w:rsid w:val="000A1241"/>
    <w:rsid w:val="000A1CA5"/>
    <w:rsid w:val="000A4454"/>
    <w:rsid w:val="000B4E5E"/>
    <w:rsid w:val="000F4B30"/>
    <w:rsid w:val="00132128"/>
    <w:rsid w:val="00144FF1"/>
    <w:rsid w:val="00172E2A"/>
    <w:rsid w:val="00177B1B"/>
    <w:rsid w:val="001840B5"/>
    <w:rsid w:val="001B7BB6"/>
    <w:rsid w:val="001C1F40"/>
    <w:rsid w:val="001D4D3F"/>
    <w:rsid w:val="001E7B3F"/>
    <w:rsid w:val="00224D8A"/>
    <w:rsid w:val="0023541B"/>
    <w:rsid w:val="00236105"/>
    <w:rsid w:val="002434A5"/>
    <w:rsid w:val="00262BFF"/>
    <w:rsid w:val="00275028"/>
    <w:rsid w:val="00282FE4"/>
    <w:rsid w:val="00290F9A"/>
    <w:rsid w:val="002A12D9"/>
    <w:rsid w:val="002A279A"/>
    <w:rsid w:val="002B1F08"/>
    <w:rsid w:val="002C24A1"/>
    <w:rsid w:val="002D0D78"/>
    <w:rsid w:val="002D3875"/>
    <w:rsid w:val="002E602F"/>
    <w:rsid w:val="002F0DB6"/>
    <w:rsid w:val="003047D4"/>
    <w:rsid w:val="00305024"/>
    <w:rsid w:val="00324A97"/>
    <w:rsid w:val="003333D8"/>
    <w:rsid w:val="003447E1"/>
    <w:rsid w:val="00345D78"/>
    <w:rsid w:val="00347896"/>
    <w:rsid w:val="00352C38"/>
    <w:rsid w:val="00353824"/>
    <w:rsid w:val="00376C7D"/>
    <w:rsid w:val="0038534A"/>
    <w:rsid w:val="00391475"/>
    <w:rsid w:val="00397AB6"/>
    <w:rsid w:val="003A008D"/>
    <w:rsid w:val="003A00E4"/>
    <w:rsid w:val="003B119B"/>
    <w:rsid w:val="003C7318"/>
    <w:rsid w:val="003D6E96"/>
    <w:rsid w:val="003E5454"/>
    <w:rsid w:val="003F0A39"/>
    <w:rsid w:val="003F2898"/>
    <w:rsid w:val="003F6667"/>
    <w:rsid w:val="004264F9"/>
    <w:rsid w:val="00443E2C"/>
    <w:rsid w:val="004638BD"/>
    <w:rsid w:val="00474772"/>
    <w:rsid w:val="004752C3"/>
    <w:rsid w:val="0048124A"/>
    <w:rsid w:val="004B41E5"/>
    <w:rsid w:val="004B5A66"/>
    <w:rsid w:val="004B5F4B"/>
    <w:rsid w:val="004C41DC"/>
    <w:rsid w:val="004C60D2"/>
    <w:rsid w:val="004D6907"/>
    <w:rsid w:val="004F1E1D"/>
    <w:rsid w:val="0052638A"/>
    <w:rsid w:val="00531D54"/>
    <w:rsid w:val="005C7011"/>
    <w:rsid w:val="005E20FC"/>
    <w:rsid w:val="005E26B9"/>
    <w:rsid w:val="005F068D"/>
    <w:rsid w:val="005F3C9C"/>
    <w:rsid w:val="00614938"/>
    <w:rsid w:val="00624942"/>
    <w:rsid w:val="0063135F"/>
    <w:rsid w:val="00632765"/>
    <w:rsid w:val="006433E7"/>
    <w:rsid w:val="006B0D0E"/>
    <w:rsid w:val="006C7FE7"/>
    <w:rsid w:val="006F778D"/>
    <w:rsid w:val="00723FA8"/>
    <w:rsid w:val="0073214C"/>
    <w:rsid w:val="00733335"/>
    <w:rsid w:val="00756715"/>
    <w:rsid w:val="007725B4"/>
    <w:rsid w:val="0078415B"/>
    <w:rsid w:val="007B17F8"/>
    <w:rsid w:val="007C45F6"/>
    <w:rsid w:val="007D7C6F"/>
    <w:rsid w:val="007F0BE6"/>
    <w:rsid w:val="008102B4"/>
    <w:rsid w:val="00816E9E"/>
    <w:rsid w:val="00823287"/>
    <w:rsid w:val="008315D3"/>
    <w:rsid w:val="00841FC8"/>
    <w:rsid w:val="008556F8"/>
    <w:rsid w:val="008A5E7D"/>
    <w:rsid w:val="008A79FA"/>
    <w:rsid w:val="008B0CA2"/>
    <w:rsid w:val="008B6B5D"/>
    <w:rsid w:val="008D478D"/>
    <w:rsid w:val="008D7E23"/>
    <w:rsid w:val="008E6FBC"/>
    <w:rsid w:val="008F2B5B"/>
    <w:rsid w:val="008F4CC5"/>
    <w:rsid w:val="00917D0D"/>
    <w:rsid w:val="00933F0C"/>
    <w:rsid w:val="00937CB9"/>
    <w:rsid w:val="0096359D"/>
    <w:rsid w:val="0096552E"/>
    <w:rsid w:val="009761AC"/>
    <w:rsid w:val="00982FE1"/>
    <w:rsid w:val="00992E36"/>
    <w:rsid w:val="00997D7C"/>
    <w:rsid w:val="009A73A4"/>
    <w:rsid w:val="009B3EA2"/>
    <w:rsid w:val="009D0B33"/>
    <w:rsid w:val="009D0D65"/>
    <w:rsid w:val="009E5C42"/>
    <w:rsid w:val="009F1ABF"/>
    <w:rsid w:val="009F51E0"/>
    <w:rsid w:val="00A021D4"/>
    <w:rsid w:val="00A04B97"/>
    <w:rsid w:val="00A16084"/>
    <w:rsid w:val="00A3242B"/>
    <w:rsid w:val="00A44294"/>
    <w:rsid w:val="00A4523B"/>
    <w:rsid w:val="00A47A2A"/>
    <w:rsid w:val="00A73441"/>
    <w:rsid w:val="00A75DBA"/>
    <w:rsid w:val="00A913FE"/>
    <w:rsid w:val="00A97980"/>
    <w:rsid w:val="00AF6DB4"/>
    <w:rsid w:val="00AF7BF4"/>
    <w:rsid w:val="00B041F3"/>
    <w:rsid w:val="00B47309"/>
    <w:rsid w:val="00B679F7"/>
    <w:rsid w:val="00B93F81"/>
    <w:rsid w:val="00BA6141"/>
    <w:rsid w:val="00BA725F"/>
    <w:rsid w:val="00BC51AB"/>
    <w:rsid w:val="00BD1DA1"/>
    <w:rsid w:val="00BD36DA"/>
    <w:rsid w:val="00BD5C99"/>
    <w:rsid w:val="00BE5231"/>
    <w:rsid w:val="00C24C88"/>
    <w:rsid w:val="00C25558"/>
    <w:rsid w:val="00C40F7D"/>
    <w:rsid w:val="00C44272"/>
    <w:rsid w:val="00C44ADE"/>
    <w:rsid w:val="00C456A9"/>
    <w:rsid w:val="00C52CA4"/>
    <w:rsid w:val="00C55CDA"/>
    <w:rsid w:val="00C81BA3"/>
    <w:rsid w:val="00C916FB"/>
    <w:rsid w:val="00CA1B0F"/>
    <w:rsid w:val="00CA6118"/>
    <w:rsid w:val="00CB0D6D"/>
    <w:rsid w:val="00CC3F48"/>
    <w:rsid w:val="00CC5580"/>
    <w:rsid w:val="00CD33E7"/>
    <w:rsid w:val="00CD499B"/>
    <w:rsid w:val="00CF236D"/>
    <w:rsid w:val="00D015CF"/>
    <w:rsid w:val="00D02AF4"/>
    <w:rsid w:val="00D056F4"/>
    <w:rsid w:val="00D3686F"/>
    <w:rsid w:val="00D57C02"/>
    <w:rsid w:val="00D6277A"/>
    <w:rsid w:val="00D77212"/>
    <w:rsid w:val="00D90CD1"/>
    <w:rsid w:val="00E15D89"/>
    <w:rsid w:val="00E1714A"/>
    <w:rsid w:val="00E17F0F"/>
    <w:rsid w:val="00E21ADE"/>
    <w:rsid w:val="00E32D4D"/>
    <w:rsid w:val="00E46840"/>
    <w:rsid w:val="00E47479"/>
    <w:rsid w:val="00E53C0B"/>
    <w:rsid w:val="00E84516"/>
    <w:rsid w:val="00E9767C"/>
    <w:rsid w:val="00EA503C"/>
    <w:rsid w:val="00EB60E6"/>
    <w:rsid w:val="00EC12FE"/>
    <w:rsid w:val="00EC226A"/>
    <w:rsid w:val="00EC6A45"/>
    <w:rsid w:val="00ED5C4D"/>
    <w:rsid w:val="00EE135F"/>
    <w:rsid w:val="00EF0F6E"/>
    <w:rsid w:val="00EF2CD5"/>
    <w:rsid w:val="00F30740"/>
    <w:rsid w:val="00F43756"/>
    <w:rsid w:val="00F50160"/>
    <w:rsid w:val="00F5044A"/>
    <w:rsid w:val="00F9015A"/>
    <w:rsid w:val="00F95992"/>
    <w:rsid w:val="00FA6BF9"/>
    <w:rsid w:val="00FB009A"/>
    <w:rsid w:val="00FB03BD"/>
    <w:rsid w:val="00FB5A27"/>
    <w:rsid w:val="00FC1536"/>
    <w:rsid w:val="00FD40C2"/>
    <w:rsid w:val="00FD4413"/>
    <w:rsid w:val="00FF2DFA"/>
    <w:rsid w:val="00FF75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A883A"/>
  <w15:chartTrackingRefBased/>
  <w15:docId w15:val="{7C9959BE-D06B-C046-B80F-6B69B4987C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7B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7B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7B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7B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7B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7B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7B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7B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7B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B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7B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7B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7B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7B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7B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7B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7B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7BF4"/>
    <w:rPr>
      <w:rFonts w:eastAsiaTheme="majorEastAsia" w:cstheme="majorBidi"/>
      <w:color w:val="272727" w:themeColor="text1" w:themeTint="D8"/>
    </w:rPr>
  </w:style>
  <w:style w:type="paragraph" w:styleId="Title">
    <w:name w:val="Title"/>
    <w:basedOn w:val="Normal"/>
    <w:next w:val="Normal"/>
    <w:link w:val="TitleChar"/>
    <w:uiPriority w:val="10"/>
    <w:qFormat/>
    <w:rsid w:val="00AF7B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7B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7B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7B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7BF4"/>
    <w:pPr>
      <w:spacing w:before="160"/>
      <w:jc w:val="center"/>
    </w:pPr>
    <w:rPr>
      <w:i/>
      <w:iCs/>
      <w:color w:val="404040" w:themeColor="text1" w:themeTint="BF"/>
    </w:rPr>
  </w:style>
  <w:style w:type="character" w:customStyle="1" w:styleId="QuoteChar">
    <w:name w:val="Quote Char"/>
    <w:basedOn w:val="DefaultParagraphFont"/>
    <w:link w:val="Quote"/>
    <w:uiPriority w:val="29"/>
    <w:rsid w:val="00AF7BF4"/>
    <w:rPr>
      <w:i/>
      <w:iCs/>
      <w:color w:val="404040" w:themeColor="text1" w:themeTint="BF"/>
    </w:rPr>
  </w:style>
  <w:style w:type="paragraph" w:styleId="ListParagraph">
    <w:name w:val="List Paragraph"/>
    <w:basedOn w:val="Normal"/>
    <w:uiPriority w:val="34"/>
    <w:qFormat/>
    <w:rsid w:val="00AF7BF4"/>
    <w:pPr>
      <w:ind w:left="720"/>
      <w:contextualSpacing/>
    </w:pPr>
  </w:style>
  <w:style w:type="character" w:styleId="IntenseEmphasis">
    <w:name w:val="Intense Emphasis"/>
    <w:basedOn w:val="DefaultParagraphFont"/>
    <w:uiPriority w:val="21"/>
    <w:qFormat/>
    <w:rsid w:val="00AF7BF4"/>
    <w:rPr>
      <w:i/>
      <w:iCs/>
      <w:color w:val="0F4761" w:themeColor="accent1" w:themeShade="BF"/>
    </w:rPr>
  </w:style>
  <w:style w:type="paragraph" w:styleId="IntenseQuote">
    <w:name w:val="Intense Quote"/>
    <w:basedOn w:val="Normal"/>
    <w:next w:val="Normal"/>
    <w:link w:val="IntenseQuoteChar"/>
    <w:uiPriority w:val="30"/>
    <w:qFormat/>
    <w:rsid w:val="00AF7B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7BF4"/>
    <w:rPr>
      <w:i/>
      <w:iCs/>
      <w:color w:val="0F4761" w:themeColor="accent1" w:themeShade="BF"/>
    </w:rPr>
  </w:style>
  <w:style w:type="character" w:styleId="IntenseReference">
    <w:name w:val="Intense Reference"/>
    <w:basedOn w:val="DefaultParagraphFont"/>
    <w:uiPriority w:val="32"/>
    <w:qFormat/>
    <w:rsid w:val="00AF7BF4"/>
    <w:rPr>
      <w:b/>
      <w:bCs/>
      <w:smallCaps/>
      <w:color w:val="0F4761" w:themeColor="accent1" w:themeShade="BF"/>
      <w:spacing w:val="5"/>
    </w:rPr>
  </w:style>
  <w:style w:type="paragraph" w:styleId="Header">
    <w:name w:val="header"/>
    <w:basedOn w:val="Normal"/>
    <w:link w:val="HeaderChar"/>
    <w:uiPriority w:val="99"/>
    <w:unhideWhenUsed/>
    <w:rsid w:val="00F307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0740"/>
  </w:style>
  <w:style w:type="paragraph" w:styleId="Footer">
    <w:name w:val="footer"/>
    <w:basedOn w:val="Normal"/>
    <w:link w:val="FooterChar"/>
    <w:uiPriority w:val="99"/>
    <w:unhideWhenUsed/>
    <w:rsid w:val="00F307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0740"/>
  </w:style>
  <w:style w:type="paragraph" w:styleId="BodyText">
    <w:name w:val="Body Text"/>
    <w:basedOn w:val="Normal"/>
    <w:link w:val="BodyTextChar"/>
    <w:qFormat/>
    <w:rsid w:val="00D90CD1"/>
    <w:pPr>
      <w:spacing w:before="180" w:after="180" w:line="240" w:lineRule="auto"/>
    </w:pPr>
    <w:rPr>
      <w:rFonts w:eastAsiaTheme="minorHAnsi"/>
      <w:kern w:val="0"/>
      <w:lang w:val="en-US" w:eastAsia="en-US"/>
      <w14:ligatures w14:val="none"/>
    </w:rPr>
  </w:style>
  <w:style w:type="character" w:customStyle="1" w:styleId="BodyTextChar">
    <w:name w:val="Body Text Char"/>
    <w:basedOn w:val="DefaultParagraphFont"/>
    <w:link w:val="BodyText"/>
    <w:rsid w:val="00D90CD1"/>
    <w:rPr>
      <w:rFonts w:eastAsiaTheme="minorHAnsi"/>
      <w:kern w:val="0"/>
      <w:lang w:val="en-US" w:eastAsia="en-US"/>
      <w14:ligatures w14:val="none"/>
    </w:rPr>
  </w:style>
  <w:style w:type="character" w:styleId="Hyperlink">
    <w:name w:val="Hyperlink"/>
    <w:basedOn w:val="DefaultParagraphFont"/>
    <w:uiPriority w:val="99"/>
    <w:unhideWhenUsed/>
    <w:rsid w:val="005E20FC"/>
    <w:rPr>
      <w:color w:val="467886" w:themeColor="hyperlink"/>
      <w:u w:val="single"/>
    </w:rPr>
  </w:style>
  <w:style w:type="character" w:styleId="UnresolvedMention">
    <w:name w:val="Unresolved Mention"/>
    <w:basedOn w:val="DefaultParagraphFont"/>
    <w:uiPriority w:val="99"/>
    <w:semiHidden/>
    <w:unhideWhenUsed/>
    <w:rsid w:val="005E20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image" Target="media/image3.png"/><Relationship Id="rId26" Type="http://schemas.openxmlformats.org/officeDocument/2006/relationships/hyperlink" Target="https://www.routledge.com/health-and-social-care/social-work-and-social-policy/social-work-and-social-policy" TargetMode="External"/><Relationship Id="rId3" Type="http://schemas.openxmlformats.org/officeDocument/2006/relationships/webSettings" Target="webSettings.xml"/><Relationship Id="rId21" Type="http://schemas.openxmlformats.org/officeDocument/2006/relationships/hyperlink" Target="https://www.bshp.org/ourhistory" TargetMode="External"/><Relationship Id="rId34" Type="http://schemas.openxmlformats.org/officeDocument/2006/relationships/theme" Target="theme/theme1.xml"/><Relationship Id="rId7" Type="http://schemas.openxmlformats.org/officeDocument/2006/relationships/image" Target="media/image2.jpeg"/><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cpe.org.uk/quality-and-regulations/the-pharmacy-contract/pharmacy-access-scheme-phas/"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diagramColors" Target="diagrams/colors2.xml"/><Relationship Id="rId20" Type="http://schemas.openxmlformats.org/officeDocument/2006/relationships/hyperlink" Target="https://pmc.ncbi.nlm.nih.gov/articles/PMC2652958/" TargetMode="External"/><Relationship Id="rId29" Type="http://schemas.openxmlformats.org/officeDocument/2006/relationships/hyperlink" Target="https://pharmaceutical-journal.com/article/opinion/pharmacists-are-integral-to-launching-more-clinical-trials-in-primary-care"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diagramColors" Target="diagrams/colors1.xml"/><Relationship Id="rId24" Type="http://schemas.openxmlformats.org/officeDocument/2006/relationships/hyperlink" Target="https://www.legislation.gov.uk/ukpga/2000/14/contents" TargetMode="External"/><Relationship Id="rId32" Type="http://schemas.openxmlformats.org/officeDocument/2006/relationships/hyperlink" Target="https://www.mdpi.com/2226-4787/7/3/98" TargetMode="External"/><Relationship Id="rId5" Type="http://schemas.openxmlformats.org/officeDocument/2006/relationships/endnotes" Target="endnotes.xml"/><Relationship Id="rId15" Type="http://schemas.openxmlformats.org/officeDocument/2006/relationships/diagramQuickStyle" Target="diagrams/quickStyle2.xml"/><Relationship Id="rId23" Type="http://schemas.openxmlformats.org/officeDocument/2006/relationships/hyperlink" Target="https://www.cqc.org.uk/publications/major-report/state-care/2024-2025" TargetMode="External"/><Relationship Id="rId28" Type="http://schemas.openxmlformats.org/officeDocument/2006/relationships/hyperlink" Target="https://www.england.nhs.uk/primary-care/pharmacy/workforce-education-and-development/" TargetMode="External"/><Relationship Id="rId10" Type="http://schemas.openxmlformats.org/officeDocument/2006/relationships/diagramQuickStyle" Target="diagrams/quickStyle1.xml"/><Relationship Id="rId19" Type="http://schemas.openxmlformats.org/officeDocument/2006/relationships/hyperlink" Target="https://www.ageuk.org.uk/services/in-your-area/home-help/" TargetMode="External"/><Relationship Id="rId31" Type="http://schemas.openxmlformats.org/officeDocument/2006/relationships/hyperlink" Target="https://www.kingsfund.org.uk/insight-and-analysis/long-reads/community-pharmacy-explained" TargetMode="External"/><Relationship Id="rId4" Type="http://schemas.openxmlformats.org/officeDocument/2006/relationships/footnotes" Target="footnote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hyperlink" Target="https://www.legislation.gov.uk/ukpga/2014/23/contents/enacted" TargetMode="External"/><Relationship Id="rId27" Type="http://schemas.openxmlformats.org/officeDocument/2006/relationships/hyperlink" Target="https://www.nhs.uk/nhs-services/care-services-and-care-homes/" TargetMode="External"/><Relationship Id="rId30" Type="http://schemas.openxmlformats.org/officeDocument/2006/relationships/hyperlink" Target="https://www.skillsforcare.org.uk/Adult-Social-Care-Workforce-Data/workforceintelligence/resources/Reports/National/The-state-of-the-adult-social-care-sector-and-workforce-in-England-2025.pdf" TargetMode="External"/><Relationship Id="rId8"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4_1">
  <dgm:title val=""/>
  <dgm:desc val=""/>
  <dgm:catLst>
    <dgm:cat type="accent4" pri="11100"/>
  </dgm:catLst>
  <dgm:styleLbl name="node0">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4">
        <a:shade val="80000"/>
      </a:schemeClr>
    </dgm:linClrLst>
    <dgm:effectClrLst/>
    <dgm:txLinClrLst/>
    <dgm:txFillClrLst/>
    <dgm:txEffectClrLst/>
  </dgm:styleLbl>
  <dgm:styleLbl name="node2">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fg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align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bg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dgm:linClrLst>
    <dgm:effectClrLst/>
    <dgm:txLinClrLst/>
    <dgm:txFillClrLst meth="repeat">
      <a:schemeClr val="tx1"/>
    </dgm:txFillClrLst>
    <dgm:txEffectClrLst/>
  </dgm:styleLbl>
  <dgm:styleLbl name="asst0">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dgm:txEffectClrLst/>
  </dgm:styleLbl>
  <dgm:styleLbl name="parChTrans2D2">
    <dgm:fillClrLst meth="repeat">
      <a:schemeClr val="accent4"/>
    </dgm:fillClrLst>
    <dgm:linClrLst meth="repeat">
      <a:schemeClr val="accent4"/>
    </dgm:linClrLst>
    <dgm:effectClrLst/>
    <dgm:txLinClrLst/>
    <dgm:txFillClrLst/>
    <dgm:txEffectClrLst/>
  </dgm:styleLbl>
  <dgm:styleLbl name="parChTrans2D3">
    <dgm:fillClrLst meth="repeat">
      <a:schemeClr val="accent4"/>
    </dgm:fillClrLst>
    <dgm:linClrLst meth="repeat">
      <a:schemeClr val="accent4"/>
    </dgm:linClrLst>
    <dgm:effectClrLst/>
    <dgm:txLinClrLst/>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conF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align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trAlignAcc1">
    <dgm:fillClrLst meth="repeat">
      <a:schemeClr val="accent4">
        <a:alpha val="40000"/>
        <a:tint val="40000"/>
      </a:schemeClr>
    </dgm:fillClrLst>
    <dgm:linClrLst meth="repeat">
      <a:schemeClr val="accent4"/>
    </dgm:linClrLst>
    <dgm:effectClrLst/>
    <dgm:txLinClrLst/>
    <dgm:txFillClrLst meth="repeat">
      <a:schemeClr val="dk1"/>
    </dgm:txFillClrLst>
    <dgm:txEffectClrLst/>
  </dgm:styleLbl>
  <dgm:styleLbl name="b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fgAcc0">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2">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3">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4">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15CD7E2-B1F1-47C8-B566-A8AABE69FF00}" type="doc">
      <dgm:prSet loTypeId="urn:microsoft.com/office/officeart/2008/layout/VerticalCurvedList" loCatId="list" qsTypeId="urn:microsoft.com/office/officeart/2005/8/quickstyle/simple1" qsCatId="simple" csTypeId="urn:microsoft.com/office/officeart/2005/8/colors/colorful3" csCatId="colorful" phldr="1"/>
      <dgm:spPr/>
      <dgm:t>
        <a:bodyPr/>
        <a:lstStyle/>
        <a:p>
          <a:endParaRPr lang="en-GB"/>
        </a:p>
      </dgm:t>
    </dgm:pt>
    <dgm:pt modelId="{C3D9740A-2DFF-46C7-9524-D68D220DBCB8}">
      <dgm:prSet phldrT="[Text]" custT="1"/>
      <dgm:spPr/>
      <dgm:t>
        <a:bodyPr/>
        <a:lstStyle/>
        <a:p>
          <a:pPr algn="l">
            <a:buFont typeface="Symbol" panose="05050102010706020507" pitchFamily="18" charset="2"/>
            <a:buChar char=""/>
          </a:pPr>
          <a:r>
            <a:rPr lang="en-GB" sz="700"/>
            <a:t>In the early 19th century, care for older adults and disabled individuals was primarily institutional, often limited to workhouses or charitable alms-houses in the United Kingdom. These facilities offered minimal comfort or specialised care, focusing mainly on shelter rather than holistic wellbeing (Phillips, 2025).</a:t>
          </a:r>
          <a:endParaRPr lang="en-GB" sz="700">
            <a:latin typeface="+mj-lt"/>
          </a:endParaRPr>
        </a:p>
      </dgm:t>
    </dgm:pt>
    <dgm:pt modelId="{BCC569B7-E4B7-4AF7-AA68-5ACE9A102468}" type="parTrans" cxnId="{8223153F-739D-4B5E-B7EC-E8A9B991B76F}">
      <dgm:prSet/>
      <dgm:spPr/>
      <dgm:t>
        <a:bodyPr/>
        <a:lstStyle/>
        <a:p>
          <a:pPr algn="l"/>
          <a:endParaRPr lang="en-GB" sz="700">
            <a:latin typeface="+mj-lt"/>
          </a:endParaRPr>
        </a:p>
      </dgm:t>
    </dgm:pt>
    <dgm:pt modelId="{F5772BAD-9F7B-4E6D-98D3-0497F2B6CB3E}" type="sibTrans" cxnId="{8223153F-739D-4B5E-B7EC-E8A9B991B76F}">
      <dgm:prSet/>
      <dgm:spPr/>
      <dgm:t>
        <a:bodyPr/>
        <a:lstStyle/>
        <a:p>
          <a:pPr algn="l"/>
          <a:endParaRPr lang="en-GB" sz="700">
            <a:latin typeface="+mj-lt"/>
          </a:endParaRPr>
        </a:p>
      </dgm:t>
    </dgm:pt>
    <dgm:pt modelId="{DEBE0DB8-5743-4673-B2C4-CBA58DBCA123}">
      <dgm:prSet phldrT="[Text]" custT="1"/>
      <dgm:spPr/>
      <dgm:t>
        <a:bodyPr/>
        <a:lstStyle/>
        <a:p>
          <a:pPr algn="l">
            <a:buFont typeface="Symbol" panose="05050102010706020507" pitchFamily="18" charset="2"/>
            <a:buNone/>
          </a:pPr>
          <a:r>
            <a:rPr lang="en-GB" sz="700"/>
            <a:t>Mid-20th century, particularly following the National Assistance Act 1948, which formalised social care provision and laid the groundwork for modern residential care homes (Glasby, 2025)</a:t>
          </a:r>
          <a:endParaRPr lang="en-GB" sz="700">
            <a:latin typeface="+mj-lt"/>
          </a:endParaRPr>
        </a:p>
      </dgm:t>
    </dgm:pt>
    <dgm:pt modelId="{C376C15B-70EF-4E5F-885F-6891879C50D3}" type="parTrans" cxnId="{197C3A8C-96F8-468A-A47B-F9B43377B678}">
      <dgm:prSet/>
      <dgm:spPr/>
      <dgm:t>
        <a:bodyPr/>
        <a:lstStyle/>
        <a:p>
          <a:pPr algn="l"/>
          <a:endParaRPr lang="en-GB" sz="700">
            <a:latin typeface="+mj-lt"/>
          </a:endParaRPr>
        </a:p>
      </dgm:t>
    </dgm:pt>
    <dgm:pt modelId="{EB66A73F-962A-4201-BB3D-444330FDC05E}" type="sibTrans" cxnId="{197C3A8C-96F8-468A-A47B-F9B43377B678}">
      <dgm:prSet/>
      <dgm:spPr/>
      <dgm:t>
        <a:bodyPr/>
        <a:lstStyle/>
        <a:p>
          <a:pPr algn="l"/>
          <a:endParaRPr lang="en-GB" sz="700">
            <a:latin typeface="+mj-lt"/>
          </a:endParaRPr>
        </a:p>
      </dgm:t>
    </dgm:pt>
    <dgm:pt modelId="{4A534538-D593-4ED2-93FC-350DE0A3C1BC}">
      <dgm:prSet phldrT="[Text]" custT="1"/>
      <dgm:spPr/>
      <dgm:t>
        <a:bodyPr/>
        <a:lstStyle/>
        <a:p>
          <a:pPr algn="l">
            <a:buFont typeface="Symbol" panose="05050102010706020507" pitchFamily="18" charset="2"/>
            <a:buChar char=""/>
          </a:pPr>
          <a:r>
            <a:rPr lang="en-GB" sz="700"/>
            <a:t>The Care Standards Act 2000 introduced regulations for staffing, safety, and care quality, ensuring that residential homes met minimum standards and were subject to inspections (Care Standards Act, 2000)</a:t>
          </a:r>
          <a:endParaRPr lang="en-GB" sz="700">
            <a:latin typeface="+mj-lt"/>
          </a:endParaRPr>
        </a:p>
      </dgm:t>
    </dgm:pt>
    <dgm:pt modelId="{6452BCA6-5E1E-4C90-BF93-EEA82A94EE32}" type="parTrans" cxnId="{0CBDD5ED-C8DE-4627-8B93-0F8DE019997A}">
      <dgm:prSet/>
      <dgm:spPr/>
      <dgm:t>
        <a:bodyPr/>
        <a:lstStyle/>
        <a:p>
          <a:pPr algn="l"/>
          <a:endParaRPr lang="en-GB" sz="700">
            <a:latin typeface="+mj-lt"/>
          </a:endParaRPr>
        </a:p>
      </dgm:t>
    </dgm:pt>
    <dgm:pt modelId="{7AB9DD6A-3F8B-471F-940A-9B628FA14D84}" type="sibTrans" cxnId="{0CBDD5ED-C8DE-4627-8B93-0F8DE019997A}">
      <dgm:prSet/>
      <dgm:spPr/>
      <dgm:t>
        <a:bodyPr/>
        <a:lstStyle/>
        <a:p>
          <a:pPr algn="l"/>
          <a:endParaRPr lang="en-GB" sz="700">
            <a:latin typeface="+mj-lt"/>
          </a:endParaRPr>
        </a:p>
      </dgm:t>
    </dgm:pt>
    <dgm:pt modelId="{B64CC454-82BB-44CE-BF63-A65E703A42D2}">
      <dgm:prSet custT="1"/>
      <dgm:spPr/>
      <dgm:t>
        <a:bodyPr/>
        <a:lstStyle/>
        <a:p>
          <a:pPr algn="l">
            <a:buFont typeface="Symbol" panose="05050102010706020507" pitchFamily="18" charset="2"/>
            <a:buChar char=""/>
          </a:pPr>
          <a:r>
            <a:rPr lang="en-GB" sz="700"/>
            <a:t>The Care Act 2014 emphasised person-centred care, safeguarding, and integration with health services, marking a pivotal shift towards a more holistic and rights-based approach to residential care (Care Act, 2014)</a:t>
          </a:r>
          <a:endParaRPr lang="en-GB" sz="700">
            <a:latin typeface="+mj-lt"/>
          </a:endParaRPr>
        </a:p>
      </dgm:t>
    </dgm:pt>
    <dgm:pt modelId="{901CB76A-4E04-4831-B531-3CC1195BC3E7}" type="parTrans" cxnId="{B9B31F35-18DD-4485-8096-3DB53AF14D73}">
      <dgm:prSet/>
      <dgm:spPr/>
      <dgm:t>
        <a:bodyPr/>
        <a:lstStyle/>
        <a:p>
          <a:pPr algn="l"/>
          <a:endParaRPr lang="en-GB" sz="700">
            <a:latin typeface="+mj-lt"/>
          </a:endParaRPr>
        </a:p>
      </dgm:t>
    </dgm:pt>
    <dgm:pt modelId="{3C4B04E2-17BA-40C5-9020-896975A77BB9}" type="sibTrans" cxnId="{B9B31F35-18DD-4485-8096-3DB53AF14D73}">
      <dgm:prSet/>
      <dgm:spPr/>
      <dgm:t>
        <a:bodyPr/>
        <a:lstStyle/>
        <a:p>
          <a:pPr algn="l"/>
          <a:endParaRPr lang="en-GB" sz="700">
            <a:latin typeface="+mj-lt"/>
          </a:endParaRPr>
        </a:p>
      </dgm:t>
    </dgm:pt>
    <dgm:pt modelId="{8122551B-D2DF-4439-AFA2-79B4901F9852}" type="pres">
      <dgm:prSet presAssocID="{A15CD7E2-B1F1-47C8-B566-A8AABE69FF00}" presName="Name0" presStyleCnt="0">
        <dgm:presLayoutVars>
          <dgm:chMax val="7"/>
          <dgm:chPref val="7"/>
          <dgm:dir val="rev"/>
        </dgm:presLayoutVars>
      </dgm:prSet>
      <dgm:spPr/>
    </dgm:pt>
    <dgm:pt modelId="{80F53D45-0419-4048-8637-3E0B81F6E459}" type="pres">
      <dgm:prSet presAssocID="{A15CD7E2-B1F1-47C8-B566-A8AABE69FF00}" presName="Name1" presStyleCnt="0"/>
      <dgm:spPr/>
    </dgm:pt>
    <dgm:pt modelId="{2ADCC2C9-E8A7-47FD-85AC-F300C58A8341}" type="pres">
      <dgm:prSet presAssocID="{A15CD7E2-B1F1-47C8-B566-A8AABE69FF00}" presName="cycle" presStyleCnt="0"/>
      <dgm:spPr/>
    </dgm:pt>
    <dgm:pt modelId="{CC7463E8-2C65-46A0-BB7E-37977EBE576C}" type="pres">
      <dgm:prSet presAssocID="{A15CD7E2-B1F1-47C8-B566-A8AABE69FF00}" presName="srcNode" presStyleLbl="node1" presStyleIdx="0" presStyleCnt="4"/>
      <dgm:spPr/>
    </dgm:pt>
    <dgm:pt modelId="{59512D5C-A59D-428E-9EF0-1A8B7EABD46E}" type="pres">
      <dgm:prSet presAssocID="{A15CD7E2-B1F1-47C8-B566-A8AABE69FF00}" presName="conn" presStyleLbl="parChTrans1D2" presStyleIdx="0" presStyleCnt="1"/>
      <dgm:spPr/>
    </dgm:pt>
    <dgm:pt modelId="{0ECD08A6-A94B-4F7E-9D75-B6E3E0EB4881}" type="pres">
      <dgm:prSet presAssocID="{A15CD7E2-B1F1-47C8-B566-A8AABE69FF00}" presName="extraNode" presStyleLbl="node1" presStyleIdx="0" presStyleCnt="4"/>
      <dgm:spPr/>
    </dgm:pt>
    <dgm:pt modelId="{C7BB592B-6635-4AD8-883C-68FD097023C4}" type="pres">
      <dgm:prSet presAssocID="{A15CD7E2-B1F1-47C8-B566-A8AABE69FF00}" presName="dstNode" presStyleLbl="node1" presStyleIdx="0" presStyleCnt="4"/>
      <dgm:spPr/>
    </dgm:pt>
    <dgm:pt modelId="{A4547726-B886-4A64-9A8E-72BB9724D9E3}" type="pres">
      <dgm:prSet presAssocID="{C3D9740A-2DFF-46C7-9524-D68D220DBCB8}" presName="text_1" presStyleLbl="node1" presStyleIdx="0" presStyleCnt="4">
        <dgm:presLayoutVars>
          <dgm:bulletEnabled val="1"/>
        </dgm:presLayoutVars>
      </dgm:prSet>
      <dgm:spPr/>
    </dgm:pt>
    <dgm:pt modelId="{CFDCDA6E-D3C6-4FFA-93F1-5461EF4AA946}" type="pres">
      <dgm:prSet presAssocID="{C3D9740A-2DFF-46C7-9524-D68D220DBCB8}" presName="accent_1" presStyleCnt="0"/>
      <dgm:spPr/>
    </dgm:pt>
    <dgm:pt modelId="{AC9BB9B2-B761-4504-859F-9939A2668A92}" type="pres">
      <dgm:prSet presAssocID="{C3D9740A-2DFF-46C7-9524-D68D220DBCB8}" presName="accentRepeatNode" presStyleLbl="solidFgAcc1" presStyleIdx="0" presStyleCnt="4"/>
      <dgm:spPr/>
    </dgm:pt>
    <dgm:pt modelId="{DA2E763F-1D42-4E8C-A268-933FF35B7CF0}" type="pres">
      <dgm:prSet presAssocID="{DEBE0DB8-5743-4673-B2C4-CBA58DBCA123}" presName="text_2" presStyleLbl="node1" presStyleIdx="1" presStyleCnt="4">
        <dgm:presLayoutVars>
          <dgm:bulletEnabled val="1"/>
        </dgm:presLayoutVars>
      </dgm:prSet>
      <dgm:spPr/>
    </dgm:pt>
    <dgm:pt modelId="{94F03484-C603-4783-910E-AFD1F6CFE4FA}" type="pres">
      <dgm:prSet presAssocID="{DEBE0DB8-5743-4673-B2C4-CBA58DBCA123}" presName="accent_2" presStyleCnt="0"/>
      <dgm:spPr/>
    </dgm:pt>
    <dgm:pt modelId="{3A6A13D4-6DB3-40EE-AABD-7AF8F6974DA2}" type="pres">
      <dgm:prSet presAssocID="{DEBE0DB8-5743-4673-B2C4-CBA58DBCA123}" presName="accentRepeatNode" presStyleLbl="solidFgAcc1" presStyleIdx="1" presStyleCnt="4"/>
      <dgm:spPr/>
    </dgm:pt>
    <dgm:pt modelId="{CB6E1AF9-31C2-4DA3-93FE-2AA0DB020605}" type="pres">
      <dgm:prSet presAssocID="{4A534538-D593-4ED2-93FC-350DE0A3C1BC}" presName="text_3" presStyleLbl="node1" presStyleIdx="2" presStyleCnt="4">
        <dgm:presLayoutVars>
          <dgm:bulletEnabled val="1"/>
        </dgm:presLayoutVars>
      </dgm:prSet>
      <dgm:spPr/>
    </dgm:pt>
    <dgm:pt modelId="{B3550177-75D7-4EA8-A90A-7351EC277B21}" type="pres">
      <dgm:prSet presAssocID="{4A534538-D593-4ED2-93FC-350DE0A3C1BC}" presName="accent_3" presStyleCnt="0"/>
      <dgm:spPr/>
    </dgm:pt>
    <dgm:pt modelId="{DA4F01F6-2E54-48FA-B862-270C829B11D0}" type="pres">
      <dgm:prSet presAssocID="{4A534538-D593-4ED2-93FC-350DE0A3C1BC}" presName="accentRepeatNode" presStyleLbl="solidFgAcc1" presStyleIdx="2" presStyleCnt="4"/>
      <dgm:spPr/>
    </dgm:pt>
    <dgm:pt modelId="{1C0CED4F-9FE6-4D57-87F6-D43F29CE7463}" type="pres">
      <dgm:prSet presAssocID="{B64CC454-82BB-44CE-BF63-A65E703A42D2}" presName="text_4" presStyleLbl="node1" presStyleIdx="3" presStyleCnt="4" custLinFactNeighborX="1127" custLinFactNeighborY="-2330">
        <dgm:presLayoutVars>
          <dgm:bulletEnabled val="1"/>
        </dgm:presLayoutVars>
      </dgm:prSet>
      <dgm:spPr/>
    </dgm:pt>
    <dgm:pt modelId="{A270056C-BB12-4E05-910E-70C93E5F315E}" type="pres">
      <dgm:prSet presAssocID="{B64CC454-82BB-44CE-BF63-A65E703A42D2}" presName="accent_4" presStyleCnt="0"/>
      <dgm:spPr/>
    </dgm:pt>
    <dgm:pt modelId="{03DD457D-3291-4115-89E2-E38ADF353EAF}" type="pres">
      <dgm:prSet presAssocID="{B64CC454-82BB-44CE-BF63-A65E703A42D2}" presName="accentRepeatNode" presStyleLbl="solidFgAcc1" presStyleIdx="3" presStyleCnt="4"/>
      <dgm:spPr/>
    </dgm:pt>
  </dgm:ptLst>
  <dgm:cxnLst>
    <dgm:cxn modelId="{43E03B03-C251-4EF7-A117-BA340AC5A1B4}" type="presOf" srcId="{C3D9740A-2DFF-46C7-9524-D68D220DBCB8}" destId="{A4547726-B886-4A64-9A8E-72BB9724D9E3}" srcOrd="0" destOrd="0" presId="urn:microsoft.com/office/officeart/2008/layout/VerticalCurvedList"/>
    <dgm:cxn modelId="{92A4D52B-3B19-4B42-8BA5-F4FBB020FC63}" type="presOf" srcId="{B64CC454-82BB-44CE-BF63-A65E703A42D2}" destId="{1C0CED4F-9FE6-4D57-87F6-D43F29CE7463}" srcOrd="0" destOrd="0" presId="urn:microsoft.com/office/officeart/2008/layout/VerticalCurvedList"/>
    <dgm:cxn modelId="{C8B6A532-6728-4907-9DCC-4A85F2F84DF8}" type="presOf" srcId="{F5772BAD-9F7B-4E6D-98D3-0497F2B6CB3E}" destId="{59512D5C-A59D-428E-9EF0-1A8B7EABD46E}" srcOrd="0" destOrd="0" presId="urn:microsoft.com/office/officeart/2008/layout/VerticalCurvedList"/>
    <dgm:cxn modelId="{B9B31F35-18DD-4485-8096-3DB53AF14D73}" srcId="{A15CD7E2-B1F1-47C8-B566-A8AABE69FF00}" destId="{B64CC454-82BB-44CE-BF63-A65E703A42D2}" srcOrd="3" destOrd="0" parTransId="{901CB76A-4E04-4831-B531-3CC1195BC3E7}" sibTransId="{3C4B04E2-17BA-40C5-9020-896975A77BB9}"/>
    <dgm:cxn modelId="{EB5BC535-C1EF-45E4-931B-B1DC068F60E6}" type="presOf" srcId="{DEBE0DB8-5743-4673-B2C4-CBA58DBCA123}" destId="{DA2E763F-1D42-4E8C-A268-933FF35B7CF0}" srcOrd="0" destOrd="0" presId="urn:microsoft.com/office/officeart/2008/layout/VerticalCurvedList"/>
    <dgm:cxn modelId="{8223153F-739D-4B5E-B7EC-E8A9B991B76F}" srcId="{A15CD7E2-B1F1-47C8-B566-A8AABE69FF00}" destId="{C3D9740A-2DFF-46C7-9524-D68D220DBCB8}" srcOrd="0" destOrd="0" parTransId="{BCC569B7-E4B7-4AF7-AA68-5ACE9A102468}" sibTransId="{F5772BAD-9F7B-4E6D-98D3-0497F2B6CB3E}"/>
    <dgm:cxn modelId="{2F5BE265-B882-491E-827B-8F7514397387}" type="presOf" srcId="{4A534538-D593-4ED2-93FC-350DE0A3C1BC}" destId="{CB6E1AF9-31C2-4DA3-93FE-2AA0DB020605}" srcOrd="0" destOrd="0" presId="urn:microsoft.com/office/officeart/2008/layout/VerticalCurvedList"/>
    <dgm:cxn modelId="{28193249-7E8A-4729-B7C1-B54EAE43CA9A}" type="presOf" srcId="{A15CD7E2-B1F1-47C8-B566-A8AABE69FF00}" destId="{8122551B-D2DF-4439-AFA2-79B4901F9852}" srcOrd="0" destOrd="0" presId="urn:microsoft.com/office/officeart/2008/layout/VerticalCurvedList"/>
    <dgm:cxn modelId="{197C3A8C-96F8-468A-A47B-F9B43377B678}" srcId="{A15CD7E2-B1F1-47C8-B566-A8AABE69FF00}" destId="{DEBE0DB8-5743-4673-B2C4-CBA58DBCA123}" srcOrd="1" destOrd="0" parTransId="{C376C15B-70EF-4E5F-885F-6891879C50D3}" sibTransId="{EB66A73F-962A-4201-BB3D-444330FDC05E}"/>
    <dgm:cxn modelId="{0CBDD5ED-C8DE-4627-8B93-0F8DE019997A}" srcId="{A15CD7E2-B1F1-47C8-B566-A8AABE69FF00}" destId="{4A534538-D593-4ED2-93FC-350DE0A3C1BC}" srcOrd="2" destOrd="0" parTransId="{6452BCA6-5E1E-4C90-BF93-EEA82A94EE32}" sibTransId="{7AB9DD6A-3F8B-471F-940A-9B628FA14D84}"/>
    <dgm:cxn modelId="{7AB337B7-82CC-42BC-9555-E4B740D8AA5F}" type="presParOf" srcId="{8122551B-D2DF-4439-AFA2-79B4901F9852}" destId="{80F53D45-0419-4048-8637-3E0B81F6E459}" srcOrd="0" destOrd="0" presId="urn:microsoft.com/office/officeart/2008/layout/VerticalCurvedList"/>
    <dgm:cxn modelId="{A0CE72B3-D832-4C9D-B4F2-68526AB17F37}" type="presParOf" srcId="{80F53D45-0419-4048-8637-3E0B81F6E459}" destId="{2ADCC2C9-E8A7-47FD-85AC-F300C58A8341}" srcOrd="0" destOrd="0" presId="urn:microsoft.com/office/officeart/2008/layout/VerticalCurvedList"/>
    <dgm:cxn modelId="{8D2E03C5-BC2B-41B0-AB9F-305CC510029F}" type="presParOf" srcId="{2ADCC2C9-E8A7-47FD-85AC-F300C58A8341}" destId="{CC7463E8-2C65-46A0-BB7E-37977EBE576C}" srcOrd="0" destOrd="0" presId="urn:microsoft.com/office/officeart/2008/layout/VerticalCurvedList"/>
    <dgm:cxn modelId="{08E1C9D8-88E9-4D86-B061-C0C7DA001432}" type="presParOf" srcId="{2ADCC2C9-E8A7-47FD-85AC-F300C58A8341}" destId="{59512D5C-A59D-428E-9EF0-1A8B7EABD46E}" srcOrd="1" destOrd="0" presId="urn:microsoft.com/office/officeart/2008/layout/VerticalCurvedList"/>
    <dgm:cxn modelId="{9683D44D-A400-47AB-AC67-6872A6975CAD}" type="presParOf" srcId="{2ADCC2C9-E8A7-47FD-85AC-F300C58A8341}" destId="{0ECD08A6-A94B-4F7E-9D75-B6E3E0EB4881}" srcOrd="2" destOrd="0" presId="urn:microsoft.com/office/officeart/2008/layout/VerticalCurvedList"/>
    <dgm:cxn modelId="{1C4B5ADB-B8A5-415C-B9EB-703964FCBFFE}" type="presParOf" srcId="{2ADCC2C9-E8A7-47FD-85AC-F300C58A8341}" destId="{C7BB592B-6635-4AD8-883C-68FD097023C4}" srcOrd="3" destOrd="0" presId="urn:microsoft.com/office/officeart/2008/layout/VerticalCurvedList"/>
    <dgm:cxn modelId="{539448BE-A3AC-4884-A6BD-426842CD6252}" type="presParOf" srcId="{80F53D45-0419-4048-8637-3E0B81F6E459}" destId="{A4547726-B886-4A64-9A8E-72BB9724D9E3}" srcOrd="1" destOrd="0" presId="urn:microsoft.com/office/officeart/2008/layout/VerticalCurvedList"/>
    <dgm:cxn modelId="{BBC82BE9-26A3-4181-8E7D-916AA8D4C07A}" type="presParOf" srcId="{80F53D45-0419-4048-8637-3E0B81F6E459}" destId="{CFDCDA6E-D3C6-4FFA-93F1-5461EF4AA946}" srcOrd="2" destOrd="0" presId="urn:microsoft.com/office/officeart/2008/layout/VerticalCurvedList"/>
    <dgm:cxn modelId="{19F09E20-E1E9-4F1E-B976-58DF0C1EF992}" type="presParOf" srcId="{CFDCDA6E-D3C6-4FFA-93F1-5461EF4AA946}" destId="{AC9BB9B2-B761-4504-859F-9939A2668A92}" srcOrd="0" destOrd="0" presId="urn:microsoft.com/office/officeart/2008/layout/VerticalCurvedList"/>
    <dgm:cxn modelId="{15F55E31-2685-4B67-AB5F-AE54AB3BE20A}" type="presParOf" srcId="{80F53D45-0419-4048-8637-3E0B81F6E459}" destId="{DA2E763F-1D42-4E8C-A268-933FF35B7CF0}" srcOrd="3" destOrd="0" presId="urn:microsoft.com/office/officeart/2008/layout/VerticalCurvedList"/>
    <dgm:cxn modelId="{008D57D6-1480-42AC-8B98-2305E02FBC26}" type="presParOf" srcId="{80F53D45-0419-4048-8637-3E0B81F6E459}" destId="{94F03484-C603-4783-910E-AFD1F6CFE4FA}" srcOrd="4" destOrd="0" presId="urn:microsoft.com/office/officeart/2008/layout/VerticalCurvedList"/>
    <dgm:cxn modelId="{51D333EF-E4E1-4D31-8D5B-9AD3426852C4}" type="presParOf" srcId="{94F03484-C603-4783-910E-AFD1F6CFE4FA}" destId="{3A6A13D4-6DB3-40EE-AABD-7AF8F6974DA2}" srcOrd="0" destOrd="0" presId="urn:microsoft.com/office/officeart/2008/layout/VerticalCurvedList"/>
    <dgm:cxn modelId="{61FD4298-B24D-498D-8916-941F48F9EB07}" type="presParOf" srcId="{80F53D45-0419-4048-8637-3E0B81F6E459}" destId="{CB6E1AF9-31C2-4DA3-93FE-2AA0DB020605}" srcOrd="5" destOrd="0" presId="urn:microsoft.com/office/officeart/2008/layout/VerticalCurvedList"/>
    <dgm:cxn modelId="{EEA57B5F-43C8-403B-9B75-731F270B8FA8}" type="presParOf" srcId="{80F53D45-0419-4048-8637-3E0B81F6E459}" destId="{B3550177-75D7-4EA8-A90A-7351EC277B21}" srcOrd="6" destOrd="0" presId="urn:microsoft.com/office/officeart/2008/layout/VerticalCurvedList"/>
    <dgm:cxn modelId="{335B7AB9-445A-45FB-B0E1-BB040E0DD60F}" type="presParOf" srcId="{B3550177-75D7-4EA8-A90A-7351EC277B21}" destId="{DA4F01F6-2E54-48FA-B862-270C829B11D0}" srcOrd="0" destOrd="0" presId="urn:microsoft.com/office/officeart/2008/layout/VerticalCurvedList"/>
    <dgm:cxn modelId="{B0BE32AA-1540-428B-B076-7F7EE34A42B8}" type="presParOf" srcId="{80F53D45-0419-4048-8637-3E0B81F6E459}" destId="{1C0CED4F-9FE6-4D57-87F6-D43F29CE7463}" srcOrd="7" destOrd="0" presId="urn:microsoft.com/office/officeart/2008/layout/VerticalCurvedList"/>
    <dgm:cxn modelId="{FE7FB9E0-70C6-467D-B10E-05E69573441C}" type="presParOf" srcId="{80F53D45-0419-4048-8637-3E0B81F6E459}" destId="{A270056C-BB12-4E05-910E-70C93E5F315E}" srcOrd="8" destOrd="0" presId="urn:microsoft.com/office/officeart/2008/layout/VerticalCurvedList"/>
    <dgm:cxn modelId="{B8D87A09-000E-42CF-913A-4B34FC1ED6D2}" type="presParOf" srcId="{A270056C-BB12-4E05-910E-70C93E5F315E}" destId="{03DD457D-3291-4115-89E2-E38ADF353EAF}" srcOrd="0" destOrd="0" presId="urn:microsoft.com/office/officeart/2008/layout/VerticalCurvedLis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3F96DF8-A300-49D8-81E8-7406FA370B06}" type="doc">
      <dgm:prSet loTypeId="urn:microsoft.com/office/officeart/2005/8/layout/radial4" loCatId="relationship" qsTypeId="urn:microsoft.com/office/officeart/2005/8/quickstyle/simple1" qsCatId="simple" csTypeId="urn:microsoft.com/office/officeart/2005/8/colors/accent4_1" csCatId="accent4" phldr="1"/>
      <dgm:spPr/>
      <dgm:t>
        <a:bodyPr/>
        <a:lstStyle/>
        <a:p>
          <a:endParaRPr lang="en-GB"/>
        </a:p>
      </dgm:t>
    </dgm:pt>
    <dgm:pt modelId="{58835E53-43AD-40A4-86EA-3097C59A5127}">
      <dgm:prSet phldrT="[Text]"/>
      <dgm:spPr>
        <a:solidFill>
          <a:srgbClr val="C5FBF8"/>
        </a:solidFill>
        <a:ln>
          <a:solidFill>
            <a:srgbClr val="0CA8A1"/>
          </a:solidFill>
        </a:ln>
      </dgm:spPr>
      <dgm:t>
        <a:bodyPr/>
        <a:lstStyle/>
        <a:p>
          <a:r>
            <a:rPr lang="en-GB" b="1">
              <a:solidFill>
                <a:srgbClr val="0CA8A1"/>
              </a:solidFill>
            </a:rPr>
            <a:t>Core Services</a:t>
          </a:r>
        </a:p>
      </dgm:t>
    </dgm:pt>
    <dgm:pt modelId="{D0E61EE2-3911-4462-84C2-0376A919E10F}" type="parTrans" cxnId="{D8FF1ACB-EFD9-4A37-BFBB-311DD553BACD}">
      <dgm:prSet/>
      <dgm:spPr/>
      <dgm:t>
        <a:bodyPr/>
        <a:lstStyle/>
        <a:p>
          <a:endParaRPr lang="en-GB"/>
        </a:p>
      </dgm:t>
    </dgm:pt>
    <dgm:pt modelId="{5FB0C7FC-59E1-4BE1-8B74-97E07BE7E4FA}" type="sibTrans" cxnId="{D8FF1ACB-EFD9-4A37-BFBB-311DD553BACD}">
      <dgm:prSet/>
      <dgm:spPr/>
      <dgm:t>
        <a:bodyPr/>
        <a:lstStyle/>
        <a:p>
          <a:endParaRPr lang="en-GB"/>
        </a:p>
      </dgm:t>
    </dgm:pt>
    <dgm:pt modelId="{349F2FDF-9339-4934-B3DA-CDF9E2EB5E7A}">
      <dgm:prSet phldrT="[Text]"/>
      <dgm:spPr>
        <a:ln>
          <a:solidFill>
            <a:srgbClr val="0CA8A1"/>
          </a:solidFill>
        </a:ln>
      </dgm:spPr>
      <dgm:t>
        <a:bodyPr/>
        <a:lstStyle/>
        <a:p>
          <a:pPr>
            <a:buNone/>
          </a:pPr>
          <a:r>
            <a:rPr lang="en-GB"/>
            <a:t>Employ </a:t>
          </a:r>
          <a:r>
            <a:rPr lang="en-GB" b="1"/>
            <a:t>multidisciplinary</a:t>
          </a:r>
          <a:r>
            <a:rPr lang="en-GB"/>
            <a:t> teams including registered nurses, care assistants, and support staff (Skills for Care, 2025; NHS, 2025)</a:t>
          </a:r>
        </a:p>
      </dgm:t>
    </dgm:pt>
    <dgm:pt modelId="{70F75A58-C127-47CC-81FD-7F9D8A4FDE27}" type="parTrans" cxnId="{2B0B1BE3-1611-45C3-AEB2-2F4B5509FC44}">
      <dgm:prSet/>
      <dgm:spPr>
        <a:solidFill>
          <a:srgbClr val="0CA8A1"/>
        </a:solidFill>
      </dgm:spPr>
      <dgm:t>
        <a:bodyPr/>
        <a:lstStyle/>
        <a:p>
          <a:endParaRPr lang="en-GB"/>
        </a:p>
      </dgm:t>
    </dgm:pt>
    <dgm:pt modelId="{00A9D9A8-24A6-4F10-B4E8-F9D9DE809491}" type="sibTrans" cxnId="{2B0B1BE3-1611-45C3-AEB2-2F4B5509FC44}">
      <dgm:prSet/>
      <dgm:spPr/>
      <dgm:t>
        <a:bodyPr/>
        <a:lstStyle/>
        <a:p>
          <a:endParaRPr lang="en-GB"/>
        </a:p>
      </dgm:t>
    </dgm:pt>
    <dgm:pt modelId="{D03ADEB1-AE59-47BA-B773-BA1CCE650797}">
      <dgm:prSet phldrT="[Text]"/>
      <dgm:spPr>
        <a:ln>
          <a:solidFill>
            <a:srgbClr val="0CA8A1"/>
          </a:solidFill>
        </a:ln>
      </dgm:spPr>
      <dgm:t>
        <a:bodyPr/>
        <a:lstStyle/>
        <a:p>
          <a:pPr>
            <a:buNone/>
          </a:pPr>
          <a:r>
            <a:rPr lang="en-GB" b="1"/>
            <a:t>Professional development </a:t>
          </a:r>
          <a:r>
            <a:rPr lang="en-GB"/>
            <a:t>supports safe medication management and high standards of care (Care Quality Commission, 2025; NICE, 2023).</a:t>
          </a:r>
        </a:p>
      </dgm:t>
    </dgm:pt>
    <dgm:pt modelId="{51117ADC-08D9-49E5-9AB6-8E2302C861C2}" type="parTrans" cxnId="{09E6B4AE-03D3-4EC5-9E59-DB93260C4D7F}">
      <dgm:prSet/>
      <dgm:spPr>
        <a:solidFill>
          <a:srgbClr val="0CA8A1"/>
        </a:solidFill>
      </dgm:spPr>
      <dgm:t>
        <a:bodyPr/>
        <a:lstStyle/>
        <a:p>
          <a:endParaRPr lang="en-GB"/>
        </a:p>
      </dgm:t>
    </dgm:pt>
    <dgm:pt modelId="{CCAA9A9B-D431-4C95-B544-EC9F25D96D42}" type="sibTrans" cxnId="{09E6B4AE-03D3-4EC5-9E59-DB93260C4D7F}">
      <dgm:prSet/>
      <dgm:spPr/>
      <dgm:t>
        <a:bodyPr/>
        <a:lstStyle/>
        <a:p>
          <a:endParaRPr lang="en-GB"/>
        </a:p>
      </dgm:t>
    </dgm:pt>
    <dgm:pt modelId="{C50F95DA-AE27-43A4-B4D8-5682A9FE36BA}">
      <dgm:prSet phldrT="[Text]"/>
      <dgm:spPr>
        <a:ln>
          <a:solidFill>
            <a:srgbClr val="0CA8A1"/>
          </a:solidFill>
        </a:ln>
      </dgm:spPr>
      <dgm:t>
        <a:bodyPr/>
        <a:lstStyle/>
        <a:p>
          <a:pPr>
            <a:buNone/>
          </a:pPr>
          <a:r>
            <a:rPr lang="en-GB"/>
            <a:t>Focus on </a:t>
          </a:r>
          <a:r>
            <a:rPr lang="en-GB" b="1"/>
            <a:t>social</a:t>
          </a:r>
          <a:r>
            <a:rPr lang="en-GB"/>
            <a:t> and </a:t>
          </a:r>
          <a:r>
            <a:rPr lang="en-GB" b="1"/>
            <a:t>emotional wellbeing </a:t>
          </a:r>
          <a:r>
            <a:rPr lang="en-GB"/>
            <a:t>(Age UK, 2025; NICE, 2023). Engagement initiatives reduce isolation and maintain quality of life (NHS, 2025; Care Act, 2014).</a:t>
          </a:r>
        </a:p>
      </dgm:t>
    </dgm:pt>
    <dgm:pt modelId="{ABF20D9A-60A0-4BD6-96E6-65AD1F71AFB8}" type="parTrans" cxnId="{22F66743-7ECC-4495-90BE-7D3F4009F316}">
      <dgm:prSet/>
      <dgm:spPr>
        <a:solidFill>
          <a:srgbClr val="0CA8A1"/>
        </a:solidFill>
      </dgm:spPr>
      <dgm:t>
        <a:bodyPr/>
        <a:lstStyle/>
        <a:p>
          <a:endParaRPr lang="en-GB"/>
        </a:p>
      </dgm:t>
    </dgm:pt>
    <dgm:pt modelId="{BB3C7199-0CA1-4C73-ADE1-E8546F6B39F7}" type="sibTrans" cxnId="{22F66743-7ECC-4495-90BE-7D3F4009F316}">
      <dgm:prSet/>
      <dgm:spPr/>
      <dgm:t>
        <a:bodyPr/>
        <a:lstStyle/>
        <a:p>
          <a:endParaRPr lang="en-GB"/>
        </a:p>
      </dgm:t>
    </dgm:pt>
    <dgm:pt modelId="{DB2032F9-DCA5-413C-80D5-057F6CCA3078}">
      <dgm:prSet phldrT="[Text]"/>
      <dgm:spPr>
        <a:ln>
          <a:solidFill>
            <a:srgbClr val="0CA8A1"/>
          </a:solidFill>
        </a:ln>
      </dgm:spPr>
      <dgm:t>
        <a:bodyPr/>
        <a:lstStyle/>
        <a:p>
          <a:pPr>
            <a:buFont typeface="Symbol" panose="05050102010706020507" pitchFamily="18" charset="2"/>
            <a:buChar char=""/>
          </a:pPr>
          <a:r>
            <a:rPr lang="en-GB" b="1"/>
            <a:t>Technology </a:t>
          </a:r>
          <a:r>
            <a:rPr lang="en-GB"/>
            <a:t>increasingly enhances care delivery through </a:t>
          </a:r>
          <a:r>
            <a:rPr lang="en-GB" b="1"/>
            <a:t>digital records </a:t>
          </a:r>
          <a:r>
            <a:rPr lang="en-GB"/>
            <a:t>and monitoring systems (NHS, 2025; Care Quality Commission, 2025)</a:t>
          </a:r>
        </a:p>
      </dgm:t>
    </dgm:pt>
    <dgm:pt modelId="{B4B990BA-14E8-4EE4-A701-B5D357E4DD7D}" type="parTrans" cxnId="{EB86EF54-AAF9-422D-A2FC-C4CAAC3113F8}">
      <dgm:prSet/>
      <dgm:spPr>
        <a:solidFill>
          <a:srgbClr val="0CA8A1"/>
        </a:solidFill>
        <a:ln>
          <a:solidFill>
            <a:srgbClr val="0CA8A1"/>
          </a:solidFill>
        </a:ln>
      </dgm:spPr>
      <dgm:t>
        <a:bodyPr/>
        <a:lstStyle/>
        <a:p>
          <a:endParaRPr lang="en-GB"/>
        </a:p>
      </dgm:t>
    </dgm:pt>
    <dgm:pt modelId="{AC3A42A4-E050-45EF-B517-B1A2AAD69868}" type="sibTrans" cxnId="{EB86EF54-AAF9-422D-A2FC-C4CAAC3113F8}">
      <dgm:prSet/>
      <dgm:spPr/>
      <dgm:t>
        <a:bodyPr/>
        <a:lstStyle/>
        <a:p>
          <a:endParaRPr lang="en-GB"/>
        </a:p>
      </dgm:t>
    </dgm:pt>
    <dgm:pt modelId="{ACD28D19-53DE-49FE-8755-0535F040F516}">
      <dgm:prSet phldrT="[Text]"/>
      <dgm:spPr>
        <a:ln>
          <a:solidFill>
            <a:srgbClr val="0CA8A1"/>
          </a:solidFill>
        </a:ln>
      </dgm:spPr>
      <dgm:t>
        <a:bodyPr/>
        <a:lstStyle/>
        <a:p>
          <a:pPr>
            <a:buFont typeface="Symbol" panose="05050102010706020507" pitchFamily="18" charset="2"/>
            <a:buChar char=""/>
          </a:pPr>
          <a:r>
            <a:rPr lang="en-GB" b="1"/>
            <a:t>Technological integration </a:t>
          </a:r>
          <a:r>
            <a:rPr lang="en-GB"/>
            <a:t>supports early identification of health changes and promotes coordinated care (NICE, 2023; Age UK, 2025).</a:t>
          </a:r>
        </a:p>
      </dgm:t>
    </dgm:pt>
    <dgm:pt modelId="{B092FC74-207B-44E4-A8CE-E611A63D5E11}" type="parTrans" cxnId="{3D05932D-BE42-4B4D-BF56-145ECE66D005}">
      <dgm:prSet/>
      <dgm:spPr>
        <a:solidFill>
          <a:srgbClr val="0CA8A1"/>
        </a:solidFill>
      </dgm:spPr>
      <dgm:t>
        <a:bodyPr/>
        <a:lstStyle/>
        <a:p>
          <a:endParaRPr lang="en-GB"/>
        </a:p>
      </dgm:t>
    </dgm:pt>
    <dgm:pt modelId="{1C7308D6-9565-40D3-BB71-C12A2BFEA806}" type="sibTrans" cxnId="{3D05932D-BE42-4B4D-BF56-145ECE66D005}">
      <dgm:prSet/>
      <dgm:spPr/>
      <dgm:t>
        <a:bodyPr/>
        <a:lstStyle/>
        <a:p>
          <a:endParaRPr lang="en-GB"/>
        </a:p>
      </dgm:t>
    </dgm:pt>
    <dgm:pt modelId="{AFAF886D-0EA2-4778-B043-60DB31FBB459}" type="pres">
      <dgm:prSet presAssocID="{73F96DF8-A300-49D8-81E8-7406FA370B06}" presName="cycle" presStyleCnt="0">
        <dgm:presLayoutVars>
          <dgm:chMax val="1"/>
          <dgm:dir/>
          <dgm:animLvl val="ctr"/>
          <dgm:resizeHandles val="exact"/>
        </dgm:presLayoutVars>
      </dgm:prSet>
      <dgm:spPr/>
    </dgm:pt>
    <dgm:pt modelId="{21D7A2A1-4D57-4A0A-B0A9-5C94225B8190}" type="pres">
      <dgm:prSet presAssocID="{58835E53-43AD-40A4-86EA-3097C59A5127}" presName="centerShape" presStyleLbl="node0" presStyleIdx="0" presStyleCnt="1" custLinFactNeighborX="359" custLinFactNeighborY="-359"/>
      <dgm:spPr/>
    </dgm:pt>
    <dgm:pt modelId="{6B3E494A-8EC4-421E-AA97-5F3AD455F98D}" type="pres">
      <dgm:prSet presAssocID="{70F75A58-C127-47CC-81FD-7F9D8A4FDE27}" presName="parTrans" presStyleLbl="bgSibTrans2D1" presStyleIdx="0" presStyleCnt="5"/>
      <dgm:spPr/>
    </dgm:pt>
    <dgm:pt modelId="{C028851C-21D0-4927-8F75-C7A8E600ADAC}" type="pres">
      <dgm:prSet presAssocID="{349F2FDF-9339-4934-B3DA-CDF9E2EB5E7A}" presName="node" presStyleLbl="node1" presStyleIdx="0" presStyleCnt="5" custRadScaleRad="107706" custRadScaleInc="453">
        <dgm:presLayoutVars>
          <dgm:bulletEnabled val="1"/>
        </dgm:presLayoutVars>
      </dgm:prSet>
      <dgm:spPr/>
    </dgm:pt>
    <dgm:pt modelId="{1065E9F6-A1C2-4A7D-8D64-43B327DB5DFB}" type="pres">
      <dgm:prSet presAssocID="{51117ADC-08D9-49E5-9AB6-8E2302C861C2}" presName="parTrans" presStyleLbl="bgSibTrans2D1" presStyleIdx="1" presStyleCnt="5"/>
      <dgm:spPr/>
    </dgm:pt>
    <dgm:pt modelId="{5BD9EA79-8157-4A52-9DB4-145CCF9B0C96}" type="pres">
      <dgm:prSet presAssocID="{D03ADEB1-AE59-47BA-B773-BA1CCE650797}" presName="node" presStyleLbl="node1" presStyleIdx="1" presStyleCnt="5">
        <dgm:presLayoutVars>
          <dgm:bulletEnabled val="1"/>
        </dgm:presLayoutVars>
      </dgm:prSet>
      <dgm:spPr/>
    </dgm:pt>
    <dgm:pt modelId="{6643BD2C-2BA0-48A6-8C95-756859C8BCD6}" type="pres">
      <dgm:prSet presAssocID="{B4B990BA-14E8-4EE4-A701-B5D357E4DD7D}" presName="parTrans" presStyleLbl="bgSibTrans2D1" presStyleIdx="2" presStyleCnt="5"/>
      <dgm:spPr/>
    </dgm:pt>
    <dgm:pt modelId="{B9D003EC-69EC-419E-A65E-2B8AF7A9B956}" type="pres">
      <dgm:prSet presAssocID="{DB2032F9-DCA5-413C-80D5-057F6CCA3078}" presName="node" presStyleLbl="node1" presStyleIdx="2" presStyleCnt="5">
        <dgm:presLayoutVars>
          <dgm:bulletEnabled val="1"/>
        </dgm:presLayoutVars>
      </dgm:prSet>
      <dgm:spPr/>
    </dgm:pt>
    <dgm:pt modelId="{1F2E646E-1E70-4CA4-8DA3-0135846D64D5}" type="pres">
      <dgm:prSet presAssocID="{B092FC74-207B-44E4-A8CE-E611A63D5E11}" presName="parTrans" presStyleLbl="bgSibTrans2D1" presStyleIdx="3" presStyleCnt="5"/>
      <dgm:spPr/>
    </dgm:pt>
    <dgm:pt modelId="{BC4E601A-8E03-413B-8BE0-98B9CE0CE431}" type="pres">
      <dgm:prSet presAssocID="{ACD28D19-53DE-49FE-8755-0535F040F516}" presName="node" presStyleLbl="node1" presStyleIdx="3" presStyleCnt="5">
        <dgm:presLayoutVars>
          <dgm:bulletEnabled val="1"/>
        </dgm:presLayoutVars>
      </dgm:prSet>
      <dgm:spPr/>
    </dgm:pt>
    <dgm:pt modelId="{6C9E5701-010B-45A4-990A-D8FB696CD446}" type="pres">
      <dgm:prSet presAssocID="{ABF20D9A-60A0-4BD6-96E6-65AD1F71AFB8}" presName="parTrans" presStyleLbl="bgSibTrans2D1" presStyleIdx="4" presStyleCnt="5"/>
      <dgm:spPr/>
    </dgm:pt>
    <dgm:pt modelId="{B4BDD68E-9E76-4C68-A30F-398D708775C1}" type="pres">
      <dgm:prSet presAssocID="{C50F95DA-AE27-43A4-B4D8-5682A9FE36BA}" presName="node" presStyleLbl="node1" presStyleIdx="4" presStyleCnt="5">
        <dgm:presLayoutVars>
          <dgm:bulletEnabled val="1"/>
        </dgm:presLayoutVars>
      </dgm:prSet>
      <dgm:spPr/>
    </dgm:pt>
  </dgm:ptLst>
  <dgm:cxnLst>
    <dgm:cxn modelId="{480FEF0F-FE38-4BD9-99A8-0C4AB5285FEB}" type="presOf" srcId="{B4B990BA-14E8-4EE4-A701-B5D357E4DD7D}" destId="{6643BD2C-2BA0-48A6-8C95-756859C8BCD6}" srcOrd="0" destOrd="0" presId="urn:microsoft.com/office/officeart/2005/8/layout/radial4"/>
    <dgm:cxn modelId="{45656626-EBAF-4DBE-AE6D-BB8A4D444B41}" type="presOf" srcId="{D03ADEB1-AE59-47BA-B773-BA1CCE650797}" destId="{5BD9EA79-8157-4A52-9DB4-145CCF9B0C96}" srcOrd="0" destOrd="0" presId="urn:microsoft.com/office/officeart/2005/8/layout/radial4"/>
    <dgm:cxn modelId="{19BC4F2D-A8A8-4CA1-90F1-DCBDB9E4DD01}" type="presOf" srcId="{C50F95DA-AE27-43A4-B4D8-5682A9FE36BA}" destId="{B4BDD68E-9E76-4C68-A30F-398D708775C1}" srcOrd="0" destOrd="0" presId="urn:microsoft.com/office/officeart/2005/8/layout/radial4"/>
    <dgm:cxn modelId="{3D05932D-BE42-4B4D-BF56-145ECE66D005}" srcId="{58835E53-43AD-40A4-86EA-3097C59A5127}" destId="{ACD28D19-53DE-49FE-8755-0535F040F516}" srcOrd="3" destOrd="0" parTransId="{B092FC74-207B-44E4-A8CE-E611A63D5E11}" sibTransId="{1C7308D6-9565-40D3-BB71-C12A2BFEA806}"/>
    <dgm:cxn modelId="{21641F2F-A97B-47A7-B64D-3F8F9DEB8144}" type="presOf" srcId="{DB2032F9-DCA5-413C-80D5-057F6CCA3078}" destId="{B9D003EC-69EC-419E-A65E-2B8AF7A9B956}" srcOrd="0" destOrd="0" presId="urn:microsoft.com/office/officeart/2005/8/layout/radial4"/>
    <dgm:cxn modelId="{22F66743-7ECC-4495-90BE-7D3F4009F316}" srcId="{58835E53-43AD-40A4-86EA-3097C59A5127}" destId="{C50F95DA-AE27-43A4-B4D8-5682A9FE36BA}" srcOrd="4" destOrd="0" parTransId="{ABF20D9A-60A0-4BD6-96E6-65AD1F71AFB8}" sibTransId="{BB3C7199-0CA1-4C73-ADE1-E8546F6B39F7}"/>
    <dgm:cxn modelId="{ACBE7248-8BC5-44EF-9692-3B7E65F14BEA}" type="presOf" srcId="{349F2FDF-9339-4934-B3DA-CDF9E2EB5E7A}" destId="{C028851C-21D0-4927-8F75-C7A8E600ADAC}" srcOrd="0" destOrd="0" presId="urn:microsoft.com/office/officeart/2005/8/layout/radial4"/>
    <dgm:cxn modelId="{EB86EF54-AAF9-422D-A2FC-C4CAAC3113F8}" srcId="{58835E53-43AD-40A4-86EA-3097C59A5127}" destId="{DB2032F9-DCA5-413C-80D5-057F6CCA3078}" srcOrd="2" destOrd="0" parTransId="{B4B990BA-14E8-4EE4-A701-B5D357E4DD7D}" sibTransId="{AC3A42A4-E050-45EF-B517-B1A2AAD69868}"/>
    <dgm:cxn modelId="{24A6DD96-FFEC-473A-971B-A3D304E03362}" type="presOf" srcId="{B092FC74-207B-44E4-A8CE-E611A63D5E11}" destId="{1F2E646E-1E70-4CA4-8DA3-0135846D64D5}" srcOrd="0" destOrd="0" presId="urn:microsoft.com/office/officeart/2005/8/layout/radial4"/>
    <dgm:cxn modelId="{BE39359B-5DF5-4F2D-8731-15910FD37D5B}" type="presOf" srcId="{73F96DF8-A300-49D8-81E8-7406FA370B06}" destId="{AFAF886D-0EA2-4778-B043-60DB31FBB459}" srcOrd="0" destOrd="0" presId="urn:microsoft.com/office/officeart/2005/8/layout/radial4"/>
    <dgm:cxn modelId="{8D3618A2-B3B8-47DC-95DE-24A56C809265}" type="presOf" srcId="{ACD28D19-53DE-49FE-8755-0535F040F516}" destId="{BC4E601A-8E03-413B-8BE0-98B9CE0CE431}" srcOrd="0" destOrd="0" presId="urn:microsoft.com/office/officeart/2005/8/layout/radial4"/>
    <dgm:cxn modelId="{749D51A9-EF83-4212-B6FA-6089DDC493B1}" type="presOf" srcId="{58835E53-43AD-40A4-86EA-3097C59A5127}" destId="{21D7A2A1-4D57-4A0A-B0A9-5C94225B8190}" srcOrd="0" destOrd="0" presId="urn:microsoft.com/office/officeart/2005/8/layout/radial4"/>
    <dgm:cxn modelId="{09E6B4AE-03D3-4EC5-9E59-DB93260C4D7F}" srcId="{58835E53-43AD-40A4-86EA-3097C59A5127}" destId="{D03ADEB1-AE59-47BA-B773-BA1CCE650797}" srcOrd="1" destOrd="0" parTransId="{51117ADC-08D9-49E5-9AB6-8E2302C861C2}" sibTransId="{CCAA9A9B-D431-4C95-B544-EC9F25D96D42}"/>
    <dgm:cxn modelId="{5A32BDC2-707A-4593-BA05-E7A7FA9F85F9}" type="presOf" srcId="{70F75A58-C127-47CC-81FD-7F9D8A4FDE27}" destId="{6B3E494A-8EC4-421E-AA97-5F3AD455F98D}" srcOrd="0" destOrd="0" presId="urn:microsoft.com/office/officeart/2005/8/layout/radial4"/>
    <dgm:cxn modelId="{D8FF1ACB-EFD9-4A37-BFBB-311DD553BACD}" srcId="{73F96DF8-A300-49D8-81E8-7406FA370B06}" destId="{58835E53-43AD-40A4-86EA-3097C59A5127}" srcOrd="0" destOrd="0" parTransId="{D0E61EE2-3911-4462-84C2-0376A919E10F}" sibTransId="{5FB0C7FC-59E1-4BE1-8B74-97E07BE7E4FA}"/>
    <dgm:cxn modelId="{BE8158D2-C55B-4CD5-92F9-05464736BDEC}" type="presOf" srcId="{ABF20D9A-60A0-4BD6-96E6-65AD1F71AFB8}" destId="{6C9E5701-010B-45A4-990A-D8FB696CD446}" srcOrd="0" destOrd="0" presId="urn:microsoft.com/office/officeart/2005/8/layout/radial4"/>
    <dgm:cxn modelId="{ABA3E4E0-369F-4141-A69C-DD5EB8BD5876}" type="presOf" srcId="{51117ADC-08D9-49E5-9AB6-8E2302C861C2}" destId="{1065E9F6-A1C2-4A7D-8D64-43B327DB5DFB}" srcOrd="0" destOrd="0" presId="urn:microsoft.com/office/officeart/2005/8/layout/radial4"/>
    <dgm:cxn modelId="{2B0B1BE3-1611-45C3-AEB2-2F4B5509FC44}" srcId="{58835E53-43AD-40A4-86EA-3097C59A5127}" destId="{349F2FDF-9339-4934-B3DA-CDF9E2EB5E7A}" srcOrd="0" destOrd="0" parTransId="{70F75A58-C127-47CC-81FD-7F9D8A4FDE27}" sibTransId="{00A9D9A8-24A6-4F10-B4E8-F9D9DE809491}"/>
    <dgm:cxn modelId="{853F241B-9BD6-4F57-A6AB-BDF02B5295A2}" type="presParOf" srcId="{AFAF886D-0EA2-4778-B043-60DB31FBB459}" destId="{21D7A2A1-4D57-4A0A-B0A9-5C94225B8190}" srcOrd="0" destOrd="0" presId="urn:microsoft.com/office/officeart/2005/8/layout/radial4"/>
    <dgm:cxn modelId="{5940E87C-C503-4004-AA57-02454A5666CF}" type="presParOf" srcId="{AFAF886D-0EA2-4778-B043-60DB31FBB459}" destId="{6B3E494A-8EC4-421E-AA97-5F3AD455F98D}" srcOrd="1" destOrd="0" presId="urn:microsoft.com/office/officeart/2005/8/layout/radial4"/>
    <dgm:cxn modelId="{88B7CEDE-83A9-4257-B573-DAD70CE7F715}" type="presParOf" srcId="{AFAF886D-0EA2-4778-B043-60DB31FBB459}" destId="{C028851C-21D0-4927-8F75-C7A8E600ADAC}" srcOrd="2" destOrd="0" presId="urn:microsoft.com/office/officeart/2005/8/layout/radial4"/>
    <dgm:cxn modelId="{316150F2-4F01-42D7-89A2-EFD78A9D68C5}" type="presParOf" srcId="{AFAF886D-0EA2-4778-B043-60DB31FBB459}" destId="{1065E9F6-A1C2-4A7D-8D64-43B327DB5DFB}" srcOrd="3" destOrd="0" presId="urn:microsoft.com/office/officeart/2005/8/layout/radial4"/>
    <dgm:cxn modelId="{6F4BF472-B974-4987-A94A-3B5EEBDB1F81}" type="presParOf" srcId="{AFAF886D-0EA2-4778-B043-60DB31FBB459}" destId="{5BD9EA79-8157-4A52-9DB4-145CCF9B0C96}" srcOrd="4" destOrd="0" presId="urn:microsoft.com/office/officeart/2005/8/layout/radial4"/>
    <dgm:cxn modelId="{534692B8-FE66-4846-B014-7E753BF0CC94}" type="presParOf" srcId="{AFAF886D-0EA2-4778-B043-60DB31FBB459}" destId="{6643BD2C-2BA0-48A6-8C95-756859C8BCD6}" srcOrd="5" destOrd="0" presId="urn:microsoft.com/office/officeart/2005/8/layout/radial4"/>
    <dgm:cxn modelId="{BAE59E3A-915E-4849-96F4-40CC1B4BFFCB}" type="presParOf" srcId="{AFAF886D-0EA2-4778-B043-60DB31FBB459}" destId="{B9D003EC-69EC-419E-A65E-2B8AF7A9B956}" srcOrd="6" destOrd="0" presId="urn:microsoft.com/office/officeart/2005/8/layout/radial4"/>
    <dgm:cxn modelId="{E7DC9755-9012-4D6B-A953-BAD9C68D35B1}" type="presParOf" srcId="{AFAF886D-0EA2-4778-B043-60DB31FBB459}" destId="{1F2E646E-1E70-4CA4-8DA3-0135846D64D5}" srcOrd="7" destOrd="0" presId="urn:microsoft.com/office/officeart/2005/8/layout/radial4"/>
    <dgm:cxn modelId="{461DAB45-9677-437E-B173-69AF646A50A5}" type="presParOf" srcId="{AFAF886D-0EA2-4778-B043-60DB31FBB459}" destId="{BC4E601A-8E03-413B-8BE0-98B9CE0CE431}" srcOrd="8" destOrd="0" presId="urn:microsoft.com/office/officeart/2005/8/layout/radial4"/>
    <dgm:cxn modelId="{71C81865-8947-4653-BBD2-C9367BD42422}" type="presParOf" srcId="{AFAF886D-0EA2-4778-B043-60DB31FBB459}" destId="{6C9E5701-010B-45A4-990A-D8FB696CD446}" srcOrd="9" destOrd="0" presId="urn:microsoft.com/office/officeart/2005/8/layout/radial4"/>
    <dgm:cxn modelId="{6F5A4133-CAFF-4E9D-9108-43CEE031A0F5}" type="presParOf" srcId="{AFAF886D-0EA2-4778-B043-60DB31FBB459}" destId="{B4BDD68E-9E76-4C68-A30F-398D708775C1}" srcOrd="10" destOrd="0" presId="urn:microsoft.com/office/officeart/2005/8/layout/radial4"/>
  </dgm:cxnLst>
  <dgm:bg/>
  <dgm:whole>
    <a:ln>
      <a:noFill/>
    </a:ln>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9512D5C-A59D-428E-9EF0-1A8B7EABD46E}">
      <dsp:nvSpPr>
        <dsp:cNvPr id="0" name=""/>
        <dsp:cNvSpPr/>
      </dsp:nvSpPr>
      <dsp:spPr>
        <a:xfrm>
          <a:off x="3324686" y="-555868"/>
          <a:ext cx="4312137" cy="4312137"/>
        </a:xfrm>
        <a:prstGeom prst="blockArc">
          <a:avLst>
            <a:gd name="adj1" fmla="val 8100000"/>
            <a:gd name="adj2" fmla="val 13500000"/>
            <a:gd name="adj3" fmla="val 501"/>
          </a:avLst>
        </a:prstGeom>
        <a:noFill/>
        <a:ln w="1905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4547726-B886-4A64-9A8E-72BB9724D9E3}">
      <dsp:nvSpPr>
        <dsp:cNvPr id="0" name=""/>
        <dsp:cNvSpPr/>
      </dsp:nvSpPr>
      <dsp:spPr>
        <a:xfrm>
          <a:off x="41546" y="246046"/>
          <a:ext cx="3613739" cy="492349"/>
        </a:xfrm>
        <a:prstGeom prst="rect">
          <a:avLst/>
        </a:prstGeom>
        <a:solidFill>
          <a:schemeClr val="accent3">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390802" bIns="17780" numCol="1" spcCol="1270" anchor="ctr" anchorCtr="0">
          <a:noAutofit/>
        </a:bodyPr>
        <a:lstStyle/>
        <a:p>
          <a:pPr marL="0" lvl="0" indent="0" algn="l" defTabSz="311150">
            <a:lnSpc>
              <a:spcPct val="90000"/>
            </a:lnSpc>
            <a:spcBef>
              <a:spcPct val="0"/>
            </a:spcBef>
            <a:spcAft>
              <a:spcPct val="35000"/>
            </a:spcAft>
            <a:buFont typeface="Symbol" panose="05050102010706020507" pitchFamily="18" charset="2"/>
            <a:buNone/>
          </a:pPr>
          <a:r>
            <a:rPr lang="en-GB" sz="700" kern="1200"/>
            <a:t>In the early 19th century, care for older adults and disabled individuals was primarily institutional, often limited to workhouses or charitable alms-houses in the United Kingdom. These facilities offered minimal comfort or specialised care, focusing mainly on shelter rather than holistic wellbeing (Phillips, 2025).</a:t>
          </a:r>
          <a:endParaRPr lang="en-GB" sz="700" kern="1200">
            <a:latin typeface="+mj-lt"/>
          </a:endParaRPr>
        </a:p>
      </dsp:txBody>
      <dsp:txXfrm>
        <a:off x="41546" y="246046"/>
        <a:ext cx="3613739" cy="492349"/>
      </dsp:txXfrm>
    </dsp:sp>
    <dsp:sp modelId="{AC9BB9B2-B761-4504-859F-9939A2668A92}">
      <dsp:nvSpPr>
        <dsp:cNvPr id="0" name=""/>
        <dsp:cNvSpPr/>
      </dsp:nvSpPr>
      <dsp:spPr>
        <a:xfrm>
          <a:off x="3347567" y="184503"/>
          <a:ext cx="615436" cy="615436"/>
        </a:xfrm>
        <a:prstGeom prst="ellipse">
          <a:avLst/>
        </a:prstGeom>
        <a:solidFill>
          <a:schemeClr val="lt1">
            <a:hueOff val="0"/>
            <a:satOff val="0"/>
            <a:lumOff val="0"/>
            <a:alphaOff val="0"/>
          </a:schemeClr>
        </a:solidFill>
        <a:ln w="1905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A2E763F-1D42-4E8C-A268-933FF35B7CF0}">
      <dsp:nvSpPr>
        <dsp:cNvPr id="0" name=""/>
        <dsp:cNvSpPr/>
      </dsp:nvSpPr>
      <dsp:spPr>
        <a:xfrm>
          <a:off x="41546" y="984699"/>
          <a:ext cx="3331464" cy="492349"/>
        </a:xfrm>
        <a:prstGeom prst="rect">
          <a:avLst/>
        </a:prstGeom>
        <a:solidFill>
          <a:schemeClr val="accent3">
            <a:hueOff val="1372388"/>
            <a:satOff val="8237"/>
            <a:lumOff val="6275"/>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390802" bIns="17780" numCol="1" spcCol="1270" anchor="ctr" anchorCtr="0">
          <a:noAutofit/>
        </a:bodyPr>
        <a:lstStyle/>
        <a:p>
          <a:pPr marL="0" lvl="0" indent="0" algn="l" defTabSz="311150">
            <a:lnSpc>
              <a:spcPct val="90000"/>
            </a:lnSpc>
            <a:spcBef>
              <a:spcPct val="0"/>
            </a:spcBef>
            <a:spcAft>
              <a:spcPct val="35000"/>
            </a:spcAft>
            <a:buFont typeface="Symbol" panose="05050102010706020507" pitchFamily="18" charset="2"/>
            <a:buNone/>
          </a:pPr>
          <a:r>
            <a:rPr lang="en-GB" sz="700" kern="1200"/>
            <a:t>Mid-20th century, particularly following the National Assistance Act 1948, which formalised social care provision and laid the groundwork for modern residential care homes (Glasby, 2025)</a:t>
          </a:r>
          <a:endParaRPr lang="en-GB" sz="700" kern="1200">
            <a:latin typeface="+mj-lt"/>
          </a:endParaRPr>
        </a:p>
      </dsp:txBody>
      <dsp:txXfrm>
        <a:off x="41546" y="984699"/>
        <a:ext cx="3331464" cy="492349"/>
      </dsp:txXfrm>
    </dsp:sp>
    <dsp:sp modelId="{3A6A13D4-6DB3-40EE-AABD-7AF8F6974DA2}">
      <dsp:nvSpPr>
        <dsp:cNvPr id="0" name=""/>
        <dsp:cNvSpPr/>
      </dsp:nvSpPr>
      <dsp:spPr>
        <a:xfrm>
          <a:off x="3065292" y="923155"/>
          <a:ext cx="615436" cy="615436"/>
        </a:xfrm>
        <a:prstGeom prst="ellipse">
          <a:avLst/>
        </a:prstGeom>
        <a:solidFill>
          <a:schemeClr val="lt1">
            <a:hueOff val="0"/>
            <a:satOff val="0"/>
            <a:lumOff val="0"/>
            <a:alphaOff val="0"/>
          </a:schemeClr>
        </a:solidFill>
        <a:ln w="19050" cap="flat" cmpd="sng" algn="ctr">
          <a:solidFill>
            <a:schemeClr val="accent3">
              <a:hueOff val="1372388"/>
              <a:satOff val="8237"/>
              <a:lumOff val="6275"/>
              <a:alphaOff val="0"/>
            </a:schemeClr>
          </a:solidFill>
          <a:prstDash val="solid"/>
          <a:miter lim="800000"/>
        </a:ln>
        <a:effectLst/>
      </dsp:spPr>
      <dsp:style>
        <a:lnRef idx="2">
          <a:scrgbClr r="0" g="0" b="0"/>
        </a:lnRef>
        <a:fillRef idx="1">
          <a:scrgbClr r="0" g="0" b="0"/>
        </a:fillRef>
        <a:effectRef idx="0">
          <a:scrgbClr r="0" g="0" b="0"/>
        </a:effectRef>
        <a:fontRef idx="minor"/>
      </dsp:style>
    </dsp:sp>
    <dsp:sp modelId="{CB6E1AF9-31C2-4DA3-93FE-2AA0DB020605}">
      <dsp:nvSpPr>
        <dsp:cNvPr id="0" name=""/>
        <dsp:cNvSpPr/>
      </dsp:nvSpPr>
      <dsp:spPr>
        <a:xfrm>
          <a:off x="41546" y="1723351"/>
          <a:ext cx="3331464" cy="492349"/>
        </a:xfrm>
        <a:prstGeom prst="rect">
          <a:avLst/>
        </a:prstGeom>
        <a:solidFill>
          <a:schemeClr val="accent3">
            <a:hueOff val="2744775"/>
            <a:satOff val="16475"/>
            <a:lumOff val="1255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390802" bIns="17780" numCol="1" spcCol="1270" anchor="ctr" anchorCtr="0">
          <a:noAutofit/>
        </a:bodyPr>
        <a:lstStyle/>
        <a:p>
          <a:pPr marL="0" lvl="0" indent="0" algn="l" defTabSz="311150">
            <a:lnSpc>
              <a:spcPct val="90000"/>
            </a:lnSpc>
            <a:spcBef>
              <a:spcPct val="0"/>
            </a:spcBef>
            <a:spcAft>
              <a:spcPct val="35000"/>
            </a:spcAft>
            <a:buFont typeface="Symbol" panose="05050102010706020507" pitchFamily="18" charset="2"/>
            <a:buNone/>
          </a:pPr>
          <a:r>
            <a:rPr lang="en-GB" sz="700" kern="1200"/>
            <a:t>The Care Standards Act 2000 introduced regulations for staffing, safety, and care quality, ensuring that residential homes met minimum standards and were subject to inspections (Care Standards Act, 2000)</a:t>
          </a:r>
          <a:endParaRPr lang="en-GB" sz="700" kern="1200">
            <a:latin typeface="+mj-lt"/>
          </a:endParaRPr>
        </a:p>
      </dsp:txBody>
      <dsp:txXfrm>
        <a:off x="41546" y="1723351"/>
        <a:ext cx="3331464" cy="492349"/>
      </dsp:txXfrm>
    </dsp:sp>
    <dsp:sp modelId="{DA4F01F6-2E54-48FA-B862-270C829B11D0}">
      <dsp:nvSpPr>
        <dsp:cNvPr id="0" name=""/>
        <dsp:cNvSpPr/>
      </dsp:nvSpPr>
      <dsp:spPr>
        <a:xfrm>
          <a:off x="3065292" y="1661807"/>
          <a:ext cx="615436" cy="615436"/>
        </a:xfrm>
        <a:prstGeom prst="ellipse">
          <a:avLst/>
        </a:prstGeom>
        <a:solidFill>
          <a:schemeClr val="lt1">
            <a:hueOff val="0"/>
            <a:satOff val="0"/>
            <a:lumOff val="0"/>
            <a:alphaOff val="0"/>
          </a:schemeClr>
        </a:solidFill>
        <a:ln w="19050" cap="flat" cmpd="sng" algn="ctr">
          <a:solidFill>
            <a:schemeClr val="accent3">
              <a:hueOff val="2744775"/>
              <a:satOff val="16475"/>
              <a:lumOff val="1255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C0CED4F-9FE6-4D57-87F6-D43F29CE7463}">
      <dsp:nvSpPr>
        <dsp:cNvPr id="0" name=""/>
        <dsp:cNvSpPr/>
      </dsp:nvSpPr>
      <dsp:spPr>
        <a:xfrm>
          <a:off x="82273" y="2450531"/>
          <a:ext cx="3613739" cy="492349"/>
        </a:xfrm>
        <a:prstGeom prst="rect">
          <a:avLst/>
        </a:prstGeom>
        <a:solidFill>
          <a:schemeClr val="accent3">
            <a:hueOff val="4117163"/>
            <a:satOff val="24712"/>
            <a:lumOff val="18825"/>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390802" bIns="17780" numCol="1" spcCol="1270" anchor="ctr" anchorCtr="0">
          <a:noAutofit/>
        </a:bodyPr>
        <a:lstStyle/>
        <a:p>
          <a:pPr marL="0" lvl="0" indent="0" algn="l" defTabSz="311150">
            <a:lnSpc>
              <a:spcPct val="90000"/>
            </a:lnSpc>
            <a:spcBef>
              <a:spcPct val="0"/>
            </a:spcBef>
            <a:spcAft>
              <a:spcPct val="35000"/>
            </a:spcAft>
            <a:buFont typeface="Symbol" panose="05050102010706020507" pitchFamily="18" charset="2"/>
            <a:buNone/>
          </a:pPr>
          <a:r>
            <a:rPr lang="en-GB" sz="700" kern="1200"/>
            <a:t>The Care Act 2014 emphasised person-centred care, safeguarding, and integration with health services, marking a pivotal shift towards a more holistic and rights-based approach to residential care (Care Act, 2014)</a:t>
          </a:r>
          <a:endParaRPr lang="en-GB" sz="700" kern="1200">
            <a:latin typeface="+mj-lt"/>
          </a:endParaRPr>
        </a:p>
      </dsp:txBody>
      <dsp:txXfrm>
        <a:off x="82273" y="2450531"/>
        <a:ext cx="3613739" cy="492349"/>
      </dsp:txXfrm>
    </dsp:sp>
    <dsp:sp modelId="{03DD457D-3291-4115-89E2-E38ADF353EAF}">
      <dsp:nvSpPr>
        <dsp:cNvPr id="0" name=""/>
        <dsp:cNvSpPr/>
      </dsp:nvSpPr>
      <dsp:spPr>
        <a:xfrm>
          <a:off x="3347567" y="2400460"/>
          <a:ext cx="615436" cy="615436"/>
        </a:xfrm>
        <a:prstGeom prst="ellipse">
          <a:avLst/>
        </a:prstGeom>
        <a:solidFill>
          <a:schemeClr val="lt1">
            <a:hueOff val="0"/>
            <a:satOff val="0"/>
            <a:lumOff val="0"/>
            <a:alphaOff val="0"/>
          </a:schemeClr>
        </a:solidFill>
        <a:ln w="19050" cap="flat" cmpd="sng" algn="ctr">
          <a:solidFill>
            <a:schemeClr val="accent3">
              <a:hueOff val="4117163"/>
              <a:satOff val="24712"/>
              <a:lumOff val="18825"/>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1D7A2A1-4D57-4A0A-B0A9-5C94225B8190}">
      <dsp:nvSpPr>
        <dsp:cNvPr id="0" name=""/>
        <dsp:cNvSpPr/>
      </dsp:nvSpPr>
      <dsp:spPr>
        <a:xfrm>
          <a:off x="1275932" y="1217029"/>
          <a:ext cx="877856" cy="877856"/>
        </a:xfrm>
        <a:prstGeom prst="ellipse">
          <a:avLst/>
        </a:prstGeom>
        <a:solidFill>
          <a:srgbClr val="C5FBF8"/>
        </a:solidFill>
        <a:ln w="19050" cap="flat" cmpd="sng" algn="ctr">
          <a:solidFill>
            <a:srgbClr val="0CA8A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1" kern="1200">
              <a:solidFill>
                <a:srgbClr val="0CA8A1"/>
              </a:solidFill>
            </a:rPr>
            <a:t>Core Services</a:t>
          </a:r>
        </a:p>
      </dsp:txBody>
      <dsp:txXfrm>
        <a:off x="1404491" y="1345588"/>
        <a:ext cx="620738" cy="620738"/>
      </dsp:txXfrm>
    </dsp:sp>
    <dsp:sp modelId="{6B3E494A-8EC4-421E-AA97-5F3AD455F98D}">
      <dsp:nvSpPr>
        <dsp:cNvPr id="0" name=""/>
        <dsp:cNvSpPr/>
      </dsp:nvSpPr>
      <dsp:spPr>
        <a:xfrm rot="10785960">
          <a:off x="416978" y="1534506"/>
          <a:ext cx="811718" cy="250189"/>
        </a:xfrm>
        <a:prstGeom prst="leftArrow">
          <a:avLst>
            <a:gd name="adj1" fmla="val 60000"/>
            <a:gd name="adj2" fmla="val 50000"/>
          </a:avLst>
        </a:prstGeom>
        <a:solidFill>
          <a:srgbClr val="0CA8A1"/>
        </a:solidFill>
        <a:ln>
          <a:noFill/>
        </a:ln>
        <a:effectLst/>
      </dsp:spPr>
      <dsp:style>
        <a:lnRef idx="0">
          <a:scrgbClr r="0" g="0" b="0"/>
        </a:lnRef>
        <a:fillRef idx="1">
          <a:scrgbClr r="0" g="0" b="0"/>
        </a:fillRef>
        <a:effectRef idx="0">
          <a:scrgbClr r="0" g="0" b="0"/>
        </a:effectRef>
        <a:fontRef idx="minor">
          <a:schemeClr val="lt1"/>
        </a:fontRef>
      </dsp:style>
    </dsp:sp>
    <dsp:sp modelId="{C028851C-21D0-4927-8F75-C7A8E600ADAC}">
      <dsp:nvSpPr>
        <dsp:cNvPr id="0" name=""/>
        <dsp:cNvSpPr/>
      </dsp:nvSpPr>
      <dsp:spPr>
        <a:xfrm>
          <a:off x="0" y="1327673"/>
          <a:ext cx="833963" cy="667170"/>
        </a:xfrm>
        <a:prstGeom prst="roundRect">
          <a:avLst>
            <a:gd name="adj" fmla="val 10000"/>
          </a:avLst>
        </a:prstGeom>
        <a:solidFill>
          <a:schemeClr val="lt1">
            <a:hueOff val="0"/>
            <a:satOff val="0"/>
            <a:lumOff val="0"/>
            <a:alphaOff val="0"/>
          </a:schemeClr>
        </a:solidFill>
        <a:ln w="19050" cap="flat" cmpd="sng" algn="ctr">
          <a:solidFill>
            <a:srgbClr val="0CA8A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222250">
            <a:lnSpc>
              <a:spcPct val="90000"/>
            </a:lnSpc>
            <a:spcBef>
              <a:spcPct val="0"/>
            </a:spcBef>
            <a:spcAft>
              <a:spcPct val="35000"/>
            </a:spcAft>
            <a:buNone/>
          </a:pPr>
          <a:r>
            <a:rPr lang="en-GB" sz="500" kern="1200"/>
            <a:t>Employ </a:t>
          </a:r>
          <a:r>
            <a:rPr lang="en-GB" sz="500" b="1" kern="1200"/>
            <a:t>multidisciplinary</a:t>
          </a:r>
          <a:r>
            <a:rPr lang="en-GB" sz="500" kern="1200"/>
            <a:t> teams including registered nurses, care assistants, and support staff (Skills for Care, 2025; NHS, 2025)</a:t>
          </a:r>
        </a:p>
      </dsp:txBody>
      <dsp:txXfrm>
        <a:off x="19541" y="1347214"/>
        <a:ext cx="794881" cy="628088"/>
      </dsp:txXfrm>
    </dsp:sp>
    <dsp:sp modelId="{1065E9F6-A1C2-4A7D-8D64-43B327DB5DFB}">
      <dsp:nvSpPr>
        <dsp:cNvPr id="0" name=""/>
        <dsp:cNvSpPr/>
      </dsp:nvSpPr>
      <dsp:spPr>
        <a:xfrm rot="13465094">
          <a:off x="679899" y="910030"/>
          <a:ext cx="802782" cy="250189"/>
        </a:xfrm>
        <a:prstGeom prst="leftArrow">
          <a:avLst>
            <a:gd name="adj1" fmla="val 60000"/>
            <a:gd name="adj2" fmla="val 50000"/>
          </a:avLst>
        </a:prstGeom>
        <a:solidFill>
          <a:srgbClr val="0CA8A1"/>
        </a:solidFill>
        <a:ln>
          <a:noFill/>
        </a:ln>
        <a:effectLst/>
      </dsp:spPr>
      <dsp:style>
        <a:lnRef idx="0">
          <a:scrgbClr r="0" g="0" b="0"/>
        </a:lnRef>
        <a:fillRef idx="1">
          <a:scrgbClr r="0" g="0" b="0"/>
        </a:fillRef>
        <a:effectRef idx="0">
          <a:scrgbClr r="0" g="0" b="0"/>
        </a:effectRef>
        <a:fontRef idx="minor">
          <a:schemeClr val="lt1"/>
        </a:fontRef>
      </dsp:style>
    </dsp:sp>
    <dsp:sp modelId="{5BD9EA79-8157-4A52-9DB4-145CCF9B0C96}">
      <dsp:nvSpPr>
        <dsp:cNvPr id="0" name=""/>
        <dsp:cNvSpPr/>
      </dsp:nvSpPr>
      <dsp:spPr>
        <a:xfrm>
          <a:off x="377615" y="420609"/>
          <a:ext cx="833963" cy="667170"/>
        </a:xfrm>
        <a:prstGeom prst="roundRect">
          <a:avLst>
            <a:gd name="adj" fmla="val 10000"/>
          </a:avLst>
        </a:prstGeom>
        <a:solidFill>
          <a:schemeClr val="lt1">
            <a:hueOff val="0"/>
            <a:satOff val="0"/>
            <a:lumOff val="0"/>
            <a:alphaOff val="0"/>
          </a:schemeClr>
        </a:solidFill>
        <a:ln w="19050" cap="flat" cmpd="sng" algn="ctr">
          <a:solidFill>
            <a:srgbClr val="0CA8A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222250">
            <a:lnSpc>
              <a:spcPct val="90000"/>
            </a:lnSpc>
            <a:spcBef>
              <a:spcPct val="0"/>
            </a:spcBef>
            <a:spcAft>
              <a:spcPct val="35000"/>
            </a:spcAft>
            <a:buNone/>
          </a:pPr>
          <a:r>
            <a:rPr lang="en-GB" sz="500" b="1" kern="1200"/>
            <a:t>Professional development </a:t>
          </a:r>
          <a:r>
            <a:rPr lang="en-GB" sz="500" kern="1200"/>
            <a:t>supports safe medication management and high standards of care (Care Quality Commission, 2025; NICE, 2023).</a:t>
          </a:r>
        </a:p>
      </dsp:txBody>
      <dsp:txXfrm>
        <a:off x="397156" y="440150"/>
        <a:ext cx="794881" cy="628088"/>
      </dsp:txXfrm>
    </dsp:sp>
    <dsp:sp modelId="{6643BD2C-2BA0-48A6-8C95-756859C8BCD6}">
      <dsp:nvSpPr>
        <dsp:cNvPr id="0" name=""/>
        <dsp:cNvSpPr/>
      </dsp:nvSpPr>
      <dsp:spPr>
        <a:xfrm rot="16175139">
          <a:off x="1311476" y="648741"/>
          <a:ext cx="794009" cy="250189"/>
        </a:xfrm>
        <a:prstGeom prst="leftArrow">
          <a:avLst>
            <a:gd name="adj1" fmla="val 60000"/>
            <a:gd name="adj2" fmla="val 50000"/>
          </a:avLst>
        </a:prstGeom>
        <a:solidFill>
          <a:srgbClr val="0CA8A1"/>
        </a:solidFill>
        <a:ln>
          <a:solidFill>
            <a:srgbClr val="0CA8A1"/>
          </a:solidFill>
        </a:ln>
        <a:effectLst/>
      </dsp:spPr>
      <dsp:style>
        <a:lnRef idx="0">
          <a:scrgbClr r="0" g="0" b="0"/>
        </a:lnRef>
        <a:fillRef idx="1">
          <a:scrgbClr r="0" g="0" b="0"/>
        </a:fillRef>
        <a:effectRef idx="0">
          <a:scrgbClr r="0" g="0" b="0"/>
        </a:effectRef>
        <a:fontRef idx="minor">
          <a:schemeClr val="lt1"/>
        </a:fontRef>
      </dsp:style>
    </dsp:sp>
    <dsp:sp modelId="{B9D003EC-69EC-419E-A65E-2B8AF7A9B956}">
      <dsp:nvSpPr>
        <dsp:cNvPr id="0" name=""/>
        <dsp:cNvSpPr/>
      </dsp:nvSpPr>
      <dsp:spPr>
        <a:xfrm>
          <a:off x="1288628" y="43255"/>
          <a:ext cx="833963" cy="667170"/>
        </a:xfrm>
        <a:prstGeom prst="roundRect">
          <a:avLst>
            <a:gd name="adj" fmla="val 10000"/>
          </a:avLst>
        </a:prstGeom>
        <a:solidFill>
          <a:schemeClr val="lt1">
            <a:hueOff val="0"/>
            <a:satOff val="0"/>
            <a:lumOff val="0"/>
            <a:alphaOff val="0"/>
          </a:schemeClr>
        </a:solidFill>
        <a:ln w="19050" cap="flat" cmpd="sng" algn="ctr">
          <a:solidFill>
            <a:srgbClr val="0CA8A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222250">
            <a:lnSpc>
              <a:spcPct val="90000"/>
            </a:lnSpc>
            <a:spcBef>
              <a:spcPct val="0"/>
            </a:spcBef>
            <a:spcAft>
              <a:spcPct val="35000"/>
            </a:spcAft>
            <a:buFont typeface="Symbol" panose="05050102010706020507" pitchFamily="18" charset="2"/>
            <a:buNone/>
          </a:pPr>
          <a:r>
            <a:rPr lang="en-GB" sz="500" b="1" kern="1200"/>
            <a:t>Technology </a:t>
          </a:r>
          <a:r>
            <a:rPr lang="en-GB" sz="500" kern="1200"/>
            <a:t>increasingly enhances care delivery through </a:t>
          </a:r>
          <a:r>
            <a:rPr lang="en-GB" sz="500" b="1" kern="1200"/>
            <a:t>digital records </a:t>
          </a:r>
          <a:r>
            <a:rPr lang="en-GB" sz="500" kern="1200"/>
            <a:t>and monitoring systems (NHS, 2025; Care Quality Commission, 2025)</a:t>
          </a:r>
        </a:p>
      </dsp:txBody>
      <dsp:txXfrm>
        <a:off x="1308169" y="62796"/>
        <a:ext cx="794881" cy="628088"/>
      </dsp:txXfrm>
    </dsp:sp>
    <dsp:sp modelId="{1F2E646E-1E70-4CA4-8DA3-0135846D64D5}">
      <dsp:nvSpPr>
        <dsp:cNvPr id="0" name=""/>
        <dsp:cNvSpPr/>
      </dsp:nvSpPr>
      <dsp:spPr>
        <a:xfrm rot="18900000">
          <a:off x="1942010" y="908534"/>
          <a:ext cx="790357" cy="250189"/>
        </a:xfrm>
        <a:prstGeom prst="leftArrow">
          <a:avLst>
            <a:gd name="adj1" fmla="val 60000"/>
            <a:gd name="adj2" fmla="val 50000"/>
          </a:avLst>
        </a:prstGeom>
        <a:solidFill>
          <a:srgbClr val="0CA8A1"/>
        </a:solidFill>
        <a:ln>
          <a:noFill/>
        </a:ln>
        <a:effectLst/>
      </dsp:spPr>
      <dsp:style>
        <a:lnRef idx="0">
          <a:scrgbClr r="0" g="0" b="0"/>
        </a:lnRef>
        <a:fillRef idx="1">
          <a:scrgbClr r="0" g="0" b="0"/>
        </a:fillRef>
        <a:effectRef idx="0">
          <a:scrgbClr r="0" g="0" b="0"/>
        </a:effectRef>
        <a:fontRef idx="minor">
          <a:schemeClr val="lt1"/>
        </a:fontRef>
      </dsp:style>
    </dsp:sp>
    <dsp:sp modelId="{BC4E601A-8E03-413B-8BE0-98B9CE0CE431}">
      <dsp:nvSpPr>
        <dsp:cNvPr id="0" name=""/>
        <dsp:cNvSpPr/>
      </dsp:nvSpPr>
      <dsp:spPr>
        <a:xfrm>
          <a:off x="2199641" y="420609"/>
          <a:ext cx="833963" cy="667170"/>
        </a:xfrm>
        <a:prstGeom prst="roundRect">
          <a:avLst>
            <a:gd name="adj" fmla="val 10000"/>
          </a:avLst>
        </a:prstGeom>
        <a:solidFill>
          <a:schemeClr val="lt1">
            <a:hueOff val="0"/>
            <a:satOff val="0"/>
            <a:lumOff val="0"/>
            <a:alphaOff val="0"/>
          </a:schemeClr>
        </a:solidFill>
        <a:ln w="19050" cap="flat" cmpd="sng" algn="ctr">
          <a:solidFill>
            <a:srgbClr val="0CA8A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222250">
            <a:lnSpc>
              <a:spcPct val="90000"/>
            </a:lnSpc>
            <a:spcBef>
              <a:spcPct val="0"/>
            </a:spcBef>
            <a:spcAft>
              <a:spcPct val="35000"/>
            </a:spcAft>
            <a:buFont typeface="Symbol" panose="05050102010706020507" pitchFamily="18" charset="2"/>
            <a:buNone/>
          </a:pPr>
          <a:r>
            <a:rPr lang="en-GB" sz="500" b="1" kern="1200"/>
            <a:t>Technological integration </a:t>
          </a:r>
          <a:r>
            <a:rPr lang="en-GB" sz="500" kern="1200"/>
            <a:t>supports early identification of health changes and promotes coordinated care (NICE, 2023; Age UK, 2025).</a:t>
          </a:r>
        </a:p>
      </dsp:txBody>
      <dsp:txXfrm>
        <a:off x="2219182" y="440150"/>
        <a:ext cx="794881" cy="628088"/>
      </dsp:txXfrm>
    </dsp:sp>
    <dsp:sp modelId="{6C9E5701-010B-45A4-990A-D8FB696CD446}">
      <dsp:nvSpPr>
        <dsp:cNvPr id="0" name=""/>
        <dsp:cNvSpPr/>
      </dsp:nvSpPr>
      <dsp:spPr>
        <a:xfrm rot="24861">
          <a:off x="2199977" y="1537242"/>
          <a:ext cx="794009" cy="250189"/>
        </a:xfrm>
        <a:prstGeom prst="leftArrow">
          <a:avLst>
            <a:gd name="adj1" fmla="val 60000"/>
            <a:gd name="adj2" fmla="val 50000"/>
          </a:avLst>
        </a:prstGeom>
        <a:solidFill>
          <a:srgbClr val="0CA8A1"/>
        </a:solidFill>
        <a:ln>
          <a:noFill/>
        </a:ln>
        <a:effectLst/>
      </dsp:spPr>
      <dsp:style>
        <a:lnRef idx="0">
          <a:scrgbClr r="0" g="0" b="0"/>
        </a:lnRef>
        <a:fillRef idx="1">
          <a:scrgbClr r="0" g="0" b="0"/>
        </a:fillRef>
        <a:effectRef idx="0">
          <a:scrgbClr r="0" g="0" b="0"/>
        </a:effectRef>
        <a:fontRef idx="minor">
          <a:schemeClr val="lt1"/>
        </a:fontRef>
      </dsp:style>
    </dsp:sp>
    <dsp:sp modelId="{B4BDD68E-9E76-4C68-A30F-398D708775C1}">
      <dsp:nvSpPr>
        <dsp:cNvPr id="0" name=""/>
        <dsp:cNvSpPr/>
      </dsp:nvSpPr>
      <dsp:spPr>
        <a:xfrm>
          <a:off x="2576995" y="1331622"/>
          <a:ext cx="833963" cy="667170"/>
        </a:xfrm>
        <a:prstGeom prst="roundRect">
          <a:avLst>
            <a:gd name="adj" fmla="val 10000"/>
          </a:avLst>
        </a:prstGeom>
        <a:solidFill>
          <a:schemeClr val="lt1">
            <a:hueOff val="0"/>
            <a:satOff val="0"/>
            <a:lumOff val="0"/>
            <a:alphaOff val="0"/>
          </a:schemeClr>
        </a:solidFill>
        <a:ln w="19050" cap="flat" cmpd="sng" algn="ctr">
          <a:solidFill>
            <a:srgbClr val="0CA8A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222250">
            <a:lnSpc>
              <a:spcPct val="90000"/>
            </a:lnSpc>
            <a:spcBef>
              <a:spcPct val="0"/>
            </a:spcBef>
            <a:spcAft>
              <a:spcPct val="35000"/>
            </a:spcAft>
            <a:buNone/>
          </a:pPr>
          <a:r>
            <a:rPr lang="en-GB" sz="500" kern="1200"/>
            <a:t>Focus on </a:t>
          </a:r>
          <a:r>
            <a:rPr lang="en-GB" sz="500" b="1" kern="1200"/>
            <a:t>social</a:t>
          </a:r>
          <a:r>
            <a:rPr lang="en-GB" sz="500" kern="1200"/>
            <a:t> and </a:t>
          </a:r>
          <a:r>
            <a:rPr lang="en-GB" sz="500" b="1" kern="1200"/>
            <a:t>emotional wellbeing </a:t>
          </a:r>
          <a:r>
            <a:rPr lang="en-GB" sz="500" kern="1200"/>
            <a:t>(Age UK, 2025; NICE, 2023). Engagement initiatives reduce isolation and maintain quality of life (NHS, 2025; Care Act, 2014).</a:t>
          </a:r>
        </a:p>
      </dsp:txBody>
      <dsp:txXfrm>
        <a:off x="2596536" y="1351163"/>
        <a:ext cx="794881" cy="628088"/>
      </dsp:txXfrm>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1192</Words>
  <Characters>8560</Characters>
  <Application>Microsoft Office Word</Application>
  <DocSecurity>0</DocSecurity>
  <Lines>150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Helena Joao (2515363)</dc:creator>
  <cp:keywords/>
  <dc:description/>
  <cp:lastModifiedBy>Miss Vemba</cp:lastModifiedBy>
  <cp:revision>3</cp:revision>
  <dcterms:created xsi:type="dcterms:W3CDTF">2026-02-23T07:50:00Z</dcterms:created>
  <dcterms:modified xsi:type="dcterms:W3CDTF">2026-02-23T07:51:00Z</dcterms:modified>
</cp:coreProperties>
</file>