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7AEC1" w14:textId="33D3097B" w:rsidR="00380876" w:rsidRDefault="00380876" w:rsidP="00A2290F">
      <w:pPr>
        <w:rPr>
          <w:rFonts w:ascii="Arial" w:hAnsi="Arial" w:cs="Arial"/>
          <w:sz w:val="56"/>
          <w:szCs w:val="56"/>
          <w:highlight w:val="lightGray"/>
        </w:rPr>
      </w:pPr>
      <w:r w:rsidRPr="00380876">
        <w:rPr>
          <w:rFonts w:ascii="Arial" w:hAnsi="Arial" w:cs="Arial"/>
          <w:sz w:val="56"/>
          <w:szCs w:val="56"/>
          <w:highlight w:val="lightGray"/>
          <w:lang w:val="en-US"/>
        </w:rPr>
        <w:t>Defamation</w:t>
      </w:r>
      <w:r>
        <w:rPr>
          <w:rFonts w:ascii="Arial" w:hAnsi="Arial" w:cs="Arial"/>
          <w:sz w:val="56"/>
          <w:szCs w:val="56"/>
          <w:highlight w:val="lightGray"/>
          <w:lang w:val="en-US"/>
        </w:rPr>
        <w:t xml:space="preserve">: </w:t>
      </w:r>
      <w:r w:rsidRPr="00380876">
        <w:rPr>
          <w:rFonts w:ascii="Arial" w:hAnsi="Arial" w:cs="Arial"/>
          <w:sz w:val="56"/>
          <w:szCs w:val="56"/>
          <w:highlight w:val="lightGray"/>
        </w:rPr>
        <w:t>BMLW4004</w:t>
      </w:r>
    </w:p>
    <w:p w14:paraId="421F8BE0" w14:textId="4F48B9D2" w:rsidR="00380876" w:rsidRPr="00380876" w:rsidRDefault="00380876" w:rsidP="00A2290F">
      <w:pPr>
        <w:rPr>
          <w:rFonts w:ascii="Arial" w:hAnsi="Arial" w:cs="Arial"/>
          <w:sz w:val="24"/>
          <w:szCs w:val="24"/>
          <w:lang w:val="en-US"/>
        </w:rPr>
      </w:pPr>
      <w:r w:rsidRPr="00380876">
        <w:rPr>
          <w:rFonts w:ascii="Arial" w:hAnsi="Arial" w:cs="Arial"/>
          <w:sz w:val="24"/>
          <w:szCs w:val="24"/>
        </w:rPr>
        <w:t xml:space="preserve">Assignment 2 – Public Law </w:t>
      </w:r>
    </w:p>
    <w:p w14:paraId="76E00913" w14:textId="77777777" w:rsidR="00735F38" w:rsidRPr="00735F38" w:rsidRDefault="00735F38" w:rsidP="00A2290F">
      <w:pPr>
        <w:rPr>
          <w:rFonts w:ascii="Arial" w:hAnsi="Arial" w:cs="Arial"/>
          <w:sz w:val="24"/>
          <w:szCs w:val="24"/>
        </w:rPr>
      </w:pPr>
    </w:p>
    <w:p w14:paraId="50A374CF" w14:textId="77777777" w:rsidR="006F2089" w:rsidRDefault="006F2089">
      <w:pPr>
        <w:rPr>
          <w:rFonts w:ascii="Arial" w:hAnsi="Arial" w:cs="Arial"/>
          <w:sz w:val="24"/>
          <w:szCs w:val="24"/>
        </w:rPr>
      </w:pPr>
    </w:p>
    <w:p w14:paraId="5F111BE5" w14:textId="77777777" w:rsidR="00375F1B" w:rsidRDefault="00375F1B">
      <w:pPr>
        <w:rPr>
          <w:rFonts w:ascii="Arial" w:hAnsi="Arial" w:cs="Arial"/>
          <w:color w:val="000000"/>
          <w:sz w:val="24"/>
          <w:szCs w:val="24"/>
          <w:shd w:val="clear" w:color="auto" w:fill="FFFFFF"/>
        </w:rPr>
      </w:pPr>
    </w:p>
    <w:p w14:paraId="6A50E424" w14:textId="77777777" w:rsidR="00375F1B" w:rsidRDefault="00375F1B">
      <w:pPr>
        <w:rPr>
          <w:rFonts w:ascii="Arial" w:hAnsi="Arial" w:cs="Arial"/>
          <w:color w:val="000000"/>
          <w:sz w:val="24"/>
          <w:szCs w:val="24"/>
          <w:shd w:val="clear" w:color="auto" w:fill="FFFFFF"/>
        </w:rPr>
      </w:pPr>
    </w:p>
    <w:p w14:paraId="74658CD5" w14:textId="77777777" w:rsidR="00375F1B" w:rsidRDefault="00375F1B">
      <w:pPr>
        <w:rPr>
          <w:rFonts w:ascii="Arial" w:hAnsi="Arial" w:cs="Arial"/>
          <w:color w:val="000000"/>
          <w:sz w:val="24"/>
          <w:szCs w:val="24"/>
          <w:shd w:val="clear" w:color="auto" w:fill="FFFFFF"/>
        </w:rPr>
      </w:pPr>
    </w:p>
    <w:p w14:paraId="74763BFF" w14:textId="77777777" w:rsidR="00375F1B" w:rsidRDefault="00375F1B">
      <w:pPr>
        <w:rPr>
          <w:rFonts w:ascii="Arial" w:hAnsi="Arial" w:cs="Arial"/>
          <w:color w:val="000000"/>
          <w:sz w:val="24"/>
          <w:szCs w:val="24"/>
          <w:shd w:val="clear" w:color="auto" w:fill="FFFFFF"/>
        </w:rPr>
      </w:pPr>
    </w:p>
    <w:p w14:paraId="52CAE1E8" w14:textId="77777777" w:rsidR="00375F1B" w:rsidRDefault="00375F1B">
      <w:pPr>
        <w:rPr>
          <w:rFonts w:ascii="Arial" w:hAnsi="Arial" w:cs="Arial"/>
          <w:color w:val="000000"/>
          <w:sz w:val="24"/>
          <w:szCs w:val="24"/>
          <w:shd w:val="clear" w:color="auto" w:fill="FFFFFF"/>
        </w:rPr>
      </w:pPr>
    </w:p>
    <w:p w14:paraId="38C01D53" w14:textId="77777777" w:rsidR="00375F1B" w:rsidRDefault="00375F1B">
      <w:pPr>
        <w:rPr>
          <w:rFonts w:ascii="Arial" w:hAnsi="Arial" w:cs="Arial"/>
          <w:color w:val="000000"/>
          <w:sz w:val="24"/>
          <w:szCs w:val="24"/>
          <w:shd w:val="clear" w:color="auto" w:fill="FFFFFF"/>
        </w:rPr>
      </w:pPr>
    </w:p>
    <w:p w14:paraId="3CF39AE0" w14:textId="77777777" w:rsidR="00375F1B" w:rsidRDefault="00375F1B">
      <w:pPr>
        <w:rPr>
          <w:rFonts w:ascii="Arial" w:hAnsi="Arial" w:cs="Arial"/>
          <w:color w:val="000000"/>
          <w:sz w:val="24"/>
          <w:szCs w:val="24"/>
          <w:shd w:val="clear" w:color="auto" w:fill="FFFFFF"/>
        </w:rPr>
      </w:pPr>
    </w:p>
    <w:p w14:paraId="77B02553" w14:textId="77777777" w:rsidR="00375F1B" w:rsidRDefault="00375F1B">
      <w:pPr>
        <w:rPr>
          <w:rFonts w:ascii="Arial" w:hAnsi="Arial" w:cs="Arial"/>
          <w:color w:val="000000"/>
          <w:sz w:val="24"/>
          <w:szCs w:val="24"/>
          <w:shd w:val="clear" w:color="auto" w:fill="FFFFFF"/>
        </w:rPr>
      </w:pPr>
    </w:p>
    <w:p w14:paraId="56CD51E1" w14:textId="77777777" w:rsidR="00375F1B" w:rsidRDefault="00375F1B">
      <w:pPr>
        <w:rPr>
          <w:rFonts w:ascii="Arial" w:hAnsi="Arial" w:cs="Arial"/>
          <w:color w:val="000000"/>
          <w:sz w:val="24"/>
          <w:szCs w:val="24"/>
          <w:shd w:val="clear" w:color="auto" w:fill="FFFFFF"/>
        </w:rPr>
      </w:pPr>
    </w:p>
    <w:p w14:paraId="0E7E71FC" w14:textId="77777777" w:rsidR="00375F1B" w:rsidRDefault="00375F1B">
      <w:pPr>
        <w:rPr>
          <w:rFonts w:ascii="Arial" w:hAnsi="Arial" w:cs="Arial"/>
          <w:color w:val="000000"/>
          <w:sz w:val="24"/>
          <w:szCs w:val="24"/>
          <w:shd w:val="clear" w:color="auto" w:fill="FFFFFF"/>
        </w:rPr>
      </w:pPr>
    </w:p>
    <w:p w14:paraId="061970D4" w14:textId="77777777" w:rsidR="00375F1B" w:rsidRDefault="00375F1B">
      <w:pPr>
        <w:rPr>
          <w:rFonts w:ascii="Arial" w:hAnsi="Arial" w:cs="Arial"/>
          <w:color w:val="000000"/>
          <w:sz w:val="24"/>
          <w:szCs w:val="24"/>
          <w:shd w:val="clear" w:color="auto" w:fill="FFFFFF"/>
        </w:rPr>
      </w:pPr>
    </w:p>
    <w:p w14:paraId="3316FA19" w14:textId="77777777" w:rsidR="00375F1B" w:rsidRDefault="00375F1B">
      <w:pPr>
        <w:rPr>
          <w:rFonts w:ascii="Arial" w:hAnsi="Arial" w:cs="Arial"/>
          <w:color w:val="000000"/>
          <w:sz w:val="24"/>
          <w:szCs w:val="24"/>
          <w:shd w:val="clear" w:color="auto" w:fill="FFFFFF"/>
        </w:rPr>
      </w:pPr>
    </w:p>
    <w:p w14:paraId="7D363601" w14:textId="77777777" w:rsidR="00375F1B" w:rsidRDefault="00375F1B">
      <w:pPr>
        <w:rPr>
          <w:rFonts w:ascii="Arial" w:hAnsi="Arial" w:cs="Arial"/>
          <w:color w:val="000000"/>
          <w:sz w:val="24"/>
          <w:szCs w:val="24"/>
          <w:shd w:val="clear" w:color="auto" w:fill="FFFFFF"/>
        </w:rPr>
      </w:pPr>
    </w:p>
    <w:p w14:paraId="7E7808F9" w14:textId="77777777" w:rsidR="00375F1B" w:rsidRDefault="00375F1B">
      <w:pPr>
        <w:rPr>
          <w:rFonts w:ascii="Arial" w:hAnsi="Arial" w:cs="Arial"/>
          <w:color w:val="000000"/>
          <w:sz w:val="24"/>
          <w:szCs w:val="24"/>
          <w:shd w:val="clear" w:color="auto" w:fill="FFFFFF"/>
        </w:rPr>
      </w:pPr>
    </w:p>
    <w:p w14:paraId="564E1EE5" w14:textId="77777777" w:rsidR="00375F1B" w:rsidRDefault="00375F1B">
      <w:pPr>
        <w:rPr>
          <w:rFonts w:ascii="Arial" w:hAnsi="Arial" w:cs="Arial"/>
          <w:color w:val="000000"/>
          <w:sz w:val="24"/>
          <w:szCs w:val="24"/>
          <w:shd w:val="clear" w:color="auto" w:fill="FFFFFF"/>
        </w:rPr>
      </w:pPr>
    </w:p>
    <w:p w14:paraId="515B200C" w14:textId="77777777" w:rsidR="00375F1B" w:rsidRDefault="00375F1B">
      <w:pPr>
        <w:rPr>
          <w:rFonts w:ascii="Arial" w:hAnsi="Arial" w:cs="Arial"/>
          <w:color w:val="000000"/>
          <w:sz w:val="24"/>
          <w:szCs w:val="24"/>
          <w:shd w:val="clear" w:color="auto" w:fill="FFFFFF"/>
        </w:rPr>
      </w:pPr>
    </w:p>
    <w:p w14:paraId="2253CE6B" w14:textId="77777777" w:rsidR="00375F1B" w:rsidRDefault="00375F1B">
      <w:pPr>
        <w:rPr>
          <w:rFonts w:ascii="Arial" w:hAnsi="Arial" w:cs="Arial"/>
          <w:color w:val="000000"/>
          <w:sz w:val="24"/>
          <w:szCs w:val="24"/>
          <w:shd w:val="clear" w:color="auto" w:fill="FFFFFF"/>
        </w:rPr>
      </w:pPr>
    </w:p>
    <w:p w14:paraId="400FB294" w14:textId="77777777" w:rsidR="00375F1B" w:rsidRDefault="00375F1B">
      <w:pPr>
        <w:rPr>
          <w:rFonts w:ascii="Arial" w:hAnsi="Arial" w:cs="Arial"/>
          <w:color w:val="000000"/>
          <w:sz w:val="24"/>
          <w:szCs w:val="24"/>
          <w:shd w:val="clear" w:color="auto" w:fill="FFFFFF"/>
        </w:rPr>
      </w:pPr>
    </w:p>
    <w:p w14:paraId="59FAC09C" w14:textId="77777777" w:rsidR="00375F1B" w:rsidRDefault="00375F1B">
      <w:pPr>
        <w:rPr>
          <w:rFonts w:ascii="Arial" w:hAnsi="Arial" w:cs="Arial"/>
          <w:color w:val="000000"/>
          <w:sz w:val="24"/>
          <w:szCs w:val="24"/>
          <w:shd w:val="clear" w:color="auto" w:fill="FFFFFF"/>
        </w:rPr>
      </w:pPr>
    </w:p>
    <w:p w14:paraId="5F664FAA" w14:textId="77777777" w:rsidR="00375F1B" w:rsidRDefault="00375F1B">
      <w:pPr>
        <w:rPr>
          <w:rFonts w:ascii="Arial" w:hAnsi="Arial" w:cs="Arial"/>
          <w:color w:val="000000"/>
          <w:sz w:val="24"/>
          <w:szCs w:val="24"/>
          <w:shd w:val="clear" w:color="auto" w:fill="FFFFFF"/>
        </w:rPr>
      </w:pPr>
    </w:p>
    <w:p w14:paraId="0950CA06" w14:textId="77777777" w:rsidR="00375F1B" w:rsidRDefault="00375F1B">
      <w:pPr>
        <w:rPr>
          <w:rFonts w:ascii="Arial" w:hAnsi="Arial" w:cs="Arial"/>
          <w:color w:val="000000"/>
          <w:sz w:val="24"/>
          <w:szCs w:val="24"/>
          <w:shd w:val="clear" w:color="auto" w:fill="FFFFFF"/>
        </w:rPr>
      </w:pPr>
    </w:p>
    <w:p w14:paraId="211D9988" w14:textId="77777777" w:rsidR="00375F1B" w:rsidRDefault="00375F1B">
      <w:pPr>
        <w:rPr>
          <w:rFonts w:ascii="Arial" w:hAnsi="Arial" w:cs="Arial"/>
          <w:color w:val="000000"/>
          <w:sz w:val="24"/>
          <w:szCs w:val="24"/>
          <w:shd w:val="clear" w:color="auto" w:fill="FFFFFF"/>
        </w:rPr>
      </w:pPr>
    </w:p>
    <w:p w14:paraId="61B60541" w14:textId="77777777" w:rsidR="00375F1B" w:rsidRDefault="00375F1B">
      <w:pPr>
        <w:rPr>
          <w:rFonts w:ascii="Arial" w:hAnsi="Arial" w:cs="Arial"/>
          <w:color w:val="000000"/>
          <w:sz w:val="24"/>
          <w:szCs w:val="24"/>
          <w:shd w:val="clear" w:color="auto" w:fill="FFFFFF"/>
        </w:rPr>
      </w:pPr>
    </w:p>
    <w:p w14:paraId="21E7B559" w14:textId="77777777" w:rsidR="00375F1B" w:rsidRDefault="00375F1B">
      <w:pPr>
        <w:rPr>
          <w:rFonts w:ascii="Arial" w:hAnsi="Arial" w:cs="Arial"/>
          <w:color w:val="000000"/>
          <w:sz w:val="24"/>
          <w:szCs w:val="24"/>
          <w:shd w:val="clear" w:color="auto" w:fill="FFFFFF"/>
        </w:rPr>
      </w:pPr>
    </w:p>
    <w:p w14:paraId="0F119002" w14:textId="77777777" w:rsidR="00375F1B" w:rsidRDefault="00375F1B">
      <w:pPr>
        <w:rPr>
          <w:rFonts w:ascii="Arial" w:hAnsi="Arial" w:cs="Arial"/>
          <w:color w:val="000000"/>
          <w:sz w:val="24"/>
          <w:szCs w:val="24"/>
          <w:shd w:val="clear" w:color="auto" w:fill="FFFFFF"/>
        </w:rPr>
      </w:pPr>
    </w:p>
    <w:p w14:paraId="1926E9B8" w14:textId="77777777" w:rsidR="00375F1B" w:rsidRDefault="00375F1B">
      <w:pPr>
        <w:rPr>
          <w:rFonts w:ascii="Arial" w:hAnsi="Arial" w:cs="Arial"/>
          <w:color w:val="000000"/>
          <w:sz w:val="24"/>
          <w:szCs w:val="24"/>
          <w:shd w:val="clear" w:color="auto" w:fill="FFFFFF"/>
        </w:rPr>
      </w:pPr>
    </w:p>
    <w:p w14:paraId="47485114" w14:textId="77777777" w:rsidR="00375F1B" w:rsidRDefault="00375F1B">
      <w:pPr>
        <w:rPr>
          <w:rFonts w:ascii="Arial" w:hAnsi="Arial" w:cs="Arial"/>
          <w:color w:val="000000"/>
          <w:sz w:val="24"/>
          <w:szCs w:val="24"/>
          <w:shd w:val="clear" w:color="auto" w:fill="FFFFFF"/>
        </w:rPr>
      </w:pPr>
    </w:p>
    <w:p w14:paraId="0830D41F" w14:textId="67F2B5A3" w:rsidR="005B37C3" w:rsidRDefault="00303650">
      <w:pPr>
        <w:rPr>
          <w:rFonts w:ascii="Arial" w:hAnsi="Arial" w:cs="Arial"/>
          <w:color w:val="000000"/>
          <w:sz w:val="24"/>
          <w:szCs w:val="24"/>
          <w:shd w:val="clear" w:color="auto" w:fill="FFFFFF"/>
        </w:rPr>
      </w:pPr>
      <w:r w:rsidRPr="00303650">
        <w:rPr>
          <w:rFonts w:ascii="Arial" w:hAnsi="Arial" w:cs="Arial"/>
          <w:color w:val="000000"/>
          <w:sz w:val="24"/>
          <w:szCs w:val="24"/>
          <w:shd w:val="clear" w:color="auto" w:fill="FFFFFF"/>
        </w:rPr>
        <w:t xml:space="preserve">A person's reputation is protected by defamation. Public statements that damage a person (or, controversially, a company) can be prevented from being published, or damage claims may be made against statements that are likely to lower their reputation. </w:t>
      </w:r>
      <w:r w:rsidR="007C1369">
        <w:rPr>
          <w:rFonts w:ascii="Arial" w:hAnsi="Arial" w:cs="Arial"/>
          <w:color w:val="000000"/>
          <w:sz w:val="24"/>
          <w:szCs w:val="24"/>
          <w:shd w:val="clear" w:color="auto" w:fill="FFFFFF"/>
        </w:rPr>
        <w:t xml:space="preserve">Wilson (2014). </w:t>
      </w:r>
      <w:r w:rsidRPr="00303650">
        <w:rPr>
          <w:rFonts w:ascii="Arial" w:hAnsi="Arial" w:cs="Arial"/>
          <w:color w:val="000000"/>
          <w:sz w:val="24"/>
          <w:szCs w:val="24"/>
          <w:shd w:val="clear" w:color="auto" w:fill="FFFFFF"/>
        </w:rPr>
        <w:t xml:space="preserve">The law strikes a balance between freedom of speech (protected by both the EU Human Rights Convention and the Human Rights Act of 1998) and an individual's interests in maintaining their reputation. The Defamation Act 2013 codifies and changes much of the common law regarding defamation </w:t>
      </w:r>
      <w:r w:rsidR="006D54D8">
        <w:rPr>
          <w:rFonts w:ascii="Arial" w:hAnsi="Arial" w:cs="Arial"/>
          <w:color w:val="000000"/>
          <w:sz w:val="24"/>
          <w:szCs w:val="24"/>
          <w:shd w:val="clear" w:color="auto" w:fill="FFFFFF"/>
        </w:rPr>
        <w:t>to</w:t>
      </w:r>
      <w:r w:rsidRPr="00303650">
        <w:rPr>
          <w:rFonts w:ascii="Arial" w:hAnsi="Arial" w:cs="Arial"/>
          <w:color w:val="000000"/>
          <w:sz w:val="24"/>
          <w:szCs w:val="24"/>
          <w:shd w:val="clear" w:color="auto" w:fill="FFFFFF"/>
        </w:rPr>
        <w:t xml:space="preserve"> rebalance the law. </w:t>
      </w:r>
      <w:r w:rsidR="00BD36B3">
        <w:rPr>
          <w:rFonts w:ascii="Arial" w:hAnsi="Arial" w:cs="Arial"/>
          <w:color w:val="000000"/>
          <w:sz w:val="24"/>
          <w:szCs w:val="24"/>
          <w:shd w:val="clear" w:color="auto" w:fill="FFFFFF"/>
        </w:rPr>
        <w:t>Gil</w:t>
      </w:r>
      <w:r w:rsidR="002D477F">
        <w:rPr>
          <w:rFonts w:ascii="Arial" w:hAnsi="Arial" w:cs="Arial"/>
          <w:color w:val="000000"/>
          <w:sz w:val="24"/>
          <w:szCs w:val="24"/>
          <w:shd w:val="clear" w:color="auto" w:fill="FFFFFF"/>
        </w:rPr>
        <w:t xml:space="preserve">iker (2014). </w:t>
      </w:r>
    </w:p>
    <w:p w14:paraId="58A1CFD1" w14:textId="77777777" w:rsidR="009B785A" w:rsidRDefault="009B785A">
      <w:pPr>
        <w:rPr>
          <w:rFonts w:ascii="Arial" w:hAnsi="Arial" w:cs="Arial"/>
          <w:color w:val="000000"/>
          <w:sz w:val="24"/>
          <w:szCs w:val="24"/>
          <w:shd w:val="clear" w:color="auto" w:fill="FFFFFF"/>
        </w:rPr>
      </w:pPr>
    </w:p>
    <w:p w14:paraId="04BC0E2A" w14:textId="77777777" w:rsidR="00B92D85" w:rsidRDefault="00B92D85">
      <w:pPr>
        <w:rPr>
          <w:rFonts w:ascii="Arial" w:hAnsi="Arial" w:cs="Arial"/>
          <w:color w:val="000000"/>
          <w:sz w:val="24"/>
          <w:szCs w:val="24"/>
          <w:shd w:val="clear" w:color="auto" w:fill="FFFFFF"/>
        </w:rPr>
      </w:pPr>
    </w:p>
    <w:p w14:paraId="40815BD6" w14:textId="0D7CFA2F" w:rsidR="00B92D85" w:rsidRDefault="00025F59">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According to the </w:t>
      </w:r>
      <w:r w:rsidR="00C11855">
        <w:rPr>
          <w:rFonts w:ascii="Arial" w:hAnsi="Arial" w:cs="Arial"/>
          <w:color w:val="000000"/>
          <w:sz w:val="24"/>
          <w:szCs w:val="24"/>
          <w:shd w:val="clear" w:color="auto" w:fill="FFFFFF"/>
        </w:rPr>
        <w:t xml:space="preserve">Defamation Act 2013, </w:t>
      </w:r>
      <w:r w:rsidR="00E62C5E">
        <w:rPr>
          <w:rFonts w:ascii="Arial" w:hAnsi="Arial" w:cs="Arial"/>
          <w:color w:val="000000"/>
          <w:sz w:val="24"/>
          <w:szCs w:val="24"/>
          <w:shd w:val="clear" w:color="auto" w:fill="FFFFFF"/>
        </w:rPr>
        <w:t>Ffion is</w:t>
      </w:r>
      <w:r w:rsidR="00DD1588">
        <w:rPr>
          <w:rFonts w:ascii="Arial" w:hAnsi="Arial" w:cs="Arial"/>
          <w:color w:val="000000"/>
          <w:sz w:val="24"/>
          <w:szCs w:val="24"/>
          <w:shd w:val="clear" w:color="auto" w:fill="FFFFFF"/>
        </w:rPr>
        <w:t xml:space="preserve"> </w:t>
      </w:r>
      <w:r w:rsidR="00082AEF">
        <w:rPr>
          <w:rFonts w:ascii="Arial" w:hAnsi="Arial" w:cs="Arial"/>
          <w:color w:val="000000"/>
          <w:sz w:val="24"/>
          <w:szCs w:val="24"/>
          <w:shd w:val="clear" w:color="auto" w:fill="FFFFFF"/>
        </w:rPr>
        <w:t>entitled to</w:t>
      </w:r>
      <w:r w:rsidR="00DD1588">
        <w:rPr>
          <w:rFonts w:ascii="Arial" w:hAnsi="Arial" w:cs="Arial"/>
          <w:color w:val="000000"/>
          <w:sz w:val="24"/>
          <w:szCs w:val="24"/>
          <w:shd w:val="clear" w:color="auto" w:fill="FFFFFF"/>
        </w:rPr>
        <w:t xml:space="preserve"> </w:t>
      </w:r>
      <w:r w:rsidR="00DB1561">
        <w:rPr>
          <w:rFonts w:ascii="Arial" w:hAnsi="Arial" w:cs="Arial"/>
          <w:color w:val="000000"/>
          <w:sz w:val="24"/>
          <w:szCs w:val="24"/>
          <w:shd w:val="clear" w:color="auto" w:fill="FFFFFF"/>
        </w:rPr>
        <w:t xml:space="preserve">a </w:t>
      </w:r>
      <w:r w:rsidR="00DD1588">
        <w:rPr>
          <w:rFonts w:ascii="Arial" w:hAnsi="Arial" w:cs="Arial"/>
          <w:color w:val="000000"/>
          <w:sz w:val="24"/>
          <w:szCs w:val="24"/>
          <w:shd w:val="clear" w:color="auto" w:fill="FFFFFF"/>
        </w:rPr>
        <w:t xml:space="preserve">defamation </w:t>
      </w:r>
      <w:r w:rsidR="00DB1561">
        <w:rPr>
          <w:rFonts w:ascii="Arial" w:hAnsi="Arial" w:cs="Arial"/>
          <w:color w:val="000000"/>
          <w:sz w:val="24"/>
          <w:szCs w:val="24"/>
          <w:shd w:val="clear" w:color="auto" w:fill="FFFFFF"/>
        </w:rPr>
        <w:t xml:space="preserve">claim </w:t>
      </w:r>
      <w:r w:rsidR="00DB1561" w:rsidRPr="00D07E38">
        <w:rPr>
          <w:rFonts w:ascii="Arial" w:hAnsi="Arial" w:cs="Arial"/>
          <w:color w:val="000000"/>
          <w:sz w:val="24"/>
          <w:szCs w:val="24"/>
          <w:shd w:val="clear" w:color="auto" w:fill="FFFFFF"/>
        </w:rPr>
        <w:t xml:space="preserve">due to </w:t>
      </w:r>
      <w:r w:rsidR="00360E36" w:rsidRPr="00D07E38">
        <w:rPr>
          <w:rFonts w:ascii="Arial" w:hAnsi="Arial" w:cs="Arial"/>
          <w:color w:val="000000"/>
          <w:sz w:val="24"/>
          <w:szCs w:val="24"/>
          <w:shd w:val="clear" w:color="auto" w:fill="FFFFFF"/>
        </w:rPr>
        <w:t xml:space="preserve">the requirement of </w:t>
      </w:r>
      <w:bookmarkStart w:id="0" w:name="_Hlk99440707"/>
      <w:r w:rsidR="00360E36" w:rsidRPr="00D07E38">
        <w:rPr>
          <w:rFonts w:ascii="Arial" w:hAnsi="Arial" w:cs="Arial"/>
          <w:color w:val="000000"/>
          <w:sz w:val="24"/>
          <w:szCs w:val="24"/>
          <w:shd w:val="clear" w:color="auto" w:fill="FFFFFF"/>
        </w:rPr>
        <w:t xml:space="preserve">serious harm </w:t>
      </w:r>
      <w:r w:rsidR="00EB2BB8" w:rsidRPr="00D07E38">
        <w:rPr>
          <w:rFonts w:ascii="Arial" w:hAnsi="Arial" w:cs="Arial"/>
          <w:color w:val="000000"/>
          <w:sz w:val="24"/>
          <w:szCs w:val="24"/>
          <w:shd w:val="clear" w:color="auto" w:fill="FFFFFF"/>
        </w:rPr>
        <w:t xml:space="preserve">prevailing elements </w:t>
      </w:r>
      <w:r w:rsidR="00360E36" w:rsidRPr="00D07E38">
        <w:rPr>
          <w:rFonts w:ascii="Arial" w:hAnsi="Arial" w:cs="Arial"/>
          <w:color w:val="000000"/>
          <w:sz w:val="24"/>
          <w:szCs w:val="24"/>
          <w:shd w:val="clear" w:color="auto" w:fill="FFFFFF"/>
        </w:rPr>
        <w:t>jeopardising her business</w:t>
      </w:r>
      <w:r w:rsidR="0056078F" w:rsidRPr="00D07E38">
        <w:rPr>
          <w:rFonts w:ascii="Arial" w:hAnsi="Arial" w:cs="Arial"/>
          <w:color w:val="000000"/>
          <w:sz w:val="24"/>
          <w:szCs w:val="24"/>
          <w:shd w:val="clear" w:color="auto" w:fill="FFFFFF"/>
        </w:rPr>
        <w:t xml:space="preserve"> and reputation. </w:t>
      </w:r>
      <w:r w:rsidR="006D69AA" w:rsidRPr="00D07E38">
        <w:rPr>
          <w:rFonts w:ascii="Arial" w:hAnsi="Arial" w:cs="Arial"/>
          <w:color w:val="000000"/>
          <w:sz w:val="24"/>
          <w:szCs w:val="24"/>
          <w:shd w:val="clear" w:color="auto" w:fill="FFFFFF"/>
        </w:rPr>
        <w:t xml:space="preserve">Section 1 </w:t>
      </w:r>
      <w:r w:rsidR="00895C72">
        <w:rPr>
          <w:rFonts w:ascii="Arial" w:hAnsi="Arial" w:cs="Arial"/>
          <w:color w:val="000000"/>
          <w:sz w:val="24"/>
          <w:szCs w:val="24"/>
          <w:shd w:val="clear" w:color="auto" w:fill="FFFFFF"/>
        </w:rPr>
        <w:t xml:space="preserve">(1) </w:t>
      </w:r>
      <w:r w:rsidR="006120B1" w:rsidRPr="00D07E38">
        <w:rPr>
          <w:rFonts w:ascii="Arial" w:hAnsi="Arial" w:cs="Arial"/>
          <w:color w:val="000000"/>
          <w:sz w:val="24"/>
          <w:szCs w:val="24"/>
          <w:shd w:val="clear" w:color="auto" w:fill="FFFFFF"/>
        </w:rPr>
        <w:t xml:space="preserve">of the Defamation Act 2013 highlights </w:t>
      </w:r>
      <w:r w:rsidR="000B288F">
        <w:rPr>
          <w:rFonts w:ascii="Arial" w:hAnsi="Arial" w:cs="Arial"/>
          <w:color w:val="000000"/>
          <w:sz w:val="24"/>
          <w:szCs w:val="24"/>
          <w:shd w:val="clear" w:color="auto" w:fill="FFFFFF"/>
        </w:rPr>
        <w:t xml:space="preserve">that </w:t>
      </w:r>
      <w:r w:rsidR="0073505A">
        <w:rPr>
          <w:rFonts w:ascii="Arial" w:hAnsi="Arial" w:cs="Arial"/>
          <w:color w:val="000000"/>
          <w:sz w:val="24"/>
          <w:szCs w:val="24"/>
          <w:shd w:val="clear" w:color="auto" w:fill="FFFFFF"/>
        </w:rPr>
        <w:t>those defamatory statements</w:t>
      </w:r>
      <w:r w:rsidR="00A708BB" w:rsidRPr="00D07E38">
        <w:rPr>
          <w:rFonts w:ascii="Arial" w:hAnsi="Arial" w:cs="Arial"/>
          <w:color w:val="000000"/>
          <w:sz w:val="24"/>
          <w:szCs w:val="24"/>
          <w:shd w:val="clear" w:color="auto" w:fill="FFFFFF"/>
        </w:rPr>
        <w:t xml:space="preserve"> must cause or have the potential to cause severe damage to the reputation of the claimant. </w:t>
      </w:r>
      <w:r w:rsidR="0073505A">
        <w:rPr>
          <w:rFonts w:ascii="Arial" w:hAnsi="Arial" w:cs="Arial"/>
          <w:color w:val="000000"/>
          <w:sz w:val="24"/>
          <w:szCs w:val="24"/>
          <w:shd w:val="clear" w:color="auto" w:fill="FFFFFF"/>
        </w:rPr>
        <w:t>Under subsection (2), u</w:t>
      </w:r>
      <w:r w:rsidR="00A708BB" w:rsidRPr="00D07E38">
        <w:rPr>
          <w:rFonts w:ascii="Arial" w:hAnsi="Arial" w:cs="Arial"/>
          <w:color w:val="000000"/>
          <w:sz w:val="24"/>
          <w:szCs w:val="24"/>
          <w:shd w:val="clear" w:color="auto" w:fill="FFFFFF"/>
        </w:rPr>
        <w:t>nless the damage is caused or is likely to cause serious financial damage to the body, damage to a reputation of a body that trades for profit does not qualify as "serious harm" under this section.</w:t>
      </w:r>
      <w:r w:rsidR="00881701">
        <w:rPr>
          <w:rFonts w:ascii="Arial" w:hAnsi="Arial" w:cs="Arial"/>
          <w:color w:val="000000"/>
          <w:sz w:val="24"/>
          <w:szCs w:val="24"/>
          <w:shd w:val="clear" w:color="auto" w:fill="FFFFFF"/>
        </w:rPr>
        <w:t xml:space="preserve"> </w:t>
      </w:r>
      <w:r w:rsidR="00FF7E6C">
        <w:rPr>
          <w:rFonts w:ascii="Arial" w:hAnsi="Arial" w:cs="Arial"/>
          <w:color w:val="000000"/>
          <w:sz w:val="24"/>
          <w:szCs w:val="24"/>
          <w:shd w:val="clear" w:color="auto" w:fill="FFFFFF"/>
        </w:rPr>
        <w:t xml:space="preserve">For the claimant to succeed in a defamation claim, it must be proven that the statement is defamatory, the content must refer to her, it has to have been published and the potential defences must be considered. </w:t>
      </w:r>
    </w:p>
    <w:p w14:paraId="7B78670E" w14:textId="77777777" w:rsidR="009B785A" w:rsidRDefault="009B785A">
      <w:pPr>
        <w:rPr>
          <w:rFonts w:ascii="Arial" w:hAnsi="Arial" w:cs="Arial"/>
          <w:color w:val="000000"/>
          <w:sz w:val="24"/>
          <w:szCs w:val="24"/>
          <w:shd w:val="clear" w:color="auto" w:fill="FFFFFF"/>
        </w:rPr>
      </w:pPr>
    </w:p>
    <w:bookmarkEnd w:id="0"/>
    <w:p w14:paraId="38C7ED1C" w14:textId="68E00BAF" w:rsidR="00FF11C5" w:rsidRDefault="00FF11C5">
      <w:pPr>
        <w:rPr>
          <w:rFonts w:ascii="Arial" w:hAnsi="Arial" w:cs="Arial"/>
          <w:color w:val="000000"/>
          <w:sz w:val="24"/>
          <w:szCs w:val="24"/>
          <w:shd w:val="clear" w:color="auto" w:fill="FFFFFF"/>
        </w:rPr>
      </w:pPr>
    </w:p>
    <w:p w14:paraId="762D2179" w14:textId="799949A4" w:rsidR="00FF11C5" w:rsidRDefault="00FF11C5" w:rsidP="006D54D8">
      <w:pPr>
        <w:spacing w:line="240" w:lineRule="auto"/>
        <w:rPr>
          <w:rFonts w:ascii="Arial" w:hAnsi="Arial" w:cs="Arial"/>
          <w:sz w:val="24"/>
          <w:szCs w:val="24"/>
          <w:shd w:val="clear" w:color="auto" w:fill="FFFFFF"/>
        </w:rPr>
      </w:pPr>
      <w:bookmarkStart w:id="1" w:name="_Hlk99440730"/>
      <w:r w:rsidRPr="006D54D8">
        <w:rPr>
          <w:rFonts w:ascii="Arial" w:hAnsi="Arial" w:cs="Arial"/>
          <w:sz w:val="24"/>
          <w:szCs w:val="24"/>
          <w:shd w:val="clear" w:color="auto" w:fill="FFFFFF"/>
        </w:rPr>
        <w:t xml:space="preserve">The type of defamation comes under libel </w:t>
      </w:r>
      <w:r w:rsidR="006D54D8" w:rsidRPr="006D54D8">
        <w:rPr>
          <w:rFonts w:ascii="Arial" w:hAnsi="Arial" w:cs="Arial"/>
          <w:sz w:val="24"/>
          <w:szCs w:val="24"/>
          <w:shd w:val="clear" w:color="auto" w:fill="FFFFFF"/>
        </w:rPr>
        <w:t xml:space="preserve">which </w:t>
      </w:r>
      <w:r w:rsidR="00B516C7">
        <w:rPr>
          <w:rFonts w:ascii="Arial" w:hAnsi="Arial" w:cs="Arial"/>
          <w:sz w:val="24"/>
          <w:szCs w:val="24"/>
          <w:shd w:val="clear" w:color="auto" w:fill="FFFFFF"/>
        </w:rPr>
        <w:t xml:space="preserve">means </w:t>
      </w:r>
      <w:r w:rsidR="006D54D8" w:rsidRPr="006D54D8">
        <w:rPr>
          <w:rFonts w:ascii="Arial" w:hAnsi="Arial" w:cs="Arial"/>
          <w:sz w:val="24"/>
          <w:szCs w:val="24"/>
          <w:shd w:val="clear" w:color="auto" w:fill="FFFFFF"/>
        </w:rPr>
        <w:t xml:space="preserve">defamation is </w:t>
      </w:r>
      <w:r w:rsidR="006D54D8">
        <w:rPr>
          <w:rFonts w:ascii="Arial" w:hAnsi="Arial" w:cs="Arial"/>
          <w:sz w:val="24"/>
          <w:szCs w:val="24"/>
          <w:shd w:val="clear" w:color="auto" w:fill="FFFFFF"/>
        </w:rPr>
        <w:t>permanent</w:t>
      </w:r>
      <w:r w:rsidR="006D54D8" w:rsidRPr="006D54D8">
        <w:rPr>
          <w:rFonts w:ascii="Arial" w:hAnsi="Arial" w:cs="Arial"/>
          <w:sz w:val="24"/>
          <w:szCs w:val="24"/>
          <w:shd w:val="clear" w:color="auto" w:fill="FFFFFF"/>
        </w:rPr>
        <w:t xml:space="preserve">, for example, something published, or something </w:t>
      </w:r>
      <w:r w:rsidR="00375F1B">
        <w:rPr>
          <w:rFonts w:ascii="Arial" w:hAnsi="Arial" w:cs="Arial"/>
          <w:sz w:val="24"/>
          <w:szCs w:val="24"/>
          <w:shd w:val="clear" w:color="auto" w:fill="FFFFFF"/>
        </w:rPr>
        <w:t>is written</w:t>
      </w:r>
      <w:r w:rsidR="006D54D8" w:rsidRPr="006D54D8">
        <w:rPr>
          <w:rFonts w:ascii="Arial" w:hAnsi="Arial" w:cs="Arial"/>
          <w:sz w:val="24"/>
          <w:szCs w:val="24"/>
          <w:shd w:val="clear" w:color="auto" w:fill="FFFFFF"/>
        </w:rPr>
        <w:t>.</w:t>
      </w:r>
      <w:bookmarkEnd w:id="1"/>
      <w:r w:rsidR="006D54D8" w:rsidRPr="006D54D8">
        <w:rPr>
          <w:rFonts w:ascii="Corbel" w:hAnsi="Corbel"/>
          <w:sz w:val="24"/>
          <w:szCs w:val="24"/>
          <w:shd w:val="clear" w:color="auto" w:fill="FFFFFF"/>
        </w:rPr>
        <w:t> </w:t>
      </w:r>
      <w:r w:rsidR="006D54D8">
        <w:rPr>
          <w:rFonts w:ascii="Arial" w:hAnsi="Arial" w:cs="Arial"/>
          <w:sz w:val="24"/>
          <w:szCs w:val="24"/>
          <w:shd w:val="clear" w:color="auto" w:fill="FFFFFF"/>
        </w:rPr>
        <w:t>Iuan published a</w:t>
      </w:r>
      <w:r w:rsidR="002809E9">
        <w:rPr>
          <w:rFonts w:ascii="Arial" w:hAnsi="Arial" w:cs="Arial"/>
          <w:sz w:val="24"/>
          <w:szCs w:val="24"/>
          <w:shd w:val="clear" w:color="auto" w:fill="FFFFFF"/>
        </w:rPr>
        <w:t xml:space="preserve">n article using </w:t>
      </w:r>
      <w:r w:rsidR="008673AD">
        <w:rPr>
          <w:rFonts w:ascii="Arial" w:hAnsi="Arial" w:cs="Arial"/>
          <w:sz w:val="24"/>
          <w:szCs w:val="24"/>
          <w:shd w:val="clear" w:color="auto" w:fill="FFFFFF"/>
        </w:rPr>
        <w:t xml:space="preserve">defamatory statements </w:t>
      </w:r>
      <w:bookmarkStart w:id="2" w:name="_Hlk99440766"/>
      <w:r w:rsidR="00320B54">
        <w:rPr>
          <w:rFonts w:ascii="Arial" w:hAnsi="Arial" w:cs="Arial"/>
          <w:sz w:val="24"/>
          <w:szCs w:val="24"/>
          <w:shd w:val="clear" w:color="auto" w:fill="FFFFFF"/>
        </w:rPr>
        <w:t xml:space="preserve">referring to the claimant </w:t>
      </w:r>
      <w:r w:rsidR="00E25951">
        <w:rPr>
          <w:rFonts w:ascii="Arial" w:hAnsi="Arial" w:cs="Arial"/>
          <w:sz w:val="24"/>
          <w:szCs w:val="24"/>
          <w:shd w:val="clear" w:color="auto" w:fill="FFFFFF"/>
        </w:rPr>
        <w:t>(</w:t>
      </w:r>
      <w:r w:rsidR="00B516C7">
        <w:rPr>
          <w:rFonts w:ascii="Arial" w:hAnsi="Arial" w:cs="Arial"/>
          <w:sz w:val="24"/>
          <w:szCs w:val="24"/>
          <w:shd w:val="clear" w:color="auto" w:fill="FFFFFF"/>
        </w:rPr>
        <w:t>“Ffion the con</w:t>
      </w:r>
      <w:r w:rsidR="00E25951">
        <w:rPr>
          <w:rFonts w:ascii="Arial" w:hAnsi="Arial" w:cs="Arial"/>
          <w:sz w:val="24"/>
          <w:szCs w:val="24"/>
          <w:shd w:val="clear" w:color="auto" w:fill="FFFFFF"/>
        </w:rPr>
        <w:t xml:space="preserve">”), </w:t>
      </w:r>
      <w:r w:rsidR="002809E9">
        <w:rPr>
          <w:rFonts w:ascii="Arial" w:hAnsi="Arial" w:cs="Arial"/>
          <w:sz w:val="24"/>
          <w:szCs w:val="24"/>
          <w:shd w:val="clear" w:color="auto" w:fill="FFFFFF"/>
        </w:rPr>
        <w:t xml:space="preserve">which </w:t>
      </w:r>
      <w:r w:rsidR="000B288F">
        <w:rPr>
          <w:rFonts w:ascii="Arial" w:hAnsi="Arial" w:cs="Arial"/>
          <w:sz w:val="24"/>
          <w:szCs w:val="24"/>
          <w:shd w:val="clear" w:color="auto" w:fill="FFFFFF"/>
        </w:rPr>
        <w:t>is likely to</w:t>
      </w:r>
      <w:r w:rsidR="002809E9">
        <w:rPr>
          <w:rFonts w:ascii="Arial" w:hAnsi="Arial" w:cs="Arial"/>
          <w:sz w:val="24"/>
          <w:szCs w:val="24"/>
          <w:shd w:val="clear" w:color="auto" w:fill="FFFFFF"/>
        </w:rPr>
        <w:t xml:space="preserve"> cause </w:t>
      </w:r>
      <w:r w:rsidR="00B516C7">
        <w:rPr>
          <w:rFonts w:ascii="Arial" w:hAnsi="Arial" w:cs="Arial"/>
          <w:sz w:val="24"/>
          <w:szCs w:val="24"/>
          <w:shd w:val="clear" w:color="auto" w:fill="FFFFFF"/>
        </w:rPr>
        <w:t xml:space="preserve">harm to </w:t>
      </w:r>
      <w:r w:rsidR="00320B54">
        <w:rPr>
          <w:rFonts w:ascii="Arial" w:hAnsi="Arial" w:cs="Arial"/>
          <w:sz w:val="24"/>
          <w:szCs w:val="24"/>
          <w:shd w:val="clear" w:color="auto" w:fill="FFFFFF"/>
        </w:rPr>
        <w:t xml:space="preserve">the claimant’s </w:t>
      </w:r>
      <w:r w:rsidR="00B516C7">
        <w:rPr>
          <w:rFonts w:ascii="Arial" w:hAnsi="Arial" w:cs="Arial"/>
          <w:sz w:val="24"/>
          <w:szCs w:val="24"/>
          <w:shd w:val="clear" w:color="auto" w:fill="FFFFFF"/>
        </w:rPr>
        <w:t xml:space="preserve">business, ultimately harming the claimant’s reputation and </w:t>
      </w:r>
      <w:r w:rsidR="000B288F">
        <w:rPr>
          <w:rFonts w:ascii="Arial" w:hAnsi="Arial" w:cs="Arial"/>
          <w:sz w:val="24"/>
          <w:szCs w:val="24"/>
          <w:shd w:val="clear" w:color="auto" w:fill="FFFFFF"/>
        </w:rPr>
        <w:t xml:space="preserve">causing </w:t>
      </w:r>
      <w:r w:rsidR="00145418">
        <w:rPr>
          <w:rFonts w:ascii="Arial" w:hAnsi="Arial" w:cs="Arial"/>
          <w:sz w:val="24"/>
          <w:szCs w:val="24"/>
          <w:shd w:val="clear" w:color="auto" w:fill="FFFFFF"/>
        </w:rPr>
        <w:t>a</w:t>
      </w:r>
      <w:r w:rsidR="00B516C7">
        <w:rPr>
          <w:rFonts w:ascii="Arial" w:hAnsi="Arial" w:cs="Arial"/>
          <w:sz w:val="24"/>
          <w:szCs w:val="24"/>
          <w:shd w:val="clear" w:color="auto" w:fill="FFFFFF"/>
        </w:rPr>
        <w:t xml:space="preserve"> substantial loss of money. </w:t>
      </w:r>
      <w:r w:rsidR="00F3758C">
        <w:rPr>
          <w:rFonts w:ascii="Arial" w:hAnsi="Arial" w:cs="Arial"/>
          <w:sz w:val="24"/>
          <w:szCs w:val="24"/>
          <w:shd w:val="clear" w:color="auto" w:fill="FFFFFF"/>
        </w:rPr>
        <w:t xml:space="preserve">To demonstrate proof of a financial loss, the claimant must </w:t>
      </w:r>
      <w:r w:rsidR="00E25951">
        <w:rPr>
          <w:rFonts w:ascii="Arial" w:hAnsi="Arial" w:cs="Arial"/>
          <w:sz w:val="24"/>
          <w:szCs w:val="24"/>
          <w:shd w:val="clear" w:color="auto" w:fill="FFFFFF"/>
        </w:rPr>
        <w:t xml:space="preserve">show the result of financial loss caused by </w:t>
      </w:r>
      <w:bookmarkEnd w:id="2"/>
      <w:r w:rsidR="00E25951">
        <w:rPr>
          <w:rFonts w:ascii="Arial" w:hAnsi="Arial" w:cs="Arial"/>
          <w:sz w:val="24"/>
          <w:szCs w:val="24"/>
          <w:shd w:val="clear" w:color="auto" w:fill="FFFFFF"/>
        </w:rPr>
        <w:t>the Welsh News Online publishing damaging statements</w:t>
      </w:r>
      <w:r w:rsidR="00E30CB0">
        <w:rPr>
          <w:rFonts w:ascii="Arial" w:hAnsi="Arial" w:cs="Arial"/>
          <w:sz w:val="24"/>
          <w:szCs w:val="24"/>
          <w:shd w:val="clear" w:color="auto" w:fill="FFFFFF"/>
        </w:rPr>
        <w:t xml:space="preserve">. </w:t>
      </w:r>
      <w:r w:rsidR="00867BE8">
        <w:rPr>
          <w:rFonts w:ascii="Arial" w:hAnsi="Arial" w:cs="Arial"/>
          <w:sz w:val="24"/>
          <w:szCs w:val="24"/>
          <w:shd w:val="clear" w:color="auto" w:fill="FFFFFF"/>
        </w:rPr>
        <w:t xml:space="preserve">Ffion can claim defamation for the protection of her reputation. </w:t>
      </w:r>
      <w:r w:rsidR="008620B9">
        <w:rPr>
          <w:rFonts w:ascii="Arial" w:hAnsi="Arial" w:cs="Arial"/>
          <w:sz w:val="24"/>
          <w:szCs w:val="24"/>
          <w:shd w:val="clear" w:color="auto" w:fill="FFFFFF"/>
        </w:rPr>
        <w:t xml:space="preserve">Steele (2017). </w:t>
      </w:r>
    </w:p>
    <w:p w14:paraId="1E057C57" w14:textId="77777777" w:rsidR="009B785A" w:rsidRDefault="009B785A" w:rsidP="006D54D8">
      <w:pPr>
        <w:spacing w:line="240" w:lineRule="auto"/>
        <w:rPr>
          <w:rFonts w:ascii="Arial" w:hAnsi="Arial" w:cs="Arial"/>
          <w:sz w:val="24"/>
          <w:szCs w:val="24"/>
          <w:shd w:val="clear" w:color="auto" w:fill="FFFFFF"/>
        </w:rPr>
      </w:pPr>
    </w:p>
    <w:p w14:paraId="3F468D70" w14:textId="10ACD190" w:rsidR="006C0695" w:rsidRDefault="006C0695" w:rsidP="006D54D8">
      <w:pPr>
        <w:spacing w:line="240" w:lineRule="auto"/>
        <w:rPr>
          <w:rFonts w:ascii="Arial" w:hAnsi="Arial" w:cs="Arial"/>
          <w:sz w:val="24"/>
          <w:szCs w:val="24"/>
          <w:shd w:val="clear" w:color="auto" w:fill="FFFFFF"/>
        </w:rPr>
      </w:pPr>
    </w:p>
    <w:p w14:paraId="68287E31" w14:textId="2C97BC20" w:rsidR="00F32719" w:rsidRDefault="0048070B" w:rsidP="006D54D8">
      <w:pPr>
        <w:spacing w:line="240" w:lineRule="auto"/>
        <w:rPr>
          <w:rFonts w:ascii="Arial" w:hAnsi="Arial" w:cs="Arial"/>
          <w:sz w:val="24"/>
          <w:szCs w:val="24"/>
          <w:shd w:val="clear" w:color="auto" w:fill="FFFFFF"/>
        </w:rPr>
      </w:pPr>
      <w:r w:rsidRPr="00F32719">
        <w:rPr>
          <w:rFonts w:ascii="Arial" w:hAnsi="Arial" w:cs="Arial"/>
          <w:sz w:val="24"/>
          <w:szCs w:val="24"/>
          <w:shd w:val="clear" w:color="auto" w:fill="FFFFFF"/>
        </w:rPr>
        <w:t>There is no exhaustive list of what constitutes defamation but words critical of a person's integrity, character, or ability tend to harm the reputation of the claimant. Courts distinguish between words that amount to vulgar insults and are not defamatory, and that are intentionally intended to make the claimant the subject of mockery and ridicule.</w:t>
      </w:r>
      <w:r>
        <w:rPr>
          <w:rFonts w:ascii="Arial" w:hAnsi="Arial" w:cs="Arial"/>
          <w:sz w:val="24"/>
          <w:szCs w:val="24"/>
          <w:shd w:val="clear" w:color="auto" w:fill="FFFFFF"/>
        </w:rPr>
        <w:t xml:space="preserve"> </w:t>
      </w:r>
      <w:r w:rsidR="006C0695" w:rsidRPr="00F32719">
        <w:rPr>
          <w:rFonts w:ascii="Arial" w:hAnsi="Arial" w:cs="Arial"/>
          <w:sz w:val="24"/>
          <w:szCs w:val="24"/>
          <w:shd w:val="clear" w:color="auto" w:fill="FFFFFF"/>
        </w:rPr>
        <w:t xml:space="preserve">Many of Section 1 (1) judicial decisions concerning common law appear to continue the court's work. There are several references to the Thornton v Telegraph Media Group Ltd (2010), in which it was suggested that a threshold of seriousness has to be met before a statement is actionable. To establish </w:t>
      </w:r>
      <w:r w:rsidR="006C0695" w:rsidRPr="00F32719">
        <w:rPr>
          <w:rFonts w:ascii="Arial" w:hAnsi="Arial" w:cs="Arial"/>
          <w:sz w:val="24"/>
          <w:szCs w:val="24"/>
          <w:shd w:val="clear" w:color="auto" w:fill="FFFFFF"/>
        </w:rPr>
        <w:lastRenderedPageBreak/>
        <w:t>the existence of serious harm to the reputation (or likely harm), the claimant must meet the balance of probabilities requirements of section 1 (1). </w:t>
      </w:r>
      <w:r w:rsidR="00F32719">
        <w:rPr>
          <w:rFonts w:ascii="Arial" w:hAnsi="Arial" w:cs="Arial"/>
          <w:sz w:val="24"/>
          <w:szCs w:val="24"/>
          <w:shd w:val="clear" w:color="auto" w:fill="FFFFFF"/>
        </w:rPr>
        <w:t xml:space="preserve"> Lunney et al (2017). </w:t>
      </w:r>
    </w:p>
    <w:p w14:paraId="6D14C577" w14:textId="77777777" w:rsidR="009B785A" w:rsidRDefault="009B785A" w:rsidP="006D54D8">
      <w:pPr>
        <w:spacing w:line="240" w:lineRule="auto"/>
        <w:rPr>
          <w:rFonts w:ascii="Arial" w:hAnsi="Arial" w:cs="Arial"/>
          <w:sz w:val="24"/>
          <w:szCs w:val="24"/>
          <w:shd w:val="clear" w:color="auto" w:fill="FFFFFF"/>
        </w:rPr>
      </w:pPr>
    </w:p>
    <w:p w14:paraId="7810D70B" w14:textId="3916CAF1" w:rsidR="003E697C" w:rsidRDefault="003E697C" w:rsidP="006D54D8">
      <w:pPr>
        <w:spacing w:line="240" w:lineRule="auto"/>
        <w:rPr>
          <w:rFonts w:ascii="Arial" w:hAnsi="Arial" w:cs="Arial"/>
          <w:sz w:val="24"/>
          <w:szCs w:val="24"/>
          <w:shd w:val="clear" w:color="auto" w:fill="FFFFFF"/>
        </w:rPr>
      </w:pPr>
    </w:p>
    <w:p w14:paraId="19675675" w14:textId="77777777" w:rsidR="00F71F12" w:rsidRPr="0072005E" w:rsidRDefault="003E697C" w:rsidP="00F71F12">
      <w:pPr>
        <w:rPr>
          <w:rFonts w:ascii="Arial" w:hAnsi="Arial" w:cs="Arial"/>
          <w:color w:val="000000"/>
          <w:sz w:val="24"/>
          <w:szCs w:val="24"/>
          <w:shd w:val="clear" w:color="auto" w:fill="FFFFFF"/>
        </w:rPr>
      </w:pPr>
      <w:r w:rsidRPr="000432BD">
        <w:rPr>
          <w:rFonts w:ascii="Arial" w:hAnsi="Arial" w:cs="Arial"/>
          <w:sz w:val="24"/>
          <w:szCs w:val="24"/>
          <w:bdr w:val="none" w:sz="0" w:space="0" w:color="auto" w:frame="1"/>
          <w:shd w:val="clear" w:color="auto" w:fill="FFFFFF"/>
        </w:rPr>
        <w:t xml:space="preserve">To establish a defamation claim, you must </w:t>
      </w:r>
      <w:r w:rsidR="008242CA" w:rsidRPr="000432BD">
        <w:rPr>
          <w:rFonts w:ascii="Arial" w:hAnsi="Arial" w:cs="Arial"/>
          <w:sz w:val="24"/>
          <w:szCs w:val="24"/>
          <w:bdr w:val="none" w:sz="0" w:space="0" w:color="auto" w:frame="1"/>
          <w:shd w:val="clear" w:color="auto" w:fill="FFFFFF"/>
        </w:rPr>
        <w:t>determine</w:t>
      </w:r>
      <w:r w:rsidRPr="000432BD">
        <w:rPr>
          <w:rFonts w:ascii="Arial" w:hAnsi="Arial" w:cs="Arial"/>
          <w:sz w:val="24"/>
          <w:szCs w:val="24"/>
          <w:bdr w:val="none" w:sz="0" w:space="0" w:color="auto" w:frame="1"/>
          <w:shd w:val="clear" w:color="auto" w:fill="FFFFFF"/>
        </w:rPr>
        <w:t xml:space="preserve"> that the statement in issue was defamatory. In Thornton v Telegraph Media Group Ltd (2010), the review of </w:t>
      </w:r>
      <w:r w:rsidR="002D7D81" w:rsidRPr="000432BD">
        <w:rPr>
          <w:rFonts w:ascii="Arial" w:hAnsi="Arial" w:cs="Arial"/>
          <w:sz w:val="24"/>
          <w:szCs w:val="24"/>
          <w:bdr w:val="none" w:sz="0" w:space="0" w:color="auto" w:frame="1"/>
          <w:shd w:val="clear" w:color="auto" w:fill="FFFFFF"/>
        </w:rPr>
        <w:t xml:space="preserve">Dr </w:t>
      </w:r>
      <w:r w:rsidRPr="000432BD">
        <w:rPr>
          <w:rFonts w:ascii="Arial" w:hAnsi="Arial" w:cs="Arial"/>
          <w:sz w:val="24"/>
          <w:szCs w:val="24"/>
          <w:bdr w:val="none" w:sz="0" w:space="0" w:color="auto" w:frame="1"/>
          <w:shd w:val="clear" w:color="auto" w:fill="FFFFFF"/>
        </w:rPr>
        <w:t>Thornton's book claimed that </w:t>
      </w:r>
      <w:r w:rsidR="00B51024">
        <w:rPr>
          <w:rFonts w:ascii="Arial" w:hAnsi="Arial" w:cs="Arial"/>
          <w:sz w:val="24"/>
          <w:szCs w:val="24"/>
          <w:bdr w:val="none" w:sz="0" w:space="0" w:color="auto" w:frame="1"/>
          <w:shd w:val="clear" w:color="auto" w:fill="FFFFFF"/>
        </w:rPr>
        <w:t xml:space="preserve">the </w:t>
      </w:r>
      <w:r w:rsidR="00B51024" w:rsidRPr="002860FA">
        <w:rPr>
          <w:rFonts w:ascii="Arial" w:hAnsi="Arial" w:cs="Arial"/>
          <w:sz w:val="24"/>
          <w:szCs w:val="24"/>
          <w:shd w:val="clear" w:color="auto" w:fill="FFFFFF"/>
        </w:rPr>
        <w:t>claimant's book review contained alleged defamatory and malicious falsehoods</w:t>
      </w:r>
      <w:r w:rsidR="00B51024">
        <w:rPr>
          <w:rFonts w:ascii="Arial" w:hAnsi="Arial" w:cs="Arial"/>
          <w:sz w:val="24"/>
          <w:szCs w:val="24"/>
          <w:shd w:val="clear" w:color="auto" w:fill="FFFFFF"/>
        </w:rPr>
        <w:t xml:space="preserve">. </w:t>
      </w:r>
      <w:r w:rsidR="002D7D81" w:rsidRPr="000432BD">
        <w:rPr>
          <w:rFonts w:ascii="Arial" w:hAnsi="Arial" w:cs="Arial"/>
          <w:sz w:val="24"/>
          <w:szCs w:val="24"/>
          <w:bdr w:val="none" w:sz="0" w:space="0" w:color="auto" w:frame="1"/>
          <w:shd w:val="clear" w:color="auto" w:fill="FFFFFF"/>
        </w:rPr>
        <w:t>Tugendhat</w:t>
      </w:r>
      <w:r w:rsidR="008242CA" w:rsidRPr="000432BD">
        <w:rPr>
          <w:rFonts w:ascii="Arial" w:hAnsi="Arial" w:cs="Arial"/>
          <w:sz w:val="24"/>
          <w:szCs w:val="24"/>
          <w:bdr w:val="none" w:sz="0" w:space="0" w:color="auto" w:frame="1"/>
          <w:shd w:val="clear" w:color="auto" w:fill="FFFFFF"/>
        </w:rPr>
        <w:t xml:space="preserve"> J validated the claim that defamatory verbiage must meet a “threshold of seriousness, such that trivial claims are excluded”. </w:t>
      </w:r>
      <w:r w:rsidR="00225B53" w:rsidRPr="002860FA">
        <w:rPr>
          <w:rFonts w:ascii="Arial" w:hAnsi="Arial" w:cs="Arial"/>
          <w:sz w:val="24"/>
          <w:szCs w:val="24"/>
          <w:shd w:val="clear" w:color="auto" w:fill="FFFFFF"/>
        </w:rPr>
        <w:t>The words concerned the claimant's integrity and profession.</w:t>
      </w:r>
      <w:r w:rsidR="00225B53">
        <w:rPr>
          <w:rFonts w:ascii="Arial" w:hAnsi="Arial" w:cs="Arial"/>
          <w:sz w:val="24"/>
          <w:szCs w:val="24"/>
          <w:shd w:val="clear" w:color="auto" w:fill="FFFFFF"/>
        </w:rPr>
        <w:t xml:space="preserve"> </w:t>
      </w:r>
      <w:r w:rsidR="00F71F12" w:rsidRPr="00976E9E">
        <w:rPr>
          <w:rFonts w:ascii="Arial" w:hAnsi="Arial" w:cs="Arial"/>
          <w:color w:val="000000"/>
          <w:sz w:val="24"/>
          <w:szCs w:val="24"/>
          <w:shd w:val="clear" w:color="auto" w:fill="FFFFFF"/>
        </w:rPr>
        <w:t xml:space="preserve">As Welsh News Online identifies the claimant in its comments, it is clear that the statements refer to </w:t>
      </w:r>
      <w:r w:rsidR="00F71F12">
        <w:rPr>
          <w:rFonts w:ascii="Arial" w:hAnsi="Arial" w:cs="Arial"/>
          <w:color w:val="000000"/>
          <w:sz w:val="24"/>
          <w:szCs w:val="24"/>
          <w:shd w:val="clear" w:color="auto" w:fill="FFFFFF"/>
        </w:rPr>
        <w:t>Ffion</w:t>
      </w:r>
      <w:r w:rsidR="00F71F12" w:rsidRPr="00976E9E">
        <w:rPr>
          <w:rFonts w:ascii="Arial" w:hAnsi="Arial" w:cs="Arial"/>
          <w:color w:val="000000"/>
          <w:sz w:val="24"/>
          <w:szCs w:val="24"/>
          <w:shd w:val="clear" w:color="auto" w:fill="FFFFFF"/>
        </w:rPr>
        <w:t xml:space="preserve">. Libel claims often give rise to a debate over whether the allegations are serious, and </w:t>
      </w:r>
      <w:r w:rsidR="00F71F12">
        <w:rPr>
          <w:rFonts w:ascii="Arial" w:hAnsi="Arial" w:cs="Arial"/>
          <w:color w:val="000000"/>
          <w:sz w:val="24"/>
          <w:szCs w:val="24"/>
          <w:shd w:val="clear" w:color="auto" w:fill="FFFFFF"/>
        </w:rPr>
        <w:t>because</w:t>
      </w:r>
      <w:r w:rsidR="00F71F12" w:rsidRPr="00976E9E">
        <w:rPr>
          <w:rFonts w:ascii="Arial" w:hAnsi="Arial" w:cs="Arial"/>
          <w:color w:val="000000"/>
          <w:sz w:val="24"/>
          <w:szCs w:val="24"/>
          <w:shd w:val="clear" w:color="auto" w:fill="FFFFFF"/>
        </w:rPr>
        <w:t xml:space="preserve"> Ffion's statements included the term "con", it is valid to claim that these allegations are serious.</w:t>
      </w:r>
    </w:p>
    <w:p w14:paraId="1D024F65" w14:textId="2C6C8E83" w:rsidR="006B5EB0" w:rsidRDefault="006B5EB0" w:rsidP="00225B53">
      <w:pPr>
        <w:rPr>
          <w:rFonts w:ascii="Arial" w:hAnsi="Arial" w:cs="Arial"/>
          <w:sz w:val="24"/>
          <w:szCs w:val="24"/>
          <w:shd w:val="clear" w:color="auto" w:fill="FFFFFF"/>
        </w:rPr>
      </w:pPr>
    </w:p>
    <w:p w14:paraId="28970816" w14:textId="77777777" w:rsidR="009B785A" w:rsidRDefault="009B785A" w:rsidP="00225B53">
      <w:pPr>
        <w:rPr>
          <w:rFonts w:ascii="Arial" w:hAnsi="Arial" w:cs="Arial"/>
          <w:sz w:val="24"/>
          <w:szCs w:val="24"/>
          <w:shd w:val="clear" w:color="auto" w:fill="FFFFFF"/>
        </w:rPr>
      </w:pPr>
    </w:p>
    <w:p w14:paraId="00EC6A57" w14:textId="77777777" w:rsidR="002746AF" w:rsidRDefault="002746AF" w:rsidP="00225B53">
      <w:pPr>
        <w:rPr>
          <w:rFonts w:ascii="Arial" w:hAnsi="Arial" w:cs="Arial"/>
          <w:sz w:val="24"/>
          <w:szCs w:val="24"/>
          <w:shd w:val="clear" w:color="auto" w:fill="FFFFFF"/>
        </w:rPr>
      </w:pPr>
    </w:p>
    <w:p w14:paraId="48822B80" w14:textId="0C4084CC" w:rsidR="002D7D81" w:rsidRDefault="008242CA" w:rsidP="00225B53">
      <w:pPr>
        <w:rPr>
          <w:rFonts w:ascii="Arial" w:hAnsi="Arial" w:cs="Arial"/>
          <w:sz w:val="24"/>
          <w:szCs w:val="24"/>
          <w:shd w:val="clear" w:color="auto" w:fill="FFFFFF"/>
        </w:rPr>
      </w:pPr>
      <w:r w:rsidRPr="000432BD">
        <w:rPr>
          <w:rFonts w:ascii="Arial" w:hAnsi="Arial" w:cs="Arial"/>
          <w:sz w:val="24"/>
          <w:szCs w:val="24"/>
          <w:shd w:val="clear" w:color="auto" w:fill="FFFFFF"/>
        </w:rPr>
        <w:t>According to the Judge, in Sim v Stretch (1936), the publication must have a substantial and adverse effect on other people's attitudes towards the Claimant or at least tend to that result. The claims of libel and malicious falsehood brought by Dr Thornton were both upheld.</w:t>
      </w:r>
      <w:r w:rsidR="000432BD" w:rsidRPr="000432BD">
        <w:rPr>
          <w:rFonts w:ascii="Arial" w:hAnsi="Arial" w:cs="Arial"/>
          <w:sz w:val="24"/>
          <w:szCs w:val="24"/>
          <w:shd w:val="clear" w:color="auto" w:fill="FFFFFF"/>
        </w:rPr>
        <w:t xml:space="preserve"> </w:t>
      </w:r>
      <w:r w:rsidR="009B785A">
        <w:rPr>
          <w:rFonts w:ascii="Arial" w:hAnsi="Arial" w:cs="Arial"/>
          <w:sz w:val="24"/>
          <w:szCs w:val="24"/>
          <w:shd w:val="clear" w:color="auto" w:fill="FFFFFF"/>
        </w:rPr>
        <w:t xml:space="preserve">Within this case, </w:t>
      </w:r>
      <w:r w:rsidR="00BE4225">
        <w:rPr>
          <w:rFonts w:ascii="Arial" w:hAnsi="Arial" w:cs="Arial"/>
          <w:sz w:val="24"/>
          <w:szCs w:val="24"/>
          <w:shd w:val="clear" w:color="auto" w:fill="FFFFFF"/>
        </w:rPr>
        <w:t>Lord Atkin emphasises that for the statements to be considered defamatory it is important to consider if the language tends to lower the plaintiff’s standing in the eyes of right-thinking members of society.</w:t>
      </w:r>
      <w:r w:rsidR="00541061">
        <w:rPr>
          <w:rFonts w:ascii="Arial" w:hAnsi="Arial" w:cs="Arial"/>
          <w:sz w:val="24"/>
          <w:szCs w:val="24"/>
          <w:shd w:val="clear" w:color="auto" w:fill="FFFFFF"/>
        </w:rPr>
        <w:t xml:space="preserve"> </w:t>
      </w:r>
      <w:r w:rsidR="00225B53" w:rsidRPr="002860FA">
        <w:rPr>
          <w:rFonts w:ascii="Arial" w:hAnsi="Arial" w:cs="Arial"/>
          <w:sz w:val="24"/>
          <w:szCs w:val="24"/>
          <w:shd w:val="clear" w:color="auto" w:fill="FFFFFF"/>
        </w:rPr>
        <w:t>Defamation cases are usually presumed to produce damages</w:t>
      </w:r>
      <w:r w:rsidR="00D215A2">
        <w:rPr>
          <w:rFonts w:ascii="Arial" w:hAnsi="Arial" w:cs="Arial"/>
          <w:sz w:val="24"/>
          <w:szCs w:val="24"/>
          <w:shd w:val="clear" w:color="auto" w:fill="FFFFFF"/>
        </w:rPr>
        <w:t>, like the defamatory claims published by Welsh News Online</w:t>
      </w:r>
      <w:r w:rsidR="00884FAA">
        <w:rPr>
          <w:rFonts w:ascii="Arial" w:hAnsi="Arial" w:cs="Arial"/>
          <w:sz w:val="24"/>
          <w:szCs w:val="24"/>
          <w:shd w:val="clear" w:color="auto" w:fill="FFFFFF"/>
        </w:rPr>
        <w:t xml:space="preserve"> including damaging </w:t>
      </w:r>
      <w:r w:rsidR="00B55863">
        <w:rPr>
          <w:rFonts w:ascii="Arial" w:hAnsi="Arial" w:cs="Arial"/>
          <w:sz w:val="24"/>
          <w:szCs w:val="24"/>
          <w:shd w:val="clear" w:color="auto" w:fill="FFFFFF"/>
        </w:rPr>
        <w:t xml:space="preserve">statements’ </w:t>
      </w:r>
      <w:r w:rsidR="00C01F3A">
        <w:rPr>
          <w:rFonts w:ascii="Arial" w:hAnsi="Arial" w:cs="Arial"/>
          <w:sz w:val="24"/>
          <w:szCs w:val="24"/>
          <w:shd w:val="clear" w:color="auto" w:fill="FFFFFF"/>
        </w:rPr>
        <w:t>affecting</w:t>
      </w:r>
      <w:r w:rsidR="00884FAA">
        <w:rPr>
          <w:rFonts w:ascii="Arial" w:hAnsi="Arial" w:cs="Arial"/>
          <w:sz w:val="24"/>
          <w:szCs w:val="24"/>
          <w:shd w:val="clear" w:color="auto" w:fill="FFFFFF"/>
        </w:rPr>
        <w:t xml:space="preserve"> Ffion’s business and reputation. </w:t>
      </w:r>
      <w:r w:rsidR="0082766C">
        <w:rPr>
          <w:rFonts w:ascii="Arial" w:hAnsi="Arial" w:cs="Arial"/>
          <w:sz w:val="24"/>
          <w:szCs w:val="24"/>
          <w:shd w:val="clear" w:color="auto" w:fill="FFFFFF"/>
        </w:rPr>
        <w:t xml:space="preserve">Murphy et al (2012). </w:t>
      </w:r>
    </w:p>
    <w:p w14:paraId="62D3CF43" w14:textId="77777777" w:rsidR="00B475DE" w:rsidRDefault="00B475DE" w:rsidP="00225B53">
      <w:pPr>
        <w:rPr>
          <w:rFonts w:ascii="Arial" w:hAnsi="Arial" w:cs="Arial"/>
          <w:sz w:val="24"/>
          <w:szCs w:val="24"/>
          <w:shd w:val="clear" w:color="auto" w:fill="FFFFFF"/>
        </w:rPr>
      </w:pPr>
    </w:p>
    <w:p w14:paraId="09C17E35" w14:textId="5F137239" w:rsidR="00B475DE" w:rsidRDefault="00B475DE" w:rsidP="00225B53">
      <w:pPr>
        <w:rPr>
          <w:rFonts w:ascii="Arial" w:hAnsi="Arial" w:cs="Arial"/>
          <w:sz w:val="24"/>
          <w:szCs w:val="24"/>
          <w:shd w:val="clear" w:color="auto" w:fill="FFFFFF"/>
        </w:rPr>
      </w:pPr>
    </w:p>
    <w:p w14:paraId="2DE5C5C4" w14:textId="00FC98BC" w:rsidR="00B475DE" w:rsidRPr="00B475DE" w:rsidRDefault="00B475DE" w:rsidP="00B475DE">
      <w:pPr>
        <w:rPr>
          <w:rFonts w:ascii="Arial" w:hAnsi="Arial" w:cs="Arial"/>
          <w:sz w:val="24"/>
          <w:szCs w:val="24"/>
          <w:shd w:val="clear" w:color="auto" w:fill="FFFFFF"/>
        </w:rPr>
      </w:pPr>
      <w:r>
        <w:rPr>
          <w:rFonts w:ascii="Arial" w:hAnsi="Arial" w:cs="Arial"/>
          <w:sz w:val="24"/>
          <w:szCs w:val="24"/>
          <w:shd w:val="clear" w:color="auto" w:fill="FFFFFF"/>
        </w:rPr>
        <w:t xml:space="preserve">Claimants may choose to rely exclusively on the facts of a false allegation that has been widely published and has a defamatory tendency. </w:t>
      </w:r>
      <w:r w:rsidR="00506AEA">
        <w:rPr>
          <w:rFonts w:ascii="Arial" w:hAnsi="Arial" w:cs="Arial"/>
          <w:sz w:val="24"/>
          <w:szCs w:val="24"/>
          <w:shd w:val="clear" w:color="auto" w:fill="FFFFFF"/>
        </w:rPr>
        <w:t>Therefore</w:t>
      </w:r>
      <w:r>
        <w:rPr>
          <w:rFonts w:ascii="Arial" w:hAnsi="Arial" w:cs="Arial"/>
          <w:sz w:val="24"/>
          <w:szCs w:val="24"/>
          <w:shd w:val="clear" w:color="auto" w:fill="FFFFFF"/>
        </w:rPr>
        <w:t xml:space="preserve">, the Serious Harm requirement for a claim of defamation is satisfied on the basis that the defamatory claims are reasonably likely to cause damage to the claimant's </w:t>
      </w:r>
      <w:r w:rsidRPr="00B475DE">
        <w:rPr>
          <w:rFonts w:ascii="Arial" w:hAnsi="Arial" w:cs="Arial"/>
          <w:sz w:val="24"/>
          <w:szCs w:val="24"/>
          <w:shd w:val="clear" w:color="auto" w:fill="FFFFFF"/>
        </w:rPr>
        <w:t xml:space="preserve">reputation in the eyes of society, in a way that would have a significant effect on her business. </w:t>
      </w:r>
      <w:r w:rsidRPr="00B475DE">
        <w:rPr>
          <w:rStyle w:val="landing-page-changedtext-0-2-17"/>
          <w:rFonts w:ascii="Arial" w:hAnsi="Arial" w:cs="Arial"/>
          <w:sz w:val="24"/>
          <w:szCs w:val="24"/>
          <w:shd w:val="clear" w:color="auto" w:fill="FFFFFF"/>
        </w:rPr>
        <w:t>As</w:t>
      </w:r>
      <w:r w:rsidRPr="00B475DE">
        <w:rPr>
          <w:rFonts w:ascii="Arial" w:hAnsi="Arial" w:cs="Arial"/>
          <w:sz w:val="24"/>
          <w:szCs w:val="24"/>
          <w:shd w:val="clear" w:color="auto" w:fill="FFFFFF"/>
        </w:rPr>
        <w:t> </w:t>
      </w:r>
      <w:r w:rsidRPr="00B475DE">
        <w:rPr>
          <w:rStyle w:val="landing-page-changedtext-0-2-17"/>
          <w:rFonts w:ascii="Arial" w:hAnsi="Arial" w:cs="Arial"/>
          <w:sz w:val="24"/>
          <w:szCs w:val="24"/>
          <w:shd w:val="clear" w:color="auto" w:fill="FFFFFF"/>
        </w:rPr>
        <w:t>such</w:t>
      </w:r>
      <w:r w:rsidRPr="00B475DE">
        <w:rPr>
          <w:rFonts w:ascii="Arial" w:hAnsi="Arial" w:cs="Arial"/>
          <w:sz w:val="24"/>
          <w:szCs w:val="24"/>
          <w:shd w:val="clear" w:color="auto" w:fill="FFFFFF"/>
        </w:rPr>
        <w:t>, Section 1 of the Act is satisfied </w:t>
      </w:r>
      <w:r w:rsidRPr="00B475DE">
        <w:rPr>
          <w:rStyle w:val="landing-page-changedtext-0-2-17"/>
          <w:rFonts w:ascii="Arial" w:hAnsi="Arial" w:cs="Arial"/>
          <w:sz w:val="24"/>
          <w:szCs w:val="24"/>
          <w:shd w:val="clear" w:color="auto" w:fill="FFFFFF"/>
        </w:rPr>
        <w:t>in</w:t>
      </w:r>
      <w:r w:rsidRPr="00B475DE">
        <w:rPr>
          <w:rFonts w:ascii="Arial" w:hAnsi="Arial" w:cs="Arial"/>
          <w:sz w:val="24"/>
          <w:szCs w:val="24"/>
          <w:shd w:val="clear" w:color="auto" w:fill="FFFFFF"/>
        </w:rPr>
        <w:t> </w:t>
      </w:r>
      <w:r w:rsidRPr="00B475DE">
        <w:rPr>
          <w:rStyle w:val="landing-page-changedtext-0-2-17"/>
          <w:rFonts w:ascii="Arial" w:hAnsi="Arial" w:cs="Arial"/>
          <w:sz w:val="24"/>
          <w:szCs w:val="24"/>
          <w:shd w:val="clear" w:color="auto" w:fill="FFFFFF"/>
        </w:rPr>
        <w:t xml:space="preserve">the </w:t>
      </w:r>
      <w:r w:rsidR="00D55DF5">
        <w:rPr>
          <w:rStyle w:val="landing-page-changedtext-0-2-17"/>
          <w:rFonts w:ascii="Arial" w:hAnsi="Arial" w:cs="Arial"/>
          <w:sz w:val="24"/>
          <w:szCs w:val="24"/>
          <w:shd w:val="clear" w:color="auto" w:fill="FFFFFF"/>
        </w:rPr>
        <w:t xml:space="preserve">scenario </w:t>
      </w:r>
      <w:r w:rsidRPr="00B475DE">
        <w:rPr>
          <w:rStyle w:val="landing-page-changedtext-0-2-17"/>
          <w:rFonts w:ascii="Arial" w:hAnsi="Arial" w:cs="Arial"/>
          <w:sz w:val="24"/>
          <w:szCs w:val="24"/>
          <w:shd w:val="clear" w:color="auto" w:fill="FFFFFF"/>
        </w:rPr>
        <w:t>at hand since </w:t>
      </w:r>
      <w:r w:rsidRPr="00B475DE">
        <w:rPr>
          <w:rFonts w:ascii="Arial" w:hAnsi="Arial" w:cs="Arial"/>
          <w:sz w:val="24"/>
          <w:szCs w:val="24"/>
          <w:shd w:val="clear" w:color="auto" w:fill="FFFFFF"/>
        </w:rPr>
        <w:t>it has been established that the publications complained of </w:t>
      </w:r>
      <w:r w:rsidRPr="00B475DE">
        <w:rPr>
          <w:rStyle w:val="landing-page-changedtext-0-2-17"/>
          <w:rFonts w:ascii="Arial" w:hAnsi="Arial" w:cs="Arial"/>
          <w:sz w:val="24"/>
          <w:szCs w:val="24"/>
          <w:shd w:val="clear" w:color="auto" w:fill="FFFFFF"/>
        </w:rPr>
        <w:t>resulted</w:t>
      </w:r>
      <w:r w:rsidRPr="00B475DE">
        <w:rPr>
          <w:rFonts w:ascii="Arial" w:hAnsi="Arial" w:cs="Arial"/>
          <w:sz w:val="24"/>
          <w:szCs w:val="24"/>
          <w:shd w:val="clear" w:color="auto" w:fill="FFFFFF"/>
        </w:rPr>
        <w:t> </w:t>
      </w:r>
      <w:r w:rsidRPr="00B475DE">
        <w:rPr>
          <w:rStyle w:val="landing-page-changedtext-0-2-17"/>
          <w:rFonts w:ascii="Arial" w:hAnsi="Arial" w:cs="Arial"/>
          <w:sz w:val="24"/>
          <w:szCs w:val="24"/>
          <w:shd w:val="clear" w:color="auto" w:fill="FFFFFF"/>
        </w:rPr>
        <w:t>in</w:t>
      </w:r>
      <w:r w:rsidRPr="00B475DE">
        <w:rPr>
          <w:rFonts w:ascii="Arial" w:hAnsi="Arial" w:cs="Arial"/>
          <w:sz w:val="24"/>
          <w:szCs w:val="24"/>
          <w:shd w:val="clear" w:color="auto" w:fill="FFFFFF"/>
        </w:rPr>
        <w:t> </w:t>
      </w:r>
      <w:r w:rsidRPr="00B475DE">
        <w:rPr>
          <w:rStyle w:val="landing-page-changedtext-0-2-17"/>
          <w:rFonts w:ascii="Arial" w:hAnsi="Arial" w:cs="Arial"/>
          <w:sz w:val="24"/>
          <w:szCs w:val="24"/>
          <w:shd w:val="clear" w:color="auto" w:fill="FFFFFF"/>
        </w:rPr>
        <w:t>grave </w:t>
      </w:r>
      <w:r w:rsidRPr="00B475DE">
        <w:rPr>
          <w:rFonts w:ascii="Arial" w:hAnsi="Arial" w:cs="Arial"/>
          <w:sz w:val="24"/>
          <w:szCs w:val="24"/>
          <w:shd w:val="clear" w:color="auto" w:fill="FFFFFF"/>
        </w:rPr>
        <w:t>harm to </w:t>
      </w:r>
      <w:r w:rsidRPr="00B475DE">
        <w:rPr>
          <w:rStyle w:val="landing-page-changedtext-0-2-17"/>
          <w:rFonts w:ascii="Arial" w:hAnsi="Arial" w:cs="Arial"/>
          <w:sz w:val="24"/>
          <w:szCs w:val="24"/>
          <w:shd w:val="clear" w:color="auto" w:fill="FFFFFF"/>
        </w:rPr>
        <w:t>the</w:t>
      </w:r>
      <w:r w:rsidRPr="00B475DE">
        <w:rPr>
          <w:rFonts w:ascii="Arial" w:hAnsi="Arial" w:cs="Arial"/>
          <w:sz w:val="24"/>
          <w:szCs w:val="24"/>
          <w:shd w:val="clear" w:color="auto" w:fill="FFFFFF"/>
        </w:rPr>
        <w:t> </w:t>
      </w:r>
      <w:r w:rsidRPr="00B475DE">
        <w:rPr>
          <w:rStyle w:val="landing-page-changedtext-0-2-17"/>
          <w:rFonts w:ascii="Arial" w:hAnsi="Arial" w:cs="Arial"/>
          <w:sz w:val="24"/>
          <w:szCs w:val="24"/>
          <w:shd w:val="clear" w:color="auto" w:fill="FFFFFF"/>
        </w:rPr>
        <w:t>claimant's </w:t>
      </w:r>
      <w:r w:rsidRPr="00B475DE">
        <w:rPr>
          <w:rFonts w:ascii="Arial" w:hAnsi="Arial" w:cs="Arial"/>
          <w:sz w:val="24"/>
          <w:szCs w:val="24"/>
          <w:shd w:val="clear" w:color="auto" w:fill="FFFFFF"/>
        </w:rPr>
        <w:t>reputation.</w:t>
      </w:r>
      <w:r>
        <w:rPr>
          <w:rFonts w:ascii="Arial" w:hAnsi="Arial" w:cs="Arial"/>
          <w:sz w:val="24"/>
          <w:szCs w:val="24"/>
          <w:shd w:val="clear" w:color="auto" w:fill="FFFFFF"/>
        </w:rPr>
        <w:t xml:space="preserve"> The issue within the case scenario is that the defamatory statements referring to the claimant are defaming her. </w:t>
      </w:r>
      <w:r w:rsidR="00F726F1">
        <w:rPr>
          <w:rFonts w:ascii="Arial" w:hAnsi="Arial" w:cs="Arial"/>
          <w:sz w:val="24"/>
          <w:szCs w:val="24"/>
          <w:shd w:val="clear" w:color="auto" w:fill="FFFFFF"/>
        </w:rPr>
        <w:t xml:space="preserve">Cooke (2007). </w:t>
      </w:r>
      <w:r>
        <w:rPr>
          <w:rFonts w:ascii="Arial" w:hAnsi="Arial" w:cs="Arial"/>
          <w:sz w:val="24"/>
          <w:szCs w:val="24"/>
          <w:shd w:val="clear" w:color="auto" w:fill="FFFFFF"/>
        </w:rPr>
        <w:t xml:space="preserve"> </w:t>
      </w:r>
    </w:p>
    <w:p w14:paraId="0811CCAD" w14:textId="77777777" w:rsidR="00B475DE" w:rsidRDefault="00B475DE" w:rsidP="00225B53">
      <w:pPr>
        <w:rPr>
          <w:rFonts w:ascii="Arial" w:hAnsi="Arial" w:cs="Arial"/>
          <w:sz w:val="24"/>
          <w:szCs w:val="24"/>
          <w:shd w:val="clear" w:color="auto" w:fill="FFFFFF"/>
        </w:rPr>
      </w:pPr>
    </w:p>
    <w:p w14:paraId="6A8A02FB" w14:textId="06A3BC49" w:rsidR="00B51024" w:rsidRDefault="00B51024" w:rsidP="00225B53">
      <w:pPr>
        <w:rPr>
          <w:rFonts w:ascii="Arial" w:hAnsi="Arial" w:cs="Arial"/>
          <w:sz w:val="24"/>
          <w:szCs w:val="24"/>
          <w:shd w:val="clear" w:color="auto" w:fill="FFFFFF"/>
        </w:rPr>
      </w:pPr>
    </w:p>
    <w:p w14:paraId="17495666" w14:textId="26E18556" w:rsidR="00B55863" w:rsidRDefault="00B55863" w:rsidP="00225B53">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Moreover, </w:t>
      </w:r>
      <w:r w:rsidR="00ED5B16">
        <w:rPr>
          <w:rFonts w:ascii="Arial" w:hAnsi="Arial" w:cs="Arial"/>
          <w:sz w:val="24"/>
          <w:szCs w:val="24"/>
          <w:shd w:val="clear" w:color="auto" w:fill="FFFFFF"/>
        </w:rPr>
        <w:t xml:space="preserve">a defamatory statement must be published </w:t>
      </w:r>
      <w:r w:rsidR="00C01F3A">
        <w:rPr>
          <w:rFonts w:ascii="Arial" w:hAnsi="Arial" w:cs="Arial"/>
          <w:sz w:val="24"/>
          <w:szCs w:val="24"/>
          <w:shd w:val="clear" w:color="auto" w:fill="FFFFFF"/>
        </w:rPr>
        <w:t>to</w:t>
      </w:r>
      <w:r w:rsidR="00ED5B16">
        <w:rPr>
          <w:rFonts w:ascii="Arial" w:hAnsi="Arial" w:cs="Arial"/>
          <w:sz w:val="24"/>
          <w:szCs w:val="24"/>
          <w:shd w:val="clear" w:color="auto" w:fill="FFFFFF"/>
        </w:rPr>
        <w:t xml:space="preserve"> be actionable. Common law holds that anyone who distributes a defamatory statement with the aim </w:t>
      </w:r>
      <w:r w:rsidR="005E75D1">
        <w:rPr>
          <w:rFonts w:ascii="Arial" w:hAnsi="Arial" w:cs="Arial"/>
          <w:sz w:val="24"/>
          <w:szCs w:val="24"/>
          <w:shd w:val="clear" w:color="auto" w:fill="FFFFFF"/>
        </w:rPr>
        <w:t>of</w:t>
      </w:r>
      <w:r w:rsidR="00ED5B16">
        <w:rPr>
          <w:rFonts w:ascii="Arial" w:hAnsi="Arial" w:cs="Arial"/>
          <w:sz w:val="24"/>
          <w:szCs w:val="24"/>
          <w:shd w:val="clear" w:color="auto" w:fill="FFFFFF"/>
        </w:rPr>
        <w:t xml:space="preserve"> damage can be held accountable, including </w:t>
      </w:r>
      <w:r w:rsidR="002E6E56">
        <w:rPr>
          <w:rFonts w:ascii="Arial" w:hAnsi="Arial" w:cs="Arial"/>
          <w:sz w:val="24"/>
          <w:szCs w:val="24"/>
          <w:shd w:val="clear" w:color="auto" w:fill="FFFFFF"/>
        </w:rPr>
        <w:t>the author and</w:t>
      </w:r>
      <w:r w:rsidR="00ED5B16">
        <w:rPr>
          <w:rFonts w:ascii="Arial" w:hAnsi="Arial" w:cs="Arial"/>
          <w:sz w:val="24"/>
          <w:szCs w:val="24"/>
          <w:shd w:val="clear" w:color="auto" w:fill="FFFFFF"/>
        </w:rPr>
        <w:t xml:space="preserve"> the publisher, the printer, the </w:t>
      </w:r>
      <w:r w:rsidR="00333412">
        <w:rPr>
          <w:rFonts w:ascii="Arial" w:hAnsi="Arial" w:cs="Arial"/>
          <w:sz w:val="24"/>
          <w:szCs w:val="24"/>
          <w:shd w:val="clear" w:color="auto" w:fill="FFFFFF"/>
        </w:rPr>
        <w:t>wholesaler,</w:t>
      </w:r>
      <w:r w:rsidR="00ED5B16">
        <w:rPr>
          <w:rFonts w:ascii="Arial" w:hAnsi="Arial" w:cs="Arial"/>
          <w:sz w:val="24"/>
          <w:szCs w:val="24"/>
          <w:shd w:val="clear" w:color="auto" w:fill="FFFFFF"/>
        </w:rPr>
        <w:t xml:space="preserve"> and the retailer</w:t>
      </w:r>
      <w:r w:rsidR="005E75D1">
        <w:rPr>
          <w:rFonts w:ascii="Arial" w:hAnsi="Arial" w:cs="Arial"/>
          <w:sz w:val="24"/>
          <w:szCs w:val="24"/>
          <w:shd w:val="clear" w:color="auto" w:fill="FFFFFF"/>
        </w:rPr>
        <w:t xml:space="preserve">, even if they were unaware of the defamatory nature of the statement. </w:t>
      </w:r>
      <w:r w:rsidR="00C01F3A">
        <w:rPr>
          <w:rFonts w:ascii="Arial" w:hAnsi="Arial" w:cs="Arial"/>
          <w:sz w:val="24"/>
          <w:szCs w:val="24"/>
          <w:shd w:val="clear" w:color="auto" w:fill="FFFFFF"/>
        </w:rPr>
        <w:t>However</w:t>
      </w:r>
      <w:r w:rsidR="00333412">
        <w:rPr>
          <w:rFonts w:ascii="Arial" w:hAnsi="Arial" w:cs="Arial"/>
          <w:sz w:val="24"/>
          <w:szCs w:val="24"/>
          <w:shd w:val="clear" w:color="auto" w:fill="FFFFFF"/>
        </w:rPr>
        <w:t>, the Defamation Act (1996), introduces th</w:t>
      </w:r>
      <w:r w:rsidR="00C01F3A">
        <w:rPr>
          <w:rFonts w:ascii="Arial" w:hAnsi="Arial" w:cs="Arial"/>
          <w:sz w:val="24"/>
          <w:szCs w:val="24"/>
          <w:shd w:val="clear" w:color="auto" w:fill="FFFFFF"/>
        </w:rPr>
        <w:t>e responsibility for publication. It states that persons who are not aware</w:t>
      </w:r>
      <w:r w:rsidR="002E6E56">
        <w:rPr>
          <w:rFonts w:ascii="Arial" w:hAnsi="Arial" w:cs="Arial"/>
          <w:sz w:val="24"/>
          <w:szCs w:val="24"/>
          <w:shd w:val="clear" w:color="auto" w:fill="FFFFFF"/>
        </w:rPr>
        <w:t xml:space="preserve"> or have no reason to believe</w:t>
      </w:r>
      <w:r w:rsidR="00C01F3A">
        <w:rPr>
          <w:rFonts w:ascii="Arial" w:hAnsi="Arial" w:cs="Arial"/>
          <w:sz w:val="24"/>
          <w:szCs w:val="24"/>
          <w:shd w:val="clear" w:color="auto" w:fill="FFFFFF"/>
        </w:rPr>
        <w:t xml:space="preserve"> that what they foresaw led to the publication of defamatory statements </w:t>
      </w:r>
      <w:r w:rsidR="00671C4B">
        <w:rPr>
          <w:rFonts w:ascii="Arial" w:hAnsi="Arial" w:cs="Arial"/>
          <w:sz w:val="24"/>
          <w:szCs w:val="24"/>
          <w:shd w:val="clear" w:color="auto" w:fill="FFFFFF"/>
        </w:rPr>
        <w:t xml:space="preserve">may </w:t>
      </w:r>
      <w:r w:rsidR="00C01F3A">
        <w:rPr>
          <w:rFonts w:ascii="Arial" w:hAnsi="Arial" w:cs="Arial"/>
          <w:sz w:val="24"/>
          <w:szCs w:val="24"/>
          <w:shd w:val="clear" w:color="auto" w:fill="FFFFFF"/>
        </w:rPr>
        <w:t xml:space="preserve">have a defence in defamation proceedings. </w:t>
      </w:r>
      <w:r w:rsidR="00082AEF">
        <w:rPr>
          <w:rFonts w:ascii="Arial" w:hAnsi="Arial" w:cs="Arial"/>
          <w:sz w:val="24"/>
          <w:szCs w:val="24"/>
          <w:shd w:val="clear" w:color="auto" w:fill="FFFFFF"/>
        </w:rPr>
        <w:t>Horsey and Rackley (2021)</w:t>
      </w:r>
      <w:r w:rsidR="009C31AB">
        <w:rPr>
          <w:rFonts w:ascii="Arial" w:hAnsi="Arial" w:cs="Arial"/>
          <w:sz w:val="24"/>
          <w:szCs w:val="24"/>
          <w:shd w:val="clear" w:color="auto" w:fill="FFFFFF"/>
        </w:rPr>
        <w:t xml:space="preserve">. </w:t>
      </w:r>
    </w:p>
    <w:p w14:paraId="34C4F9DA" w14:textId="77777777" w:rsidR="00E57D46" w:rsidRDefault="00E57D46" w:rsidP="00225B53">
      <w:pPr>
        <w:rPr>
          <w:rFonts w:ascii="Arial" w:hAnsi="Arial" w:cs="Arial"/>
          <w:sz w:val="24"/>
          <w:szCs w:val="24"/>
          <w:shd w:val="clear" w:color="auto" w:fill="FFFFFF"/>
        </w:rPr>
      </w:pPr>
    </w:p>
    <w:p w14:paraId="6E9C8CC8" w14:textId="06D1CAF9" w:rsidR="009C31AB" w:rsidRDefault="009C31AB" w:rsidP="00225B53">
      <w:pPr>
        <w:rPr>
          <w:rFonts w:ascii="Arial" w:hAnsi="Arial" w:cs="Arial"/>
          <w:sz w:val="24"/>
          <w:szCs w:val="24"/>
          <w:shd w:val="clear" w:color="auto" w:fill="FFFFFF"/>
        </w:rPr>
      </w:pPr>
    </w:p>
    <w:p w14:paraId="1F6FFD71" w14:textId="2BC436F2" w:rsidR="00B810F8" w:rsidRDefault="009C31AB" w:rsidP="00225B53">
      <w:pPr>
        <w:rPr>
          <w:rFonts w:ascii="Arial" w:hAnsi="Arial" w:cs="Arial"/>
          <w:sz w:val="24"/>
          <w:szCs w:val="24"/>
        </w:rPr>
      </w:pPr>
      <w:r w:rsidRPr="009C31AB">
        <w:rPr>
          <w:rFonts w:ascii="Arial" w:hAnsi="Arial" w:cs="Arial"/>
          <w:sz w:val="24"/>
          <w:szCs w:val="24"/>
        </w:rPr>
        <w:t xml:space="preserve">The case of Lachaux (Respondent) v Independent Print Ltd </w:t>
      </w:r>
      <w:r>
        <w:rPr>
          <w:rFonts w:ascii="Arial" w:hAnsi="Arial" w:cs="Arial"/>
          <w:sz w:val="24"/>
          <w:szCs w:val="24"/>
        </w:rPr>
        <w:t xml:space="preserve">emphasises how </w:t>
      </w:r>
      <w:r w:rsidR="004875E9">
        <w:rPr>
          <w:rFonts w:ascii="Arial" w:hAnsi="Arial" w:cs="Arial"/>
          <w:sz w:val="24"/>
          <w:szCs w:val="24"/>
        </w:rPr>
        <w:t xml:space="preserve">a claimant bringing defamation actions must prove serious harm to their reputation by facts, rather than just the inherent tendency of their words. </w:t>
      </w:r>
      <w:r w:rsidR="00DF1CA4">
        <w:rPr>
          <w:rFonts w:ascii="Arial" w:hAnsi="Arial" w:cs="Arial"/>
          <w:sz w:val="24"/>
          <w:szCs w:val="24"/>
        </w:rPr>
        <w:t xml:space="preserve">The facts layout how the statement is defamatory by </w:t>
      </w:r>
      <w:r w:rsidR="00FF7E6C">
        <w:rPr>
          <w:rFonts w:ascii="Arial" w:hAnsi="Arial" w:cs="Arial"/>
          <w:sz w:val="24"/>
          <w:szCs w:val="24"/>
        </w:rPr>
        <w:t>labelling the claimant a</w:t>
      </w:r>
      <w:r w:rsidR="00DF1CA4">
        <w:rPr>
          <w:rFonts w:ascii="Arial" w:hAnsi="Arial" w:cs="Arial"/>
          <w:sz w:val="24"/>
          <w:szCs w:val="24"/>
        </w:rPr>
        <w:t xml:space="preserve"> “con”, which refers to </w:t>
      </w:r>
      <w:r w:rsidR="00FF7E6C">
        <w:rPr>
          <w:rFonts w:ascii="Arial" w:hAnsi="Arial" w:cs="Arial"/>
          <w:sz w:val="24"/>
          <w:szCs w:val="24"/>
        </w:rPr>
        <w:t>her</w:t>
      </w:r>
      <w:r w:rsidR="00DF1CA4">
        <w:rPr>
          <w:rFonts w:ascii="Arial" w:hAnsi="Arial" w:cs="Arial"/>
          <w:sz w:val="24"/>
          <w:szCs w:val="24"/>
        </w:rPr>
        <w:t xml:space="preserve">. The false statements have then been published by WNO. </w:t>
      </w:r>
      <w:r w:rsidR="00C400CA">
        <w:rPr>
          <w:rFonts w:ascii="Arial" w:hAnsi="Arial" w:cs="Arial"/>
          <w:sz w:val="24"/>
          <w:szCs w:val="24"/>
        </w:rPr>
        <w:t xml:space="preserve">The Supreme Court (2019). </w:t>
      </w:r>
    </w:p>
    <w:p w14:paraId="5C596DE2" w14:textId="77777777" w:rsidR="00E57D46" w:rsidRDefault="00E57D46" w:rsidP="00225B53">
      <w:pPr>
        <w:rPr>
          <w:rFonts w:ascii="Arial" w:hAnsi="Arial" w:cs="Arial"/>
          <w:sz w:val="24"/>
          <w:szCs w:val="24"/>
        </w:rPr>
      </w:pPr>
    </w:p>
    <w:p w14:paraId="7DE64656" w14:textId="77777777" w:rsidR="00B810F8" w:rsidRDefault="00B810F8" w:rsidP="00225B53">
      <w:pPr>
        <w:rPr>
          <w:rFonts w:ascii="Arial" w:hAnsi="Arial" w:cs="Arial"/>
          <w:sz w:val="24"/>
          <w:szCs w:val="24"/>
        </w:rPr>
      </w:pPr>
    </w:p>
    <w:p w14:paraId="39645EBE" w14:textId="446630D0" w:rsidR="009C31AB" w:rsidRPr="009C31AB" w:rsidRDefault="007840BA" w:rsidP="00225B53">
      <w:pPr>
        <w:rPr>
          <w:rFonts w:ascii="Arial" w:hAnsi="Arial" w:cs="Arial"/>
          <w:sz w:val="28"/>
          <w:szCs w:val="28"/>
          <w:shd w:val="clear" w:color="auto" w:fill="FFFFFF"/>
        </w:rPr>
      </w:pPr>
      <w:r>
        <w:rPr>
          <w:rFonts w:ascii="Arial" w:hAnsi="Arial" w:cs="Arial"/>
          <w:sz w:val="24"/>
          <w:szCs w:val="24"/>
        </w:rPr>
        <w:t xml:space="preserve">In respect of WNO, the </w:t>
      </w:r>
      <w:r w:rsidR="007218AC">
        <w:rPr>
          <w:rFonts w:ascii="Arial" w:hAnsi="Arial" w:cs="Arial"/>
          <w:sz w:val="24"/>
          <w:szCs w:val="24"/>
        </w:rPr>
        <w:t xml:space="preserve">Defamation Act (2013) provides a </w:t>
      </w:r>
      <w:r>
        <w:rPr>
          <w:rFonts w:ascii="Arial" w:hAnsi="Arial" w:cs="Arial"/>
          <w:sz w:val="24"/>
          <w:szCs w:val="24"/>
        </w:rPr>
        <w:t xml:space="preserve">defence of publication on </w:t>
      </w:r>
      <w:r w:rsidR="007218AC">
        <w:rPr>
          <w:rFonts w:ascii="Arial" w:hAnsi="Arial" w:cs="Arial"/>
          <w:sz w:val="24"/>
          <w:szCs w:val="24"/>
        </w:rPr>
        <w:t>matters</w:t>
      </w:r>
      <w:r>
        <w:rPr>
          <w:rFonts w:ascii="Arial" w:hAnsi="Arial" w:cs="Arial"/>
          <w:sz w:val="24"/>
          <w:szCs w:val="24"/>
        </w:rPr>
        <w:t xml:space="preserve"> of public interest </w:t>
      </w:r>
      <w:r w:rsidR="007218AC">
        <w:rPr>
          <w:rFonts w:ascii="Arial" w:hAnsi="Arial" w:cs="Arial"/>
          <w:sz w:val="24"/>
          <w:szCs w:val="24"/>
        </w:rPr>
        <w:t xml:space="preserve">in </w:t>
      </w:r>
      <w:r>
        <w:rPr>
          <w:rFonts w:ascii="Arial" w:hAnsi="Arial" w:cs="Arial"/>
          <w:sz w:val="24"/>
          <w:szCs w:val="24"/>
        </w:rPr>
        <w:t xml:space="preserve">section </w:t>
      </w:r>
      <w:r w:rsidR="007218AC">
        <w:rPr>
          <w:rFonts w:ascii="Arial" w:hAnsi="Arial" w:cs="Arial"/>
          <w:sz w:val="24"/>
          <w:szCs w:val="24"/>
        </w:rPr>
        <w:t xml:space="preserve">4 </w:t>
      </w:r>
      <w:r>
        <w:rPr>
          <w:rFonts w:ascii="Arial" w:hAnsi="Arial" w:cs="Arial"/>
          <w:sz w:val="24"/>
          <w:szCs w:val="24"/>
        </w:rPr>
        <w:t xml:space="preserve">(1) (b), </w:t>
      </w:r>
      <w:r w:rsidR="00B810F8">
        <w:rPr>
          <w:rFonts w:ascii="Arial" w:hAnsi="Arial" w:cs="Arial"/>
          <w:sz w:val="24"/>
          <w:szCs w:val="24"/>
        </w:rPr>
        <w:t xml:space="preserve">where </w:t>
      </w:r>
      <w:r w:rsidR="00B810F8" w:rsidRPr="00B810F8">
        <w:rPr>
          <w:rFonts w:ascii="Arial" w:hAnsi="Arial" w:cs="Arial"/>
          <w:color w:val="000000"/>
          <w:sz w:val="24"/>
          <w:szCs w:val="24"/>
          <w:shd w:val="clear" w:color="auto" w:fill="FFFFFF"/>
        </w:rPr>
        <w:t>the defendant reasonably believed that publishing the statement complained of was in the public interest.</w:t>
      </w:r>
      <w:r w:rsidR="004D0B3D">
        <w:rPr>
          <w:rFonts w:ascii="Arial" w:hAnsi="Arial" w:cs="Arial"/>
          <w:color w:val="000000"/>
          <w:sz w:val="24"/>
          <w:szCs w:val="24"/>
          <w:shd w:val="clear" w:color="auto" w:fill="FFFFFF"/>
        </w:rPr>
        <w:t xml:space="preserve"> </w:t>
      </w:r>
      <w:r w:rsidR="00C6468C">
        <w:rPr>
          <w:rFonts w:ascii="Arial" w:hAnsi="Arial" w:cs="Arial"/>
          <w:color w:val="000000"/>
          <w:sz w:val="24"/>
          <w:szCs w:val="24"/>
          <w:shd w:val="clear" w:color="auto" w:fill="FFFFFF"/>
        </w:rPr>
        <w:t xml:space="preserve">However, although the statements were a matter of public concern, the article made serious allegations without a reliable source. </w:t>
      </w:r>
      <w:r w:rsidR="00E57D46">
        <w:rPr>
          <w:rFonts w:ascii="Arial" w:hAnsi="Arial" w:cs="Arial"/>
          <w:color w:val="000000"/>
          <w:sz w:val="24"/>
          <w:szCs w:val="24"/>
          <w:shd w:val="clear" w:color="auto" w:fill="FFFFFF"/>
        </w:rPr>
        <w:t xml:space="preserve">Incorporating the claimant’s proof of how these allegations were false would have made it clear that the </w:t>
      </w:r>
      <w:r w:rsidR="00FA6EE2" w:rsidRPr="00FA6EE2">
        <w:rPr>
          <w:rFonts w:ascii="Arial" w:hAnsi="Arial" w:cs="Arial"/>
          <w:color w:val="000000"/>
          <w:sz w:val="24"/>
          <w:szCs w:val="24"/>
          <w:shd w:val="clear" w:color="auto" w:fill="FFFFFF"/>
        </w:rPr>
        <w:t>public interest defence's statutory criteria</w:t>
      </w:r>
      <w:r w:rsidR="00E57D46">
        <w:rPr>
          <w:rFonts w:ascii="Arial" w:hAnsi="Arial" w:cs="Arial"/>
          <w:color w:val="000000"/>
          <w:sz w:val="24"/>
          <w:szCs w:val="24"/>
          <w:shd w:val="clear" w:color="auto" w:fill="FFFFFF"/>
        </w:rPr>
        <w:t xml:space="preserve"> were not satisfied. </w:t>
      </w:r>
    </w:p>
    <w:p w14:paraId="3DB0F7FD" w14:textId="77777777" w:rsidR="00F71F12" w:rsidRDefault="00F71F12" w:rsidP="00225B53">
      <w:pPr>
        <w:rPr>
          <w:rFonts w:ascii="Arial" w:hAnsi="Arial" w:cs="Arial"/>
          <w:sz w:val="24"/>
          <w:szCs w:val="24"/>
          <w:shd w:val="clear" w:color="auto" w:fill="FFFFFF"/>
        </w:rPr>
      </w:pPr>
    </w:p>
    <w:p w14:paraId="254D1BA5" w14:textId="1A2A5539" w:rsidR="005C5C7E" w:rsidRDefault="005C5C7E" w:rsidP="00225B53">
      <w:pPr>
        <w:rPr>
          <w:rFonts w:ascii="Arial" w:hAnsi="Arial" w:cs="Arial"/>
          <w:sz w:val="24"/>
          <w:szCs w:val="24"/>
          <w:shd w:val="clear" w:color="auto" w:fill="FFFFFF"/>
        </w:rPr>
      </w:pPr>
    </w:p>
    <w:p w14:paraId="4B1AF5FC" w14:textId="54232CA7" w:rsidR="00792AA3" w:rsidRDefault="005C5C7E" w:rsidP="00792AA3">
      <w:pPr>
        <w:rPr>
          <w:rFonts w:ascii="Arial" w:eastAsia="Times New Roman" w:hAnsi="Arial" w:cs="Arial"/>
          <w:sz w:val="24"/>
          <w:szCs w:val="24"/>
          <w:lang w:eastAsia="en-GB"/>
        </w:rPr>
      </w:pPr>
      <w:r w:rsidRPr="005C5C7E">
        <w:rPr>
          <w:rStyle w:val="landing-page-changedtext-0-2-17"/>
          <w:rFonts w:ascii="Arial" w:hAnsi="Arial" w:cs="Arial"/>
          <w:sz w:val="24"/>
          <w:szCs w:val="24"/>
          <w:shd w:val="clear" w:color="auto" w:fill="FFFFFF"/>
        </w:rPr>
        <w:t xml:space="preserve">A potential defence </w:t>
      </w:r>
      <w:r w:rsidR="00883867">
        <w:rPr>
          <w:rStyle w:val="landing-page-changedtext-0-2-17"/>
          <w:rFonts w:ascii="Arial" w:hAnsi="Arial" w:cs="Arial"/>
          <w:sz w:val="24"/>
          <w:szCs w:val="24"/>
          <w:shd w:val="clear" w:color="auto" w:fill="FFFFFF"/>
        </w:rPr>
        <w:t xml:space="preserve">for Kieran is an </w:t>
      </w:r>
      <w:r w:rsidRPr="005C5C7E">
        <w:rPr>
          <w:rStyle w:val="landing-page-changedtext-0-2-17"/>
          <w:rFonts w:ascii="Arial" w:hAnsi="Arial" w:cs="Arial"/>
          <w:sz w:val="24"/>
          <w:szCs w:val="24"/>
          <w:shd w:val="clear" w:color="auto" w:fill="FFFFFF"/>
        </w:rPr>
        <w:t>honest opinion provided by </w:t>
      </w:r>
      <w:r w:rsidRPr="005C5C7E">
        <w:rPr>
          <w:rFonts w:ascii="Arial" w:hAnsi="Arial" w:cs="Arial"/>
          <w:sz w:val="24"/>
          <w:szCs w:val="24"/>
          <w:shd w:val="clear" w:color="auto" w:fill="FFFFFF"/>
        </w:rPr>
        <w:t>section 3 of the Defamation Act 2013</w:t>
      </w:r>
      <w:r w:rsidRPr="005C5C7E">
        <w:rPr>
          <w:rStyle w:val="landing-page-changedtext-0-2-17"/>
          <w:rFonts w:ascii="Arial" w:hAnsi="Arial" w:cs="Arial"/>
          <w:sz w:val="24"/>
          <w:szCs w:val="24"/>
          <w:shd w:val="clear" w:color="auto" w:fill="FFFFFF"/>
        </w:rPr>
        <w:t>,</w:t>
      </w:r>
      <w:r w:rsidRPr="005C5C7E">
        <w:rPr>
          <w:rFonts w:ascii="Arial" w:hAnsi="Arial" w:cs="Arial"/>
          <w:sz w:val="24"/>
          <w:szCs w:val="24"/>
          <w:shd w:val="clear" w:color="auto" w:fill="FFFFFF"/>
        </w:rPr>
        <w:t> </w:t>
      </w:r>
      <w:r w:rsidRPr="005C5C7E">
        <w:rPr>
          <w:rStyle w:val="landing-page-changedtext-0-2-17"/>
          <w:rFonts w:ascii="Arial" w:hAnsi="Arial" w:cs="Arial"/>
          <w:sz w:val="24"/>
          <w:szCs w:val="24"/>
          <w:shd w:val="clear" w:color="auto" w:fill="FFFFFF"/>
        </w:rPr>
        <w:t>which </w:t>
      </w:r>
      <w:r w:rsidRPr="005C5C7E">
        <w:rPr>
          <w:rFonts w:ascii="Arial" w:hAnsi="Arial" w:cs="Arial"/>
          <w:sz w:val="24"/>
          <w:szCs w:val="24"/>
          <w:shd w:val="clear" w:color="auto" w:fill="FFFFFF"/>
        </w:rPr>
        <w:t>replaces the common law defence of </w:t>
      </w:r>
      <w:r w:rsidRPr="005C5C7E">
        <w:rPr>
          <w:rStyle w:val="landing-page-changedtext-0-2-17"/>
          <w:rFonts w:ascii="Arial" w:hAnsi="Arial" w:cs="Arial"/>
          <w:sz w:val="24"/>
          <w:szCs w:val="24"/>
          <w:shd w:val="clear" w:color="auto" w:fill="FFFFFF"/>
        </w:rPr>
        <w:t>truthful</w:t>
      </w:r>
      <w:r w:rsidRPr="005C5C7E">
        <w:rPr>
          <w:rFonts w:ascii="Arial" w:hAnsi="Arial" w:cs="Arial"/>
          <w:sz w:val="24"/>
          <w:szCs w:val="24"/>
          <w:shd w:val="clear" w:color="auto" w:fill="FFFFFF"/>
        </w:rPr>
        <w:t> or fair comment </w:t>
      </w:r>
      <w:r>
        <w:rPr>
          <w:rStyle w:val="landing-page-changedtext-0-2-17"/>
          <w:rFonts w:ascii="Arial" w:hAnsi="Arial" w:cs="Arial"/>
          <w:sz w:val="24"/>
          <w:szCs w:val="24"/>
          <w:shd w:val="clear" w:color="auto" w:fill="FFFFFF"/>
        </w:rPr>
        <w:t>with</w:t>
      </w:r>
      <w:r w:rsidRPr="005C5C7E">
        <w:rPr>
          <w:rFonts w:ascii="Arial" w:hAnsi="Arial" w:cs="Arial"/>
          <w:sz w:val="24"/>
          <w:szCs w:val="24"/>
          <w:shd w:val="clear" w:color="auto" w:fill="FFFFFF"/>
        </w:rPr>
        <w:t> </w:t>
      </w:r>
      <w:r w:rsidRPr="005C5C7E">
        <w:rPr>
          <w:rStyle w:val="landing-page-changedtext-0-2-17"/>
          <w:rFonts w:ascii="Arial" w:hAnsi="Arial" w:cs="Arial"/>
          <w:sz w:val="24"/>
          <w:szCs w:val="24"/>
          <w:shd w:val="clear" w:color="auto" w:fill="FFFFFF"/>
        </w:rPr>
        <w:t>a</w:t>
      </w:r>
      <w:r w:rsidRPr="005C5C7E">
        <w:rPr>
          <w:rFonts w:ascii="Arial" w:hAnsi="Arial" w:cs="Arial"/>
          <w:sz w:val="24"/>
          <w:szCs w:val="24"/>
          <w:shd w:val="clear" w:color="auto" w:fill="FFFFFF"/>
        </w:rPr>
        <w:t> statutory defence of an honest opinion.</w:t>
      </w:r>
      <w:r>
        <w:rPr>
          <w:rFonts w:ascii="Arial" w:hAnsi="Arial" w:cs="Arial"/>
          <w:sz w:val="24"/>
          <w:szCs w:val="24"/>
          <w:shd w:val="clear" w:color="auto" w:fill="FFFFFF"/>
        </w:rPr>
        <w:t xml:space="preserve"> This could potentially provide a defence for Kieran under certain circumstances against charges of </w:t>
      </w:r>
      <w:r w:rsidRPr="00792AA3">
        <w:rPr>
          <w:rFonts w:ascii="Arial" w:hAnsi="Arial" w:cs="Arial"/>
          <w:sz w:val="24"/>
          <w:szCs w:val="24"/>
          <w:shd w:val="clear" w:color="auto" w:fill="FFFFFF"/>
        </w:rPr>
        <w:t xml:space="preserve">defamation for </w:t>
      </w:r>
      <w:r w:rsidR="003925E1">
        <w:rPr>
          <w:rFonts w:ascii="Arial" w:hAnsi="Arial" w:cs="Arial"/>
          <w:sz w:val="24"/>
          <w:szCs w:val="24"/>
          <w:shd w:val="clear" w:color="auto" w:fill="FFFFFF"/>
        </w:rPr>
        <w:t>being unaware that the defamatory statements were untrue</w:t>
      </w:r>
      <w:r w:rsidRPr="00792AA3">
        <w:rPr>
          <w:rFonts w:ascii="Arial" w:hAnsi="Arial" w:cs="Arial"/>
          <w:sz w:val="24"/>
          <w:szCs w:val="24"/>
          <w:shd w:val="clear" w:color="auto" w:fill="FFFFFF"/>
        </w:rPr>
        <w:t xml:space="preserve">. </w:t>
      </w:r>
      <w:r w:rsidR="00875498" w:rsidRPr="00792AA3">
        <w:rPr>
          <w:rFonts w:ascii="Arial" w:hAnsi="Arial" w:cs="Arial"/>
          <w:sz w:val="24"/>
          <w:szCs w:val="24"/>
          <w:shd w:val="clear" w:color="auto" w:fill="FFFFFF"/>
        </w:rPr>
        <w:t xml:space="preserve">Wilson (2014). </w:t>
      </w:r>
      <w:r w:rsidR="00792AA3" w:rsidRPr="00792AA3">
        <w:rPr>
          <w:rFonts w:ascii="Arial" w:eastAsia="Times New Roman" w:hAnsi="Arial" w:cs="Arial"/>
          <w:sz w:val="24"/>
          <w:szCs w:val="24"/>
          <w:shd w:val="clear" w:color="auto" w:fill="FFFFFF"/>
          <w:lang w:eastAsia="en-GB"/>
        </w:rPr>
        <w:t xml:space="preserve">A defendant has a defence for defamation under section 3 </w:t>
      </w:r>
      <w:r w:rsidR="00792AA3">
        <w:rPr>
          <w:rFonts w:ascii="Arial" w:eastAsia="Times New Roman" w:hAnsi="Arial" w:cs="Arial"/>
          <w:sz w:val="24"/>
          <w:szCs w:val="24"/>
          <w:shd w:val="clear" w:color="auto" w:fill="FFFFFF"/>
          <w:lang w:eastAsia="en-GB"/>
        </w:rPr>
        <w:t xml:space="preserve">(4) (a) </w:t>
      </w:r>
      <w:r w:rsidR="00792AA3" w:rsidRPr="00792AA3">
        <w:rPr>
          <w:rFonts w:ascii="Arial" w:eastAsia="Times New Roman" w:hAnsi="Arial" w:cs="Arial"/>
          <w:sz w:val="24"/>
          <w:szCs w:val="24"/>
          <w:shd w:val="clear" w:color="auto" w:fill="FFFFFF"/>
          <w:lang w:eastAsia="en-GB"/>
        </w:rPr>
        <w:t>of the</w:t>
      </w:r>
      <w:r w:rsidR="00792AA3" w:rsidRPr="00792AA3">
        <w:rPr>
          <w:rFonts w:ascii="Arial" w:eastAsia="Times New Roman" w:hAnsi="Arial" w:cs="Arial"/>
          <w:sz w:val="24"/>
          <w:szCs w:val="24"/>
          <w:lang w:eastAsia="en-GB"/>
        </w:rPr>
        <w:t xml:space="preserve"> Defamation Act 2013</w:t>
      </w:r>
      <w:r w:rsidR="00027D29">
        <w:rPr>
          <w:rFonts w:ascii="Arial" w:eastAsia="Times New Roman" w:hAnsi="Arial" w:cs="Arial"/>
          <w:sz w:val="24"/>
          <w:szCs w:val="24"/>
          <w:lang w:eastAsia="en-GB"/>
        </w:rPr>
        <w:t xml:space="preserve"> which states</w:t>
      </w:r>
      <w:r w:rsidR="00792AA3" w:rsidRPr="00792AA3">
        <w:rPr>
          <w:rFonts w:ascii="Arial" w:eastAsia="Times New Roman" w:hAnsi="Arial" w:cs="Arial"/>
          <w:sz w:val="24"/>
          <w:szCs w:val="24"/>
          <w:lang w:eastAsia="en-GB"/>
        </w:rPr>
        <w:t xml:space="preserve"> if an honest person could have held the opinion based on any fact existent when the statement complained of was published.</w:t>
      </w:r>
      <w:r w:rsidR="00792AA3" w:rsidRPr="00792AA3">
        <w:rPr>
          <w:rFonts w:ascii="Segoe UI" w:eastAsia="Times New Roman" w:hAnsi="Segoe UI" w:cs="Segoe UI"/>
          <w:sz w:val="23"/>
          <w:szCs w:val="23"/>
          <w:lang w:eastAsia="en-GB"/>
        </w:rPr>
        <w:t xml:space="preserve"> </w:t>
      </w:r>
      <w:r w:rsidR="00027D29">
        <w:rPr>
          <w:rFonts w:ascii="Arial" w:eastAsia="Times New Roman" w:hAnsi="Arial" w:cs="Arial"/>
          <w:sz w:val="24"/>
          <w:szCs w:val="24"/>
          <w:lang w:eastAsia="en-GB"/>
        </w:rPr>
        <w:t xml:space="preserve">This act is relevant </w:t>
      </w:r>
      <w:r w:rsidR="00375F1B">
        <w:rPr>
          <w:rFonts w:ascii="Arial" w:eastAsia="Times New Roman" w:hAnsi="Arial" w:cs="Arial"/>
          <w:sz w:val="24"/>
          <w:szCs w:val="24"/>
          <w:lang w:eastAsia="en-GB"/>
        </w:rPr>
        <w:t>because</w:t>
      </w:r>
      <w:r w:rsidR="00027D29">
        <w:rPr>
          <w:rFonts w:ascii="Arial" w:eastAsia="Times New Roman" w:hAnsi="Arial" w:cs="Arial"/>
          <w:sz w:val="24"/>
          <w:szCs w:val="24"/>
          <w:lang w:eastAsia="en-GB"/>
        </w:rPr>
        <w:t xml:space="preserve"> the defendant was unaware that the statements published were untrue</w:t>
      </w:r>
      <w:r w:rsidR="00080A7F">
        <w:rPr>
          <w:rFonts w:ascii="Arial" w:eastAsia="Times New Roman" w:hAnsi="Arial" w:cs="Arial"/>
          <w:sz w:val="24"/>
          <w:szCs w:val="24"/>
          <w:lang w:eastAsia="en-GB"/>
        </w:rPr>
        <w:t xml:space="preserve">. </w:t>
      </w:r>
    </w:p>
    <w:p w14:paraId="05E4FFF5" w14:textId="77777777" w:rsidR="00D923C8" w:rsidRDefault="00D923C8" w:rsidP="00792AA3">
      <w:pPr>
        <w:rPr>
          <w:rFonts w:ascii="Arial" w:eastAsia="Times New Roman" w:hAnsi="Arial" w:cs="Arial"/>
          <w:sz w:val="24"/>
          <w:szCs w:val="24"/>
          <w:lang w:eastAsia="en-GB"/>
        </w:rPr>
      </w:pPr>
    </w:p>
    <w:p w14:paraId="4A4A8788" w14:textId="283E40ED" w:rsidR="00DA5C90" w:rsidRDefault="00DA5C90" w:rsidP="00792AA3">
      <w:pPr>
        <w:rPr>
          <w:rFonts w:ascii="Arial" w:eastAsia="Times New Roman" w:hAnsi="Arial" w:cs="Arial"/>
          <w:sz w:val="24"/>
          <w:szCs w:val="24"/>
          <w:lang w:eastAsia="en-GB"/>
        </w:rPr>
      </w:pPr>
    </w:p>
    <w:p w14:paraId="774D99BD" w14:textId="46A45203" w:rsidR="00DA5C90" w:rsidRDefault="00DA5C90" w:rsidP="00792AA3">
      <w:pPr>
        <w:rPr>
          <w:rFonts w:ascii="Arial" w:hAnsi="Arial" w:cs="Arial"/>
          <w:sz w:val="24"/>
          <w:szCs w:val="24"/>
          <w:shd w:val="clear" w:color="auto" w:fill="FFFFFF"/>
        </w:rPr>
      </w:pPr>
      <w:r w:rsidRPr="00DA5C90">
        <w:rPr>
          <w:rFonts w:ascii="Arial" w:hAnsi="Arial" w:cs="Arial"/>
          <w:sz w:val="24"/>
          <w:szCs w:val="24"/>
          <w:shd w:val="clear" w:color="auto" w:fill="FFFFFF"/>
        </w:rPr>
        <w:t xml:space="preserve">Like the case scenario, the case Reynolds v Times Newspapers and Others (2001) appeal is about the interaction of two fundamental rights: freedom of expression and </w:t>
      </w:r>
      <w:r w:rsidRPr="00DA5C90">
        <w:rPr>
          <w:rFonts w:ascii="Arial" w:hAnsi="Arial" w:cs="Arial"/>
          <w:sz w:val="24"/>
          <w:szCs w:val="24"/>
          <w:shd w:val="clear" w:color="auto" w:fill="FFFFFF"/>
        </w:rPr>
        <w:lastRenderedPageBreak/>
        <w:t xml:space="preserve">reputation security. According to the newspaper, if a libellous statement of fact is made in the course of political debate, it cannot be held liable if the libel was published fairly. It is only liable if the writer knew the statement was false, if the statement was made recklessly, without regard to its truthfulness, or if it was made for reasons of personal spite or another improper motive. </w:t>
      </w:r>
      <w:r w:rsidR="00C20CC8">
        <w:rPr>
          <w:rFonts w:ascii="Arial" w:hAnsi="Arial" w:cs="Arial"/>
          <w:sz w:val="24"/>
          <w:szCs w:val="24"/>
          <w:shd w:val="clear" w:color="auto" w:fill="FFFFFF"/>
        </w:rPr>
        <w:t xml:space="preserve">This case exemplifies that the defendant may be liable in the case scenario as the defamatory information published by Welsh News Online </w:t>
      </w:r>
      <w:r w:rsidR="00AD1424">
        <w:rPr>
          <w:rFonts w:ascii="Arial" w:hAnsi="Arial" w:cs="Arial"/>
          <w:sz w:val="24"/>
          <w:szCs w:val="24"/>
          <w:shd w:val="clear" w:color="auto" w:fill="FFFFFF"/>
        </w:rPr>
        <w:t xml:space="preserve">was also published recklessly without the reliability of the facts. </w:t>
      </w:r>
    </w:p>
    <w:p w14:paraId="28EB0D57" w14:textId="77777777" w:rsidR="00B309D5" w:rsidRDefault="00B309D5" w:rsidP="00792AA3">
      <w:pPr>
        <w:rPr>
          <w:rFonts w:ascii="Arial" w:hAnsi="Arial" w:cs="Arial"/>
          <w:sz w:val="24"/>
          <w:szCs w:val="24"/>
          <w:shd w:val="clear" w:color="auto" w:fill="FFFFFF"/>
        </w:rPr>
      </w:pPr>
    </w:p>
    <w:p w14:paraId="21DF02C5" w14:textId="0379FB4A" w:rsidR="00B309D5" w:rsidRDefault="00B309D5" w:rsidP="00792AA3">
      <w:pPr>
        <w:rPr>
          <w:rFonts w:ascii="Arial" w:hAnsi="Arial" w:cs="Arial"/>
          <w:sz w:val="24"/>
          <w:szCs w:val="24"/>
          <w:shd w:val="clear" w:color="auto" w:fill="FFFFFF"/>
        </w:rPr>
      </w:pPr>
    </w:p>
    <w:p w14:paraId="79A9F070" w14:textId="2EBF2DE7" w:rsidR="00B309D5" w:rsidRDefault="00B309D5" w:rsidP="00792A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Under the Defamation Act </w:t>
      </w:r>
      <w:r w:rsidR="004F6110">
        <w:rPr>
          <w:rFonts w:ascii="Arial" w:hAnsi="Arial" w:cs="Arial"/>
          <w:color w:val="000000"/>
          <w:sz w:val="24"/>
          <w:szCs w:val="24"/>
          <w:shd w:val="clear" w:color="auto" w:fill="FFFFFF"/>
        </w:rPr>
        <w:t>(</w:t>
      </w:r>
      <w:r>
        <w:rPr>
          <w:rFonts w:ascii="Arial" w:hAnsi="Arial" w:cs="Arial"/>
          <w:color w:val="000000"/>
          <w:sz w:val="24"/>
          <w:szCs w:val="24"/>
          <w:shd w:val="clear" w:color="auto" w:fill="FFFFFF"/>
        </w:rPr>
        <w:t>2013</w:t>
      </w:r>
      <w:r w:rsidR="004F6110">
        <w:rPr>
          <w:rFonts w:ascii="Arial" w:hAnsi="Arial" w:cs="Arial"/>
          <w:color w:val="000000"/>
          <w:sz w:val="24"/>
          <w:szCs w:val="24"/>
          <w:shd w:val="clear" w:color="auto" w:fill="FFFFFF"/>
        </w:rPr>
        <w:t>)</w:t>
      </w:r>
      <w:r w:rsidR="00082AEF">
        <w:rPr>
          <w:rFonts w:ascii="Arial" w:hAnsi="Arial" w:cs="Arial"/>
          <w:color w:val="000000"/>
          <w:sz w:val="24"/>
          <w:szCs w:val="24"/>
          <w:shd w:val="clear" w:color="auto" w:fill="FFFFFF"/>
        </w:rPr>
        <w:t xml:space="preserve">, </w:t>
      </w:r>
      <w:r w:rsidR="005A692C">
        <w:rPr>
          <w:rFonts w:ascii="Arial" w:hAnsi="Arial" w:cs="Arial"/>
          <w:color w:val="000000"/>
          <w:sz w:val="24"/>
          <w:szCs w:val="24"/>
          <w:shd w:val="clear" w:color="auto" w:fill="FFFFFF"/>
        </w:rPr>
        <w:t>it is present</w:t>
      </w:r>
      <w:r>
        <w:rPr>
          <w:rFonts w:ascii="Arial" w:hAnsi="Arial" w:cs="Arial"/>
          <w:color w:val="000000"/>
          <w:sz w:val="24"/>
          <w:szCs w:val="24"/>
          <w:shd w:val="clear" w:color="auto" w:fill="FFFFFF"/>
        </w:rPr>
        <w:t xml:space="preserve"> that p</w:t>
      </w:r>
      <w:r w:rsidRPr="00B309D5">
        <w:rPr>
          <w:rFonts w:ascii="Arial" w:hAnsi="Arial" w:cs="Arial"/>
          <w:color w:val="000000"/>
          <w:sz w:val="24"/>
          <w:szCs w:val="24"/>
          <w:shd w:val="clear" w:color="auto" w:fill="FFFFFF"/>
        </w:rPr>
        <w:t xml:space="preserve">ublication must be the defendant's responsibility, either by doing the publishing themselves or by asking others to do it. A person with chief responsibility for publication is understood to be an author, an editor, or an editor of a commercial publication under the Defamation Act </w:t>
      </w:r>
      <w:r w:rsidR="00883867">
        <w:rPr>
          <w:rFonts w:ascii="Arial" w:hAnsi="Arial" w:cs="Arial"/>
          <w:color w:val="000000"/>
          <w:sz w:val="24"/>
          <w:szCs w:val="24"/>
          <w:shd w:val="clear" w:color="auto" w:fill="FFFFFF"/>
        </w:rPr>
        <w:t>(</w:t>
      </w:r>
      <w:r w:rsidRPr="00B309D5">
        <w:rPr>
          <w:rFonts w:ascii="Arial" w:hAnsi="Arial" w:cs="Arial"/>
          <w:color w:val="000000"/>
          <w:sz w:val="24"/>
          <w:szCs w:val="24"/>
          <w:shd w:val="clear" w:color="auto" w:fill="FFFFFF"/>
        </w:rPr>
        <w:t>1996</w:t>
      </w:r>
      <w:r w:rsidR="00883867">
        <w:rPr>
          <w:rFonts w:ascii="Arial" w:hAnsi="Arial" w:cs="Arial"/>
          <w:color w:val="000000"/>
          <w:sz w:val="24"/>
          <w:szCs w:val="24"/>
          <w:shd w:val="clear" w:color="auto" w:fill="FFFFFF"/>
        </w:rPr>
        <w:t>)</w:t>
      </w:r>
      <w:r w:rsidRPr="00B309D5">
        <w:rPr>
          <w:rFonts w:ascii="Arial" w:hAnsi="Arial" w:cs="Arial"/>
          <w:color w:val="000000"/>
          <w:sz w:val="24"/>
          <w:szCs w:val="24"/>
          <w:shd w:val="clear" w:color="auto" w:fill="FFFFFF"/>
        </w:rPr>
        <w:t xml:space="preserve"> section 1. </w:t>
      </w:r>
      <w:r w:rsidR="00712E39" w:rsidRPr="00712E39">
        <w:rPr>
          <w:rFonts w:ascii="Arial" w:hAnsi="Arial" w:cs="Arial"/>
          <w:color w:val="000000"/>
          <w:sz w:val="24"/>
          <w:szCs w:val="24"/>
          <w:shd w:val="clear" w:color="auto" w:fill="FFFFFF"/>
        </w:rPr>
        <w:t>Only when they are responsible for communicating defamatory material to another party will they</w:t>
      </w:r>
      <w:r w:rsidRPr="00B309D5">
        <w:rPr>
          <w:rFonts w:ascii="Arial" w:hAnsi="Arial" w:cs="Arial"/>
          <w:color w:val="000000"/>
          <w:sz w:val="24"/>
          <w:szCs w:val="24"/>
          <w:shd w:val="clear" w:color="auto" w:fill="FFFFFF"/>
        </w:rPr>
        <w:t xml:space="preserve"> be liable. False statements alone do not constitute an actionable wrong; rather, it is the </w:t>
      </w:r>
      <w:r w:rsidR="00375F1B" w:rsidRPr="00375F1B">
        <w:rPr>
          <w:rFonts w:ascii="Arial" w:hAnsi="Arial" w:cs="Arial"/>
          <w:color w:val="000000"/>
          <w:sz w:val="24"/>
          <w:szCs w:val="24"/>
          <w:shd w:val="clear" w:color="auto" w:fill="FFFFFF"/>
        </w:rPr>
        <w:t>unlawful publication of defamatory material</w:t>
      </w:r>
      <w:r w:rsidRPr="00B309D5">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p>
    <w:p w14:paraId="526F9F6B" w14:textId="77777777" w:rsidR="00240894" w:rsidRDefault="00240894" w:rsidP="00792AA3">
      <w:pPr>
        <w:rPr>
          <w:rFonts w:ascii="Arial" w:hAnsi="Arial" w:cs="Arial"/>
          <w:color w:val="000000"/>
          <w:sz w:val="24"/>
          <w:szCs w:val="24"/>
          <w:shd w:val="clear" w:color="auto" w:fill="FFFFFF"/>
        </w:rPr>
      </w:pPr>
    </w:p>
    <w:p w14:paraId="57DE4136" w14:textId="04788671" w:rsidR="0000263B" w:rsidRDefault="0000263B" w:rsidP="00792AA3">
      <w:pPr>
        <w:rPr>
          <w:rFonts w:ascii="Arial" w:hAnsi="Arial" w:cs="Arial"/>
          <w:color w:val="000000"/>
          <w:sz w:val="24"/>
          <w:szCs w:val="24"/>
          <w:shd w:val="clear" w:color="auto" w:fill="FFFFFF"/>
        </w:rPr>
      </w:pPr>
    </w:p>
    <w:p w14:paraId="1ECA5E04" w14:textId="4E7859C1" w:rsidR="0000263B" w:rsidRDefault="0000263B" w:rsidP="00792AA3">
      <w:pPr>
        <w:rPr>
          <w:rFonts w:ascii="Arial" w:hAnsi="Arial" w:cs="Arial"/>
          <w:color w:val="000000"/>
          <w:sz w:val="24"/>
          <w:szCs w:val="24"/>
          <w:shd w:val="clear" w:color="auto" w:fill="FFFFFF"/>
        </w:rPr>
      </w:pPr>
      <w:r w:rsidRPr="0000263B">
        <w:rPr>
          <w:rFonts w:ascii="Arial" w:hAnsi="Arial" w:cs="Arial"/>
          <w:color w:val="000000"/>
          <w:sz w:val="24"/>
          <w:szCs w:val="24"/>
          <w:shd w:val="clear" w:color="auto" w:fill="FFFFFF"/>
        </w:rPr>
        <w:t xml:space="preserve">It has been established in Lewis v Daily Telegraph that as well as a person, a company can sue for defamatory statements affecting </w:t>
      </w:r>
      <w:r w:rsidR="00671C4B">
        <w:rPr>
          <w:rFonts w:ascii="Arial" w:hAnsi="Arial" w:cs="Arial"/>
          <w:color w:val="000000"/>
          <w:sz w:val="24"/>
          <w:szCs w:val="24"/>
          <w:shd w:val="clear" w:color="auto" w:fill="FFFFFF"/>
        </w:rPr>
        <w:t>their</w:t>
      </w:r>
      <w:r w:rsidRPr="0000263B">
        <w:rPr>
          <w:rFonts w:ascii="Arial" w:hAnsi="Arial" w:cs="Arial"/>
          <w:color w:val="000000"/>
          <w:sz w:val="24"/>
          <w:szCs w:val="24"/>
          <w:shd w:val="clear" w:color="auto" w:fill="FFFFFF"/>
        </w:rPr>
        <w:t xml:space="preserve"> business or reputation. The claimant is protected only from false statements that harm their reputation</w:t>
      </w:r>
      <w:r w:rsidRPr="00976E9E">
        <w:rPr>
          <w:rFonts w:ascii="Arial" w:hAnsi="Arial" w:cs="Arial"/>
          <w:color w:val="000000"/>
          <w:sz w:val="24"/>
          <w:szCs w:val="24"/>
          <w:shd w:val="clear" w:color="auto" w:fill="FFFFFF"/>
        </w:rPr>
        <w:t>. </w:t>
      </w:r>
      <w:r w:rsidR="0072005E" w:rsidRPr="0072005E">
        <w:rPr>
          <w:rFonts w:ascii="Arial" w:hAnsi="Arial" w:cs="Arial"/>
          <w:color w:val="000000"/>
          <w:sz w:val="24"/>
          <w:szCs w:val="24"/>
          <w:shd w:val="clear" w:color="auto" w:fill="FFFFFF"/>
        </w:rPr>
        <w:t>This case illustrates how it is virtually impossible to give accurate information about anything when statements implied there was guilt wherever there was a police inquiry. </w:t>
      </w:r>
      <w:r w:rsidR="00F71F12">
        <w:rPr>
          <w:rFonts w:ascii="Arial" w:hAnsi="Arial" w:cs="Arial"/>
          <w:color w:val="000000"/>
          <w:sz w:val="24"/>
          <w:szCs w:val="24"/>
          <w:shd w:val="clear" w:color="auto" w:fill="FFFFFF"/>
        </w:rPr>
        <w:t xml:space="preserve">Similarly </w:t>
      </w:r>
      <w:r w:rsidR="008153BC">
        <w:rPr>
          <w:rFonts w:ascii="Arial" w:hAnsi="Arial" w:cs="Arial"/>
          <w:color w:val="000000"/>
          <w:sz w:val="24"/>
          <w:szCs w:val="24"/>
          <w:shd w:val="clear" w:color="auto" w:fill="FFFFFF"/>
        </w:rPr>
        <w:t>to this case, t</w:t>
      </w:r>
      <w:r w:rsidR="00083B36">
        <w:rPr>
          <w:rFonts w:ascii="Arial" w:hAnsi="Arial" w:cs="Arial"/>
          <w:color w:val="000000"/>
          <w:sz w:val="24"/>
          <w:szCs w:val="24"/>
          <w:shd w:val="clear" w:color="auto" w:fill="FFFFFF"/>
        </w:rPr>
        <w:t xml:space="preserve">he comment made by Juliet in respect of Kieran implies that </w:t>
      </w:r>
      <w:r w:rsidR="00C248E2">
        <w:rPr>
          <w:rFonts w:ascii="Arial" w:hAnsi="Arial" w:cs="Arial"/>
          <w:color w:val="000000"/>
          <w:sz w:val="24"/>
          <w:szCs w:val="24"/>
          <w:shd w:val="clear" w:color="auto" w:fill="FFFFFF"/>
        </w:rPr>
        <w:t>the defamatory statements were indeed published recklessly and without due care or attention</w:t>
      </w:r>
      <w:r w:rsidR="00A50C51">
        <w:rPr>
          <w:rFonts w:ascii="Arial" w:hAnsi="Arial" w:cs="Arial"/>
          <w:color w:val="000000"/>
          <w:sz w:val="24"/>
          <w:szCs w:val="24"/>
          <w:shd w:val="clear" w:color="auto" w:fill="FFFFFF"/>
        </w:rPr>
        <w:t>,  making a right-thinking member of society associate Ffion with being a “con”</w:t>
      </w:r>
      <w:r w:rsidR="00F71F12">
        <w:rPr>
          <w:rFonts w:ascii="Arial" w:hAnsi="Arial" w:cs="Arial"/>
          <w:color w:val="000000"/>
          <w:sz w:val="24"/>
          <w:szCs w:val="24"/>
          <w:shd w:val="clear" w:color="auto" w:fill="FFFFFF"/>
        </w:rPr>
        <w:t xml:space="preserve">, making it difficult to identify the truth of the information. </w:t>
      </w:r>
      <w:r w:rsidR="00415A94">
        <w:rPr>
          <w:rFonts w:ascii="Arial" w:hAnsi="Arial" w:cs="Arial"/>
          <w:color w:val="000000"/>
          <w:sz w:val="24"/>
          <w:szCs w:val="24"/>
          <w:shd w:val="clear" w:color="auto" w:fill="FFFFFF"/>
        </w:rPr>
        <w:t xml:space="preserve">Mullis and Oliphant (2011). </w:t>
      </w:r>
    </w:p>
    <w:p w14:paraId="7A180F69" w14:textId="0814283B" w:rsidR="00415A94" w:rsidRDefault="00415A94" w:rsidP="00792AA3">
      <w:pPr>
        <w:rPr>
          <w:rFonts w:ascii="Arial" w:hAnsi="Arial" w:cs="Arial"/>
          <w:color w:val="000000"/>
          <w:sz w:val="24"/>
          <w:szCs w:val="24"/>
          <w:shd w:val="clear" w:color="auto" w:fill="FFFFFF"/>
        </w:rPr>
      </w:pPr>
    </w:p>
    <w:p w14:paraId="01F38A5A" w14:textId="77777777" w:rsidR="00CA7D0C" w:rsidRDefault="00CA7D0C" w:rsidP="00792AA3">
      <w:pPr>
        <w:rPr>
          <w:rFonts w:ascii="Arial" w:hAnsi="Arial" w:cs="Arial"/>
          <w:color w:val="000000"/>
          <w:sz w:val="24"/>
          <w:szCs w:val="24"/>
          <w:shd w:val="clear" w:color="auto" w:fill="FFFFFF"/>
        </w:rPr>
      </w:pPr>
    </w:p>
    <w:p w14:paraId="723EDB58" w14:textId="25425154" w:rsidR="008153BC" w:rsidRDefault="007A19B5" w:rsidP="00792AA3">
      <w:pPr>
        <w:rPr>
          <w:rFonts w:ascii="Arial" w:hAnsi="Arial" w:cs="Arial"/>
          <w:color w:val="000000"/>
          <w:sz w:val="24"/>
          <w:szCs w:val="24"/>
          <w:shd w:val="clear" w:color="auto" w:fill="FFFFFF"/>
        </w:rPr>
      </w:pPr>
      <w:r w:rsidRPr="007A19B5">
        <w:rPr>
          <w:rFonts w:ascii="Arial" w:hAnsi="Arial" w:cs="Arial"/>
          <w:color w:val="000000"/>
          <w:sz w:val="24"/>
          <w:szCs w:val="24"/>
          <w:shd w:val="clear" w:color="auto" w:fill="FFFFFF"/>
        </w:rPr>
        <w:t xml:space="preserve">In addition, the defence of qualified privilege must be considered. It provides people with the freedom to speak without fear of defamation proceedings where the freedom to speak is essential. Only statements that are truthful and unintentionally defamatory are protected. As a rule, qualified privilege has not been limited to cases in which there is a foreseeable 'public </w:t>
      </w:r>
      <w:r>
        <w:rPr>
          <w:rFonts w:ascii="Arial" w:hAnsi="Arial" w:cs="Arial"/>
          <w:color w:val="000000"/>
          <w:sz w:val="24"/>
          <w:szCs w:val="24"/>
          <w:shd w:val="clear" w:color="auto" w:fill="FFFFFF"/>
        </w:rPr>
        <w:t>interest</w:t>
      </w:r>
      <w:r w:rsidRPr="007A19B5">
        <w:rPr>
          <w:rFonts w:ascii="Arial" w:hAnsi="Arial" w:cs="Arial"/>
          <w:color w:val="000000"/>
          <w:sz w:val="24"/>
          <w:szCs w:val="24"/>
          <w:shd w:val="clear" w:color="auto" w:fill="FFFFFF"/>
        </w:rPr>
        <w:t xml:space="preserve"> in a particular story being published, even if it can't be proved as true, in the form of the so-called Reynolds defence (now replaced with the statement of 'public </w:t>
      </w:r>
      <w:r>
        <w:rPr>
          <w:rFonts w:ascii="Arial" w:hAnsi="Arial" w:cs="Arial"/>
          <w:color w:val="000000"/>
          <w:sz w:val="24"/>
          <w:szCs w:val="24"/>
          <w:shd w:val="clear" w:color="auto" w:fill="FFFFFF"/>
        </w:rPr>
        <w:t>interest</w:t>
      </w:r>
      <w:r w:rsidRPr="007A19B5">
        <w:rPr>
          <w:rFonts w:ascii="Arial" w:hAnsi="Arial" w:cs="Arial"/>
          <w:color w:val="000000"/>
          <w:sz w:val="24"/>
          <w:szCs w:val="24"/>
          <w:shd w:val="clear" w:color="auto" w:fill="FFFFFF"/>
        </w:rPr>
        <w:t xml:space="preserve"> in the Defamation Act 2013, section 4) is not restricted to such cases. </w:t>
      </w:r>
      <w:r w:rsidR="00691D3F">
        <w:rPr>
          <w:rFonts w:ascii="Arial" w:hAnsi="Arial" w:cs="Arial"/>
          <w:color w:val="000000"/>
          <w:sz w:val="24"/>
          <w:szCs w:val="24"/>
          <w:shd w:val="clear" w:color="auto" w:fill="FFFFFF"/>
        </w:rPr>
        <w:t xml:space="preserve">However, the statements published were false so the </w:t>
      </w:r>
      <w:r w:rsidR="001B41E5">
        <w:rPr>
          <w:rFonts w:ascii="Arial" w:hAnsi="Arial" w:cs="Arial"/>
          <w:color w:val="000000"/>
          <w:sz w:val="24"/>
          <w:szCs w:val="24"/>
          <w:shd w:val="clear" w:color="auto" w:fill="FFFFFF"/>
        </w:rPr>
        <w:t xml:space="preserve">matter of whether Kieran </w:t>
      </w:r>
      <w:r w:rsidR="009A62A3">
        <w:rPr>
          <w:rFonts w:ascii="Arial" w:hAnsi="Arial" w:cs="Arial"/>
          <w:color w:val="000000"/>
          <w:sz w:val="24"/>
          <w:szCs w:val="24"/>
          <w:shd w:val="clear" w:color="auto" w:fill="FFFFFF"/>
        </w:rPr>
        <w:t xml:space="preserve">should be liable </w:t>
      </w:r>
      <w:r w:rsidR="00B23346">
        <w:rPr>
          <w:rFonts w:ascii="Arial" w:hAnsi="Arial" w:cs="Arial"/>
          <w:color w:val="000000"/>
          <w:sz w:val="24"/>
          <w:szCs w:val="24"/>
          <w:shd w:val="clear" w:color="auto" w:fill="FFFFFF"/>
        </w:rPr>
        <w:t>for</w:t>
      </w:r>
      <w:r w:rsidR="009A62A3">
        <w:rPr>
          <w:rFonts w:ascii="Arial" w:hAnsi="Arial" w:cs="Arial"/>
          <w:color w:val="000000"/>
          <w:sz w:val="24"/>
          <w:szCs w:val="24"/>
          <w:shd w:val="clear" w:color="auto" w:fill="FFFFFF"/>
        </w:rPr>
        <w:t xml:space="preserve"> the defamatory statements due </w:t>
      </w:r>
      <w:r w:rsidR="00B23346">
        <w:rPr>
          <w:rFonts w:ascii="Arial" w:hAnsi="Arial" w:cs="Arial"/>
          <w:color w:val="000000"/>
          <w:sz w:val="24"/>
          <w:szCs w:val="24"/>
          <w:shd w:val="clear" w:color="auto" w:fill="FFFFFF"/>
        </w:rPr>
        <w:t xml:space="preserve">to </w:t>
      </w:r>
      <w:r w:rsidR="009A62A3">
        <w:rPr>
          <w:rFonts w:ascii="Arial" w:hAnsi="Arial" w:cs="Arial"/>
          <w:color w:val="000000"/>
          <w:sz w:val="24"/>
          <w:szCs w:val="24"/>
          <w:shd w:val="clear" w:color="auto" w:fill="FFFFFF"/>
        </w:rPr>
        <w:t xml:space="preserve">having </w:t>
      </w:r>
      <w:r w:rsidR="00B23346">
        <w:rPr>
          <w:rFonts w:ascii="Arial" w:hAnsi="Arial" w:cs="Arial"/>
          <w:color w:val="000000"/>
          <w:sz w:val="24"/>
          <w:szCs w:val="24"/>
          <w:shd w:val="clear" w:color="auto" w:fill="FFFFFF"/>
        </w:rPr>
        <w:t xml:space="preserve">a lack of care and attention ought to be left to a judge or jury. </w:t>
      </w:r>
      <w:r w:rsidR="00EC5351">
        <w:rPr>
          <w:rFonts w:ascii="Arial" w:hAnsi="Arial" w:cs="Arial"/>
          <w:color w:val="000000"/>
          <w:sz w:val="24"/>
          <w:szCs w:val="24"/>
          <w:shd w:val="clear" w:color="auto" w:fill="FFFFFF"/>
        </w:rPr>
        <w:t xml:space="preserve">HSE (2022). </w:t>
      </w:r>
    </w:p>
    <w:p w14:paraId="4999CD15" w14:textId="77777777" w:rsidR="00921123" w:rsidRDefault="00921123" w:rsidP="00792AA3">
      <w:pPr>
        <w:rPr>
          <w:rFonts w:ascii="Arial" w:hAnsi="Arial" w:cs="Arial"/>
          <w:color w:val="000000"/>
          <w:sz w:val="24"/>
          <w:szCs w:val="24"/>
          <w:shd w:val="clear" w:color="auto" w:fill="FFFFFF"/>
        </w:rPr>
      </w:pPr>
    </w:p>
    <w:p w14:paraId="176AD636" w14:textId="77777777" w:rsidR="00921123" w:rsidRDefault="00921123" w:rsidP="00792AA3">
      <w:pPr>
        <w:rPr>
          <w:rFonts w:ascii="Arial" w:hAnsi="Arial" w:cs="Arial"/>
          <w:color w:val="000000"/>
          <w:sz w:val="24"/>
          <w:szCs w:val="24"/>
          <w:shd w:val="clear" w:color="auto" w:fill="FFFFFF"/>
        </w:rPr>
      </w:pPr>
    </w:p>
    <w:p w14:paraId="74F94B61" w14:textId="134AAA5F" w:rsidR="00921123" w:rsidRDefault="00496724" w:rsidP="00792AA3">
      <w:pPr>
        <w:rPr>
          <w:rFonts w:ascii="Arial" w:hAnsi="Arial" w:cs="Arial"/>
          <w:color w:val="000000"/>
          <w:sz w:val="24"/>
          <w:szCs w:val="24"/>
          <w:shd w:val="clear" w:color="auto" w:fill="FFFFFF"/>
        </w:rPr>
      </w:pPr>
      <w:r w:rsidRPr="00496724">
        <w:rPr>
          <w:rFonts w:ascii="Arial" w:hAnsi="Arial" w:cs="Arial"/>
          <w:sz w:val="24"/>
          <w:szCs w:val="24"/>
        </w:rPr>
        <w:t>Despite the defamatory claims, Reynolds v Times Newspapers (2001) offers valuable insight into how they were not made with malice</w:t>
      </w:r>
      <w:r w:rsidR="00425DFC" w:rsidRPr="00425DFC">
        <w:rPr>
          <w:rFonts w:ascii="Arial" w:hAnsi="Arial" w:cs="Arial"/>
          <w:color w:val="000000"/>
          <w:sz w:val="24"/>
          <w:szCs w:val="24"/>
          <w:shd w:val="clear" w:color="auto" w:fill="FFFFFF"/>
        </w:rPr>
        <w:t>. This claimant claimed that he had used suppressed information to dishonestly mislead the Dail. As a result of the jury's verdict, the defendants were not found to have been malic</w:t>
      </w:r>
      <w:r w:rsidR="00502550">
        <w:rPr>
          <w:rFonts w:ascii="Arial" w:hAnsi="Arial" w:cs="Arial"/>
          <w:color w:val="000000"/>
          <w:sz w:val="24"/>
          <w:szCs w:val="24"/>
          <w:shd w:val="clear" w:color="auto" w:fill="FFFFFF"/>
        </w:rPr>
        <w:t>iously provoked</w:t>
      </w:r>
      <w:r w:rsidR="00425DFC" w:rsidRPr="00425DFC">
        <w:rPr>
          <w:rFonts w:ascii="Arial" w:hAnsi="Arial" w:cs="Arial"/>
          <w:color w:val="000000"/>
          <w:sz w:val="24"/>
          <w:szCs w:val="24"/>
          <w:shd w:val="clear" w:color="auto" w:fill="FFFFFF"/>
        </w:rPr>
        <w:t>. As long as the data was political, the defendants were entitled to qualified privilege. As long as matters of public concern are dealt with within the protections of privilege and honest comment, then partitioning political debate from other topics of public interest would be wrong. </w:t>
      </w:r>
      <w:r w:rsidR="00425DFC">
        <w:rPr>
          <w:rFonts w:ascii="Arial" w:hAnsi="Arial" w:cs="Arial"/>
          <w:color w:val="000000"/>
          <w:sz w:val="24"/>
          <w:szCs w:val="24"/>
          <w:shd w:val="clear" w:color="auto" w:fill="FFFFFF"/>
        </w:rPr>
        <w:t xml:space="preserve"> </w:t>
      </w:r>
    </w:p>
    <w:p w14:paraId="31CF0444" w14:textId="6DE37759" w:rsidR="00553855" w:rsidRDefault="00553855" w:rsidP="00792AA3">
      <w:pPr>
        <w:rPr>
          <w:rFonts w:ascii="Arial" w:hAnsi="Arial" w:cs="Arial"/>
          <w:color w:val="000000"/>
          <w:sz w:val="24"/>
          <w:szCs w:val="24"/>
          <w:shd w:val="clear" w:color="auto" w:fill="FFFFFF"/>
        </w:rPr>
      </w:pPr>
    </w:p>
    <w:p w14:paraId="4A667895" w14:textId="77777777" w:rsidR="00553855" w:rsidRDefault="00553855" w:rsidP="00792AA3">
      <w:pPr>
        <w:rPr>
          <w:rFonts w:ascii="Arial" w:hAnsi="Arial" w:cs="Arial"/>
          <w:color w:val="000000"/>
          <w:sz w:val="24"/>
          <w:szCs w:val="24"/>
          <w:shd w:val="clear" w:color="auto" w:fill="FFFFFF"/>
        </w:rPr>
      </w:pPr>
    </w:p>
    <w:p w14:paraId="3CC3C7DF" w14:textId="3DD78822" w:rsidR="00885C93" w:rsidRDefault="00885C93" w:rsidP="00792AA3">
      <w:pPr>
        <w:rPr>
          <w:rFonts w:ascii="Arial" w:hAnsi="Arial" w:cs="Arial"/>
          <w:color w:val="000000"/>
          <w:sz w:val="24"/>
          <w:szCs w:val="24"/>
          <w:shd w:val="clear" w:color="auto" w:fill="FFFFFF"/>
        </w:rPr>
      </w:pPr>
    </w:p>
    <w:p w14:paraId="638B665F" w14:textId="4D605067" w:rsidR="00883867" w:rsidRDefault="00310B1D" w:rsidP="00792A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Furthermore, the Defamation Act </w:t>
      </w:r>
      <w:r w:rsidR="00BE0242">
        <w:rPr>
          <w:rFonts w:ascii="Arial" w:hAnsi="Arial" w:cs="Arial"/>
          <w:color w:val="000000"/>
          <w:sz w:val="24"/>
          <w:szCs w:val="24"/>
          <w:shd w:val="clear" w:color="auto" w:fill="FFFFFF"/>
        </w:rPr>
        <w:t>(</w:t>
      </w:r>
      <w:r>
        <w:rPr>
          <w:rFonts w:ascii="Arial" w:hAnsi="Arial" w:cs="Arial"/>
          <w:color w:val="000000"/>
          <w:sz w:val="24"/>
          <w:szCs w:val="24"/>
          <w:shd w:val="clear" w:color="auto" w:fill="FFFFFF"/>
        </w:rPr>
        <w:t>1996</w:t>
      </w:r>
      <w:r w:rsidR="00BE0242">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allows a person to argue that they had a </w:t>
      </w:r>
      <w:r w:rsidR="00BE0242">
        <w:rPr>
          <w:rFonts w:ascii="Arial" w:hAnsi="Arial" w:cs="Arial"/>
          <w:color w:val="000000"/>
          <w:sz w:val="24"/>
          <w:szCs w:val="24"/>
          <w:shd w:val="clear" w:color="auto" w:fill="FFFFFF"/>
        </w:rPr>
        <w:t xml:space="preserve">defence </w:t>
      </w:r>
      <w:r>
        <w:rPr>
          <w:rFonts w:ascii="Arial" w:hAnsi="Arial" w:cs="Arial"/>
          <w:color w:val="000000"/>
          <w:sz w:val="24"/>
          <w:szCs w:val="24"/>
          <w:shd w:val="clear" w:color="auto" w:fill="FFFFFF"/>
        </w:rPr>
        <w:t xml:space="preserve">for publishing when </w:t>
      </w:r>
      <w:r w:rsidR="003E30D2">
        <w:rPr>
          <w:rFonts w:ascii="Arial" w:hAnsi="Arial" w:cs="Arial"/>
          <w:color w:val="000000"/>
          <w:sz w:val="24"/>
          <w:szCs w:val="24"/>
          <w:shd w:val="clear" w:color="auto" w:fill="FFFFFF"/>
        </w:rPr>
        <w:t>pursuing defamation proceedings</w:t>
      </w:r>
      <w:r>
        <w:rPr>
          <w:rFonts w:ascii="Arial" w:hAnsi="Arial" w:cs="Arial"/>
          <w:color w:val="000000"/>
          <w:sz w:val="24"/>
          <w:szCs w:val="24"/>
          <w:shd w:val="clear" w:color="auto" w:fill="FFFFFF"/>
        </w:rPr>
        <w:t>.</w:t>
      </w:r>
      <w:r w:rsidR="00885C93">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 defendant has a defence under section (1) (c), if he is unaware, and has no reason to believe, that what he did caused or contributed to defamatory statements to be published.</w:t>
      </w:r>
      <w:r w:rsidR="00E24B49">
        <w:rPr>
          <w:rFonts w:ascii="Arial" w:hAnsi="Arial" w:cs="Arial"/>
          <w:color w:val="000000"/>
          <w:sz w:val="24"/>
          <w:szCs w:val="24"/>
          <w:shd w:val="clear" w:color="auto" w:fill="FFFFFF"/>
        </w:rPr>
        <w:t xml:space="preserve"> </w:t>
      </w:r>
      <w:r w:rsidR="009B4180" w:rsidRPr="009B4180">
        <w:rPr>
          <w:rFonts w:ascii="Arial" w:hAnsi="Arial" w:cs="Arial"/>
          <w:color w:val="000000"/>
          <w:sz w:val="24"/>
          <w:szCs w:val="24"/>
          <w:shd w:val="clear" w:color="auto" w:fill="FFFFFF"/>
        </w:rPr>
        <w:t>In section (4) of the Act, A person must demonstrate</w:t>
      </w:r>
      <w:r>
        <w:rPr>
          <w:rFonts w:ascii="Arial" w:hAnsi="Arial" w:cs="Arial"/>
          <w:color w:val="000000"/>
          <w:sz w:val="24"/>
          <w:szCs w:val="24"/>
          <w:shd w:val="clear" w:color="auto" w:fill="FFFFFF"/>
        </w:rPr>
        <w:t xml:space="preserve"> that he took reasonable care to prevent </w:t>
      </w:r>
      <w:r w:rsidR="009B4180">
        <w:rPr>
          <w:rFonts w:ascii="Arial" w:hAnsi="Arial" w:cs="Arial"/>
          <w:color w:val="000000"/>
          <w:sz w:val="24"/>
          <w:szCs w:val="24"/>
          <w:shd w:val="clear" w:color="auto" w:fill="FFFFFF"/>
        </w:rPr>
        <w:t xml:space="preserve">the </w:t>
      </w:r>
      <w:r>
        <w:rPr>
          <w:rFonts w:ascii="Arial" w:hAnsi="Arial" w:cs="Arial"/>
          <w:color w:val="000000"/>
          <w:sz w:val="24"/>
          <w:szCs w:val="24"/>
          <w:shd w:val="clear" w:color="auto" w:fill="FFFFFF"/>
        </w:rPr>
        <w:t>publication of the defamatory statement or that he had reason to believe that what he did contribute to its publication.</w:t>
      </w:r>
      <w:r w:rsidR="00E17605">
        <w:rPr>
          <w:rFonts w:ascii="Arial" w:hAnsi="Arial" w:cs="Arial"/>
          <w:color w:val="000000"/>
          <w:sz w:val="24"/>
          <w:szCs w:val="24"/>
          <w:shd w:val="clear" w:color="auto" w:fill="FFFFFF"/>
        </w:rPr>
        <w:t xml:space="preserve"> </w:t>
      </w:r>
      <w:r w:rsidR="00553855">
        <w:rPr>
          <w:rFonts w:ascii="Arial" w:hAnsi="Arial" w:cs="Arial"/>
          <w:color w:val="000000"/>
          <w:sz w:val="24"/>
          <w:szCs w:val="24"/>
          <w:shd w:val="clear" w:color="auto" w:fill="FFFFFF"/>
        </w:rPr>
        <w:t>Kinder (2008).</w:t>
      </w:r>
    </w:p>
    <w:p w14:paraId="3E12312E" w14:textId="711C3E35" w:rsidR="00BE0242" w:rsidRDefault="00553855" w:rsidP="00792A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p>
    <w:p w14:paraId="15E6B534" w14:textId="77777777" w:rsidR="00BE0242" w:rsidRDefault="00BE0242" w:rsidP="00792AA3">
      <w:pPr>
        <w:rPr>
          <w:rFonts w:ascii="Arial" w:hAnsi="Arial" w:cs="Arial"/>
          <w:color w:val="000000"/>
          <w:sz w:val="24"/>
          <w:szCs w:val="24"/>
          <w:shd w:val="clear" w:color="auto" w:fill="FFFFFF"/>
        </w:rPr>
      </w:pPr>
    </w:p>
    <w:p w14:paraId="108E5D31" w14:textId="599E5FC4" w:rsidR="00885C93" w:rsidRDefault="00310B1D" w:rsidP="00792A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 defendant must be aware of the conduct or character of the author, editor or publisher </w:t>
      </w:r>
      <w:r w:rsidR="00BE0242">
        <w:rPr>
          <w:rFonts w:ascii="Arial" w:hAnsi="Arial" w:cs="Arial"/>
          <w:color w:val="000000"/>
          <w:sz w:val="24"/>
          <w:szCs w:val="24"/>
          <w:shd w:val="clear" w:color="auto" w:fill="FFFFFF"/>
        </w:rPr>
        <w:t>of</w:t>
      </w:r>
      <w:r>
        <w:rPr>
          <w:rFonts w:ascii="Arial" w:hAnsi="Arial" w:cs="Arial"/>
          <w:color w:val="000000"/>
          <w:sz w:val="24"/>
          <w:szCs w:val="24"/>
          <w:shd w:val="clear" w:color="auto" w:fill="FFFFFF"/>
        </w:rPr>
        <w:t xml:space="preserve"> the publication as described in </w:t>
      </w:r>
      <w:r w:rsidR="009B4180">
        <w:rPr>
          <w:rFonts w:ascii="Arial" w:hAnsi="Arial" w:cs="Arial"/>
          <w:color w:val="000000"/>
          <w:sz w:val="24"/>
          <w:szCs w:val="24"/>
          <w:shd w:val="clear" w:color="auto" w:fill="FFFFFF"/>
        </w:rPr>
        <w:t xml:space="preserve">the Defamation Act 1996 section </w:t>
      </w:r>
      <w:r>
        <w:rPr>
          <w:rFonts w:ascii="Arial" w:hAnsi="Arial" w:cs="Arial"/>
          <w:color w:val="000000"/>
          <w:sz w:val="24"/>
          <w:szCs w:val="24"/>
          <w:shd w:val="clear" w:color="auto" w:fill="FFFFFF"/>
        </w:rPr>
        <w:t>(4) (c).</w:t>
      </w:r>
      <w:r w:rsidR="00E17605">
        <w:rPr>
          <w:rFonts w:ascii="Arial" w:hAnsi="Arial" w:cs="Arial"/>
          <w:color w:val="000000"/>
          <w:sz w:val="24"/>
          <w:szCs w:val="24"/>
          <w:shd w:val="clear" w:color="auto" w:fill="FFFFFF"/>
        </w:rPr>
        <w:t xml:space="preserve"> This brings attention to Juliet’s comment made about the author, reflecting him to be disrespectful of women’s success</w:t>
      </w:r>
      <w:r>
        <w:rPr>
          <w:rFonts w:ascii="Arial" w:hAnsi="Arial" w:cs="Arial"/>
          <w:color w:val="000000"/>
          <w:sz w:val="24"/>
          <w:szCs w:val="24"/>
          <w:shd w:val="clear" w:color="auto" w:fill="FFFFFF"/>
        </w:rPr>
        <w:t xml:space="preserve">, consequently </w:t>
      </w:r>
      <w:r w:rsidR="00883867">
        <w:rPr>
          <w:rFonts w:ascii="Arial" w:hAnsi="Arial" w:cs="Arial"/>
          <w:color w:val="000000"/>
          <w:sz w:val="24"/>
          <w:szCs w:val="24"/>
          <w:shd w:val="clear" w:color="auto" w:fill="FFFFFF"/>
        </w:rPr>
        <w:t>implying Kieran was</w:t>
      </w:r>
      <w:r w:rsidR="00BE0242">
        <w:rPr>
          <w:rFonts w:ascii="Arial" w:hAnsi="Arial" w:cs="Arial"/>
          <w:color w:val="000000"/>
          <w:sz w:val="24"/>
          <w:szCs w:val="24"/>
          <w:shd w:val="clear" w:color="auto" w:fill="FFFFFF"/>
        </w:rPr>
        <w:t xml:space="preserve"> recklessly unaware of the author’s reliability and credibility</w:t>
      </w:r>
      <w:r w:rsidR="009B4180">
        <w:rPr>
          <w:rFonts w:ascii="Arial" w:hAnsi="Arial" w:cs="Arial"/>
          <w:color w:val="000000"/>
          <w:sz w:val="24"/>
          <w:szCs w:val="24"/>
          <w:shd w:val="clear" w:color="auto" w:fill="FFFFFF"/>
        </w:rPr>
        <w:t xml:space="preserve"> when discussing a businesswoman</w:t>
      </w:r>
      <w:r w:rsidR="00BE0242">
        <w:rPr>
          <w:rFonts w:ascii="Arial" w:hAnsi="Arial" w:cs="Arial"/>
          <w:color w:val="000000"/>
          <w:sz w:val="24"/>
          <w:szCs w:val="24"/>
          <w:shd w:val="clear" w:color="auto" w:fill="FFFFFF"/>
        </w:rPr>
        <w:t xml:space="preserve">. </w:t>
      </w:r>
      <w:r w:rsidR="000E57B2">
        <w:rPr>
          <w:rFonts w:ascii="Arial" w:hAnsi="Arial" w:cs="Arial"/>
          <w:color w:val="000000"/>
          <w:sz w:val="24"/>
          <w:szCs w:val="24"/>
          <w:shd w:val="clear" w:color="auto" w:fill="FFFFFF"/>
        </w:rPr>
        <w:t>Therefore, it can be seen that Kieran (the editor), did not take reasonable care with the responsibility of the decision to publish the content of the defamatory statements.</w:t>
      </w:r>
      <w:r w:rsidR="00553855">
        <w:rPr>
          <w:rFonts w:ascii="Arial" w:hAnsi="Arial" w:cs="Arial"/>
          <w:color w:val="000000"/>
          <w:sz w:val="24"/>
          <w:szCs w:val="24"/>
          <w:shd w:val="clear" w:color="auto" w:fill="FFFFFF"/>
        </w:rPr>
        <w:t xml:space="preserve"> </w:t>
      </w:r>
      <w:r w:rsidR="00805E97">
        <w:rPr>
          <w:rFonts w:ascii="Arial" w:hAnsi="Arial" w:cs="Arial"/>
          <w:color w:val="000000"/>
          <w:sz w:val="24"/>
          <w:szCs w:val="24"/>
          <w:shd w:val="clear" w:color="auto" w:fill="FFFFFF"/>
        </w:rPr>
        <w:t xml:space="preserve">The fact that Juliet has parliamentary privilege gives insight as to the kind </w:t>
      </w:r>
      <w:r w:rsidR="00496724">
        <w:rPr>
          <w:rFonts w:ascii="Arial" w:hAnsi="Arial" w:cs="Arial"/>
          <w:color w:val="000000"/>
          <w:sz w:val="24"/>
          <w:szCs w:val="24"/>
          <w:shd w:val="clear" w:color="auto" w:fill="FFFFFF"/>
        </w:rPr>
        <w:t xml:space="preserve">of </w:t>
      </w:r>
      <w:r w:rsidR="00805E97">
        <w:rPr>
          <w:rFonts w:ascii="Arial" w:hAnsi="Arial" w:cs="Arial"/>
          <w:color w:val="000000"/>
          <w:sz w:val="24"/>
          <w:szCs w:val="24"/>
          <w:shd w:val="clear" w:color="auto" w:fill="FFFFFF"/>
        </w:rPr>
        <w:t xml:space="preserve">view an MP has </w:t>
      </w:r>
      <w:r w:rsidR="00496724">
        <w:rPr>
          <w:rFonts w:ascii="Arial" w:hAnsi="Arial" w:cs="Arial"/>
          <w:color w:val="000000"/>
          <w:sz w:val="24"/>
          <w:szCs w:val="24"/>
          <w:shd w:val="clear" w:color="auto" w:fill="FFFFFF"/>
        </w:rPr>
        <w:t xml:space="preserve">on the author’s content and character. </w:t>
      </w:r>
      <w:r w:rsidR="009B4180">
        <w:rPr>
          <w:rFonts w:ascii="Arial" w:hAnsi="Arial" w:cs="Arial"/>
          <w:color w:val="000000"/>
          <w:sz w:val="24"/>
          <w:szCs w:val="24"/>
          <w:shd w:val="clear" w:color="auto" w:fill="FFFFFF"/>
        </w:rPr>
        <w:t xml:space="preserve">Ministry of Justice (2019). </w:t>
      </w:r>
      <w:r w:rsidR="00553855">
        <w:rPr>
          <w:rFonts w:ascii="Arial" w:hAnsi="Arial" w:cs="Arial"/>
          <w:color w:val="000000"/>
          <w:sz w:val="24"/>
          <w:szCs w:val="24"/>
          <w:shd w:val="clear" w:color="auto" w:fill="FFFFFF"/>
        </w:rPr>
        <w:t xml:space="preserve"> </w:t>
      </w:r>
    </w:p>
    <w:p w14:paraId="5AB10DF9" w14:textId="77777777" w:rsidR="00342C6E" w:rsidRDefault="00342C6E" w:rsidP="00792AA3">
      <w:pPr>
        <w:rPr>
          <w:rFonts w:ascii="Arial" w:hAnsi="Arial" w:cs="Arial"/>
          <w:color w:val="000000"/>
          <w:sz w:val="24"/>
          <w:szCs w:val="24"/>
          <w:shd w:val="clear" w:color="auto" w:fill="FFFFFF"/>
        </w:rPr>
      </w:pPr>
    </w:p>
    <w:p w14:paraId="35444139" w14:textId="168706F2" w:rsidR="00553855" w:rsidRDefault="00553855" w:rsidP="00792AA3">
      <w:pPr>
        <w:rPr>
          <w:rFonts w:ascii="Arial" w:hAnsi="Arial" w:cs="Arial"/>
          <w:color w:val="000000"/>
          <w:sz w:val="24"/>
          <w:szCs w:val="24"/>
          <w:shd w:val="clear" w:color="auto" w:fill="FFFFFF"/>
        </w:rPr>
      </w:pPr>
    </w:p>
    <w:p w14:paraId="55222038" w14:textId="24F1F7B0" w:rsidR="00553855" w:rsidRPr="00691D3F" w:rsidRDefault="00553855" w:rsidP="00792A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To conclude, it is clear to see that Ffion is capable to </w:t>
      </w:r>
      <w:r w:rsidR="000B4BDE">
        <w:rPr>
          <w:rFonts w:ascii="Arial" w:hAnsi="Arial" w:cs="Arial"/>
          <w:color w:val="000000"/>
          <w:sz w:val="24"/>
          <w:szCs w:val="24"/>
          <w:shd w:val="clear" w:color="auto" w:fill="FFFFFF"/>
        </w:rPr>
        <w:t>claim</w:t>
      </w:r>
      <w:r w:rsidR="00AD5C2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defamation </w:t>
      </w:r>
      <w:r w:rsidR="003951CF">
        <w:rPr>
          <w:rFonts w:ascii="Arial" w:hAnsi="Arial" w:cs="Arial"/>
          <w:color w:val="000000"/>
          <w:sz w:val="24"/>
          <w:szCs w:val="24"/>
          <w:shd w:val="clear" w:color="auto" w:fill="FFFFFF"/>
        </w:rPr>
        <w:t xml:space="preserve">considering the detrimental factors causing serious harm to her reputation and business. The outcome of the defamatory statements published by WNO under the hands of Kieran the editor and other participants evokes how the lack of credibility was considered. There are many factors supporting why Kieran would be unable to </w:t>
      </w:r>
      <w:r w:rsidR="00342C6E">
        <w:rPr>
          <w:rFonts w:ascii="Arial" w:hAnsi="Arial" w:cs="Arial"/>
          <w:color w:val="000000"/>
          <w:sz w:val="24"/>
          <w:szCs w:val="24"/>
          <w:shd w:val="clear" w:color="auto" w:fill="FFFFFF"/>
        </w:rPr>
        <w:t>claim</w:t>
      </w:r>
      <w:r w:rsidR="003951CF">
        <w:rPr>
          <w:rFonts w:ascii="Arial" w:hAnsi="Arial" w:cs="Arial"/>
          <w:color w:val="000000"/>
          <w:sz w:val="24"/>
          <w:szCs w:val="24"/>
          <w:shd w:val="clear" w:color="auto" w:fill="FFFFFF"/>
        </w:rPr>
        <w:t xml:space="preserve"> defamation due to the statements being untrue, the lack of care behind these statements</w:t>
      </w:r>
      <w:r w:rsidR="000B4BDE">
        <w:rPr>
          <w:rFonts w:ascii="Arial" w:hAnsi="Arial" w:cs="Arial"/>
          <w:color w:val="000000"/>
          <w:sz w:val="24"/>
          <w:szCs w:val="24"/>
          <w:shd w:val="clear" w:color="auto" w:fill="FFFFFF"/>
        </w:rPr>
        <w:t xml:space="preserve">, the implied notion from Juliet that the author has negative views of a woman succeeding </w:t>
      </w:r>
      <w:r w:rsidR="000B4BDE">
        <w:rPr>
          <w:rFonts w:ascii="Arial" w:hAnsi="Arial" w:cs="Arial"/>
          <w:color w:val="000000"/>
          <w:sz w:val="24"/>
          <w:szCs w:val="24"/>
          <w:shd w:val="clear" w:color="auto" w:fill="FFFFFF"/>
        </w:rPr>
        <w:lastRenderedPageBreak/>
        <w:t>and how</w:t>
      </w:r>
      <w:r w:rsidR="00691D3F">
        <w:rPr>
          <w:rFonts w:ascii="Arial" w:hAnsi="Arial" w:cs="Arial"/>
          <w:color w:val="000000"/>
          <w:sz w:val="24"/>
          <w:szCs w:val="24"/>
          <w:shd w:val="clear" w:color="auto" w:fill="FFFFFF"/>
        </w:rPr>
        <w:t xml:space="preserve"> the defendant did not take proper procedures in knowing the character of the author nor his intentions. This evokes </w:t>
      </w:r>
      <w:r w:rsidR="003951CF">
        <w:rPr>
          <w:rFonts w:ascii="Arial" w:hAnsi="Arial" w:cs="Arial"/>
          <w:color w:val="000000"/>
          <w:sz w:val="24"/>
          <w:szCs w:val="24"/>
          <w:shd w:val="clear" w:color="auto" w:fill="FFFFFF"/>
        </w:rPr>
        <w:t xml:space="preserve">how </w:t>
      </w:r>
      <w:r w:rsidR="00342C6E">
        <w:rPr>
          <w:rFonts w:ascii="Arial" w:hAnsi="Arial" w:cs="Arial"/>
          <w:color w:val="000000"/>
          <w:sz w:val="24"/>
          <w:szCs w:val="24"/>
          <w:shd w:val="clear" w:color="auto" w:fill="FFFFFF"/>
        </w:rPr>
        <w:t xml:space="preserve">he, along with the author and publisher, can be considered </w:t>
      </w:r>
      <w:r w:rsidR="00AD5C2C">
        <w:rPr>
          <w:rFonts w:ascii="Arial" w:hAnsi="Arial" w:cs="Arial"/>
          <w:color w:val="000000"/>
          <w:sz w:val="24"/>
          <w:szCs w:val="24"/>
          <w:shd w:val="clear" w:color="auto" w:fill="FFFFFF"/>
        </w:rPr>
        <w:t xml:space="preserve">responsible for causing serious harm to the claimant. </w:t>
      </w:r>
      <w:r w:rsidR="000B4BDE">
        <w:rPr>
          <w:rFonts w:ascii="Arial" w:hAnsi="Arial" w:cs="Arial"/>
          <w:color w:val="000000"/>
          <w:sz w:val="24"/>
          <w:szCs w:val="24"/>
          <w:shd w:val="clear" w:color="auto" w:fill="FFFFFF"/>
        </w:rPr>
        <w:t xml:space="preserve">Vara (2013). </w:t>
      </w:r>
    </w:p>
    <w:p w14:paraId="0925CE1A" w14:textId="70573A6A" w:rsidR="005A692C" w:rsidRDefault="005A692C" w:rsidP="00792AA3">
      <w:pPr>
        <w:rPr>
          <w:rFonts w:ascii="Arial" w:hAnsi="Arial" w:cs="Arial"/>
          <w:color w:val="000000"/>
          <w:sz w:val="24"/>
          <w:szCs w:val="24"/>
          <w:shd w:val="clear" w:color="auto" w:fill="FFFFFF"/>
        </w:rPr>
      </w:pPr>
    </w:p>
    <w:p w14:paraId="5D68E845" w14:textId="77777777" w:rsidR="00965F4A" w:rsidRDefault="00965F4A" w:rsidP="00792AA3">
      <w:pPr>
        <w:rPr>
          <w:rFonts w:ascii="Arial" w:hAnsi="Arial" w:cs="Arial"/>
          <w:color w:val="000000"/>
          <w:sz w:val="24"/>
          <w:szCs w:val="24"/>
          <w:shd w:val="clear" w:color="auto" w:fill="FFFFFF"/>
        </w:rPr>
      </w:pPr>
    </w:p>
    <w:p w14:paraId="6EA8F183" w14:textId="7D505E61" w:rsidR="00960039" w:rsidRPr="00097F20" w:rsidRDefault="00960039" w:rsidP="00960039">
      <w:pPr>
        <w:shd w:val="clear" w:color="auto" w:fill="FFFFFF"/>
        <w:spacing w:after="0" w:line="0" w:lineRule="auto"/>
        <w:rPr>
          <w:rFonts w:ascii="Arial" w:eastAsia="Times New Roman" w:hAnsi="Arial" w:cs="Arial"/>
          <w:color w:val="000000"/>
          <w:spacing w:val="783"/>
          <w:sz w:val="24"/>
          <w:szCs w:val="24"/>
          <w:lang w:eastAsia="en-GB"/>
        </w:rPr>
      </w:pPr>
      <w:bookmarkStart w:id="3" w:name="_Hlk101833868"/>
      <w:r w:rsidRPr="00097F20">
        <w:rPr>
          <w:rFonts w:ascii="Arial" w:eastAsia="Times New Roman" w:hAnsi="Arial" w:cs="Arial"/>
          <w:color w:val="000000"/>
          <w:sz w:val="24"/>
          <w:szCs w:val="24"/>
          <w:lang w:eastAsia="en-GB"/>
        </w:rPr>
        <w:t xml:space="preserve">At the core of Defamation is the statement of Lord Atkin that </w:t>
      </w:r>
      <w:r w:rsidR="004D34D8" w:rsidRPr="00097F20">
        <w:rPr>
          <w:rFonts w:ascii="Arial" w:eastAsia="Times New Roman" w:hAnsi="Arial" w:cs="Arial"/>
          <w:color w:val="000000"/>
          <w:sz w:val="24"/>
          <w:szCs w:val="24"/>
          <w:lang w:eastAsia="en-GB"/>
        </w:rPr>
        <w:t>defamatory</w:t>
      </w:r>
      <w:r w:rsidRPr="00097F20">
        <w:rPr>
          <w:rFonts w:ascii="Arial" w:eastAsia="Times New Roman" w:hAnsi="Arial" w:cs="Arial"/>
          <w:color w:val="000000"/>
          <w:sz w:val="24"/>
          <w:szCs w:val="24"/>
          <w:lang w:eastAsia="en-GB"/>
        </w:rPr>
        <w:t xml:space="preserve"> </w:t>
      </w:r>
    </w:p>
    <w:p w14:paraId="45699EBF" w14:textId="77777777" w:rsidR="00960039" w:rsidRPr="00097F20" w:rsidRDefault="00960039" w:rsidP="00960039">
      <w:pPr>
        <w:shd w:val="clear" w:color="auto" w:fill="FFFFFF"/>
        <w:spacing w:after="0" w:line="240" w:lineRule="auto"/>
        <w:rPr>
          <w:rFonts w:ascii="Arial" w:eastAsia="Times New Roman" w:hAnsi="Arial" w:cs="Arial"/>
          <w:color w:val="000000"/>
          <w:sz w:val="24"/>
          <w:szCs w:val="24"/>
          <w:lang w:eastAsia="en-GB"/>
        </w:rPr>
      </w:pPr>
    </w:p>
    <w:bookmarkEnd w:id="3"/>
    <w:p w14:paraId="7D843C2B" w14:textId="77777777" w:rsidR="00960039" w:rsidRPr="00097F20" w:rsidRDefault="00960039" w:rsidP="00960039">
      <w:pPr>
        <w:shd w:val="clear" w:color="auto" w:fill="FFFFFF"/>
        <w:spacing w:after="0" w:line="240" w:lineRule="auto"/>
        <w:rPr>
          <w:rFonts w:ascii="Arial" w:eastAsia="Times New Roman" w:hAnsi="Arial" w:cs="Arial"/>
          <w:color w:val="000000"/>
          <w:sz w:val="24"/>
          <w:szCs w:val="24"/>
          <w:lang w:eastAsia="en-GB"/>
        </w:rPr>
      </w:pPr>
    </w:p>
    <w:p w14:paraId="4268EC55" w14:textId="77777777" w:rsidR="00F65867" w:rsidRPr="00097F20" w:rsidRDefault="00F65867" w:rsidP="00960039">
      <w:pPr>
        <w:shd w:val="clear" w:color="auto" w:fill="FFFFFF"/>
        <w:spacing w:after="0" w:line="240" w:lineRule="auto"/>
        <w:rPr>
          <w:rFonts w:ascii="Arial" w:eastAsia="Times New Roman" w:hAnsi="Arial" w:cs="Arial"/>
          <w:color w:val="000000"/>
          <w:sz w:val="24"/>
          <w:szCs w:val="24"/>
          <w:lang w:eastAsia="en-GB"/>
        </w:rPr>
      </w:pPr>
    </w:p>
    <w:p w14:paraId="69C75F55" w14:textId="77777777" w:rsidR="00960039" w:rsidRPr="00097F20" w:rsidRDefault="00960039" w:rsidP="00960039">
      <w:pPr>
        <w:shd w:val="clear" w:color="auto" w:fill="FFFFFF"/>
        <w:spacing w:after="0" w:line="0" w:lineRule="auto"/>
        <w:rPr>
          <w:rFonts w:ascii="Arial" w:eastAsia="Times New Roman" w:hAnsi="Arial" w:cs="Arial"/>
          <w:color w:val="000000"/>
          <w:sz w:val="24"/>
          <w:szCs w:val="24"/>
          <w:lang w:eastAsia="en-GB"/>
        </w:rPr>
      </w:pPr>
      <w:r w:rsidRPr="00097F20">
        <w:rPr>
          <w:rFonts w:ascii="Arial" w:eastAsia="Times New Roman" w:hAnsi="Arial" w:cs="Arial"/>
          <w:color w:val="000000"/>
          <w:sz w:val="24"/>
          <w:szCs w:val="24"/>
          <w:lang w:eastAsia="en-GB"/>
        </w:rPr>
        <w:t>Stretch).</w:t>
      </w:r>
    </w:p>
    <w:p w14:paraId="0167493B" w14:textId="77777777" w:rsidR="00960039" w:rsidRPr="00097F20" w:rsidRDefault="00960039" w:rsidP="006D54D8">
      <w:pPr>
        <w:spacing w:line="240" w:lineRule="auto"/>
        <w:rPr>
          <w:rFonts w:ascii="Arial" w:hAnsi="Arial" w:cs="Arial"/>
          <w:sz w:val="24"/>
          <w:szCs w:val="24"/>
          <w:shd w:val="clear" w:color="auto" w:fill="FFFFFF"/>
        </w:rPr>
      </w:pPr>
    </w:p>
    <w:p w14:paraId="2AA0D460" w14:textId="7700432F" w:rsidR="00960039" w:rsidRPr="00097F20" w:rsidRDefault="00960039" w:rsidP="006D54D8">
      <w:pPr>
        <w:spacing w:line="240" w:lineRule="auto"/>
        <w:rPr>
          <w:rFonts w:ascii="Arial" w:hAnsi="Arial" w:cs="Arial"/>
          <w:sz w:val="24"/>
          <w:szCs w:val="24"/>
          <w:shd w:val="clear" w:color="auto" w:fill="FFFFFF"/>
        </w:rPr>
      </w:pPr>
    </w:p>
    <w:p w14:paraId="26F724D6" w14:textId="3AD615DD" w:rsidR="00960039" w:rsidRPr="00097F20" w:rsidRDefault="00960039" w:rsidP="00960039">
      <w:pPr>
        <w:shd w:val="clear" w:color="auto" w:fill="FFFFFF"/>
        <w:spacing w:after="0" w:line="0" w:lineRule="auto"/>
        <w:rPr>
          <w:rFonts w:ascii="Arial" w:eastAsia="Times New Roman" w:hAnsi="Arial" w:cs="Arial"/>
          <w:color w:val="000000"/>
          <w:spacing w:val="783"/>
          <w:sz w:val="24"/>
          <w:szCs w:val="24"/>
          <w:lang w:eastAsia="en-GB"/>
        </w:rPr>
      </w:pPr>
      <w:r w:rsidRPr="00097F20">
        <w:rPr>
          <w:rFonts w:ascii="Arial" w:eastAsia="Times New Roman" w:hAnsi="Arial" w:cs="Arial"/>
          <w:color w:val="000000"/>
          <w:sz w:val="24"/>
          <w:szCs w:val="24"/>
          <w:lang w:eastAsia="en-GB"/>
        </w:rPr>
        <w:t xml:space="preserve">At the core of Defamation is the statement of Lord Atkin that </w:t>
      </w:r>
      <w:r w:rsidR="004D34D8" w:rsidRPr="00097F20">
        <w:rPr>
          <w:rFonts w:ascii="Arial" w:eastAsia="Times New Roman" w:hAnsi="Arial" w:cs="Arial"/>
          <w:color w:val="000000"/>
          <w:sz w:val="24"/>
          <w:szCs w:val="24"/>
          <w:lang w:eastAsia="en-GB"/>
        </w:rPr>
        <w:t>defamatory</w:t>
      </w:r>
      <w:r w:rsidRPr="00097F20">
        <w:rPr>
          <w:rFonts w:ascii="Arial" w:eastAsia="Times New Roman" w:hAnsi="Arial" w:cs="Arial"/>
          <w:color w:val="000000"/>
          <w:sz w:val="24"/>
          <w:szCs w:val="24"/>
          <w:lang w:eastAsia="en-GB"/>
        </w:rPr>
        <w:t xml:space="preserve"> </w:t>
      </w:r>
    </w:p>
    <w:p w14:paraId="724CE4E7" w14:textId="77777777" w:rsidR="00960039" w:rsidRPr="00097F20" w:rsidRDefault="00960039" w:rsidP="00960039">
      <w:pPr>
        <w:shd w:val="clear" w:color="auto" w:fill="FFFFFF"/>
        <w:spacing w:after="0" w:line="0" w:lineRule="auto"/>
        <w:rPr>
          <w:rFonts w:ascii="Arial" w:eastAsia="Times New Roman" w:hAnsi="Arial" w:cs="Arial"/>
          <w:color w:val="000000"/>
          <w:sz w:val="24"/>
          <w:szCs w:val="24"/>
          <w:lang w:eastAsia="en-GB"/>
        </w:rPr>
      </w:pPr>
      <w:r w:rsidRPr="00097F20">
        <w:rPr>
          <w:rFonts w:ascii="Arial" w:eastAsia="Times New Roman" w:hAnsi="Arial" w:cs="Arial"/>
          <w:color w:val="000000"/>
          <w:sz w:val="24"/>
          <w:szCs w:val="24"/>
          <w:lang w:eastAsia="en-GB"/>
        </w:rPr>
        <w:t xml:space="preserve">Stretch). </w:t>
      </w:r>
    </w:p>
    <w:p w14:paraId="0A4F05D0" w14:textId="2AAFA3E7" w:rsidR="00971DEB" w:rsidRPr="00097F20" w:rsidRDefault="00971DEB" w:rsidP="00960039">
      <w:pPr>
        <w:shd w:val="clear" w:color="auto" w:fill="FFFFFF"/>
        <w:spacing w:after="0" w:line="0" w:lineRule="auto"/>
        <w:rPr>
          <w:rFonts w:ascii="Arial" w:eastAsia="Times New Roman" w:hAnsi="Arial" w:cs="Arial"/>
          <w:color w:val="000000"/>
          <w:spacing w:val="783"/>
          <w:sz w:val="24"/>
          <w:szCs w:val="24"/>
          <w:lang w:eastAsia="en-GB"/>
        </w:rPr>
      </w:pPr>
    </w:p>
    <w:p w14:paraId="27DCB569" w14:textId="73AE2437" w:rsidR="00971DEB" w:rsidRPr="00097F20" w:rsidRDefault="00971DEB">
      <w:pPr>
        <w:rPr>
          <w:rFonts w:ascii="Arial" w:hAnsi="Arial" w:cs="Arial"/>
          <w:b/>
          <w:bCs/>
          <w:color w:val="000000"/>
          <w:sz w:val="24"/>
          <w:szCs w:val="24"/>
          <w:shd w:val="clear" w:color="auto" w:fill="FFFFFF"/>
        </w:rPr>
      </w:pPr>
    </w:p>
    <w:p w14:paraId="090E3023" w14:textId="77777777" w:rsidR="002D477F" w:rsidRPr="00097F20" w:rsidRDefault="002D477F">
      <w:pPr>
        <w:rPr>
          <w:rFonts w:ascii="Arial" w:hAnsi="Arial" w:cs="Arial"/>
          <w:color w:val="000000"/>
          <w:sz w:val="24"/>
          <w:szCs w:val="24"/>
          <w:shd w:val="clear" w:color="auto" w:fill="FFFFFF"/>
        </w:rPr>
      </w:pPr>
    </w:p>
    <w:p w14:paraId="022F6B6C" w14:textId="77777777" w:rsidR="002D477F" w:rsidRPr="00097F20" w:rsidRDefault="002D477F">
      <w:pPr>
        <w:rPr>
          <w:rFonts w:ascii="Arial" w:hAnsi="Arial" w:cs="Arial"/>
          <w:color w:val="000000"/>
          <w:sz w:val="24"/>
          <w:szCs w:val="24"/>
          <w:shd w:val="clear" w:color="auto" w:fill="FFFFFF"/>
        </w:rPr>
      </w:pPr>
    </w:p>
    <w:p w14:paraId="4C77C2A5" w14:textId="77777777" w:rsidR="002D477F" w:rsidRPr="00097F20" w:rsidRDefault="002D477F">
      <w:pPr>
        <w:rPr>
          <w:rFonts w:ascii="Arial" w:hAnsi="Arial" w:cs="Arial"/>
          <w:color w:val="000000"/>
          <w:sz w:val="24"/>
          <w:szCs w:val="24"/>
          <w:shd w:val="clear" w:color="auto" w:fill="FFFFFF"/>
        </w:rPr>
      </w:pPr>
    </w:p>
    <w:p w14:paraId="4068665C" w14:textId="77777777" w:rsidR="002D477F" w:rsidRDefault="002D477F">
      <w:pPr>
        <w:rPr>
          <w:rFonts w:ascii="Arial" w:hAnsi="Arial" w:cs="Arial"/>
          <w:color w:val="000000"/>
          <w:sz w:val="24"/>
          <w:szCs w:val="24"/>
          <w:shd w:val="clear" w:color="auto" w:fill="FFFFFF"/>
        </w:rPr>
      </w:pPr>
    </w:p>
    <w:p w14:paraId="1C38FEC7" w14:textId="77777777" w:rsidR="000B4BDE" w:rsidRDefault="000B4BDE">
      <w:pPr>
        <w:rPr>
          <w:rFonts w:ascii="Arial" w:hAnsi="Arial" w:cs="Arial"/>
          <w:color w:val="000000"/>
          <w:sz w:val="24"/>
          <w:szCs w:val="24"/>
          <w:shd w:val="clear" w:color="auto" w:fill="FFFFFF"/>
        </w:rPr>
      </w:pPr>
    </w:p>
    <w:p w14:paraId="79BD13FD" w14:textId="77777777" w:rsidR="00FA6EE2" w:rsidRDefault="00FA6EE2">
      <w:pPr>
        <w:rPr>
          <w:rFonts w:ascii="Arial" w:hAnsi="Arial" w:cs="Arial"/>
          <w:b/>
          <w:bCs/>
          <w:color w:val="000000"/>
          <w:sz w:val="24"/>
          <w:szCs w:val="24"/>
          <w:u w:val="single"/>
          <w:shd w:val="clear" w:color="auto" w:fill="FFFFFF"/>
        </w:rPr>
      </w:pPr>
    </w:p>
    <w:p w14:paraId="666224DC" w14:textId="77777777" w:rsidR="00FA6EE2" w:rsidRDefault="00FA6EE2">
      <w:pPr>
        <w:rPr>
          <w:rFonts w:ascii="Arial" w:hAnsi="Arial" w:cs="Arial"/>
          <w:b/>
          <w:bCs/>
          <w:color w:val="000000"/>
          <w:sz w:val="24"/>
          <w:szCs w:val="24"/>
          <w:u w:val="single"/>
          <w:shd w:val="clear" w:color="auto" w:fill="FFFFFF"/>
        </w:rPr>
      </w:pPr>
    </w:p>
    <w:p w14:paraId="012899F3" w14:textId="77777777" w:rsidR="00FA6EE2" w:rsidRDefault="00FA6EE2">
      <w:pPr>
        <w:rPr>
          <w:rFonts w:ascii="Arial" w:hAnsi="Arial" w:cs="Arial"/>
          <w:b/>
          <w:bCs/>
          <w:color w:val="000000"/>
          <w:sz w:val="24"/>
          <w:szCs w:val="24"/>
          <w:u w:val="single"/>
          <w:shd w:val="clear" w:color="auto" w:fill="FFFFFF"/>
        </w:rPr>
      </w:pPr>
    </w:p>
    <w:p w14:paraId="4C69E736" w14:textId="77777777" w:rsidR="00FA6EE2" w:rsidRDefault="00FA6EE2">
      <w:pPr>
        <w:rPr>
          <w:rFonts w:ascii="Arial" w:hAnsi="Arial" w:cs="Arial"/>
          <w:b/>
          <w:bCs/>
          <w:color w:val="000000"/>
          <w:sz w:val="24"/>
          <w:szCs w:val="24"/>
          <w:u w:val="single"/>
          <w:shd w:val="clear" w:color="auto" w:fill="FFFFFF"/>
        </w:rPr>
      </w:pPr>
    </w:p>
    <w:p w14:paraId="17719C36" w14:textId="77777777" w:rsidR="00FA6EE2" w:rsidRDefault="00FA6EE2">
      <w:pPr>
        <w:rPr>
          <w:rFonts w:ascii="Arial" w:hAnsi="Arial" w:cs="Arial"/>
          <w:b/>
          <w:bCs/>
          <w:color w:val="000000"/>
          <w:sz w:val="24"/>
          <w:szCs w:val="24"/>
          <w:u w:val="single"/>
          <w:shd w:val="clear" w:color="auto" w:fill="FFFFFF"/>
        </w:rPr>
      </w:pPr>
    </w:p>
    <w:p w14:paraId="36308D98" w14:textId="77777777" w:rsidR="00FA6EE2" w:rsidRDefault="00FA6EE2">
      <w:pPr>
        <w:rPr>
          <w:rFonts w:ascii="Arial" w:hAnsi="Arial" w:cs="Arial"/>
          <w:b/>
          <w:bCs/>
          <w:color w:val="000000"/>
          <w:sz w:val="24"/>
          <w:szCs w:val="24"/>
          <w:u w:val="single"/>
          <w:shd w:val="clear" w:color="auto" w:fill="FFFFFF"/>
        </w:rPr>
      </w:pPr>
    </w:p>
    <w:p w14:paraId="596BB41E" w14:textId="77777777" w:rsidR="00FA6EE2" w:rsidRDefault="00FA6EE2">
      <w:pPr>
        <w:rPr>
          <w:rFonts w:ascii="Arial" w:hAnsi="Arial" w:cs="Arial"/>
          <w:b/>
          <w:bCs/>
          <w:color w:val="000000"/>
          <w:sz w:val="24"/>
          <w:szCs w:val="24"/>
          <w:u w:val="single"/>
          <w:shd w:val="clear" w:color="auto" w:fill="FFFFFF"/>
        </w:rPr>
      </w:pPr>
    </w:p>
    <w:p w14:paraId="0C084D29" w14:textId="77777777" w:rsidR="00FA6EE2" w:rsidRDefault="00FA6EE2">
      <w:pPr>
        <w:rPr>
          <w:rFonts w:ascii="Arial" w:hAnsi="Arial" w:cs="Arial"/>
          <w:b/>
          <w:bCs/>
          <w:color w:val="000000"/>
          <w:sz w:val="24"/>
          <w:szCs w:val="24"/>
          <w:u w:val="single"/>
          <w:shd w:val="clear" w:color="auto" w:fill="FFFFFF"/>
        </w:rPr>
      </w:pPr>
    </w:p>
    <w:p w14:paraId="420DCA72" w14:textId="77777777" w:rsidR="00FA6EE2" w:rsidRDefault="00FA6EE2">
      <w:pPr>
        <w:rPr>
          <w:rFonts w:ascii="Arial" w:hAnsi="Arial" w:cs="Arial"/>
          <w:b/>
          <w:bCs/>
          <w:color w:val="000000"/>
          <w:sz w:val="24"/>
          <w:szCs w:val="24"/>
          <w:u w:val="single"/>
          <w:shd w:val="clear" w:color="auto" w:fill="FFFFFF"/>
        </w:rPr>
      </w:pPr>
    </w:p>
    <w:p w14:paraId="25779288" w14:textId="77777777" w:rsidR="00FA6EE2" w:rsidRDefault="00FA6EE2">
      <w:pPr>
        <w:rPr>
          <w:rFonts w:ascii="Arial" w:hAnsi="Arial" w:cs="Arial"/>
          <w:b/>
          <w:bCs/>
          <w:color w:val="000000"/>
          <w:sz w:val="24"/>
          <w:szCs w:val="24"/>
          <w:u w:val="single"/>
          <w:shd w:val="clear" w:color="auto" w:fill="FFFFFF"/>
        </w:rPr>
      </w:pPr>
    </w:p>
    <w:p w14:paraId="0182B6FF" w14:textId="77777777" w:rsidR="00FA6EE2" w:rsidRDefault="00FA6EE2">
      <w:pPr>
        <w:rPr>
          <w:rFonts w:ascii="Arial" w:hAnsi="Arial" w:cs="Arial"/>
          <w:b/>
          <w:bCs/>
          <w:color w:val="000000"/>
          <w:sz w:val="24"/>
          <w:szCs w:val="24"/>
          <w:u w:val="single"/>
          <w:shd w:val="clear" w:color="auto" w:fill="FFFFFF"/>
        </w:rPr>
      </w:pPr>
    </w:p>
    <w:p w14:paraId="07B7F647" w14:textId="77777777" w:rsidR="00FA6EE2" w:rsidRDefault="00FA6EE2">
      <w:pPr>
        <w:rPr>
          <w:rFonts w:ascii="Arial" w:hAnsi="Arial" w:cs="Arial"/>
          <w:b/>
          <w:bCs/>
          <w:color w:val="000000"/>
          <w:sz w:val="24"/>
          <w:szCs w:val="24"/>
          <w:u w:val="single"/>
          <w:shd w:val="clear" w:color="auto" w:fill="FFFFFF"/>
        </w:rPr>
      </w:pPr>
    </w:p>
    <w:p w14:paraId="5406F41D" w14:textId="77777777" w:rsidR="00FA6EE2" w:rsidRDefault="00FA6EE2">
      <w:pPr>
        <w:rPr>
          <w:rFonts w:ascii="Arial" w:hAnsi="Arial" w:cs="Arial"/>
          <w:b/>
          <w:bCs/>
          <w:color w:val="000000"/>
          <w:sz w:val="24"/>
          <w:szCs w:val="24"/>
          <w:u w:val="single"/>
          <w:shd w:val="clear" w:color="auto" w:fill="FFFFFF"/>
        </w:rPr>
      </w:pPr>
    </w:p>
    <w:p w14:paraId="244EDED6" w14:textId="77777777" w:rsidR="00FA6EE2" w:rsidRDefault="00FA6EE2">
      <w:pPr>
        <w:rPr>
          <w:rFonts w:ascii="Arial" w:hAnsi="Arial" w:cs="Arial"/>
          <w:b/>
          <w:bCs/>
          <w:color w:val="000000"/>
          <w:sz w:val="24"/>
          <w:szCs w:val="24"/>
          <w:u w:val="single"/>
          <w:shd w:val="clear" w:color="auto" w:fill="FFFFFF"/>
        </w:rPr>
      </w:pPr>
    </w:p>
    <w:p w14:paraId="7E85A835" w14:textId="77777777" w:rsidR="00FA6EE2" w:rsidRDefault="00FA6EE2">
      <w:pPr>
        <w:rPr>
          <w:rFonts w:ascii="Arial" w:hAnsi="Arial" w:cs="Arial"/>
          <w:b/>
          <w:bCs/>
          <w:color w:val="000000"/>
          <w:sz w:val="24"/>
          <w:szCs w:val="24"/>
          <w:u w:val="single"/>
          <w:shd w:val="clear" w:color="auto" w:fill="FFFFFF"/>
        </w:rPr>
      </w:pPr>
    </w:p>
    <w:p w14:paraId="6B81234E" w14:textId="77777777" w:rsidR="00FA6EE2" w:rsidRDefault="00FA6EE2">
      <w:pPr>
        <w:rPr>
          <w:rFonts w:ascii="Arial" w:hAnsi="Arial" w:cs="Arial"/>
          <w:b/>
          <w:bCs/>
          <w:color w:val="000000"/>
          <w:sz w:val="24"/>
          <w:szCs w:val="24"/>
          <w:u w:val="single"/>
          <w:shd w:val="clear" w:color="auto" w:fill="FFFFFF"/>
        </w:rPr>
      </w:pPr>
    </w:p>
    <w:p w14:paraId="56C2D897" w14:textId="68930704" w:rsidR="002D477F" w:rsidRDefault="002D477F">
      <w:pPr>
        <w:rPr>
          <w:rFonts w:ascii="Arial" w:hAnsi="Arial" w:cs="Arial"/>
          <w:color w:val="000000"/>
          <w:sz w:val="24"/>
          <w:szCs w:val="24"/>
          <w:shd w:val="clear" w:color="auto" w:fill="FFFFFF"/>
        </w:rPr>
      </w:pPr>
      <w:r>
        <w:rPr>
          <w:rFonts w:ascii="Arial" w:hAnsi="Arial" w:cs="Arial"/>
          <w:b/>
          <w:bCs/>
          <w:color w:val="000000"/>
          <w:sz w:val="24"/>
          <w:szCs w:val="24"/>
          <w:u w:val="single"/>
          <w:shd w:val="clear" w:color="auto" w:fill="FFFFFF"/>
        </w:rPr>
        <w:lastRenderedPageBreak/>
        <w:t xml:space="preserve">References </w:t>
      </w:r>
    </w:p>
    <w:p w14:paraId="5659858D" w14:textId="77777777" w:rsidR="006F2CE5" w:rsidRDefault="006F2CE5">
      <w:pPr>
        <w:rPr>
          <w:rFonts w:ascii="Arial" w:hAnsi="Arial" w:cs="Arial"/>
          <w:sz w:val="24"/>
          <w:szCs w:val="24"/>
          <w:shd w:val="clear" w:color="auto" w:fill="FFFFFF"/>
        </w:rPr>
      </w:pPr>
      <w:r>
        <w:rPr>
          <w:rFonts w:ascii="Arial" w:hAnsi="Arial" w:cs="Arial"/>
          <w:sz w:val="24"/>
          <w:szCs w:val="24"/>
          <w:shd w:val="clear" w:color="auto" w:fill="FFFFFF"/>
        </w:rPr>
        <w:t xml:space="preserve">Cooke. J (2007), </w:t>
      </w:r>
      <w:r>
        <w:rPr>
          <w:rFonts w:ascii="Arial" w:hAnsi="Arial" w:cs="Arial"/>
          <w:i/>
          <w:iCs/>
          <w:sz w:val="24"/>
          <w:szCs w:val="24"/>
          <w:shd w:val="clear" w:color="auto" w:fill="FFFFFF"/>
        </w:rPr>
        <w:t xml:space="preserve">Law of Tort, </w:t>
      </w:r>
      <w:r>
        <w:rPr>
          <w:rFonts w:ascii="Arial" w:hAnsi="Arial" w:cs="Arial"/>
          <w:sz w:val="24"/>
          <w:szCs w:val="24"/>
          <w:shd w:val="clear" w:color="auto" w:fill="FFFFFF"/>
        </w:rPr>
        <w:t xml:space="preserve">Eighth Edition, Pearson Education Limited. </w:t>
      </w:r>
    </w:p>
    <w:p w14:paraId="43654E16"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Giliker. P (2014), </w:t>
      </w:r>
      <w:r>
        <w:rPr>
          <w:rFonts w:ascii="Arial" w:hAnsi="Arial" w:cs="Arial"/>
          <w:i/>
          <w:iCs/>
          <w:color w:val="000000"/>
          <w:sz w:val="24"/>
          <w:szCs w:val="24"/>
          <w:shd w:val="clear" w:color="auto" w:fill="FFFFFF"/>
        </w:rPr>
        <w:t xml:space="preserve">Tort, </w:t>
      </w:r>
      <w:r>
        <w:rPr>
          <w:rFonts w:ascii="Arial" w:hAnsi="Arial" w:cs="Arial"/>
          <w:color w:val="000000"/>
          <w:sz w:val="24"/>
          <w:szCs w:val="24"/>
          <w:shd w:val="clear" w:color="auto" w:fill="FFFFFF"/>
        </w:rPr>
        <w:t xml:space="preserve">Fifth Edition, Sweet &amp; Maxwell’s Textbook Series. </w:t>
      </w:r>
    </w:p>
    <w:p w14:paraId="20716FFF" w14:textId="77777777" w:rsidR="006F2CE5" w:rsidRDefault="006F2CE5">
      <w:pPr>
        <w:rPr>
          <w:rFonts w:ascii="Arial" w:hAnsi="Arial" w:cs="Arial"/>
          <w:sz w:val="24"/>
          <w:szCs w:val="24"/>
          <w:shd w:val="clear" w:color="auto" w:fill="FFFFFF"/>
        </w:rPr>
      </w:pPr>
      <w:r>
        <w:rPr>
          <w:rFonts w:ascii="Arial" w:hAnsi="Arial" w:cs="Arial"/>
          <w:sz w:val="24"/>
          <w:szCs w:val="24"/>
          <w:shd w:val="clear" w:color="auto" w:fill="FFFFFF"/>
        </w:rPr>
        <w:t xml:space="preserve">Horsey. K and Rackley. R (2021), </w:t>
      </w:r>
      <w:r>
        <w:rPr>
          <w:rFonts w:ascii="Arial" w:hAnsi="Arial" w:cs="Arial"/>
          <w:i/>
          <w:iCs/>
          <w:sz w:val="24"/>
          <w:szCs w:val="24"/>
          <w:shd w:val="clear" w:color="auto" w:fill="FFFFFF"/>
        </w:rPr>
        <w:t xml:space="preserve">Casebook on Tort Law, </w:t>
      </w:r>
      <w:r>
        <w:rPr>
          <w:rFonts w:ascii="Arial" w:hAnsi="Arial" w:cs="Arial"/>
          <w:sz w:val="24"/>
          <w:szCs w:val="24"/>
          <w:shd w:val="clear" w:color="auto" w:fill="FFFFFF"/>
        </w:rPr>
        <w:t xml:space="preserve">Sixteenth Edition, Oxford University Press. </w:t>
      </w:r>
    </w:p>
    <w:p w14:paraId="3AE2407C"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HSE (2022), Health and Safety Executive, </w:t>
      </w:r>
      <w:r w:rsidRPr="00E865C5">
        <w:rPr>
          <w:rFonts w:ascii="Arial" w:hAnsi="Arial" w:cs="Arial"/>
          <w:i/>
          <w:iCs/>
          <w:color w:val="000000"/>
          <w:sz w:val="24"/>
          <w:szCs w:val="24"/>
          <w:shd w:val="clear" w:color="auto" w:fill="FFFFFF"/>
        </w:rPr>
        <w:t>Defamation: libel and slander</w:t>
      </w:r>
      <w:r>
        <w:rPr>
          <w:rFonts w:ascii="Arial" w:hAnsi="Arial" w:cs="Arial"/>
          <w:color w:val="000000"/>
          <w:sz w:val="24"/>
          <w:szCs w:val="24"/>
          <w:shd w:val="clear" w:color="auto" w:fill="FFFFFF"/>
        </w:rPr>
        <w:t xml:space="preserve">, [online], Available at: </w:t>
      </w:r>
      <w:hyperlink r:id="rId5" w:history="1">
        <w:r w:rsidRPr="00996FC1">
          <w:rPr>
            <w:rStyle w:val="Hyperlink"/>
            <w:rFonts w:ascii="Arial" w:hAnsi="Arial" w:cs="Arial"/>
            <w:sz w:val="24"/>
            <w:szCs w:val="24"/>
            <w:shd w:val="clear" w:color="auto" w:fill="FFFFFF"/>
          </w:rPr>
          <w:t>https://www.hse.gov.uk/enforce/enforcementguide/court/reporting-defamation.htm</w:t>
        </w:r>
      </w:hyperlink>
      <w:r>
        <w:rPr>
          <w:rFonts w:ascii="Arial" w:hAnsi="Arial" w:cs="Arial"/>
          <w:color w:val="000000"/>
          <w:sz w:val="24"/>
          <w:szCs w:val="24"/>
          <w:shd w:val="clear" w:color="auto" w:fill="FFFFFF"/>
        </w:rPr>
        <w:t>, (Accessed: 27</w:t>
      </w:r>
      <w:r w:rsidRPr="00E865C5">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April 2022). </w:t>
      </w:r>
    </w:p>
    <w:p w14:paraId="14D0AD64"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Kinder (2008), Torts, 10</w:t>
      </w:r>
      <w:r w:rsidRPr="00553855">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Edition, Oxford University Press. </w:t>
      </w:r>
    </w:p>
    <w:p w14:paraId="24988EBA"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Lunney. M, Nolan. D, Oliphant. K (2017), </w:t>
      </w:r>
      <w:r>
        <w:rPr>
          <w:rFonts w:ascii="Arial" w:hAnsi="Arial" w:cs="Arial"/>
          <w:i/>
          <w:iCs/>
          <w:color w:val="000000"/>
          <w:sz w:val="24"/>
          <w:szCs w:val="24"/>
          <w:shd w:val="clear" w:color="auto" w:fill="FFFFFF"/>
        </w:rPr>
        <w:t xml:space="preserve">Tort Law Text and Materials, </w:t>
      </w:r>
      <w:r>
        <w:rPr>
          <w:rFonts w:ascii="Arial" w:hAnsi="Arial" w:cs="Arial"/>
          <w:color w:val="000000"/>
          <w:sz w:val="24"/>
          <w:szCs w:val="24"/>
          <w:shd w:val="clear" w:color="auto" w:fill="FFFFFF"/>
        </w:rPr>
        <w:t xml:space="preserve">Sixth Edition, Oxford University Press. </w:t>
      </w:r>
    </w:p>
    <w:p w14:paraId="0BA82E4B" w14:textId="77777777" w:rsidR="006F2CE5" w:rsidRDefault="006F2CE5">
      <w:pPr>
        <w:rPr>
          <w:rFonts w:ascii="Arial" w:hAnsi="Arial" w:cs="Arial"/>
          <w:sz w:val="24"/>
          <w:szCs w:val="24"/>
        </w:rPr>
      </w:pPr>
      <w:r>
        <w:rPr>
          <w:rFonts w:ascii="Arial" w:hAnsi="Arial" w:cs="Arial"/>
          <w:color w:val="000000"/>
          <w:sz w:val="24"/>
          <w:szCs w:val="24"/>
          <w:shd w:val="clear" w:color="auto" w:fill="FFFFFF"/>
        </w:rPr>
        <w:t xml:space="preserve">Ministry of Justice (2019), </w:t>
      </w:r>
      <w:r w:rsidRPr="00FC3D9E">
        <w:rPr>
          <w:rFonts w:ascii="Arial" w:hAnsi="Arial" w:cs="Arial"/>
          <w:i/>
          <w:iCs/>
          <w:sz w:val="24"/>
          <w:szCs w:val="24"/>
        </w:rPr>
        <w:t>Post-Legislative Memorandum: The Defamation Act 2013</w:t>
      </w:r>
      <w:r>
        <w:rPr>
          <w:rFonts w:ascii="Arial" w:hAnsi="Arial" w:cs="Arial"/>
          <w:i/>
          <w:iCs/>
          <w:sz w:val="24"/>
          <w:szCs w:val="24"/>
        </w:rPr>
        <w:t xml:space="preserve">, </w:t>
      </w:r>
      <w:r>
        <w:rPr>
          <w:rFonts w:ascii="Arial" w:hAnsi="Arial" w:cs="Arial"/>
          <w:sz w:val="24"/>
          <w:szCs w:val="24"/>
        </w:rPr>
        <w:t xml:space="preserve">[online], Available at: </w:t>
      </w:r>
      <w:hyperlink r:id="rId6" w:history="1">
        <w:r w:rsidRPr="0042533B">
          <w:rPr>
            <w:rStyle w:val="Hyperlink"/>
            <w:rFonts w:ascii="Arial" w:hAnsi="Arial" w:cs="Arial"/>
            <w:sz w:val="24"/>
            <w:szCs w:val="24"/>
          </w:rPr>
          <w:t>https://assets.publishing.service.gov.uk/government/uploads/system/uploads/attachment_data/file/838398/post-legislative-memorandum-defamation-act-2013.PDF</w:t>
        </w:r>
      </w:hyperlink>
      <w:r>
        <w:rPr>
          <w:rFonts w:ascii="Arial" w:hAnsi="Arial" w:cs="Arial"/>
          <w:sz w:val="24"/>
          <w:szCs w:val="24"/>
        </w:rPr>
        <w:t>, (Accessed: 29</w:t>
      </w:r>
      <w:r w:rsidRPr="00FC3D9E">
        <w:rPr>
          <w:rFonts w:ascii="Arial" w:hAnsi="Arial" w:cs="Arial"/>
          <w:sz w:val="24"/>
          <w:szCs w:val="24"/>
          <w:vertAlign w:val="superscript"/>
        </w:rPr>
        <w:t>th</w:t>
      </w:r>
      <w:r>
        <w:rPr>
          <w:rFonts w:ascii="Arial" w:hAnsi="Arial" w:cs="Arial"/>
          <w:sz w:val="24"/>
          <w:szCs w:val="24"/>
        </w:rPr>
        <w:t xml:space="preserve"> April 2022). </w:t>
      </w:r>
    </w:p>
    <w:p w14:paraId="4E04B9FA"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Mullis and Oliphant (2011), </w:t>
      </w:r>
      <w:r w:rsidRPr="00E865C5">
        <w:rPr>
          <w:rFonts w:ascii="Arial" w:hAnsi="Arial" w:cs="Arial"/>
          <w:i/>
          <w:iCs/>
          <w:color w:val="000000"/>
          <w:sz w:val="24"/>
          <w:szCs w:val="24"/>
          <w:shd w:val="clear" w:color="auto" w:fill="FFFFFF"/>
        </w:rPr>
        <w:t>Torts</w:t>
      </w:r>
      <w:r>
        <w:rPr>
          <w:rFonts w:ascii="Arial" w:hAnsi="Arial" w:cs="Arial"/>
          <w:color w:val="000000"/>
          <w:sz w:val="24"/>
          <w:szCs w:val="24"/>
          <w:shd w:val="clear" w:color="auto" w:fill="FFFFFF"/>
        </w:rPr>
        <w:t>, 4</w:t>
      </w:r>
      <w:r w:rsidRPr="00415A94">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Edition, Palgrave Macmillan. </w:t>
      </w:r>
    </w:p>
    <w:p w14:paraId="265F97A5"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Murphy. J, Witting. C, Goudkamp. J, (2012), </w:t>
      </w:r>
      <w:r>
        <w:rPr>
          <w:rFonts w:ascii="Arial" w:hAnsi="Arial" w:cs="Arial"/>
          <w:i/>
          <w:iCs/>
          <w:color w:val="000000"/>
          <w:sz w:val="24"/>
          <w:szCs w:val="24"/>
          <w:shd w:val="clear" w:color="auto" w:fill="FFFFFF"/>
        </w:rPr>
        <w:t xml:space="preserve">Street on Tort, </w:t>
      </w:r>
      <w:r>
        <w:rPr>
          <w:rFonts w:ascii="Arial" w:hAnsi="Arial" w:cs="Arial"/>
          <w:color w:val="000000"/>
          <w:sz w:val="24"/>
          <w:szCs w:val="24"/>
          <w:shd w:val="clear" w:color="auto" w:fill="FFFFFF"/>
        </w:rPr>
        <w:t>13</w:t>
      </w:r>
      <w:r w:rsidRPr="005B12A1">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Edition, Oxford University Press. </w:t>
      </w:r>
    </w:p>
    <w:p w14:paraId="3C495707" w14:textId="77777777" w:rsidR="006F2CE5" w:rsidRDefault="006F2C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Steele. J (2017), </w:t>
      </w:r>
      <w:r>
        <w:rPr>
          <w:rFonts w:ascii="Arial" w:hAnsi="Arial" w:cs="Arial"/>
          <w:i/>
          <w:iCs/>
          <w:color w:val="000000"/>
          <w:sz w:val="24"/>
          <w:szCs w:val="24"/>
          <w:shd w:val="clear" w:color="auto" w:fill="FFFFFF"/>
        </w:rPr>
        <w:t xml:space="preserve">Tort Law Text cases and materials, </w:t>
      </w:r>
      <w:r>
        <w:rPr>
          <w:rFonts w:ascii="Arial" w:hAnsi="Arial" w:cs="Arial"/>
          <w:color w:val="000000"/>
          <w:sz w:val="24"/>
          <w:szCs w:val="24"/>
          <w:shd w:val="clear" w:color="auto" w:fill="FFFFFF"/>
        </w:rPr>
        <w:t xml:space="preserve">Fourth Edition, Oxford University Press. </w:t>
      </w:r>
    </w:p>
    <w:p w14:paraId="649C8953" w14:textId="77777777" w:rsidR="006F2CE5" w:rsidRDefault="006F2CE5">
      <w:pPr>
        <w:rPr>
          <w:rFonts w:ascii="Arial" w:hAnsi="Arial" w:cs="Arial"/>
          <w:sz w:val="24"/>
          <w:szCs w:val="24"/>
        </w:rPr>
      </w:pPr>
      <w:r>
        <w:rPr>
          <w:rFonts w:ascii="Arial" w:hAnsi="Arial" w:cs="Arial"/>
          <w:sz w:val="24"/>
          <w:szCs w:val="24"/>
        </w:rPr>
        <w:t xml:space="preserve">The Supreme Court (2019), </w:t>
      </w:r>
      <w:r w:rsidRPr="00AA551F">
        <w:rPr>
          <w:rFonts w:ascii="Arial" w:hAnsi="Arial" w:cs="Arial"/>
          <w:i/>
          <w:iCs/>
          <w:sz w:val="24"/>
          <w:szCs w:val="24"/>
        </w:rPr>
        <w:t>Lachaux (Respondent) v Independent Print Ltd and another (Appellants)</w:t>
      </w:r>
      <w:r>
        <w:rPr>
          <w:rFonts w:ascii="Arial" w:hAnsi="Arial" w:cs="Arial"/>
          <w:i/>
          <w:iCs/>
          <w:sz w:val="24"/>
          <w:szCs w:val="24"/>
        </w:rPr>
        <w:t xml:space="preserve">, </w:t>
      </w:r>
      <w:r>
        <w:rPr>
          <w:rFonts w:ascii="Arial" w:hAnsi="Arial" w:cs="Arial"/>
          <w:sz w:val="24"/>
          <w:szCs w:val="24"/>
        </w:rPr>
        <w:t xml:space="preserve">[online], Available at: </w:t>
      </w:r>
      <w:hyperlink r:id="rId7" w:history="1">
        <w:r w:rsidRPr="0042533B">
          <w:rPr>
            <w:rStyle w:val="Hyperlink"/>
            <w:rFonts w:ascii="Arial" w:hAnsi="Arial" w:cs="Arial"/>
            <w:sz w:val="24"/>
            <w:szCs w:val="24"/>
          </w:rPr>
          <w:t>https://www.supremecourt.uk/cases/docs/uksc-2017-0175-judgment.pdf</w:t>
        </w:r>
      </w:hyperlink>
      <w:r>
        <w:rPr>
          <w:rFonts w:ascii="Arial" w:hAnsi="Arial" w:cs="Arial"/>
          <w:sz w:val="24"/>
          <w:szCs w:val="24"/>
        </w:rPr>
        <w:t>, (Accessed: 29</w:t>
      </w:r>
      <w:r w:rsidRPr="00AA551F">
        <w:rPr>
          <w:rFonts w:ascii="Arial" w:hAnsi="Arial" w:cs="Arial"/>
          <w:sz w:val="24"/>
          <w:szCs w:val="24"/>
          <w:vertAlign w:val="superscript"/>
        </w:rPr>
        <w:t>th</w:t>
      </w:r>
      <w:r>
        <w:rPr>
          <w:rFonts w:ascii="Arial" w:hAnsi="Arial" w:cs="Arial"/>
          <w:sz w:val="24"/>
          <w:szCs w:val="24"/>
        </w:rPr>
        <w:t xml:space="preserve"> April 2022). </w:t>
      </w:r>
    </w:p>
    <w:p w14:paraId="644D1090" w14:textId="77777777" w:rsidR="006F2CE5" w:rsidRDefault="006F2CE5">
      <w:pPr>
        <w:rPr>
          <w:rFonts w:ascii="Arial" w:hAnsi="Arial" w:cs="Arial"/>
          <w:sz w:val="24"/>
          <w:szCs w:val="24"/>
        </w:rPr>
      </w:pPr>
      <w:r>
        <w:rPr>
          <w:rFonts w:ascii="Arial" w:hAnsi="Arial" w:cs="Arial"/>
          <w:sz w:val="24"/>
          <w:szCs w:val="24"/>
        </w:rPr>
        <w:t xml:space="preserve">Vara. S (2013), GOV.UK, </w:t>
      </w:r>
      <w:r w:rsidRPr="000B4BDE">
        <w:rPr>
          <w:rFonts w:ascii="Arial" w:hAnsi="Arial" w:cs="Arial"/>
          <w:i/>
          <w:iCs/>
          <w:sz w:val="24"/>
          <w:szCs w:val="24"/>
        </w:rPr>
        <w:t>Defamation laws take effect</w:t>
      </w:r>
      <w:r>
        <w:rPr>
          <w:rFonts w:ascii="Arial" w:hAnsi="Arial" w:cs="Arial"/>
          <w:sz w:val="24"/>
          <w:szCs w:val="24"/>
        </w:rPr>
        <w:t xml:space="preserve">, [online], Available at: </w:t>
      </w:r>
      <w:hyperlink r:id="rId8" w:history="1">
        <w:r w:rsidRPr="0042533B">
          <w:rPr>
            <w:rStyle w:val="Hyperlink"/>
            <w:rFonts w:ascii="Arial" w:hAnsi="Arial" w:cs="Arial"/>
            <w:sz w:val="24"/>
            <w:szCs w:val="24"/>
          </w:rPr>
          <w:t>https://www.gov.uk/government/news/defamation-laws-take-effect</w:t>
        </w:r>
      </w:hyperlink>
      <w:r>
        <w:rPr>
          <w:rFonts w:ascii="Arial" w:hAnsi="Arial" w:cs="Arial"/>
          <w:sz w:val="24"/>
          <w:szCs w:val="24"/>
        </w:rPr>
        <w:t>, (Accessed: 29</w:t>
      </w:r>
      <w:r w:rsidRPr="000B4BDE">
        <w:rPr>
          <w:rFonts w:ascii="Arial" w:hAnsi="Arial" w:cs="Arial"/>
          <w:sz w:val="24"/>
          <w:szCs w:val="24"/>
          <w:vertAlign w:val="superscript"/>
        </w:rPr>
        <w:t>th</w:t>
      </w:r>
      <w:r>
        <w:rPr>
          <w:rFonts w:ascii="Arial" w:hAnsi="Arial" w:cs="Arial"/>
          <w:sz w:val="24"/>
          <w:szCs w:val="24"/>
        </w:rPr>
        <w:t xml:space="preserve"> April 2022). </w:t>
      </w:r>
    </w:p>
    <w:p w14:paraId="7B81553A" w14:textId="77777777" w:rsidR="006F2CE5" w:rsidRDefault="006F2CE5">
      <w:pPr>
        <w:rPr>
          <w:rFonts w:ascii="Arial" w:hAnsi="Arial" w:cs="Arial"/>
          <w:sz w:val="24"/>
          <w:szCs w:val="24"/>
          <w:shd w:val="clear" w:color="auto" w:fill="FFFFFF"/>
        </w:rPr>
      </w:pPr>
      <w:r>
        <w:rPr>
          <w:rFonts w:ascii="Arial" w:hAnsi="Arial" w:cs="Arial"/>
          <w:sz w:val="24"/>
          <w:szCs w:val="24"/>
          <w:shd w:val="clear" w:color="auto" w:fill="FFFFFF"/>
        </w:rPr>
        <w:t xml:space="preserve">Wilson. I (2014), The Law Society, </w:t>
      </w:r>
      <w:r>
        <w:rPr>
          <w:rFonts w:ascii="Arial" w:hAnsi="Arial" w:cs="Arial"/>
          <w:i/>
          <w:iCs/>
          <w:sz w:val="24"/>
          <w:szCs w:val="24"/>
          <w:shd w:val="clear" w:color="auto" w:fill="FFFFFF"/>
        </w:rPr>
        <w:t xml:space="preserve">The Defamation Act 2013, </w:t>
      </w:r>
      <w:r>
        <w:rPr>
          <w:rFonts w:ascii="Arial" w:hAnsi="Arial" w:cs="Arial"/>
          <w:sz w:val="24"/>
          <w:szCs w:val="24"/>
          <w:shd w:val="clear" w:color="auto" w:fill="FFFFFF"/>
        </w:rPr>
        <w:t xml:space="preserve">[online], Available at: </w:t>
      </w:r>
      <w:hyperlink r:id="rId9" w:history="1">
        <w:r w:rsidRPr="000669F8">
          <w:rPr>
            <w:rStyle w:val="Hyperlink"/>
            <w:rFonts w:ascii="Arial" w:hAnsi="Arial" w:cs="Arial"/>
            <w:sz w:val="24"/>
            <w:szCs w:val="24"/>
            <w:shd w:val="clear" w:color="auto" w:fill="FFFFFF"/>
          </w:rPr>
          <w:t>https://www.lawgazette.co.uk/legal-updates/the-defamation-act-2013/5039959.article</w:t>
        </w:r>
      </w:hyperlink>
      <w:r>
        <w:rPr>
          <w:rFonts w:ascii="Arial" w:hAnsi="Arial" w:cs="Arial"/>
          <w:sz w:val="24"/>
          <w:szCs w:val="24"/>
          <w:shd w:val="clear" w:color="auto" w:fill="FFFFFF"/>
        </w:rPr>
        <w:t>, (Accessed: 4</w:t>
      </w:r>
      <w:r w:rsidRPr="00875498">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April 2022). </w:t>
      </w:r>
    </w:p>
    <w:p w14:paraId="4AE19914" w14:textId="4506DF8E" w:rsidR="003F16C9" w:rsidRDefault="003F16C9">
      <w:pP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 xml:space="preserve">Legislation </w:t>
      </w:r>
    </w:p>
    <w:p w14:paraId="29E0C512" w14:textId="77777777" w:rsidR="00042DF7" w:rsidRDefault="00042DF7">
      <w:pPr>
        <w:rPr>
          <w:rFonts w:ascii="Arial" w:hAnsi="Arial" w:cs="Arial"/>
          <w:sz w:val="24"/>
          <w:szCs w:val="24"/>
          <w:shd w:val="clear" w:color="auto" w:fill="FFFFFF"/>
        </w:rPr>
      </w:pPr>
      <w:r>
        <w:rPr>
          <w:rFonts w:ascii="Arial" w:hAnsi="Arial" w:cs="Arial"/>
          <w:sz w:val="24"/>
          <w:szCs w:val="24"/>
          <w:shd w:val="clear" w:color="auto" w:fill="FFFFFF"/>
        </w:rPr>
        <w:t xml:space="preserve">Defamation Act (1996). </w:t>
      </w:r>
    </w:p>
    <w:p w14:paraId="2EF4F9CA" w14:textId="3D73B59E" w:rsidR="00042DF7" w:rsidRDefault="00042DF7" w:rsidP="005A692C">
      <w:pPr>
        <w:pStyle w:val="Heading1"/>
        <w:spacing w:before="0" w:beforeAutospacing="0" w:after="0" w:afterAutospacing="0" w:line="288" w:lineRule="atLeast"/>
        <w:rPr>
          <w:rFonts w:ascii="Arial" w:hAnsi="Arial" w:cs="Arial"/>
          <w:b w:val="0"/>
          <w:bCs w:val="0"/>
          <w:color w:val="000000"/>
          <w:sz w:val="24"/>
          <w:szCs w:val="24"/>
        </w:rPr>
      </w:pPr>
      <w:r>
        <w:rPr>
          <w:rFonts w:ascii="Arial" w:hAnsi="Arial" w:cs="Arial"/>
          <w:b w:val="0"/>
          <w:bCs w:val="0"/>
          <w:color w:val="000000"/>
          <w:sz w:val="24"/>
          <w:szCs w:val="24"/>
        </w:rPr>
        <w:t xml:space="preserve">Defamation Act (2013) section 4 (1) (b). </w:t>
      </w:r>
    </w:p>
    <w:p w14:paraId="1B0B3F40" w14:textId="77777777" w:rsidR="00042DF7" w:rsidRDefault="00042DF7" w:rsidP="005A692C">
      <w:pPr>
        <w:pStyle w:val="Heading1"/>
        <w:spacing w:before="0" w:beforeAutospacing="0" w:after="0" w:afterAutospacing="0" w:line="288" w:lineRule="atLeast"/>
        <w:rPr>
          <w:rFonts w:ascii="Arial" w:hAnsi="Arial" w:cs="Arial"/>
          <w:b w:val="0"/>
          <w:bCs w:val="0"/>
          <w:color w:val="000000"/>
          <w:sz w:val="24"/>
          <w:szCs w:val="24"/>
        </w:rPr>
      </w:pPr>
    </w:p>
    <w:p w14:paraId="071F8158" w14:textId="77777777" w:rsidR="00042DF7" w:rsidRDefault="00042DF7" w:rsidP="005A692C">
      <w:pPr>
        <w:pStyle w:val="Heading1"/>
        <w:spacing w:before="0" w:beforeAutospacing="0" w:after="0" w:afterAutospacing="0" w:line="288" w:lineRule="atLeast"/>
        <w:rPr>
          <w:rFonts w:ascii="Arial" w:hAnsi="Arial" w:cs="Arial"/>
          <w:b w:val="0"/>
          <w:bCs w:val="0"/>
          <w:color w:val="000000"/>
          <w:sz w:val="24"/>
          <w:szCs w:val="24"/>
        </w:rPr>
      </w:pPr>
      <w:r w:rsidRPr="005A692C">
        <w:rPr>
          <w:rFonts w:ascii="Arial" w:hAnsi="Arial" w:cs="Arial"/>
          <w:b w:val="0"/>
          <w:bCs w:val="0"/>
          <w:color w:val="000000"/>
          <w:sz w:val="24"/>
          <w:szCs w:val="24"/>
        </w:rPr>
        <w:t>Defamation Act 2013 Explanatory Notes</w:t>
      </w:r>
      <w:r>
        <w:rPr>
          <w:rFonts w:ascii="Arial" w:hAnsi="Arial" w:cs="Arial"/>
          <w:b w:val="0"/>
          <w:bCs w:val="0"/>
          <w:color w:val="000000"/>
          <w:sz w:val="24"/>
          <w:szCs w:val="24"/>
        </w:rPr>
        <w:t xml:space="preserve">, [online], Available at: </w:t>
      </w:r>
      <w:hyperlink r:id="rId10" w:history="1">
        <w:r w:rsidRPr="00402274">
          <w:rPr>
            <w:rStyle w:val="Hyperlink"/>
            <w:rFonts w:ascii="Arial" w:hAnsi="Arial" w:cs="Arial"/>
            <w:b w:val="0"/>
            <w:bCs w:val="0"/>
            <w:sz w:val="24"/>
            <w:szCs w:val="24"/>
          </w:rPr>
          <w:t>https://www.legislation.gov.uk/ukpga/2013/26/notes/division/5?view=plain</w:t>
        </w:r>
      </w:hyperlink>
      <w:r>
        <w:rPr>
          <w:rFonts w:ascii="Arial" w:hAnsi="Arial" w:cs="Arial"/>
          <w:b w:val="0"/>
          <w:bCs w:val="0"/>
          <w:color w:val="000000"/>
          <w:sz w:val="24"/>
          <w:szCs w:val="24"/>
        </w:rPr>
        <w:t>, (Accessed: 14</w:t>
      </w:r>
      <w:r w:rsidRPr="005A692C">
        <w:rPr>
          <w:rFonts w:ascii="Arial" w:hAnsi="Arial" w:cs="Arial"/>
          <w:b w:val="0"/>
          <w:bCs w:val="0"/>
          <w:color w:val="000000"/>
          <w:sz w:val="24"/>
          <w:szCs w:val="24"/>
          <w:vertAlign w:val="superscript"/>
        </w:rPr>
        <w:t>th</w:t>
      </w:r>
      <w:r>
        <w:rPr>
          <w:rFonts w:ascii="Arial" w:hAnsi="Arial" w:cs="Arial"/>
          <w:b w:val="0"/>
          <w:bCs w:val="0"/>
          <w:color w:val="000000"/>
          <w:sz w:val="24"/>
          <w:szCs w:val="24"/>
        </w:rPr>
        <w:t xml:space="preserve"> April 2022). </w:t>
      </w:r>
    </w:p>
    <w:p w14:paraId="5EB1C0F8" w14:textId="77777777" w:rsidR="00042DF7" w:rsidRDefault="00042DF7">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Defamation Act 2013 section 1 (1). </w:t>
      </w:r>
    </w:p>
    <w:p w14:paraId="6444C62E" w14:textId="77777777" w:rsidR="00042DF7" w:rsidRDefault="00042DF7">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Defamation Act 2013 section 3 (4) (a). </w:t>
      </w:r>
    </w:p>
    <w:p w14:paraId="370BA7B6" w14:textId="552DC1BD" w:rsidR="005E6B15" w:rsidRDefault="005E6B15">
      <w:pPr>
        <w:rPr>
          <w:rFonts w:ascii="Arial" w:hAnsi="Arial" w:cs="Arial"/>
          <w:color w:val="000000"/>
          <w:sz w:val="24"/>
          <w:szCs w:val="24"/>
          <w:shd w:val="clear" w:color="auto" w:fill="FFFFFF"/>
        </w:rPr>
      </w:pPr>
    </w:p>
    <w:p w14:paraId="576E5A95" w14:textId="12DE5493" w:rsidR="005E6B15" w:rsidRDefault="005E6B15">
      <w:pPr>
        <w:rPr>
          <w:rFonts w:ascii="Arial" w:hAnsi="Arial" w:cs="Arial"/>
          <w:b/>
          <w:bCs/>
          <w:color w:val="000000"/>
          <w:sz w:val="24"/>
          <w:szCs w:val="24"/>
          <w:u w:val="single"/>
          <w:shd w:val="clear" w:color="auto" w:fill="FFFFFF"/>
        </w:rPr>
      </w:pPr>
      <w:r w:rsidRPr="005E6B15">
        <w:rPr>
          <w:rFonts w:ascii="Arial" w:hAnsi="Arial" w:cs="Arial"/>
          <w:b/>
          <w:bCs/>
          <w:color w:val="000000"/>
          <w:sz w:val="24"/>
          <w:szCs w:val="24"/>
          <w:u w:val="single"/>
          <w:shd w:val="clear" w:color="auto" w:fill="FFFFFF"/>
        </w:rPr>
        <w:t>Case Law</w:t>
      </w:r>
    </w:p>
    <w:p w14:paraId="11A8A439" w14:textId="77777777" w:rsidR="00042DF7" w:rsidRDefault="00042DF7">
      <w:pPr>
        <w:rPr>
          <w:rFonts w:ascii="Arial" w:hAnsi="Arial" w:cs="Arial"/>
          <w:sz w:val="24"/>
          <w:szCs w:val="24"/>
        </w:rPr>
      </w:pPr>
      <w:r w:rsidRPr="00FE1635">
        <w:rPr>
          <w:rFonts w:ascii="Arial" w:hAnsi="Arial" w:cs="Arial"/>
          <w:sz w:val="24"/>
          <w:szCs w:val="24"/>
        </w:rPr>
        <w:t>Reynolds v Times Newspapers (2001)</w:t>
      </w:r>
      <w:r>
        <w:rPr>
          <w:rFonts w:ascii="Arial" w:hAnsi="Arial" w:cs="Arial"/>
          <w:sz w:val="24"/>
          <w:szCs w:val="24"/>
        </w:rPr>
        <w:t xml:space="preserve">, Bailii, United Kingdom House of Lords Decisions, [online], Available at: </w:t>
      </w:r>
      <w:hyperlink r:id="rId11" w:history="1">
        <w:r w:rsidRPr="0042533B">
          <w:rPr>
            <w:rStyle w:val="Hyperlink"/>
            <w:rFonts w:ascii="Arial" w:hAnsi="Arial" w:cs="Arial"/>
            <w:sz w:val="24"/>
            <w:szCs w:val="24"/>
          </w:rPr>
          <w:t>https://www.bailii.org/uk/cases/UKHL/1999/45.html</w:t>
        </w:r>
      </w:hyperlink>
      <w:r>
        <w:rPr>
          <w:rFonts w:ascii="Arial" w:hAnsi="Arial" w:cs="Arial"/>
          <w:sz w:val="24"/>
          <w:szCs w:val="24"/>
        </w:rPr>
        <w:t>, (Accessed: 29</w:t>
      </w:r>
      <w:r w:rsidRPr="00F577E5">
        <w:rPr>
          <w:rFonts w:ascii="Arial" w:hAnsi="Arial" w:cs="Arial"/>
          <w:sz w:val="24"/>
          <w:szCs w:val="24"/>
          <w:vertAlign w:val="superscript"/>
        </w:rPr>
        <w:t>th</w:t>
      </w:r>
      <w:r>
        <w:rPr>
          <w:rFonts w:ascii="Arial" w:hAnsi="Arial" w:cs="Arial"/>
          <w:sz w:val="24"/>
          <w:szCs w:val="24"/>
        </w:rPr>
        <w:t xml:space="preserve"> April 2022). </w:t>
      </w:r>
    </w:p>
    <w:p w14:paraId="0DB0EB36" w14:textId="77777777" w:rsidR="00042DF7" w:rsidRDefault="00042DF7">
      <w:pPr>
        <w:rPr>
          <w:rFonts w:ascii="Arial" w:hAnsi="Arial" w:cs="Arial"/>
          <w:sz w:val="24"/>
          <w:szCs w:val="24"/>
        </w:rPr>
      </w:pPr>
      <w:r w:rsidRPr="00FE1635">
        <w:rPr>
          <w:rFonts w:ascii="Arial" w:hAnsi="Arial" w:cs="Arial"/>
          <w:sz w:val="24"/>
          <w:szCs w:val="24"/>
        </w:rPr>
        <w:t>Reynolds v Times Newspapers (2001)</w:t>
      </w:r>
      <w:r>
        <w:rPr>
          <w:rFonts w:ascii="Arial" w:hAnsi="Arial" w:cs="Arial"/>
          <w:sz w:val="24"/>
          <w:szCs w:val="24"/>
        </w:rPr>
        <w:t xml:space="preserve">, </w:t>
      </w:r>
      <w:r>
        <w:rPr>
          <w:rFonts w:ascii="Arial" w:hAnsi="Arial" w:cs="Arial"/>
          <w:i/>
          <w:iCs/>
          <w:sz w:val="24"/>
          <w:szCs w:val="24"/>
        </w:rPr>
        <w:t xml:space="preserve">House of Lords, </w:t>
      </w:r>
      <w:r>
        <w:rPr>
          <w:rFonts w:ascii="Arial" w:hAnsi="Arial" w:cs="Arial"/>
          <w:sz w:val="24"/>
          <w:szCs w:val="24"/>
        </w:rPr>
        <w:t xml:space="preserve">[online], Available at: </w:t>
      </w:r>
      <w:hyperlink r:id="rId12" w:history="1">
        <w:r w:rsidRPr="002E38C5">
          <w:rPr>
            <w:rStyle w:val="Hyperlink"/>
            <w:rFonts w:ascii="Arial" w:hAnsi="Arial" w:cs="Arial"/>
            <w:sz w:val="24"/>
            <w:szCs w:val="24"/>
          </w:rPr>
          <w:t>https://publications.parliament.uk/pa/ld199899/ldjudgmt/jd991028/rey01.htm</w:t>
        </w:r>
      </w:hyperlink>
      <w:r>
        <w:rPr>
          <w:rFonts w:ascii="Arial" w:hAnsi="Arial" w:cs="Arial"/>
          <w:sz w:val="24"/>
          <w:szCs w:val="24"/>
        </w:rPr>
        <w:t>, (Accessed: 15</w:t>
      </w:r>
      <w:r w:rsidRPr="005E6B15">
        <w:rPr>
          <w:rFonts w:ascii="Arial" w:hAnsi="Arial" w:cs="Arial"/>
          <w:sz w:val="24"/>
          <w:szCs w:val="24"/>
          <w:vertAlign w:val="superscript"/>
        </w:rPr>
        <w:t>th</w:t>
      </w:r>
      <w:r>
        <w:rPr>
          <w:rFonts w:ascii="Arial" w:hAnsi="Arial" w:cs="Arial"/>
          <w:sz w:val="24"/>
          <w:szCs w:val="24"/>
        </w:rPr>
        <w:t xml:space="preserve"> March 2022). </w:t>
      </w:r>
    </w:p>
    <w:p w14:paraId="573C3B8D" w14:textId="77777777" w:rsidR="00042DF7" w:rsidRDefault="00042DF7" w:rsidP="004E1BF6">
      <w:pPr>
        <w:pStyle w:val="Heading1"/>
        <w:rPr>
          <w:rFonts w:ascii="Arial" w:hAnsi="Arial" w:cs="Arial"/>
          <w:b w:val="0"/>
          <w:bCs w:val="0"/>
          <w:color w:val="000000"/>
          <w:sz w:val="24"/>
          <w:szCs w:val="24"/>
        </w:rPr>
      </w:pPr>
      <w:r w:rsidRPr="004E1BF6">
        <w:rPr>
          <w:rFonts w:ascii="Arial" w:hAnsi="Arial" w:cs="Arial"/>
          <w:b w:val="0"/>
          <w:bCs w:val="0"/>
          <w:sz w:val="24"/>
          <w:szCs w:val="24"/>
        </w:rPr>
        <w:t>Thornton v Telegraph Media Group (2010),</w:t>
      </w:r>
      <w:r w:rsidRPr="004E1BF6">
        <w:rPr>
          <w:rFonts w:ascii="Arial" w:hAnsi="Arial" w:cs="Arial"/>
          <w:b w:val="0"/>
          <w:bCs w:val="0"/>
          <w:i/>
          <w:iCs/>
          <w:sz w:val="24"/>
          <w:szCs w:val="24"/>
        </w:rPr>
        <w:t xml:space="preserve"> </w:t>
      </w:r>
      <w:r w:rsidRPr="004E1BF6">
        <w:rPr>
          <w:rFonts w:ascii="Arial" w:hAnsi="Arial" w:cs="Arial"/>
          <w:b w:val="0"/>
          <w:bCs w:val="0"/>
          <w:i/>
          <w:iCs/>
          <w:color w:val="000000"/>
          <w:sz w:val="24"/>
          <w:szCs w:val="24"/>
        </w:rPr>
        <w:t>England and Wales High Court (Queen's Bench Division) Decisions</w:t>
      </w:r>
      <w:r>
        <w:rPr>
          <w:rFonts w:ascii="Arial" w:hAnsi="Arial" w:cs="Arial"/>
          <w:b w:val="0"/>
          <w:bCs w:val="0"/>
          <w:i/>
          <w:iCs/>
          <w:color w:val="000000"/>
          <w:sz w:val="24"/>
          <w:szCs w:val="24"/>
        </w:rPr>
        <w:t xml:space="preserve">, </w:t>
      </w:r>
      <w:r>
        <w:rPr>
          <w:rFonts w:ascii="Arial" w:hAnsi="Arial" w:cs="Arial"/>
          <w:b w:val="0"/>
          <w:bCs w:val="0"/>
          <w:color w:val="000000"/>
          <w:sz w:val="24"/>
          <w:szCs w:val="24"/>
        </w:rPr>
        <w:t xml:space="preserve">[online], Available at: </w:t>
      </w:r>
      <w:hyperlink r:id="rId13" w:history="1">
        <w:r w:rsidRPr="005E1AF0">
          <w:rPr>
            <w:rStyle w:val="Hyperlink"/>
            <w:rFonts w:ascii="Arial" w:hAnsi="Arial" w:cs="Arial"/>
            <w:b w:val="0"/>
            <w:bCs w:val="0"/>
            <w:sz w:val="24"/>
            <w:szCs w:val="24"/>
          </w:rPr>
          <w:t>https://www.bailii.org/ew/cases/EWHC/QB/2010/1414.html</w:t>
        </w:r>
      </w:hyperlink>
      <w:r>
        <w:rPr>
          <w:rFonts w:ascii="Arial" w:hAnsi="Arial" w:cs="Arial"/>
          <w:b w:val="0"/>
          <w:bCs w:val="0"/>
          <w:color w:val="000000"/>
          <w:sz w:val="24"/>
          <w:szCs w:val="24"/>
        </w:rPr>
        <w:t>, (Accessed: 31</w:t>
      </w:r>
      <w:r w:rsidRPr="003946A6">
        <w:rPr>
          <w:rFonts w:ascii="Arial" w:hAnsi="Arial" w:cs="Arial"/>
          <w:b w:val="0"/>
          <w:bCs w:val="0"/>
          <w:color w:val="000000"/>
          <w:sz w:val="24"/>
          <w:szCs w:val="24"/>
          <w:vertAlign w:val="superscript"/>
        </w:rPr>
        <w:t>st</w:t>
      </w:r>
      <w:r>
        <w:rPr>
          <w:rFonts w:ascii="Arial" w:hAnsi="Arial" w:cs="Arial"/>
          <w:b w:val="0"/>
          <w:bCs w:val="0"/>
          <w:color w:val="000000"/>
          <w:sz w:val="24"/>
          <w:szCs w:val="24"/>
        </w:rPr>
        <w:t xml:space="preserve"> March 2022). </w:t>
      </w:r>
    </w:p>
    <w:p w14:paraId="47E2ECCA" w14:textId="77777777" w:rsidR="003946A6" w:rsidRPr="004E1BF6" w:rsidRDefault="003946A6" w:rsidP="004E1BF6">
      <w:pPr>
        <w:pStyle w:val="Heading1"/>
        <w:rPr>
          <w:rFonts w:ascii="Arial" w:hAnsi="Arial" w:cs="Arial"/>
          <w:b w:val="0"/>
          <w:bCs w:val="0"/>
          <w:color w:val="000000"/>
          <w:sz w:val="24"/>
          <w:szCs w:val="24"/>
        </w:rPr>
      </w:pPr>
    </w:p>
    <w:p w14:paraId="3101D32A" w14:textId="38C941E9" w:rsidR="00947467" w:rsidRPr="005B37C3" w:rsidRDefault="00947467" w:rsidP="00947467">
      <w:pPr>
        <w:rPr>
          <w:rFonts w:ascii="Arial" w:hAnsi="Arial" w:cs="Arial"/>
          <w:sz w:val="24"/>
          <w:szCs w:val="24"/>
        </w:rPr>
      </w:pPr>
      <w:r>
        <w:rPr>
          <w:rFonts w:ascii="Arial" w:hAnsi="Arial" w:cs="Arial"/>
          <w:sz w:val="24"/>
          <w:szCs w:val="24"/>
        </w:rPr>
        <w:t xml:space="preserve"> </w:t>
      </w:r>
    </w:p>
    <w:p w14:paraId="10DE08BC" w14:textId="77777777" w:rsidR="00947467" w:rsidRDefault="00947467">
      <w:pPr>
        <w:rPr>
          <w:rFonts w:ascii="Arial" w:hAnsi="Arial" w:cs="Arial"/>
          <w:sz w:val="24"/>
          <w:szCs w:val="24"/>
        </w:rPr>
      </w:pPr>
    </w:p>
    <w:p w14:paraId="13F08BC6" w14:textId="77777777" w:rsidR="005E6B15" w:rsidRPr="005E6B15" w:rsidRDefault="005E6B15">
      <w:pPr>
        <w:rPr>
          <w:rFonts w:ascii="Arial" w:hAnsi="Arial" w:cs="Arial"/>
          <w:color w:val="000000"/>
          <w:sz w:val="24"/>
          <w:szCs w:val="24"/>
          <w:shd w:val="clear" w:color="auto" w:fill="FFFFFF"/>
        </w:rPr>
      </w:pPr>
    </w:p>
    <w:sectPr w:rsidR="005E6B15" w:rsidRPr="005E6B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775C3"/>
    <w:multiLevelType w:val="hybridMultilevel"/>
    <w:tmpl w:val="765AE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6C40F5"/>
    <w:multiLevelType w:val="hybridMultilevel"/>
    <w:tmpl w:val="513CE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01948"/>
    <w:multiLevelType w:val="hybridMultilevel"/>
    <w:tmpl w:val="7C2AF6EE"/>
    <w:lvl w:ilvl="0" w:tplc="2054A8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4A675E"/>
    <w:multiLevelType w:val="hybridMultilevel"/>
    <w:tmpl w:val="9266C392"/>
    <w:lvl w:ilvl="0" w:tplc="5DF855B4">
      <w:start w:val="1"/>
      <w:numFmt w:val="bullet"/>
      <w:lvlText w:val=""/>
      <w:lvlJc w:val="left"/>
      <w:pPr>
        <w:tabs>
          <w:tab w:val="num" w:pos="720"/>
        </w:tabs>
        <w:ind w:left="720" w:hanging="360"/>
      </w:pPr>
      <w:rPr>
        <w:rFonts w:ascii="Wingdings 2" w:hAnsi="Wingdings 2" w:hint="default"/>
      </w:rPr>
    </w:lvl>
    <w:lvl w:ilvl="1" w:tplc="6414E846" w:tentative="1">
      <w:start w:val="1"/>
      <w:numFmt w:val="bullet"/>
      <w:lvlText w:val=""/>
      <w:lvlJc w:val="left"/>
      <w:pPr>
        <w:tabs>
          <w:tab w:val="num" w:pos="1440"/>
        </w:tabs>
        <w:ind w:left="1440" w:hanging="360"/>
      </w:pPr>
      <w:rPr>
        <w:rFonts w:ascii="Wingdings 2" w:hAnsi="Wingdings 2" w:hint="default"/>
      </w:rPr>
    </w:lvl>
    <w:lvl w:ilvl="2" w:tplc="55FAAF74" w:tentative="1">
      <w:start w:val="1"/>
      <w:numFmt w:val="bullet"/>
      <w:lvlText w:val=""/>
      <w:lvlJc w:val="left"/>
      <w:pPr>
        <w:tabs>
          <w:tab w:val="num" w:pos="2160"/>
        </w:tabs>
        <w:ind w:left="2160" w:hanging="360"/>
      </w:pPr>
      <w:rPr>
        <w:rFonts w:ascii="Wingdings 2" w:hAnsi="Wingdings 2" w:hint="default"/>
      </w:rPr>
    </w:lvl>
    <w:lvl w:ilvl="3" w:tplc="6F300FE2" w:tentative="1">
      <w:start w:val="1"/>
      <w:numFmt w:val="bullet"/>
      <w:lvlText w:val=""/>
      <w:lvlJc w:val="left"/>
      <w:pPr>
        <w:tabs>
          <w:tab w:val="num" w:pos="2880"/>
        </w:tabs>
        <w:ind w:left="2880" w:hanging="360"/>
      </w:pPr>
      <w:rPr>
        <w:rFonts w:ascii="Wingdings 2" w:hAnsi="Wingdings 2" w:hint="default"/>
      </w:rPr>
    </w:lvl>
    <w:lvl w:ilvl="4" w:tplc="A1083368" w:tentative="1">
      <w:start w:val="1"/>
      <w:numFmt w:val="bullet"/>
      <w:lvlText w:val=""/>
      <w:lvlJc w:val="left"/>
      <w:pPr>
        <w:tabs>
          <w:tab w:val="num" w:pos="3600"/>
        </w:tabs>
        <w:ind w:left="3600" w:hanging="360"/>
      </w:pPr>
      <w:rPr>
        <w:rFonts w:ascii="Wingdings 2" w:hAnsi="Wingdings 2" w:hint="default"/>
      </w:rPr>
    </w:lvl>
    <w:lvl w:ilvl="5" w:tplc="A7BE9510" w:tentative="1">
      <w:start w:val="1"/>
      <w:numFmt w:val="bullet"/>
      <w:lvlText w:val=""/>
      <w:lvlJc w:val="left"/>
      <w:pPr>
        <w:tabs>
          <w:tab w:val="num" w:pos="4320"/>
        </w:tabs>
        <w:ind w:left="4320" w:hanging="360"/>
      </w:pPr>
      <w:rPr>
        <w:rFonts w:ascii="Wingdings 2" w:hAnsi="Wingdings 2" w:hint="default"/>
      </w:rPr>
    </w:lvl>
    <w:lvl w:ilvl="6" w:tplc="EED64A50" w:tentative="1">
      <w:start w:val="1"/>
      <w:numFmt w:val="bullet"/>
      <w:lvlText w:val=""/>
      <w:lvlJc w:val="left"/>
      <w:pPr>
        <w:tabs>
          <w:tab w:val="num" w:pos="5040"/>
        </w:tabs>
        <w:ind w:left="5040" w:hanging="360"/>
      </w:pPr>
      <w:rPr>
        <w:rFonts w:ascii="Wingdings 2" w:hAnsi="Wingdings 2" w:hint="default"/>
      </w:rPr>
    </w:lvl>
    <w:lvl w:ilvl="7" w:tplc="72967030" w:tentative="1">
      <w:start w:val="1"/>
      <w:numFmt w:val="bullet"/>
      <w:lvlText w:val=""/>
      <w:lvlJc w:val="left"/>
      <w:pPr>
        <w:tabs>
          <w:tab w:val="num" w:pos="5760"/>
        </w:tabs>
        <w:ind w:left="5760" w:hanging="360"/>
      </w:pPr>
      <w:rPr>
        <w:rFonts w:ascii="Wingdings 2" w:hAnsi="Wingdings 2" w:hint="default"/>
      </w:rPr>
    </w:lvl>
    <w:lvl w:ilvl="8" w:tplc="4FF49D5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0A8F3CD9"/>
    <w:multiLevelType w:val="hybridMultilevel"/>
    <w:tmpl w:val="379A6288"/>
    <w:lvl w:ilvl="0" w:tplc="6E1CB222">
      <w:start w:val="1"/>
      <w:numFmt w:val="bullet"/>
      <w:lvlText w:val=""/>
      <w:lvlJc w:val="left"/>
      <w:pPr>
        <w:tabs>
          <w:tab w:val="num" w:pos="720"/>
        </w:tabs>
        <w:ind w:left="720" w:hanging="360"/>
      </w:pPr>
      <w:rPr>
        <w:rFonts w:ascii="Wingdings 2" w:hAnsi="Wingdings 2" w:hint="default"/>
      </w:rPr>
    </w:lvl>
    <w:lvl w:ilvl="1" w:tplc="6FCC48D0" w:tentative="1">
      <w:start w:val="1"/>
      <w:numFmt w:val="bullet"/>
      <w:lvlText w:val=""/>
      <w:lvlJc w:val="left"/>
      <w:pPr>
        <w:tabs>
          <w:tab w:val="num" w:pos="1440"/>
        </w:tabs>
        <w:ind w:left="1440" w:hanging="360"/>
      </w:pPr>
      <w:rPr>
        <w:rFonts w:ascii="Wingdings 2" w:hAnsi="Wingdings 2" w:hint="default"/>
      </w:rPr>
    </w:lvl>
    <w:lvl w:ilvl="2" w:tplc="A8EC10D4" w:tentative="1">
      <w:start w:val="1"/>
      <w:numFmt w:val="bullet"/>
      <w:lvlText w:val=""/>
      <w:lvlJc w:val="left"/>
      <w:pPr>
        <w:tabs>
          <w:tab w:val="num" w:pos="2160"/>
        </w:tabs>
        <w:ind w:left="2160" w:hanging="360"/>
      </w:pPr>
      <w:rPr>
        <w:rFonts w:ascii="Wingdings 2" w:hAnsi="Wingdings 2" w:hint="default"/>
      </w:rPr>
    </w:lvl>
    <w:lvl w:ilvl="3" w:tplc="D68681B6" w:tentative="1">
      <w:start w:val="1"/>
      <w:numFmt w:val="bullet"/>
      <w:lvlText w:val=""/>
      <w:lvlJc w:val="left"/>
      <w:pPr>
        <w:tabs>
          <w:tab w:val="num" w:pos="2880"/>
        </w:tabs>
        <w:ind w:left="2880" w:hanging="360"/>
      </w:pPr>
      <w:rPr>
        <w:rFonts w:ascii="Wingdings 2" w:hAnsi="Wingdings 2" w:hint="default"/>
      </w:rPr>
    </w:lvl>
    <w:lvl w:ilvl="4" w:tplc="8482DBA0" w:tentative="1">
      <w:start w:val="1"/>
      <w:numFmt w:val="bullet"/>
      <w:lvlText w:val=""/>
      <w:lvlJc w:val="left"/>
      <w:pPr>
        <w:tabs>
          <w:tab w:val="num" w:pos="3600"/>
        </w:tabs>
        <w:ind w:left="3600" w:hanging="360"/>
      </w:pPr>
      <w:rPr>
        <w:rFonts w:ascii="Wingdings 2" w:hAnsi="Wingdings 2" w:hint="default"/>
      </w:rPr>
    </w:lvl>
    <w:lvl w:ilvl="5" w:tplc="0460214C" w:tentative="1">
      <w:start w:val="1"/>
      <w:numFmt w:val="bullet"/>
      <w:lvlText w:val=""/>
      <w:lvlJc w:val="left"/>
      <w:pPr>
        <w:tabs>
          <w:tab w:val="num" w:pos="4320"/>
        </w:tabs>
        <w:ind w:left="4320" w:hanging="360"/>
      </w:pPr>
      <w:rPr>
        <w:rFonts w:ascii="Wingdings 2" w:hAnsi="Wingdings 2" w:hint="default"/>
      </w:rPr>
    </w:lvl>
    <w:lvl w:ilvl="6" w:tplc="B33460D4" w:tentative="1">
      <w:start w:val="1"/>
      <w:numFmt w:val="bullet"/>
      <w:lvlText w:val=""/>
      <w:lvlJc w:val="left"/>
      <w:pPr>
        <w:tabs>
          <w:tab w:val="num" w:pos="5040"/>
        </w:tabs>
        <w:ind w:left="5040" w:hanging="360"/>
      </w:pPr>
      <w:rPr>
        <w:rFonts w:ascii="Wingdings 2" w:hAnsi="Wingdings 2" w:hint="default"/>
      </w:rPr>
    </w:lvl>
    <w:lvl w:ilvl="7" w:tplc="31607982" w:tentative="1">
      <w:start w:val="1"/>
      <w:numFmt w:val="bullet"/>
      <w:lvlText w:val=""/>
      <w:lvlJc w:val="left"/>
      <w:pPr>
        <w:tabs>
          <w:tab w:val="num" w:pos="5760"/>
        </w:tabs>
        <w:ind w:left="5760" w:hanging="360"/>
      </w:pPr>
      <w:rPr>
        <w:rFonts w:ascii="Wingdings 2" w:hAnsi="Wingdings 2" w:hint="default"/>
      </w:rPr>
    </w:lvl>
    <w:lvl w:ilvl="8" w:tplc="16449CEA"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1CE83988"/>
    <w:multiLevelType w:val="hybridMultilevel"/>
    <w:tmpl w:val="BA5618A2"/>
    <w:lvl w:ilvl="0" w:tplc="5C989B00">
      <w:start w:val="1"/>
      <w:numFmt w:val="bullet"/>
      <w:lvlText w:val=""/>
      <w:lvlJc w:val="left"/>
      <w:pPr>
        <w:tabs>
          <w:tab w:val="num" w:pos="720"/>
        </w:tabs>
        <w:ind w:left="720" w:hanging="360"/>
      </w:pPr>
      <w:rPr>
        <w:rFonts w:ascii="Wingdings 2" w:hAnsi="Wingdings 2" w:hint="default"/>
      </w:rPr>
    </w:lvl>
    <w:lvl w:ilvl="1" w:tplc="C2165CE2" w:tentative="1">
      <w:start w:val="1"/>
      <w:numFmt w:val="bullet"/>
      <w:lvlText w:val=""/>
      <w:lvlJc w:val="left"/>
      <w:pPr>
        <w:tabs>
          <w:tab w:val="num" w:pos="1440"/>
        </w:tabs>
        <w:ind w:left="1440" w:hanging="360"/>
      </w:pPr>
      <w:rPr>
        <w:rFonts w:ascii="Wingdings 2" w:hAnsi="Wingdings 2" w:hint="default"/>
      </w:rPr>
    </w:lvl>
    <w:lvl w:ilvl="2" w:tplc="D1FA236A" w:tentative="1">
      <w:start w:val="1"/>
      <w:numFmt w:val="bullet"/>
      <w:lvlText w:val=""/>
      <w:lvlJc w:val="left"/>
      <w:pPr>
        <w:tabs>
          <w:tab w:val="num" w:pos="2160"/>
        </w:tabs>
        <w:ind w:left="2160" w:hanging="360"/>
      </w:pPr>
      <w:rPr>
        <w:rFonts w:ascii="Wingdings 2" w:hAnsi="Wingdings 2" w:hint="default"/>
      </w:rPr>
    </w:lvl>
    <w:lvl w:ilvl="3" w:tplc="1E6425C8" w:tentative="1">
      <w:start w:val="1"/>
      <w:numFmt w:val="bullet"/>
      <w:lvlText w:val=""/>
      <w:lvlJc w:val="left"/>
      <w:pPr>
        <w:tabs>
          <w:tab w:val="num" w:pos="2880"/>
        </w:tabs>
        <w:ind w:left="2880" w:hanging="360"/>
      </w:pPr>
      <w:rPr>
        <w:rFonts w:ascii="Wingdings 2" w:hAnsi="Wingdings 2" w:hint="default"/>
      </w:rPr>
    </w:lvl>
    <w:lvl w:ilvl="4" w:tplc="CFC0AFE6" w:tentative="1">
      <w:start w:val="1"/>
      <w:numFmt w:val="bullet"/>
      <w:lvlText w:val=""/>
      <w:lvlJc w:val="left"/>
      <w:pPr>
        <w:tabs>
          <w:tab w:val="num" w:pos="3600"/>
        </w:tabs>
        <w:ind w:left="3600" w:hanging="360"/>
      </w:pPr>
      <w:rPr>
        <w:rFonts w:ascii="Wingdings 2" w:hAnsi="Wingdings 2" w:hint="default"/>
      </w:rPr>
    </w:lvl>
    <w:lvl w:ilvl="5" w:tplc="87483DC4" w:tentative="1">
      <w:start w:val="1"/>
      <w:numFmt w:val="bullet"/>
      <w:lvlText w:val=""/>
      <w:lvlJc w:val="left"/>
      <w:pPr>
        <w:tabs>
          <w:tab w:val="num" w:pos="4320"/>
        </w:tabs>
        <w:ind w:left="4320" w:hanging="360"/>
      </w:pPr>
      <w:rPr>
        <w:rFonts w:ascii="Wingdings 2" w:hAnsi="Wingdings 2" w:hint="default"/>
      </w:rPr>
    </w:lvl>
    <w:lvl w:ilvl="6" w:tplc="1C96F428" w:tentative="1">
      <w:start w:val="1"/>
      <w:numFmt w:val="bullet"/>
      <w:lvlText w:val=""/>
      <w:lvlJc w:val="left"/>
      <w:pPr>
        <w:tabs>
          <w:tab w:val="num" w:pos="5040"/>
        </w:tabs>
        <w:ind w:left="5040" w:hanging="360"/>
      </w:pPr>
      <w:rPr>
        <w:rFonts w:ascii="Wingdings 2" w:hAnsi="Wingdings 2" w:hint="default"/>
      </w:rPr>
    </w:lvl>
    <w:lvl w:ilvl="7" w:tplc="3A288EE8" w:tentative="1">
      <w:start w:val="1"/>
      <w:numFmt w:val="bullet"/>
      <w:lvlText w:val=""/>
      <w:lvlJc w:val="left"/>
      <w:pPr>
        <w:tabs>
          <w:tab w:val="num" w:pos="5760"/>
        </w:tabs>
        <w:ind w:left="5760" w:hanging="360"/>
      </w:pPr>
      <w:rPr>
        <w:rFonts w:ascii="Wingdings 2" w:hAnsi="Wingdings 2" w:hint="default"/>
      </w:rPr>
    </w:lvl>
    <w:lvl w:ilvl="8" w:tplc="C14E5642"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37C1338D"/>
    <w:multiLevelType w:val="hybridMultilevel"/>
    <w:tmpl w:val="AD3EAEAA"/>
    <w:lvl w:ilvl="0" w:tplc="39DC3A6A">
      <w:start w:val="1"/>
      <w:numFmt w:val="decimal"/>
      <w:lvlText w:val="%1."/>
      <w:lvlJc w:val="left"/>
      <w:pPr>
        <w:tabs>
          <w:tab w:val="num" w:pos="720"/>
        </w:tabs>
        <w:ind w:left="720" w:hanging="360"/>
      </w:pPr>
    </w:lvl>
    <w:lvl w:ilvl="1" w:tplc="63C87006" w:tentative="1">
      <w:start w:val="1"/>
      <w:numFmt w:val="decimal"/>
      <w:lvlText w:val="%2."/>
      <w:lvlJc w:val="left"/>
      <w:pPr>
        <w:tabs>
          <w:tab w:val="num" w:pos="1440"/>
        </w:tabs>
        <w:ind w:left="1440" w:hanging="360"/>
      </w:pPr>
    </w:lvl>
    <w:lvl w:ilvl="2" w:tplc="0E24C01E" w:tentative="1">
      <w:start w:val="1"/>
      <w:numFmt w:val="decimal"/>
      <w:lvlText w:val="%3."/>
      <w:lvlJc w:val="left"/>
      <w:pPr>
        <w:tabs>
          <w:tab w:val="num" w:pos="2160"/>
        </w:tabs>
        <w:ind w:left="2160" w:hanging="360"/>
      </w:pPr>
    </w:lvl>
    <w:lvl w:ilvl="3" w:tplc="F2847300" w:tentative="1">
      <w:start w:val="1"/>
      <w:numFmt w:val="decimal"/>
      <w:lvlText w:val="%4."/>
      <w:lvlJc w:val="left"/>
      <w:pPr>
        <w:tabs>
          <w:tab w:val="num" w:pos="2880"/>
        </w:tabs>
        <w:ind w:left="2880" w:hanging="360"/>
      </w:pPr>
    </w:lvl>
    <w:lvl w:ilvl="4" w:tplc="41DE6D3A" w:tentative="1">
      <w:start w:val="1"/>
      <w:numFmt w:val="decimal"/>
      <w:lvlText w:val="%5."/>
      <w:lvlJc w:val="left"/>
      <w:pPr>
        <w:tabs>
          <w:tab w:val="num" w:pos="3600"/>
        </w:tabs>
        <w:ind w:left="3600" w:hanging="360"/>
      </w:pPr>
    </w:lvl>
    <w:lvl w:ilvl="5" w:tplc="A4EED7FE" w:tentative="1">
      <w:start w:val="1"/>
      <w:numFmt w:val="decimal"/>
      <w:lvlText w:val="%6."/>
      <w:lvlJc w:val="left"/>
      <w:pPr>
        <w:tabs>
          <w:tab w:val="num" w:pos="4320"/>
        </w:tabs>
        <w:ind w:left="4320" w:hanging="360"/>
      </w:pPr>
    </w:lvl>
    <w:lvl w:ilvl="6" w:tplc="C67E5058" w:tentative="1">
      <w:start w:val="1"/>
      <w:numFmt w:val="decimal"/>
      <w:lvlText w:val="%7."/>
      <w:lvlJc w:val="left"/>
      <w:pPr>
        <w:tabs>
          <w:tab w:val="num" w:pos="5040"/>
        </w:tabs>
        <w:ind w:left="5040" w:hanging="360"/>
      </w:pPr>
    </w:lvl>
    <w:lvl w:ilvl="7" w:tplc="B99E5E00" w:tentative="1">
      <w:start w:val="1"/>
      <w:numFmt w:val="decimal"/>
      <w:lvlText w:val="%8."/>
      <w:lvlJc w:val="left"/>
      <w:pPr>
        <w:tabs>
          <w:tab w:val="num" w:pos="5760"/>
        </w:tabs>
        <w:ind w:left="5760" w:hanging="360"/>
      </w:pPr>
    </w:lvl>
    <w:lvl w:ilvl="8" w:tplc="93406796" w:tentative="1">
      <w:start w:val="1"/>
      <w:numFmt w:val="decimal"/>
      <w:lvlText w:val="%9."/>
      <w:lvlJc w:val="left"/>
      <w:pPr>
        <w:tabs>
          <w:tab w:val="num" w:pos="6480"/>
        </w:tabs>
        <w:ind w:left="6480" w:hanging="360"/>
      </w:pPr>
    </w:lvl>
  </w:abstractNum>
  <w:abstractNum w:abstractNumId="7" w15:restartNumberingAfterBreak="0">
    <w:nsid w:val="38223551"/>
    <w:multiLevelType w:val="hybridMultilevel"/>
    <w:tmpl w:val="2C32F67A"/>
    <w:lvl w:ilvl="0" w:tplc="5C7EE0D8">
      <w:start w:val="1"/>
      <w:numFmt w:val="bullet"/>
      <w:lvlText w:val=""/>
      <w:lvlJc w:val="left"/>
      <w:pPr>
        <w:tabs>
          <w:tab w:val="num" w:pos="720"/>
        </w:tabs>
        <w:ind w:left="720" w:hanging="360"/>
      </w:pPr>
      <w:rPr>
        <w:rFonts w:ascii="Wingdings 2" w:hAnsi="Wingdings 2" w:hint="default"/>
      </w:rPr>
    </w:lvl>
    <w:lvl w:ilvl="1" w:tplc="3A0EBDA8" w:tentative="1">
      <w:start w:val="1"/>
      <w:numFmt w:val="bullet"/>
      <w:lvlText w:val=""/>
      <w:lvlJc w:val="left"/>
      <w:pPr>
        <w:tabs>
          <w:tab w:val="num" w:pos="1440"/>
        </w:tabs>
        <w:ind w:left="1440" w:hanging="360"/>
      </w:pPr>
      <w:rPr>
        <w:rFonts w:ascii="Wingdings 2" w:hAnsi="Wingdings 2" w:hint="default"/>
      </w:rPr>
    </w:lvl>
    <w:lvl w:ilvl="2" w:tplc="8B2A4374" w:tentative="1">
      <w:start w:val="1"/>
      <w:numFmt w:val="bullet"/>
      <w:lvlText w:val=""/>
      <w:lvlJc w:val="left"/>
      <w:pPr>
        <w:tabs>
          <w:tab w:val="num" w:pos="2160"/>
        </w:tabs>
        <w:ind w:left="2160" w:hanging="360"/>
      </w:pPr>
      <w:rPr>
        <w:rFonts w:ascii="Wingdings 2" w:hAnsi="Wingdings 2" w:hint="default"/>
      </w:rPr>
    </w:lvl>
    <w:lvl w:ilvl="3" w:tplc="3F62FF56" w:tentative="1">
      <w:start w:val="1"/>
      <w:numFmt w:val="bullet"/>
      <w:lvlText w:val=""/>
      <w:lvlJc w:val="left"/>
      <w:pPr>
        <w:tabs>
          <w:tab w:val="num" w:pos="2880"/>
        </w:tabs>
        <w:ind w:left="2880" w:hanging="360"/>
      </w:pPr>
      <w:rPr>
        <w:rFonts w:ascii="Wingdings 2" w:hAnsi="Wingdings 2" w:hint="default"/>
      </w:rPr>
    </w:lvl>
    <w:lvl w:ilvl="4" w:tplc="2F5410CA" w:tentative="1">
      <w:start w:val="1"/>
      <w:numFmt w:val="bullet"/>
      <w:lvlText w:val=""/>
      <w:lvlJc w:val="left"/>
      <w:pPr>
        <w:tabs>
          <w:tab w:val="num" w:pos="3600"/>
        </w:tabs>
        <w:ind w:left="3600" w:hanging="360"/>
      </w:pPr>
      <w:rPr>
        <w:rFonts w:ascii="Wingdings 2" w:hAnsi="Wingdings 2" w:hint="default"/>
      </w:rPr>
    </w:lvl>
    <w:lvl w:ilvl="5" w:tplc="6CB82784" w:tentative="1">
      <w:start w:val="1"/>
      <w:numFmt w:val="bullet"/>
      <w:lvlText w:val=""/>
      <w:lvlJc w:val="left"/>
      <w:pPr>
        <w:tabs>
          <w:tab w:val="num" w:pos="4320"/>
        </w:tabs>
        <w:ind w:left="4320" w:hanging="360"/>
      </w:pPr>
      <w:rPr>
        <w:rFonts w:ascii="Wingdings 2" w:hAnsi="Wingdings 2" w:hint="default"/>
      </w:rPr>
    </w:lvl>
    <w:lvl w:ilvl="6" w:tplc="7B9A43F8" w:tentative="1">
      <w:start w:val="1"/>
      <w:numFmt w:val="bullet"/>
      <w:lvlText w:val=""/>
      <w:lvlJc w:val="left"/>
      <w:pPr>
        <w:tabs>
          <w:tab w:val="num" w:pos="5040"/>
        </w:tabs>
        <w:ind w:left="5040" w:hanging="360"/>
      </w:pPr>
      <w:rPr>
        <w:rFonts w:ascii="Wingdings 2" w:hAnsi="Wingdings 2" w:hint="default"/>
      </w:rPr>
    </w:lvl>
    <w:lvl w:ilvl="7" w:tplc="D8A246B2" w:tentative="1">
      <w:start w:val="1"/>
      <w:numFmt w:val="bullet"/>
      <w:lvlText w:val=""/>
      <w:lvlJc w:val="left"/>
      <w:pPr>
        <w:tabs>
          <w:tab w:val="num" w:pos="5760"/>
        </w:tabs>
        <w:ind w:left="5760" w:hanging="360"/>
      </w:pPr>
      <w:rPr>
        <w:rFonts w:ascii="Wingdings 2" w:hAnsi="Wingdings 2" w:hint="default"/>
      </w:rPr>
    </w:lvl>
    <w:lvl w:ilvl="8" w:tplc="81CA8BFC"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40472FA8"/>
    <w:multiLevelType w:val="hybridMultilevel"/>
    <w:tmpl w:val="06E0F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E71ED8"/>
    <w:multiLevelType w:val="hybridMultilevel"/>
    <w:tmpl w:val="428EB754"/>
    <w:lvl w:ilvl="0" w:tplc="98709A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E42149"/>
    <w:multiLevelType w:val="hybridMultilevel"/>
    <w:tmpl w:val="67886966"/>
    <w:lvl w:ilvl="0" w:tplc="F0409078">
      <w:start w:val="1"/>
      <w:numFmt w:val="bullet"/>
      <w:lvlText w:val=""/>
      <w:lvlJc w:val="left"/>
      <w:pPr>
        <w:tabs>
          <w:tab w:val="num" w:pos="720"/>
        </w:tabs>
        <w:ind w:left="720" w:hanging="360"/>
      </w:pPr>
      <w:rPr>
        <w:rFonts w:ascii="Wingdings 2" w:hAnsi="Wingdings 2" w:hint="default"/>
      </w:rPr>
    </w:lvl>
    <w:lvl w:ilvl="1" w:tplc="B0682CA4" w:tentative="1">
      <w:start w:val="1"/>
      <w:numFmt w:val="bullet"/>
      <w:lvlText w:val=""/>
      <w:lvlJc w:val="left"/>
      <w:pPr>
        <w:tabs>
          <w:tab w:val="num" w:pos="1440"/>
        </w:tabs>
        <w:ind w:left="1440" w:hanging="360"/>
      </w:pPr>
      <w:rPr>
        <w:rFonts w:ascii="Wingdings 2" w:hAnsi="Wingdings 2" w:hint="default"/>
      </w:rPr>
    </w:lvl>
    <w:lvl w:ilvl="2" w:tplc="E08CF7FC" w:tentative="1">
      <w:start w:val="1"/>
      <w:numFmt w:val="bullet"/>
      <w:lvlText w:val=""/>
      <w:lvlJc w:val="left"/>
      <w:pPr>
        <w:tabs>
          <w:tab w:val="num" w:pos="2160"/>
        </w:tabs>
        <w:ind w:left="2160" w:hanging="360"/>
      </w:pPr>
      <w:rPr>
        <w:rFonts w:ascii="Wingdings 2" w:hAnsi="Wingdings 2" w:hint="default"/>
      </w:rPr>
    </w:lvl>
    <w:lvl w:ilvl="3" w:tplc="1C02F8A8" w:tentative="1">
      <w:start w:val="1"/>
      <w:numFmt w:val="bullet"/>
      <w:lvlText w:val=""/>
      <w:lvlJc w:val="left"/>
      <w:pPr>
        <w:tabs>
          <w:tab w:val="num" w:pos="2880"/>
        </w:tabs>
        <w:ind w:left="2880" w:hanging="360"/>
      </w:pPr>
      <w:rPr>
        <w:rFonts w:ascii="Wingdings 2" w:hAnsi="Wingdings 2" w:hint="default"/>
      </w:rPr>
    </w:lvl>
    <w:lvl w:ilvl="4" w:tplc="F0D48F92" w:tentative="1">
      <w:start w:val="1"/>
      <w:numFmt w:val="bullet"/>
      <w:lvlText w:val=""/>
      <w:lvlJc w:val="left"/>
      <w:pPr>
        <w:tabs>
          <w:tab w:val="num" w:pos="3600"/>
        </w:tabs>
        <w:ind w:left="3600" w:hanging="360"/>
      </w:pPr>
      <w:rPr>
        <w:rFonts w:ascii="Wingdings 2" w:hAnsi="Wingdings 2" w:hint="default"/>
      </w:rPr>
    </w:lvl>
    <w:lvl w:ilvl="5" w:tplc="4C0E2738" w:tentative="1">
      <w:start w:val="1"/>
      <w:numFmt w:val="bullet"/>
      <w:lvlText w:val=""/>
      <w:lvlJc w:val="left"/>
      <w:pPr>
        <w:tabs>
          <w:tab w:val="num" w:pos="4320"/>
        </w:tabs>
        <w:ind w:left="4320" w:hanging="360"/>
      </w:pPr>
      <w:rPr>
        <w:rFonts w:ascii="Wingdings 2" w:hAnsi="Wingdings 2" w:hint="default"/>
      </w:rPr>
    </w:lvl>
    <w:lvl w:ilvl="6" w:tplc="15388020" w:tentative="1">
      <w:start w:val="1"/>
      <w:numFmt w:val="bullet"/>
      <w:lvlText w:val=""/>
      <w:lvlJc w:val="left"/>
      <w:pPr>
        <w:tabs>
          <w:tab w:val="num" w:pos="5040"/>
        </w:tabs>
        <w:ind w:left="5040" w:hanging="360"/>
      </w:pPr>
      <w:rPr>
        <w:rFonts w:ascii="Wingdings 2" w:hAnsi="Wingdings 2" w:hint="default"/>
      </w:rPr>
    </w:lvl>
    <w:lvl w:ilvl="7" w:tplc="B5DC6904" w:tentative="1">
      <w:start w:val="1"/>
      <w:numFmt w:val="bullet"/>
      <w:lvlText w:val=""/>
      <w:lvlJc w:val="left"/>
      <w:pPr>
        <w:tabs>
          <w:tab w:val="num" w:pos="5760"/>
        </w:tabs>
        <w:ind w:left="5760" w:hanging="360"/>
      </w:pPr>
      <w:rPr>
        <w:rFonts w:ascii="Wingdings 2" w:hAnsi="Wingdings 2" w:hint="default"/>
      </w:rPr>
    </w:lvl>
    <w:lvl w:ilvl="8" w:tplc="32100DD2"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57B74421"/>
    <w:multiLevelType w:val="hybridMultilevel"/>
    <w:tmpl w:val="F698F15E"/>
    <w:lvl w:ilvl="0" w:tplc="55667B56">
      <w:start w:val="1"/>
      <w:numFmt w:val="bullet"/>
      <w:lvlText w:val=""/>
      <w:lvlJc w:val="left"/>
      <w:pPr>
        <w:tabs>
          <w:tab w:val="num" w:pos="720"/>
        </w:tabs>
        <w:ind w:left="720" w:hanging="360"/>
      </w:pPr>
      <w:rPr>
        <w:rFonts w:ascii="Wingdings 2" w:hAnsi="Wingdings 2" w:hint="default"/>
      </w:rPr>
    </w:lvl>
    <w:lvl w:ilvl="1" w:tplc="FED0263A" w:tentative="1">
      <w:start w:val="1"/>
      <w:numFmt w:val="bullet"/>
      <w:lvlText w:val=""/>
      <w:lvlJc w:val="left"/>
      <w:pPr>
        <w:tabs>
          <w:tab w:val="num" w:pos="1440"/>
        </w:tabs>
        <w:ind w:left="1440" w:hanging="360"/>
      </w:pPr>
      <w:rPr>
        <w:rFonts w:ascii="Wingdings 2" w:hAnsi="Wingdings 2" w:hint="default"/>
      </w:rPr>
    </w:lvl>
    <w:lvl w:ilvl="2" w:tplc="EED01FF4" w:tentative="1">
      <w:start w:val="1"/>
      <w:numFmt w:val="bullet"/>
      <w:lvlText w:val=""/>
      <w:lvlJc w:val="left"/>
      <w:pPr>
        <w:tabs>
          <w:tab w:val="num" w:pos="2160"/>
        </w:tabs>
        <w:ind w:left="2160" w:hanging="360"/>
      </w:pPr>
      <w:rPr>
        <w:rFonts w:ascii="Wingdings 2" w:hAnsi="Wingdings 2" w:hint="default"/>
      </w:rPr>
    </w:lvl>
    <w:lvl w:ilvl="3" w:tplc="4A6EB296" w:tentative="1">
      <w:start w:val="1"/>
      <w:numFmt w:val="bullet"/>
      <w:lvlText w:val=""/>
      <w:lvlJc w:val="left"/>
      <w:pPr>
        <w:tabs>
          <w:tab w:val="num" w:pos="2880"/>
        </w:tabs>
        <w:ind w:left="2880" w:hanging="360"/>
      </w:pPr>
      <w:rPr>
        <w:rFonts w:ascii="Wingdings 2" w:hAnsi="Wingdings 2" w:hint="default"/>
      </w:rPr>
    </w:lvl>
    <w:lvl w:ilvl="4" w:tplc="DBDAB2C2" w:tentative="1">
      <w:start w:val="1"/>
      <w:numFmt w:val="bullet"/>
      <w:lvlText w:val=""/>
      <w:lvlJc w:val="left"/>
      <w:pPr>
        <w:tabs>
          <w:tab w:val="num" w:pos="3600"/>
        </w:tabs>
        <w:ind w:left="3600" w:hanging="360"/>
      </w:pPr>
      <w:rPr>
        <w:rFonts w:ascii="Wingdings 2" w:hAnsi="Wingdings 2" w:hint="default"/>
      </w:rPr>
    </w:lvl>
    <w:lvl w:ilvl="5" w:tplc="54688908" w:tentative="1">
      <w:start w:val="1"/>
      <w:numFmt w:val="bullet"/>
      <w:lvlText w:val=""/>
      <w:lvlJc w:val="left"/>
      <w:pPr>
        <w:tabs>
          <w:tab w:val="num" w:pos="4320"/>
        </w:tabs>
        <w:ind w:left="4320" w:hanging="360"/>
      </w:pPr>
      <w:rPr>
        <w:rFonts w:ascii="Wingdings 2" w:hAnsi="Wingdings 2" w:hint="default"/>
      </w:rPr>
    </w:lvl>
    <w:lvl w:ilvl="6" w:tplc="741EFFBA" w:tentative="1">
      <w:start w:val="1"/>
      <w:numFmt w:val="bullet"/>
      <w:lvlText w:val=""/>
      <w:lvlJc w:val="left"/>
      <w:pPr>
        <w:tabs>
          <w:tab w:val="num" w:pos="5040"/>
        </w:tabs>
        <w:ind w:left="5040" w:hanging="360"/>
      </w:pPr>
      <w:rPr>
        <w:rFonts w:ascii="Wingdings 2" w:hAnsi="Wingdings 2" w:hint="default"/>
      </w:rPr>
    </w:lvl>
    <w:lvl w:ilvl="7" w:tplc="4B2C2E56" w:tentative="1">
      <w:start w:val="1"/>
      <w:numFmt w:val="bullet"/>
      <w:lvlText w:val=""/>
      <w:lvlJc w:val="left"/>
      <w:pPr>
        <w:tabs>
          <w:tab w:val="num" w:pos="5760"/>
        </w:tabs>
        <w:ind w:left="5760" w:hanging="360"/>
      </w:pPr>
      <w:rPr>
        <w:rFonts w:ascii="Wingdings 2" w:hAnsi="Wingdings 2" w:hint="default"/>
      </w:rPr>
    </w:lvl>
    <w:lvl w:ilvl="8" w:tplc="1C22A498"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5C3351E2"/>
    <w:multiLevelType w:val="hybridMultilevel"/>
    <w:tmpl w:val="15025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DF609A"/>
    <w:multiLevelType w:val="hybridMultilevel"/>
    <w:tmpl w:val="6CD0C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9365AA"/>
    <w:multiLevelType w:val="hybridMultilevel"/>
    <w:tmpl w:val="78DC0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F66D44"/>
    <w:multiLevelType w:val="hybridMultilevel"/>
    <w:tmpl w:val="18B08228"/>
    <w:lvl w:ilvl="0" w:tplc="C3482B2C">
      <w:start w:val="1"/>
      <w:numFmt w:val="bullet"/>
      <w:lvlText w:val="-"/>
      <w:lvlJc w:val="left"/>
      <w:pPr>
        <w:tabs>
          <w:tab w:val="num" w:pos="720"/>
        </w:tabs>
        <w:ind w:left="720" w:hanging="360"/>
      </w:pPr>
      <w:rPr>
        <w:rFonts w:ascii="Times New Roman" w:hAnsi="Times New Roman" w:hint="default"/>
      </w:rPr>
    </w:lvl>
    <w:lvl w:ilvl="1" w:tplc="A2169600" w:tentative="1">
      <w:start w:val="1"/>
      <w:numFmt w:val="bullet"/>
      <w:lvlText w:val="-"/>
      <w:lvlJc w:val="left"/>
      <w:pPr>
        <w:tabs>
          <w:tab w:val="num" w:pos="1440"/>
        </w:tabs>
        <w:ind w:left="1440" w:hanging="360"/>
      </w:pPr>
      <w:rPr>
        <w:rFonts w:ascii="Times New Roman" w:hAnsi="Times New Roman" w:hint="default"/>
      </w:rPr>
    </w:lvl>
    <w:lvl w:ilvl="2" w:tplc="0358B6D4" w:tentative="1">
      <w:start w:val="1"/>
      <w:numFmt w:val="bullet"/>
      <w:lvlText w:val="-"/>
      <w:lvlJc w:val="left"/>
      <w:pPr>
        <w:tabs>
          <w:tab w:val="num" w:pos="2160"/>
        </w:tabs>
        <w:ind w:left="2160" w:hanging="360"/>
      </w:pPr>
      <w:rPr>
        <w:rFonts w:ascii="Times New Roman" w:hAnsi="Times New Roman" w:hint="default"/>
      </w:rPr>
    </w:lvl>
    <w:lvl w:ilvl="3" w:tplc="72B8848E" w:tentative="1">
      <w:start w:val="1"/>
      <w:numFmt w:val="bullet"/>
      <w:lvlText w:val="-"/>
      <w:lvlJc w:val="left"/>
      <w:pPr>
        <w:tabs>
          <w:tab w:val="num" w:pos="2880"/>
        </w:tabs>
        <w:ind w:left="2880" w:hanging="360"/>
      </w:pPr>
      <w:rPr>
        <w:rFonts w:ascii="Times New Roman" w:hAnsi="Times New Roman" w:hint="default"/>
      </w:rPr>
    </w:lvl>
    <w:lvl w:ilvl="4" w:tplc="AF2CDC68" w:tentative="1">
      <w:start w:val="1"/>
      <w:numFmt w:val="bullet"/>
      <w:lvlText w:val="-"/>
      <w:lvlJc w:val="left"/>
      <w:pPr>
        <w:tabs>
          <w:tab w:val="num" w:pos="3600"/>
        </w:tabs>
        <w:ind w:left="3600" w:hanging="360"/>
      </w:pPr>
      <w:rPr>
        <w:rFonts w:ascii="Times New Roman" w:hAnsi="Times New Roman" w:hint="default"/>
      </w:rPr>
    </w:lvl>
    <w:lvl w:ilvl="5" w:tplc="2B6088CE" w:tentative="1">
      <w:start w:val="1"/>
      <w:numFmt w:val="bullet"/>
      <w:lvlText w:val="-"/>
      <w:lvlJc w:val="left"/>
      <w:pPr>
        <w:tabs>
          <w:tab w:val="num" w:pos="4320"/>
        </w:tabs>
        <w:ind w:left="4320" w:hanging="360"/>
      </w:pPr>
      <w:rPr>
        <w:rFonts w:ascii="Times New Roman" w:hAnsi="Times New Roman" w:hint="default"/>
      </w:rPr>
    </w:lvl>
    <w:lvl w:ilvl="6" w:tplc="E8CC8644" w:tentative="1">
      <w:start w:val="1"/>
      <w:numFmt w:val="bullet"/>
      <w:lvlText w:val="-"/>
      <w:lvlJc w:val="left"/>
      <w:pPr>
        <w:tabs>
          <w:tab w:val="num" w:pos="5040"/>
        </w:tabs>
        <w:ind w:left="5040" w:hanging="360"/>
      </w:pPr>
      <w:rPr>
        <w:rFonts w:ascii="Times New Roman" w:hAnsi="Times New Roman" w:hint="default"/>
      </w:rPr>
    </w:lvl>
    <w:lvl w:ilvl="7" w:tplc="60D0729C" w:tentative="1">
      <w:start w:val="1"/>
      <w:numFmt w:val="bullet"/>
      <w:lvlText w:val="-"/>
      <w:lvlJc w:val="left"/>
      <w:pPr>
        <w:tabs>
          <w:tab w:val="num" w:pos="5760"/>
        </w:tabs>
        <w:ind w:left="5760" w:hanging="360"/>
      </w:pPr>
      <w:rPr>
        <w:rFonts w:ascii="Times New Roman" w:hAnsi="Times New Roman" w:hint="default"/>
      </w:rPr>
    </w:lvl>
    <w:lvl w:ilvl="8" w:tplc="51940EF6"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BB30F67"/>
    <w:multiLevelType w:val="hybridMultilevel"/>
    <w:tmpl w:val="2F564048"/>
    <w:lvl w:ilvl="0" w:tplc="865AA772">
      <w:start w:val="1"/>
      <w:numFmt w:val="bullet"/>
      <w:lvlText w:val=""/>
      <w:lvlJc w:val="left"/>
      <w:pPr>
        <w:tabs>
          <w:tab w:val="num" w:pos="720"/>
        </w:tabs>
        <w:ind w:left="720" w:hanging="360"/>
      </w:pPr>
      <w:rPr>
        <w:rFonts w:ascii="Wingdings 2" w:hAnsi="Wingdings 2" w:hint="default"/>
      </w:rPr>
    </w:lvl>
    <w:lvl w:ilvl="1" w:tplc="4E3E16F8" w:tentative="1">
      <w:start w:val="1"/>
      <w:numFmt w:val="bullet"/>
      <w:lvlText w:val=""/>
      <w:lvlJc w:val="left"/>
      <w:pPr>
        <w:tabs>
          <w:tab w:val="num" w:pos="1440"/>
        </w:tabs>
        <w:ind w:left="1440" w:hanging="360"/>
      </w:pPr>
      <w:rPr>
        <w:rFonts w:ascii="Wingdings 2" w:hAnsi="Wingdings 2" w:hint="default"/>
      </w:rPr>
    </w:lvl>
    <w:lvl w:ilvl="2" w:tplc="81CA898E" w:tentative="1">
      <w:start w:val="1"/>
      <w:numFmt w:val="bullet"/>
      <w:lvlText w:val=""/>
      <w:lvlJc w:val="left"/>
      <w:pPr>
        <w:tabs>
          <w:tab w:val="num" w:pos="2160"/>
        </w:tabs>
        <w:ind w:left="2160" w:hanging="360"/>
      </w:pPr>
      <w:rPr>
        <w:rFonts w:ascii="Wingdings 2" w:hAnsi="Wingdings 2" w:hint="default"/>
      </w:rPr>
    </w:lvl>
    <w:lvl w:ilvl="3" w:tplc="98EE9118" w:tentative="1">
      <w:start w:val="1"/>
      <w:numFmt w:val="bullet"/>
      <w:lvlText w:val=""/>
      <w:lvlJc w:val="left"/>
      <w:pPr>
        <w:tabs>
          <w:tab w:val="num" w:pos="2880"/>
        </w:tabs>
        <w:ind w:left="2880" w:hanging="360"/>
      </w:pPr>
      <w:rPr>
        <w:rFonts w:ascii="Wingdings 2" w:hAnsi="Wingdings 2" w:hint="default"/>
      </w:rPr>
    </w:lvl>
    <w:lvl w:ilvl="4" w:tplc="ACD8820C" w:tentative="1">
      <w:start w:val="1"/>
      <w:numFmt w:val="bullet"/>
      <w:lvlText w:val=""/>
      <w:lvlJc w:val="left"/>
      <w:pPr>
        <w:tabs>
          <w:tab w:val="num" w:pos="3600"/>
        </w:tabs>
        <w:ind w:left="3600" w:hanging="360"/>
      </w:pPr>
      <w:rPr>
        <w:rFonts w:ascii="Wingdings 2" w:hAnsi="Wingdings 2" w:hint="default"/>
      </w:rPr>
    </w:lvl>
    <w:lvl w:ilvl="5" w:tplc="97B698AA" w:tentative="1">
      <w:start w:val="1"/>
      <w:numFmt w:val="bullet"/>
      <w:lvlText w:val=""/>
      <w:lvlJc w:val="left"/>
      <w:pPr>
        <w:tabs>
          <w:tab w:val="num" w:pos="4320"/>
        </w:tabs>
        <w:ind w:left="4320" w:hanging="360"/>
      </w:pPr>
      <w:rPr>
        <w:rFonts w:ascii="Wingdings 2" w:hAnsi="Wingdings 2" w:hint="default"/>
      </w:rPr>
    </w:lvl>
    <w:lvl w:ilvl="6" w:tplc="35C0559E" w:tentative="1">
      <w:start w:val="1"/>
      <w:numFmt w:val="bullet"/>
      <w:lvlText w:val=""/>
      <w:lvlJc w:val="left"/>
      <w:pPr>
        <w:tabs>
          <w:tab w:val="num" w:pos="5040"/>
        </w:tabs>
        <w:ind w:left="5040" w:hanging="360"/>
      </w:pPr>
      <w:rPr>
        <w:rFonts w:ascii="Wingdings 2" w:hAnsi="Wingdings 2" w:hint="default"/>
      </w:rPr>
    </w:lvl>
    <w:lvl w:ilvl="7" w:tplc="1B6071D2" w:tentative="1">
      <w:start w:val="1"/>
      <w:numFmt w:val="bullet"/>
      <w:lvlText w:val=""/>
      <w:lvlJc w:val="left"/>
      <w:pPr>
        <w:tabs>
          <w:tab w:val="num" w:pos="5760"/>
        </w:tabs>
        <w:ind w:left="5760" w:hanging="360"/>
      </w:pPr>
      <w:rPr>
        <w:rFonts w:ascii="Wingdings 2" w:hAnsi="Wingdings 2" w:hint="default"/>
      </w:rPr>
    </w:lvl>
    <w:lvl w:ilvl="8" w:tplc="20EC4328"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6DAB10C8"/>
    <w:multiLevelType w:val="hybridMultilevel"/>
    <w:tmpl w:val="0F3E2010"/>
    <w:lvl w:ilvl="0" w:tplc="7A3855EA">
      <w:start w:val="1"/>
      <w:numFmt w:val="bullet"/>
      <w:lvlText w:val="-"/>
      <w:lvlJc w:val="left"/>
      <w:pPr>
        <w:tabs>
          <w:tab w:val="num" w:pos="720"/>
        </w:tabs>
        <w:ind w:left="720" w:hanging="360"/>
      </w:pPr>
      <w:rPr>
        <w:rFonts w:ascii="Times New Roman" w:hAnsi="Times New Roman" w:hint="default"/>
      </w:rPr>
    </w:lvl>
    <w:lvl w:ilvl="1" w:tplc="8272D3AC" w:tentative="1">
      <w:start w:val="1"/>
      <w:numFmt w:val="bullet"/>
      <w:lvlText w:val="-"/>
      <w:lvlJc w:val="left"/>
      <w:pPr>
        <w:tabs>
          <w:tab w:val="num" w:pos="1440"/>
        </w:tabs>
        <w:ind w:left="1440" w:hanging="360"/>
      </w:pPr>
      <w:rPr>
        <w:rFonts w:ascii="Times New Roman" w:hAnsi="Times New Roman" w:hint="default"/>
      </w:rPr>
    </w:lvl>
    <w:lvl w:ilvl="2" w:tplc="23C24C18" w:tentative="1">
      <w:start w:val="1"/>
      <w:numFmt w:val="bullet"/>
      <w:lvlText w:val="-"/>
      <w:lvlJc w:val="left"/>
      <w:pPr>
        <w:tabs>
          <w:tab w:val="num" w:pos="2160"/>
        </w:tabs>
        <w:ind w:left="2160" w:hanging="360"/>
      </w:pPr>
      <w:rPr>
        <w:rFonts w:ascii="Times New Roman" w:hAnsi="Times New Roman" w:hint="default"/>
      </w:rPr>
    </w:lvl>
    <w:lvl w:ilvl="3" w:tplc="8E4A4616" w:tentative="1">
      <w:start w:val="1"/>
      <w:numFmt w:val="bullet"/>
      <w:lvlText w:val="-"/>
      <w:lvlJc w:val="left"/>
      <w:pPr>
        <w:tabs>
          <w:tab w:val="num" w:pos="2880"/>
        </w:tabs>
        <w:ind w:left="2880" w:hanging="360"/>
      </w:pPr>
      <w:rPr>
        <w:rFonts w:ascii="Times New Roman" w:hAnsi="Times New Roman" w:hint="default"/>
      </w:rPr>
    </w:lvl>
    <w:lvl w:ilvl="4" w:tplc="0C14ACCE" w:tentative="1">
      <w:start w:val="1"/>
      <w:numFmt w:val="bullet"/>
      <w:lvlText w:val="-"/>
      <w:lvlJc w:val="left"/>
      <w:pPr>
        <w:tabs>
          <w:tab w:val="num" w:pos="3600"/>
        </w:tabs>
        <w:ind w:left="3600" w:hanging="360"/>
      </w:pPr>
      <w:rPr>
        <w:rFonts w:ascii="Times New Roman" w:hAnsi="Times New Roman" w:hint="default"/>
      </w:rPr>
    </w:lvl>
    <w:lvl w:ilvl="5" w:tplc="EF52AC92" w:tentative="1">
      <w:start w:val="1"/>
      <w:numFmt w:val="bullet"/>
      <w:lvlText w:val="-"/>
      <w:lvlJc w:val="left"/>
      <w:pPr>
        <w:tabs>
          <w:tab w:val="num" w:pos="4320"/>
        </w:tabs>
        <w:ind w:left="4320" w:hanging="360"/>
      </w:pPr>
      <w:rPr>
        <w:rFonts w:ascii="Times New Roman" w:hAnsi="Times New Roman" w:hint="default"/>
      </w:rPr>
    </w:lvl>
    <w:lvl w:ilvl="6" w:tplc="FA648808" w:tentative="1">
      <w:start w:val="1"/>
      <w:numFmt w:val="bullet"/>
      <w:lvlText w:val="-"/>
      <w:lvlJc w:val="left"/>
      <w:pPr>
        <w:tabs>
          <w:tab w:val="num" w:pos="5040"/>
        </w:tabs>
        <w:ind w:left="5040" w:hanging="360"/>
      </w:pPr>
      <w:rPr>
        <w:rFonts w:ascii="Times New Roman" w:hAnsi="Times New Roman" w:hint="default"/>
      </w:rPr>
    </w:lvl>
    <w:lvl w:ilvl="7" w:tplc="15EC4BA0" w:tentative="1">
      <w:start w:val="1"/>
      <w:numFmt w:val="bullet"/>
      <w:lvlText w:val="-"/>
      <w:lvlJc w:val="left"/>
      <w:pPr>
        <w:tabs>
          <w:tab w:val="num" w:pos="5760"/>
        </w:tabs>
        <w:ind w:left="5760" w:hanging="360"/>
      </w:pPr>
      <w:rPr>
        <w:rFonts w:ascii="Times New Roman" w:hAnsi="Times New Roman" w:hint="default"/>
      </w:rPr>
    </w:lvl>
    <w:lvl w:ilvl="8" w:tplc="9CE8F1B4"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6E8A6AAA"/>
    <w:multiLevelType w:val="hybridMultilevel"/>
    <w:tmpl w:val="795C52E4"/>
    <w:lvl w:ilvl="0" w:tplc="4EA203D6">
      <w:start w:val="1"/>
      <w:numFmt w:val="bullet"/>
      <w:lvlText w:val=""/>
      <w:lvlJc w:val="left"/>
      <w:pPr>
        <w:tabs>
          <w:tab w:val="num" w:pos="720"/>
        </w:tabs>
        <w:ind w:left="720" w:hanging="360"/>
      </w:pPr>
      <w:rPr>
        <w:rFonts w:ascii="Wingdings 2" w:hAnsi="Wingdings 2" w:hint="default"/>
      </w:rPr>
    </w:lvl>
    <w:lvl w:ilvl="1" w:tplc="A8D6B150" w:tentative="1">
      <w:start w:val="1"/>
      <w:numFmt w:val="bullet"/>
      <w:lvlText w:val=""/>
      <w:lvlJc w:val="left"/>
      <w:pPr>
        <w:tabs>
          <w:tab w:val="num" w:pos="1440"/>
        </w:tabs>
        <w:ind w:left="1440" w:hanging="360"/>
      </w:pPr>
      <w:rPr>
        <w:rFonts w:ascii="Wingdings 2" w:hAnsi="Wingdings 2" w:hint="default"/>
      </w:rPr>
    </w:lvl>
    <w:lvl w:ilvl="2" w:tplc="F4A86264" w:tentative="1">
      <w:start w:val="1"/>
      <w:numFmt w:val="bullet"/>
      <w:lvlText w:val=""/>
      <w:lvlJc w:val="left"/>
      <w:pPr>
        <w:tabs>
          <w:tab w:val="num" w:pos="2160"/>
        </w:tabs>
        <w:ind w:left="2160" w:hanging="360"/>
      </w:pPr>
      <w:rPr>
        <w:rFonts w:ascii="Wingdings 2" w:hAnsi="Wingdings 2" w:hint="default"/>
      </w:rPr>
    </w:lvl>
    <w:lvl w:ilvl="3" w:tplc="FBE411E6" w:tentative="1">
      <w:start w:val="1"/>
      <w:numFmt w:val="bullet"/>
      <w:lvlText w:val=""/>
      <w:lvlJc w:val="left"/>
      <w:pPr>
        <w:tabs>
          <w:tab w:val="num" w:pos="2880"/>
        </w:tabs>
        <w:ind w:left="2880" w:hanging="360"/>
      </w:pPr>
      <w:rPr>
        <w:rFonts w:ascii="Wingdings 2" w:hAnsi="Wingdings 2" w:hint="default"/>
      </w:rPr>
    </w:lvl>
    <w:lvl w:ilvl="4" w:tplc="EF2E43A0" w:tentative="1">
      <w:start w:val="1"/>
      <w:numFmt w:val="bullet"/>
      <w:lvlText w:val=""/>
      <w:lvlJc w:val="left"/>
      <w:pPr>
        <w:tabs>
          <w:tab w:val="num" w:pos="3600"/>
        </w:tabs>
        <w:ind w:left="3600" w:hanging="360"/>
      </w:pPr>
      <w:rPr>
        <w:rFonts w:ascii="Wingdings 2" w:hAnsi="Wingdings 2" w:hint="default"/>
      </w:rPr>
    </w:lvl>
    <w:lvl w:ilvl="5" w:tplc="D360C1D6" w:tentative="1">
      <w:start w:val="1"/>
      <w:numFmt w:val="bullet"/>
      <w:lvlText w:val=""/>
      <w:lvlJc w:val="left"/>
      <w:pPr>
        <w:tabs>
          <w:tab w:val="num" w:pos="4320"/>
        </w:tabs>
        <w:ind w:left="4320" w:hanging="360"/>
      </w:pPr>
      <w:rPr>
        <w:rFonts w:ascii="Wingdings 2" w:hAnsi="Wingdings 2" w:hint="default"/>
      </w:rPr>
    </w:lvl>
    <w:lvl w:ilvl="6" w:tplc="D1681CBA" w:tentative="1">
      <w:start w:val="1"/>
      <w:numFmt w:val="bullet"/>
      <w:lvlText w:val=""/>
      <w:lvlJc w:val="left"/>
      <w:pPr>
        <w:tabs>
          <w:tab w:val="num" w:pos="5040"/>
        </w:tabs>
        <w:ind w:left="5040" w:hanging="360"/>
      </w:pPr>
      <w:rPr>
        <w:rFonts w:ascii="Wingdings 2" w:hAnsi="Wingdings 2" w:hint="default"/>
      </w:rPr>
    </w:lvl>
    <w:lvl w:ilvl="7" w:tplc="764A57CA" w:tentative="1">
      <w:start w:val="1"/>
      <w:numFmt w:val="bullet"/>
      <w:lvlText w:val=""/>
      <w:lvlJc w:val="left"/>
      <w:pPr>
        <w:tabs>
          <w:tab w:val="num" w:pos="5760"/>
        </w:tabs>
        <w:ind w:left="5760" w:hanging="360"/>
      </w:pPr>
      <w:rPr>
        <w:rFonts w:ascii="Wingdings 2" w:hAnsi="Wingdings 2" w:hint="default"/>
      </w:rPr>
    </w:lvl>
    <w:lvl w:ilvl="8" w:tplc="3EE0605A" w:tentative="1">
      <w:start w:val="1"/>
      <w:numFmt w:val="bullet"/>
      <w:lvlText w:val=""/>
      <w:lvlJc w:val="left"/>
      <w:pPr>
        <w:tabs>
          <w:tab w:val="num" w:pos="6480"/>
        </w:tabs>
        <w:ind w:left="6480" w:hanging="360"/>
      </w:pPr>
      <w:rPr>
        <w:rFonts w:ascii="Wingdings 2" w:hAnsi="Wingdings 2" w:hint="default"/>
      </w:rPr>
    </w:lvl>
  </w:abstractNum>
  <w:abstractNum w:abstractNumId="19" w15:restartNumberingAfterBreak="0">
    <w:nsid w:val="7D480F90"/>
    <w:multiLevelType w:val="hybridMultilevel"/>
    <w:tmpl w:val="849E0B2C"/>
    <w:lvl w:ilvl="0" w:tplc="E1169004">
      <w:start w:val="1"/>
      <w:numFmt w:val="bullet"/>
      <w:lvlText w:val=""/>
      <w:lvlJc w:val="left"/>
      <w:pPr>
        <w:tabs>
          <w:tab w:val="num" w:pos="720"/>
        </w:tabs>
        <w:ind w:left="720" w:hanging="360"/>
      </w:pPr>
      <w:rPr>
        <w:rFonts w:ascii="Wingdings 2" w:hAnsi="Wingdings 2" w:hint="default"/>
      </w:rPr>
    </w:lvl>
    <w:lvl w:ilvl="1" w:tplc="6BD69330" w:tentative="1">
      <w:start w:val="1"/>
      <w:numFmt w:val="bullet"/>
      <w:lvlText w:val=""/>
      <w:lvlJc w:val="left"/>
      <w:pPr>
        <w:tabs>
          <w:tab w:val="num" w:pos="1440"/>
        </w:tabs>
        <w:ind w:left="1440" w:hanging="360"/>
      </w:pPr>
      <w:rPr>
        <w:rFonts w:ascii="Wingdings 2" w:hAnsi="Wingdings 2" w:hint="default"/>
      </w:rPr>
    </w:lvl>
    <w:lvl w:ilvl="2" w:tplc="1FA6978E" w:tentative="1">
      <w:start w:val="1"/>
      <w:numFmt w:val="bullet"/>
      <w:lvlText w:val=""/>
      <w:lvlJc w:val="left"/>
      <w:pPr>
        <w:tabs>
          <w:tab w:val="num" w:pos="2160"/>
        </w:tabs>
        <w:ind w:left="2160" w:hanging="360"/>
      </w:pPr>
      <w:rPr>
        <w:rFonts w:ascii="Wingdings 2" w:hAnsi="Wingdings 2" w:hint="default"/>
      </w:rPr>
    </w:lvl>
    <w:lvl w:ilvl="3" w:tplc="B35092E0" w:tentative="1">
      <w:start w:val="1"/>
      <w:numFmt w:val="bullet"/>
      <w:lvlText w:val=""/>
      <w:lvlJc w:val="left"/>
      <w:pPr>
        <w:tabs>
          <w:tab w:val="num" w:pos="2880"/>
        </w:tabs>
        <w:ind w:left="2880" w:hanging="360"/>
      </w:pPr>
      <w:rPr>
        <w:rFonts w:ascii="Wingdings 2" w:hAnsi="Wingdings 2" w:hint="default"/>
      </w:rPr>
    </w:lvl>
    <w:lvl w:ilvl="4" w:tplc="23AE36EA" w:tentative="1">
      <w:start w:val="1"/>
      <w:numFmt w:val="bullet"/>
      <w:lvlText w:val=""/>
      <w:lvlJc w:val="left"/>
      <w:pPr>
        <w:tabs>
          <w:tab w:val="num" w:pos="3600"/>
        </w:tabs>
        <w:ind w:left="3600" w:hanging="360"/>
      </w:pPr>
      <w:rPr>
        <w:rFonts w:ascii="Wingdings 2" w:hAnsi="Wingdings 2" w:hint="default"/>
      </w:rPr>
    </w:lvl>
    <w:lvl w:ilvl="5" w:tplc="421228DC" w:tentative="1">
      <w:start w:val="1"/>
      <w:numFmt w:val="bullet"/>
      <w:lvlText w:val=""/>
      <w:lvlJc w:val="left"/>
      <w:pPr>
        <w:tabs>
          <w:tab w:val="num" w:pos="4320"/>
        </w:tabs>
        <w:ind w:left="4320" w:hanging="360"/>
      </w:pPr>
      <w:rPr>
        <w:rFonts w:ascii="Wingdings 2" w:hAnsi="Wingdings 2" w:hint="default"/>
      </w:rPr>
    </w:lvl>
    <w:lvl w:ilvl="6" w:tplc="FC341FC2" w:tentative="1">
      <w:start w:val="1"/>
      <w:numFmt w:val="bullet"/>
      <w:lvlText w:val=""/>
      <w:lvlJc w:val="left"/>
      <w:pPr>
        <w:tabs>
          <w:tab w:val="num" w:pos="5040"/>
        </w:tabs>
        <w:ind w:left="5040" w:hanging="360"/>
      </w:pPr>
      <w:rPr>
        <w:rFonts w:ascii="Wingdings 2" w:hAnsi="Wingdings 2" w:hint="default"/>
      </w:rPr>
    </w:lvl>
    <w:lvl w:ilvl="7" w:tplc="D4183734" w:tentative="1">
      <w:start w:val="1"/>
      <w:numFmt w:val="bullet"/>
      <w:lvlText w:val=""/>
      <w:lvlJc w:val="left"/>
      <w:pPr>
        <w:tabs>
          <w:tab w:val="num" w:pos="5760"/>
        </w:tabs>
        <w:ind w:left="5760" w:hanging="360"/>
      </w:pPr>
      <w:rPr>
        <w:rFonts w:ascii="Wingdings 2" w:hAnsi="Wingdings 2" w:hint="default"/>
      </w:rPr>
    </w:lvl>
    <w:lvl w:ilvl="8" w:tplc="2F181D3C" w:tentative="1">
      <w:start w:val="1"/>
      <w:numFmt w:val="bullet"/>
      <w:lvlText w:val=""/>
      <w:lvlJc w:val="left"/>
      <w:pPr>
        <w:tabs>
          <w:tab w:val="num" w:pos="6480"/>
        </w:tabs>
        <w:ind w:left="6480" w:hanging="360"/>
      </w:pPr>
      <w:rPr>
        <w:rFonts w:ascii="Wingdings 2" w:hAnsi="Wingdings 2" w:hint="default"/>
      </w:rPr>
    </w:lvl>
  </w:abstractNum>
  <w:num w:numId="1" w16cid:durableId="34475504">
    <w:abstractNumId w:val="12"/>
  </w:num>
  <w:num w:numId="2" w16cid:durableId="937328311">
    <w:abstractNumId w:val="1"/>
  </w:num>
  <w:num w:numId="3" w16cid:durableId="801576486">
    <w:abstractNumId w:val="2"/>
  </w:num>
  <w:num w:numId="4" w16cid:durableId="24714149">
    <w:abstractNumId w:val="13"/>
  </w:num>
  <w:num w:numId="5" w16cid:durableId="1101533021">
    <w:abstractNumId w:val="8"/>
  </w:num>
  <w:num w:numId="6" w16cid:durableId="785850368">
    <w:abstractNumId w:val="6"/>
  </w:num>
  <w:num w:numId="7" w16cid:durableId="483349912">
    <w:abstractNumId w:val="5"/>
  </w:num>
  <w:num w:numId="8" w16cid:durableId="1180197832">
    <w:abstractNumId w:val="18"/>
  </w:num>
  <w:num w:numId="9" w16cid:durableId="370543285">
    <w:abstractNumId w:val="17"/>
  </w:num>
  <w:num w:numId="10" w16cid:durableId="1950701403">
    <w:abstractNumId w:val="10"/>
  </w:num>
  <w:num w:numId="11" w16cid:durableId="311373672">
    <w:abstractNumId w:val="19"/>
  </w:num>
  <w:num w:numId="12" w16cid:durableId="131949244">
    <w:abstractNumId w:val="7"/>
  </w:num>
  <w:num w:numId="13" w16cid:durableId="1898736826">
    <w:abstractNumId w:val="15"/>
  </w:num>
  <w:num w:numId="14" w16cid:durableId="427316104">
    <w:abstractNumId w:val="0"/>
  </w:num>
  <w:num w:numId="15" w16cid:durableId="235282928">
    <w:abstractNumId w:val="11"/>
  </w:num>
  <w:num w:numId="16" w16cid:durableId="417750295">
    <w:abstractNumId w:val="16"/>
  </w:num>
  <w:num w:numId="17" w16cid:durableId="489641842">
    <w:abstractNumId w:val="3"/>
  </w:num>
  <w:num w:numId="18" w16cid:durableId="1899630512">
    <w:abstractNumId w:val="4"/>
  </w:num>
  <w:num w:numId="19" w16cid:durableId="143665709">
    <w:abstractNumId w:val="9"/>
  </w:num>
  <w:num w:numId="20" w16cid:durableId="117849865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7C3"/>
    <w:rsid w:val="0000263B"/>
    <w:rsid w:val="0001374C"/>
    <w:rsid w:val="00017026"/>
    <w:rsid w:val="00025F59"/>
    <w:rsid w:val="00027D29"/>
    <w:rsid w:val="00042DF7"/>
    <w:rsid w:val="000432BD"/>
    <w:rsid w:val="00051D9D"/>
    <w:rsid w:val="00080A7F"/>
    <w:rsid w:val="00082AEF"/>
    <w:rsid w:val="00083B36"/>
    <w:rsid w:val="00090238"/>
    <w:rsid w:val="00097F20"/>
    <w:rsid w:val="000B288F"/>
    <w:rsid w:val="000B4BDE"/>
    <w:rsid w:val="000C5370"/>
    <w:rsid w:val="000E57B2"/>
    <w:rsid w:val="00111FCE"/>
    <w:rsid w:val="00137652"/>
    <w:rsid w:val="00140D13"/>
    <w:rsid w:val="00145418"/>
    <w:rsid w:val="00145E81"/>
    <w:rsid w:val="00150105"/>
    <w:rsid w:val="00165DCA"/>
    <w:rsid w:val="00194CE1"/>
    <w:rsid w:val="001B41E5"/>
    <w:rsid w:val="001D6BE5"/>
    <w:rsid w:val="0020424B"/>
    <w:rsid w:val="00225B53"/>
    <w:rsid w:val="00240894"/>
    <w:rsid w:val="002413B1"/>
    <w:rsid w:val="002553C3"/>
    <w:rsid w:val="002746AF"/>
    <w:rsid w:val="002809E9"/>
    <w:rsid w:val="002860FA"/>
    <w:rsid w:val="002B084F"/>
    <w:rsid w:val="002B567B"/>
    <w:rsid w:val="002D477F"/>
    <w:rsid w:val="002D7D81"/>
    <w:rsid w:val="002E00A3"/>
    <w:rsid w:val="002E6291"/>
    <w:rsid w:val="002E6E56"/>
    <w:rsid w:val="002E735E"/>
    <w:rsid w:val="002F2EA4"/>
    <w:rsid w:val="002F584E"/>
    <w:rsid w:val="00303650"/>
    <w:rsid w:val="00310B1D"/>
    <w:rsid w:val="00320B54"/>
    <w:rsid w:val="00322B65"/>
    <w:rsid w:val="00333412"/>
    <w:rsid w:val="00342C6E"/>
    <w:rsid w:val="0035159C"/>
    <w:rsid w:val="003538AC"/>
    <w:rsid w:val="0036078A"/>
    <w:rsid w:val="00360E36"/>
    <w:rsid w:val="00375F1B"/>
    <w:rsid w:val="00376C29"/>
    <w:rsid w:val="00380876"/>
    <w:rsid w:val="003925E1"/>
    <w:rsid w:val="003946A6"/>
    <w:rsid w:val="003951CF"/>
    <w:rsid w:val="003A7F10"/>
    <w:rsid w:val="003C5A14"/>
    <w:rsid w:val="003E30D2"/>
    <w:rsid w:val="003E697C"/>
    <w:rsid w:val="003F16C9"/>
    <w:rsid w:val="00415A94"/>
    <w:rsid w:val="00425DFC"/>
    <w:rsid w:val="0044505A"/>
    <w:rsid w:val="0048070B"/>
    <w:rsid w:val="00486542"/>
    <w:rsid w:val="004875E9"/>
    <w:rsid w:val="00496724"/>
    <w:rsid w:val="00497D0D"/>
    <w:rsid w:val="004C10E9"/>
    <w:rsid w:val="004D0B3D"/>
    <w:rsid w:val="004D34D8"/>
    <w:rsid w:val="004E1BF6"/>
    <w:rsid w:val="004E3670"/>
    <w:rsid w:val="004E5019"/>
    <w:rsid w:val="004F6110"/>
    <w:rsid w:val="00502550"/>
    <w:rsid w:val="00506AEA"/>
    <w:rsid w:val="00520061"/>
    <w:rsid w:val="00541061"/>
    <w:rsid w:val="00553855"/>
    <w:rsid w:val="0056078F"/>
    <w:rsid w:val="00582812"/>
    <w:rsid w:val="0059212A"/>
    <w:rsid w:val="005A1060"/>
    <w:rsid w:val="005A692C"/>
    <w:rsid w:val="005B12A1"/>
    <w:rsid w:val="005B37C3"/>
    <w:rsid w:val="005C5C7E"/>
    <w:rsid w:val="005D106A"/>
    <w:rsid w:val="005E6B15"/>
    <w:rsid w:val="005E75D1"/>
    <w:rsid w:val="00606CF3"/>
    <w:rsid w:val="006120B1"/>
    <w:rsid w:val="00620E68"/>
    <w:rsid w:val="00626570"/>
    <w:rsid w:val="00644360"/>
    <w:rsid w:val="00645692"/>
    <w:rsid w:val="006464E0"/>
    <w:rsid w:val="00671C4B"/>
    <w:rsid w:val="00691D3F"/>
    <w:rsid w:val="00695273"/>
    <w:rsid w:val="006A60FB"/>
    <w:rsid w:val="006B5EB0"/>
    <w:rsid w:val="006C0695"/>
    <w:rsid w:val="006D54D8"/>
    <w:rsid w:val="006D69AA"/>
    <w:rsid w:val="006F2089"/>
    <w:rsid w:val="006F2CE5"/>
    <w:rsid w:val="006F43E3"/>
    <w:rsid w:val="00712E39"/>
    <w:rsid w:val="0072005E"/>
    <w:rsid w:val="007218AC"/>
    <w:rsid w:val="0073505A"/>
    <w:rsid w:val="00735F38"/>
    <w:rsid w:val="0076704E"/>
    <w:rsid w:val="007840BA"/>
    <w:rsid w:val="00792AA3"/>
    <w:rsid w:val="007A19B5"/>
    <w:rsid w:val="007B0F2E"/>
    <w:rsid w:val="007B3D84"/>
    <w:rsid w:val="007C1369"/>
    <w:rsid w:val="007C640F"/>
    <w:rsid w:val="007D5D71"/>
    <w:rsid w:val="00805E97"/>
    <w:rsid w:val="008153BC"/>
    <w:rsid w:val="008242CA"/>
    <w:rsid w:val="0082766C"/>
    <w:rsid w:val="008344C8"/>
    <w:rsid w:val="008620B9"/>
    <w:rsid w:val="008673AD"/>
    <w:rsid w:val="00867BE8"/>
    <w:rsid w:val="00875498"/>
    <w:rsid w:val="00881701"/>
    <w:rsid w:val="00883867"/>
    <w:rsid w:val="00884FAA"/>
    <w:rsid w:val="00885C93"/>
    <w:rsid w:val="00895C72"/>
    <w:rsid w:val="008B1A31"/>
    <w:rsid w:val="008C1EEA"/>
    <w:rsid w:val="008D6DC9"/>
    <w:rsid w:val="008E0792"/>
    <w:rsid w:val="00907F25"/>
    <w:rsid w:val="00921123"/>
    <w:rsid w:val="00947467"/>
    <w:rsid w:val="00960039"/>
    <w:rsid w:val="00963D4A"/>
    <w:rsid w:val="00965F4A"/>
    <w:rsid w:val="00971DEB"/>
    <w:rsid w:val="00976E9E"/>
    <w:rsid w:val="00977E1C"/>
    <w:rsid w:val="009A62A3"/>
    <w:rsid w:val="009B4180"/>
    <w:rsid w:val="009B785A"/>
    <w:rsid w:val="009C31AB"/>
    <w:rsid w:val="009E13AE"/>
    <w:rsid w:val="00A0115A"/>
    <w:rsid w:val="00A210AB"/>
    <w:rsid w:val="00A2290F"/>
    <w:rsid w:val="00A4524F"/>
    <w:rsid w:val="00A46DD6"/>
    <w:rsid w:val="00A50C51"/>
    <w:rsid w:val="00A63F17"/>
    <w:rsid w:val="00A708BB"/>
    <w:rsid w:val="00A71406"/>
    <w:rsid w:val="00A85BAE"/>
    <w:rsid w:val="00AA22CB"/>
    <w:rsid w:val="00AA551F"/>
    <w:rsid w:val="00AD1424"/>
    <w:rsid w:val="00AD5C2C"/>
    <w:rsid w:val="00AD6BD2"/>
    <w:rsid w:val="00AF0B2B"/>
    <w:rsid w:val="00B174B7"/>
    <w:rsid w:val="00B23346"/>
    <w:rsid w:val="00B309D5"/>
    <w:rsid w:val="00B475DE"/>
    <w:rsid w:val="00B51024"/>
    <w:rsid w:val="00B516C7"/>
    <w:rsid w:val="00B546A4"/>
    <w:rsid w:val="00B55863"/>
    <w:rsid w:val="00B57859"/>
    <w:rsid w:val="00B64B38"/>
    <w:rsid w:val="00B74B9B"/>
    <w:rsid w:val="00B810F8"/>
    <w:rsid w:val="00B82141"/>
    <w:rsid w:val="00B82F9A"/>
    <w:rsid w:val="00B92D85"/>
    <w:rsid w:val="00BC3EFA"/>
    <w:rsid w:val="00BD36B3"/>
    <w:rsid w:val="00BE0242"/>
    <w:rsid w:val="00BE4225"/>
    <w:rsid w:val="00C01F3A"/>
    <w:rsid w:val="00C11855"/>
    <w:rsid w:val="00C20CC8"/>
    <w:rsid w:val="00C248E2"/>
    <w:rsid w:val="00C33317"/>
    <w:rsid w:val="00C400CA"/>
    <w:rsid w:val="00C6135C"/>
    <w:rsid w:val="00C6468C"/>
    <w:rsid w:val="00C9597B"/>
    <w:rsid w:val="00CA2EC4"/>
    <w:rsid w:val="00CA7D0C"/>
    <w:rsid w:val="00CC0828"/>
    <w:rsid w:val="00CC6BBC"/>
    <w:rsid w:val="00CD1E89"/>
    <w:rsid w:val="00D07E38"/>
    <w:rsid w:val="00D1071F"/>
    <w:rsid w:val="00D2009B"/>
    <w:rsid w:val="00D215A2"/>
    <w:rsid w:val="00D55DF5"/>
    <w:rsid w:val="00D80FF4"/>
    <w:rsid w:val="00D923C8"/>
    <w:rsid w:val="00DA0F60"/>
    <w:rsid w:val="00DA5C90"/>
    <w:rsid w:val="00DB1561"/>
    <w:rsid w:val="00DD1588"/>
    <w:rsid w:val="00DD52E7"/>
    <w:rsid w:val="00DF1CA4"/>
    <w:rsid w:val="00E17605"/>
    <w:rsid w:val="00E24B49"/>
    <w:rsid w:val="00E25951"/>
    <w:rsid w:val="00E30CB0"/>
    <w:rsid w:val="00E3249D"/>
    <w:rsid w:val="00E43146"/>
    <w:rsid w:val="00E50C04"/>
    <w:rsid w:val="00E52FF8"/>
    <w:rsid w:val="00E5625A"/>
    <w:rsid w:val="00E57D46"/>
    <w:rsid w:val="00E62C5E"/>
    <w:rsid w:val="00E865C5"/>
    <w:rsid w:val="00E8766F"/>
    <w:rsid w:val="00E936E7"/>
    <w:rsid w:val="00EA2519"/>
    <w:rsid w:val="00EB2BB8"/>
    <w:rsid w:val="00EC5351"/>
    <w:rsid w:val="00ED5B16"/>
    <w:rsid w:val="00ED5D22"/>
    <w:rsid w:val="00EE60A3"/>
    <w:rsid w:val="00EE73DD"/>
    <w:rsid w:val="00F10239"/>
    <w:rsid w:val="00F32719"/>
    <w:rsid w:val="00F3758C"/>
    <w:rsid w:val="00F577E5"/>
    <w:rsid w:val="00F65867"/>
    <w:rsid w:val="00F71F12"/>
    <w:rsid w:val="00F726F1"/>
    <w:rsid w:val="00F84C46"/>
    <w:rsid w:val="00F971DB"/>
    <w:rsid w:val="00FA6EE2"/>
    <w:rsid w:val="00FC3D9E"/>
    <w:rsid w:val="00FE1635"/>
    <w:rsid w:val="00FF11C5"/>
    <w:rsid w:val="00FF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E9126"/>
  <w15:chartTrackingRefBased/>
  <w15:docId w15:val="{C9EA6768-F4D0-4D6C-AF01-2EC49BED1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E1BF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74C"/>
    <w:pPr>
      <w:ind w:left="720"/>
      <w:contextualSpacing/>
    </w:pPr>
  </w:style>
  <w:style w:type="character" w:customStyle="1" w:styleId="ff3">
    <w:name w:val="ff3"/>
    <w:basedOn w:val="DefaultParagraphFont"/>
    <w:rsid w:val="00960039"/>
  </w:style>
  <w:style w:type="character" w:customStyle="1" w:styleId="ff1">
    <w:name w:val="ff1"/>
    <w:basedOn w:val="DefaultParagraphFont"/>
    <w:rsid w:val="00960039"/>
  </w:style>
  <w:style w:type="character" w:customStyle="1" w:styleId="fs1">
    <w:name w:val="fs1"/>
    <w:basedOn w:val="DefaultParagraphFont"/>
    <w:rsid w:val="00960039"/>
  </w:style>
  <w:style w:type="character" w:styleId="Hyperlink">
    <w:name w:val="Hyperlink"/>
    <w:basedOn w:val="DefaultParagraphFont"/>
    <w:uiPriority w:val="99"/>
    <w:unhideWhenUsed/>
    <w:rsid w:val="005E6B15"/>
    <w:rPr>
      <w:color w:val="0563C1" w:themeColor="hyperlink"/>
      <w:u w:val="single"/>
    </w:rPr>
  </w:style>
  <w:style w:type="character" w:styleId="UnresolvedMention">
    <w:name w:val="Unresolved Mention"/>
    <w:basedOn w:val="DefaultParagraphFont"/>
    <w:uiPriority w:val="99"/>
    <w:semiHidden/>
    <w:unhideWhenUsed/>
    <w:rsid w:val="005E6B15"/>
    <w:rPr>
      <w:color w:val="605E5C"/>
      <w:shd w:val="clear" w:color="auto" w:fill="E1DFDD"/>
    </w:rPr>
  </w:style>
  <w:style w:type="character" w:customStyle="1" w:styleId="Heading1Char">
    <w:name w:val="Heading 1 Char"/>
    <w:basedOn w:val="DefaultParagraphFont"/>
    <w:link w:val="Heading1"/>
    <w:uiPriority w:val="9"/>
    <w:rsid w:val="004E1BF6"/>
    <w:rPr>
      <w:rFonts w:ascii="Times New Roman" w:eastAsia="Times New Roman" w:hAnsi="Times New Roman" w:cs="Times New Roman"/>
      <w:b/>
      <w:bCs/>
      <w:kern w:val="36"/>
      <w:sz w:val="48"/>
      <w:szCs w:val="48"/>
      <w:lang w:eastAsia="en-GB"/>
    </w:rPr>
  </w:style>
  <w:style w:type="character" w:customStyle="1" w:styleId="landing-page-changedtext-0-2-17">
    <w:name w:val="landing-page-changedtext-0-2-17"/>
    <w:basedOn w:val="DefaultParagraphFont"/>
    <w:rsid w:val="00B47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00473">
      <w:bodyDiv w:val="1"/>
      <w:marLeft w:val="0"/>
      <w:marRight w:val="0"/>
      <w:marTop w:val="0"/>
      <w:marBottom w:val="0"/>
      <w:divBdr>
        <w:top w:val="none" w:sz="0" w:space="0" w:color="auto"/>
        <w:left w:val="none" w:sz="0" w:space="0" w:color="auto"/>
        <w:bottom w:val="none" w:sz="0" w:space="0" w:color="auto"/>
        <w:right w:val="none" w:sz="0" w:space="0" w:color="auto"/>
      </w:divBdr>
      <w:divsChild>
        <w:div w:id="1150441978">
          <w:marLeft w:val="0"/>
          <w:marRight w:val="0"/>
          <w:marTop w:val="0"/>
          <w:marBottom w:val="0"/>
          <w:divBdr>
            <w:top w:val="none" w:sz="0" w:space="0" w:color="auto"/>
            <w:left w:val="none" w:sz="0" w:space="0" w:color="auto"/>
            <w:bottom w:val="none" w:sz="0" w:space="0" w:color="auto"/>
            <w:right w:val="none" w:sz="0" w:space="0" w:color="auto"/>
          </w:divBdr>
        </w:div>
        <w:div w:id="3211590">
          <w:marLeft w:val="0"/>
          <w:marRight w:val="0"/>
          <w:marTop w:val="0"/>
          <w:marBottom w:val="0"/>
          <w:divBdr>
            <w:top w:val="none" w:sz="0" w:space="0" w:color="auto"/>
            <w:left w:val="none" w:sz="0" w:space="0" w:color="auto"/>
            <w:bottom w:val="none" w:sz="0" w:space="0" w:color="auto"/>
            <w:right w:val="none" w:sz="0" w:space="0" w:color="auto"/>
          </w:divBdr>
        </w:div>
        <w:div w:id="1608855759">
          <w:marLeft w:val="0"/>
          <w:marRight w:val="0"/>
          <w:marTop w:val="0"/>
          <w:marBottom w:val="0"/>
          <w:divBdr>
            <w:top w:val="none" w:sz="0" w:space="0" w:color="auto"/>
            <w:left w:val="none" w:sz="0" w:space="0" w:color="auto"/>
            <w:bottom w:val="none" w:sz="0" w:space="0" w:color="auto"/>
            <w:right w:val="none" w:sz="0" w:space="0" w:color="auto"/>
          </w:divBdr>
        </w:div>
      </w:divsChild>
    </w:div>
    <w:div w:id="181826817">
      <w:bodyDiv w:val="1"/>
      <w:marLeft w:val="0"/>
      <w:marRight w:val="0"/>
      <w:marTop w:val="0"/>
      <w:marBottom w:val="0"/>
      <w:divBdr>
        <w:top w:val="none" w:sz="0" w:space="0" w:color="auto"/>
        <w:left w:val="none" w:sz="0" w:space="0" w:color="auto"/>
        <w:bottom w:val="none" w:sz="0" w:space="0" w:color="auto"/>
        <w:right w:val="none" w:sz="0" w:space="0" w:color="auto"/>
      </w:divBdr>
      <w:divsChild>
        <w:div w:id="173231049">
          <w:marLeft w:val="288"/>
          <w:marRight w:val="0"/>
          <w:marTop w:val="240"/>
          <w:marBottom w:val="0"/>
          <w:divBdr>
            <w:top w:val="none" w:sz="0" w:space="0" w:color="auto"/>
            <w:left w:val="none" w:sz="0" w:space="0" w:color="auto"/>
            <w:bottom w:val="none" w:sz="0" w:space="0" w:color="auto"/>
            <w:right w:val="none" w:sz="0" w:space="0" w:color="auto"/>
          </w:divBdr>
        </w:div>
      </w:divsChild>
    </w:div>
    <w:div w:id="431127340">
      <w:bodyDiv w:val="1"/>
      <w:marLeft w:val="0"/>
      <w:marRight w:val="0"/>
      <w:marTop w:val="0"/>
      <w:marBottom w:val="0"/>
      <w:divBdr>
        <w:top w:val="none" w:sz="0" w:space="0" w:color="auto"/>
        <w:left w:val="none" w:sz="0" w:space="0" w:color="auto"/>
        <w:bottom w:val="none" w:sz="0" w:space="0" w:color="auto"/>
        <w:right w:val="none" w:sz="0" w:space="0" w:color="auto"/>
      </w:divBdr>
      <w:divsChild>
        <w:div w:id="1512841368">
          <w:marLeft w:val="288"/>
          <w:marRight w:val="0"/>
          <w:marTop w:val="240"/>
          <w:marBottom w:val="0"/>
          <w:divBdr>
            <w:top w:val="none" w:sz="0" w:space="0" w:color="auto"/>
            <w:left w:val="none" w:sz="0" w:space="0" w:color="auto"/>
            <w:bottom w:val="none" w:sz="0" w:space="0" w:color="auto"/>
            <w:right w:val="none" w:sz="0" w:space="0" w:color="auto"/>
          </w:divBdr>
        </w:div>
        <w:div w:id="1610435249">
          <w:marLeft w:val="288"/>
          <w:marRight w:val="0"/>
          <w:marTop w:val="240"/>
          <w:marBottom w:val="0"/>
          <w:divBdr>
            <w:top w:val="none" w:sz="0" w:space="0" w:color="auto"/>
            <w:left w:val="none" w:sz="0" w:space="0" w:color="auto"/>
            <w:bottom w:val="none" w:sz="0" w:space="0" w:color="auto"/>
            <w:right w:val="none" w:sz="0" w:space="0" w:color="auto"/>
          </w:divBdr>
        </w:div>
        <w:div w:id="47653886">
          <w:marLeft w:val="288"/>
          <w:marRight w:val="0"/>
          <w:marTop w:val="240"/>
          <w:marBottom w:val="0"/>
          <w:divBdr>
            <w:top w:val="none" w:sz="0" w:space="0" w:color="auto"/>
            <w:left w:val="none" w:sz="0" w:space="0" w:color="auto"/>
            <w:bottom w:val="none" w:sz="0" w:space="0" w:color="auto"/>
            <w:right w:val="none" w:sz="0" w:space="0" w:color="auto"/>
          </w:divBdr>
        </w:div>
        <w:div w:id="1797335687">
          <w:marLeft w:val="288"/>
          <w:marRight w:val="0"/>
          <w:marTop w:val="240"/>
          <w:marBottom w:val="0"/>
          <w:divBdr>
            <w:top w:val="none" w:sz="0" w:space="0" w:color="auto"/>
            <w:left w:val="none" w:sz="0" w:space="0" w:color="auto"/>
            <w:bottom w:val="none" w:sz="0" w:space="0" w:color="auto"/>
            <w:right w:val="none" w:sz="0" w:space="0" w:color="auto"/>
          </w:divBdr>
        </w:div>
      </w:divsChild>
    </w:div>
    <w:div w:id="488374697">
      <w:bodyDiv w:val="1"/>
      <w:marLeft w:val="0"/>
      <w:marRight w:val="0"/>
      <w:marTop w:val="0"/>
      <w:marBottom w:val="0"/>
      <w:divBdr>
        <w:top w:val="none" w:sz="0" w:space="0" w:color="auto"/>
        <w:left w:val="none" w:sz="0" w:space="0" w:color="auto"/>
        <w:bottom w:val="none" w:sz="0" w:space="0" w:color="auto"/>
        <w:right w:val="none" w:sz="0" w:space="0" w:color="auto"/>
      </w:divBdr>
      <w:divsChild>
        <w:div w:id="1132096044">
          <w:marLeft w:val="0"/>
          <w:marRight w:val="0"/>
          <w:marTop w:val="0"/>
          <w:marBottom w:val="0"/>
          <w:divBdr>
            <w:top w:val="none" w:sz="0" w:space="0" w:color="auto"/>
            <w:left w:val="none" w:sz="0" w:space="0" w:color="auto"/>
            <w:bottom w:val="none" w:sz="0" w:space="0" w:color="auto"/>
            <w:right w:val="none" w:sz="0" w:space="0" w:color="auto"/>
          </w:divBdr>
        </w:div>
        <w:div w:id="1288583408">
          <w:marLeft w:val="0"/>
          <w:marRight w:val="0"/>
          <w:marTop w:val="0"/>
          <w:marBottom w:val="0"/>
          <w:divBdr>
            <w:top w:val="none" w:sz="0" w:space="0" w:color="auto"/>
            <w:left w:val="none" w:sz="0" w:space="0" w:color="auto"/>
            <w:bottom w:val="none" w:sz="0" w:space="0" w:color="auto"/>
            <w:right w:val="none" w:sz="0" w:space="0" w:color="auto"/>
          </w:divBdr>
        </w:div>
        <w:div w:id="1688604162">
          <w:marLeft w:val="0"/>
          <w:marRight w:val="0"/>
          <w:marTop w:val="0"/>
          <w:marBottom w:val="0"/>
          <w:divBdr>
            <w:top w:val="none" w:sz="0" w:space="0" w:color="auto"/>
            <w:left w:val="none" w:sz="0" w:space="0" w:color="auto"/>
            <w:bottom w:val="none" w:sz="0" w:space="0" w:color="auto"/>
            <w:right w:val="none" w:sz="0" w:space="0" w:color="auto"/>
          </w:divBdr>
        </w:div>
        <w:div w:id="2073694633">
          <w:marLeft w:val="0"/>
          <w:marRight w:val="0"/>
          <w:marTop w:val="0"/>
          <w:marBottom w:val="0"/>
          <w:divBdr>
            <w:top w:val="none" w:sz="0" w:space="0" w:color="auto"/>
            <w:left w:val="none" w:sz="0" w:space="0" w:color="auto"/>
            <w:bottom w:val="none" w:sz="0" w:space="0" w:color="auto"/>
            <w:right w:val="none" w:sz="0" w:space="0" w:color="auto"/>
          </w:divBdr>
        </w:div>
        <w:div w:id="246696202">
          <w:marLeft w:val="0"/>
          <w:marRight w:val="0"/>
          <w:marTop w:val="0"/>
          <w:marBottom w:val="0"/>
          <w:divBdr>
            <w:top w:val="none" w:sz="0" w:space="0" w:color="auto"/>
            <w:left w:val="none" w:sz="0" w:space="0" w:color="auto"/>
            <w:bottom w:val="none" w:sz="0" w:space="0" w:color="auto"/>
            <w:right w:val="none" w:sz="0" w:space="0" w:color="auto"/>
          </w:divBdr>
        </w:div>
      </w:divsChild>
    </w:div>
    <w:div w:id="632714525">
      <w:bodyDiv w:val="1"/>
      <w:marLeft w:val="0"/>
      <w:marRight w:val="0"/>
      <w:marTop w:val="0"/>
      <w:marBottom w:val="0"/>
      <w:divBdr>
        <w:top w:val="none" w:sz="0" w:space="0" w:color="auto"/>
        <w:left w:val="none" w:sz="0" w:space="0" w:color="auto"/>
        <w:bottom w:val="none" w:sz="0" w:space="0" w:color="auto"/>
        <w:right w:val="none" w:sz="0" w:space="0" w:color="auto"/>
      </w:divBdr>
    </w:div>
    <w:div w:id="720790753">
      <w:bodyDiv w:val="1"/>
      <w:marLeft w:val="0"/>
      <w:marRight w:val="0"/>
      <w:marTop w:val="0"/>
      <w:marBottom w:val="0"/>
      <w:divBdr>
        <w:top w:val="none" w:sz="0" w:space="0" w:color="auto"/>
        <w:left w:val="none" w:sz="0" w:space="0" w:color="auto"/>
        <w:bottom w:val="none" w:sz="0" w:space="0" w:color="auto"/>
        <w:right w:val="none" w:sz="0" w:space="0" w:color="auto"/>
      </w:divBdr>
      <w:divsChild>
        <w:div w:id="835455264">
          <w:marLeft w:val="288"/>
          <w:marRight w:val="0"/>
          <w:marTop w:val="240"/>
          <w:marBottom w:val="0"/>
          <w:divBdr>
            <w:top w:val="none" w:sz="0" w:space="0" w:color="auto"/>
            <w:left w:val="none" w:sz="0" w:space="0" w:color="auto"/>
            <w:bottom w:val="none" w:sz="0" w:space="0" w:color="auto"/>
            <w:right w:val="none" w:sz="0" w:space="0" w:color="auto"/>
          </w:divBdr>
        </w:div>
      </w:divsChild>
    </w:div>
    <w:div w:id="786966321">
      <w:bodyDiv w:val="1"/>
      <w:marLeft w:val="0"/>
      <w:marRight w:val="0"/>
      <w:marTop w:val="0"/>
      <w:marBottom w:val="0"/>
      <w:divBdr>
        <w:top w:val="none" w:sz="0" w:space="0" w:color="auto"/>
        <w:left w:val="none" w:sz="0" w:space="0" w:color="auto"/>
        <w:bottom w:val="none" w:sz="0" w:space="0" w:color="auto"/>
        <w:right w:val="none" w:sz="0" w:space="0" w:color="auto"/>
      </w:divBdr>
      <w:divsChild>
        <w:div w:id="937179353">
          <w:marLeft w:val="288"/>
          <w:marRight w:val="0"/>
          <w:marTop w:val="240"/>
          <w:marBottom w:val="0"/>
          <w:divBdr>
            <w:top w:val="none" w:sz="0" w:space="0" w:color="auto"/>
            <w:left w:val="none" w:sz="0" w:space="0" w:color="auto"/>
            <w:bottom w:val="none" w:sz="0" w:space="0" w:color="auto"/>
            <w:right w:val="none" w:sz="0" w:space="0" w:color="auto"/>
          </w:divBdr>
        </w:div>
        <w:div w:id="2132165609">
          <w:marLeft w:val="288"/>
          <w:marRight w:val="0"/>
          <w:marTop w:val="240"/>
          <w:marBottom w:val="0"/>
          <w:divBdr>
            <w:top w:val="none" w:sz="0" w:space="0" w:color="auto"/>
            <w:left w:val="none" w:sz="0" w:space="0" w:color="auto"/>
            <w:bottom w:val="none" w:sz="0" w:space="0" w:color="auto"/>
            <w:right w:val="none" w:sz="0" w:space="0" w:color="auto"/>
          </w:divBdr>
        </w:div>
        <w:div w:id="1812167610">
          <w:marLeft w:val="288"/>
          <w:marRight w:val="0"/>
          <w:marTop w:val="240"/>
          <w:marBottom w:val="0"/>
          <w:divBdr>
            <w:top w:val="none" w:sz="0" w:space="0" w:color="auto"/>
            <w:left w:val="none" w:sz="0" w:space="0" w:color="auto"/>
            <w:bottom w:val="none" w:sz="0" w:space="0" w:color="auto"/>
            <w:right w:val="none" w:sz="0" w:space="0" w:color="auto"/>
          </w:divBdr>
        </w:div>
      </w:divsChild>
    </w:div>
    <w:div w:id="880820450">
      <w:bodyDiv w:val="1"/>
      <w:marLeft w:val="0"/>
      <w:marRight w:val="0"/>
      <w:marTop w:val="0"/>
      <w:marBottom w:val="0"/>
      <w:divBdr>
        <w:top w:val="none" w:sz="0" w:space="0" w:color="auto"/>
        <w:left w:val="none" w:sz="0" w:space="0" w:color="auto"/>
        <w:bottom w:val="none" w:sz="0" w:space="0" w:color="auto"/>
        <w:right w:val="none" w:sz="0" w:space="0" w:color="auto"/>
      </w:divBdr>
      <w:divsChild>
        <w:div w:id="1751535134">
          <w:marLeft w:val="446"/>
          <w:marRight w:val="0"/>
          <w:marTop w:val="0"/>
          <w:marBottom w:val="0"/>
          <w:divBdr>
            <w:top w:val="none" w:sz="0" w:space="0" w:color="auto"/>
            <w:left w:val="none" w:sz="0" w:space="0" w:color="auto"/>
            <w:bottom w:val="none" w:sz="0" w:space="0" w:color="auto"/>
            <w:right w:val="none" w:sz="0" w:space="0" w:color="auto"/>
          </w:divBdr>
        </w:div>
        <w:div w:id="2088652166">
          <w:marLeft w:val="446"/>
          <w:marRight w:val="0"/>
          <w:marTop w:val="0"/>
          <w:marBottom w:val="0"/>
          <w:divBdr>
            <w:top w:val="none" w:sz="0" w:space="0" w:color="auto"/>
            <w:left w:val="none" w:sz="0" w:space="0" w:color="auto"/>
            <w:bottom w:val="none" w:sz="0" w:space="0" w:color="auto"/>
            <w:right w:val="none" w:sz="0" w:space="0" w:color="auto"/>
          </w:divBdr>
        </w:div>
      </w:divsChild>
    </w:div>
    <w:div w:id="887841764">
      <w:bodyDiv w:val="1"/>
      <w:marLeft w:val="0"/>
      <w:marRight w:val="0"/>
      <w:marTop w:val="0"/>
      <w:marBottom w:val="0"/>
      <w:divBdr>
        <w:top w:val="none" w:sz="0" w:space="0" w:color="auto"/>
        <w:left w:val="none" w:sz="0" w:space="0" w:color="auto"/>
        <w:bottom w:val="none" w:sz="0" w:space="0" w:color="auto"/>
        <w:right w:val="none" w:sz="0" w:space="0" w:color="auto"/>
      </w:divBdr>
      <w:divsChild>
        <w:div w:id="424305629">
          <w:marLeft w:val="288"/>
          <w:marRight w:val="0"/>
          <w:marTop w:val="240"/>
          <w:marBottom w:val="0"/>
          <w:divBdr>
            <w:top w:val="none" w:sz="0" w:space="0" w:color="auto"/>
            <w:left w:val="none" w:sz="0" w:space="0" w:color="auto"/>
            <w:bottom w:val="none" w:sz="0" w:space="0" w:color="auto"/>
            <w:right w:val="none" w:sz="0" w:space="0" w:color="auto"/>
          </w:divBdr>
        </w:div>
      </w:divsChild>
    </w:div>
    <w:div w:id="1016082518">
      <w:bodyDiv w:val="1"/>
      <w:marLeft w:val="0"/>
      <w:marRight w:val="0"/>
      <w:marTop w:val="0"/>
      <w:marBottom w:val="0"/>
      <w:divBdr>
        <w:top w:val="none" w:sz="0" w:space="0" w:color="auto"/>
        <w:left w:val="none" w:sz="0" w:space="0" w:color="auto"/>
        <w:bottom w:val="none" w:sz="0" w:space="0" w:color="auto"/>
        <w:right w:val="none" w:sz="0" w:space="0" w:color="auto"/>
      </w:divBdr>
      <w:divsChild>
        <w:div w:id="871845231">
          <w:marLeft w:val="288"/>
          <w:marRight w:val="0"/>
          <w:marTop w:val="240"/>
          <w:marBottom w:val="0"/>
          <w:divBdr>
            <w:top w:val="none" w:sz="0" w:space="0" w:color="auto"/>
            <w:left w:val="none" w:sz="0" w:space="0" w:color="auto"/>
            <w:bottom w:val="none" w:sz="0" w:space="0" w:color="auto"/>
            <w:right w:val="none" w:sz="0" w:space="0" w:color="auto"/>
          </w:divBdr>
        </w:div>
      </w:divsChild>
    </w:div>
    <w:div w:id="1207138619">
      <w:bodyDiv w:val="1"/>
      <w:marLeft w:val="0"/>
      <w:marRight w:val="0"/>
      <w:marTop w:val="0"/>
      <w:marBottom w:val="0"/>
      <w:divBdr>
        <w:top w:val="none" w:sz="0" w:space="0" w:color="auto"/>
        <w:left w:val="none" w:sz="0" w:space="0" w:color="auto"/>
        <w:bottom w:val="none" w:sz="0" w:space="0" w:color="auto"/>
        <w:right w:val="none" w:sz="0" w:space="0" w:color="auto"/>
      </w:divBdr>
      <w:divsChild>
        <w:div w:id="472019488">
          <w:marLeft w:val="806"/>
          <w:marRight w:val="0"/>
          <w:marTop w:val="240"/>
          <w:marBottom w:val="0"/>
          <w:divBdr>
            <w:top w:val="none" w:sz="0" w:space="0" w:color="auto"/>
            <w:left w:val="none" w:sz="0" w:space="0" w:color="auto"/>
            <w:bottom w:val="none" w:sz="0" w:space="0" w:color="auto"/>
            <w:right w:val="none" w:sz="0" w:space="0" w:color="auto"/>
          </w:divBdr>
        </w:div>
        <w:div w:id="30306174">
          <w:marLeft w:val="720"/>
          <w:marRight w:val="0"/>
          <w:marTop w:val="240"/>
          <w:marBottom w:val="0"/>
          <w:divBdr>
            <w:top w:val="none" w:sz="0" w:space="0" w:color="auto"/>
            <w:left w:val="none" w:sz="0" w:space="0" w:color="auto"/>
            <w:bottom w:val="none" w:sz="0" w:space="0" w:color="auto"/>
            <w:right w:val="none" w:sz="0" w:space="0" w:color="auto"/>
          </w:divBdr>
        </w:div>
        <w:div w:id="1812137789">
          <w:marLeft w:val="720"/>
          <w:marRight w:val="0"/>
          <w:marTop w:val="240"/>
          <w:marBottom w:val="0"/>
          <w:divBdr>
            <w:top w:val="none" w:sz="0" w:space="0" w:color="auto"/>
            <w:left w:val="none" w:sz="0" w:space="0" w:color="auto"/>
            <w:bottom w:val="none" w:sz="0" w:space="0" w:color="auto"/>
            <w:right w:val="none" w:sz="0" w:space="0" w:color="auto"/>
          </w:divBdr>
        </w:div>
        <w:div w:id="1091388279">
          <w:marLeft w:val="720"/>
          <w:marRight w:val="0"/>
          <w:marTop w:val="240"/>
          <w:marBottom w:val="0"/>
          <w:divBdr>
            <w:top w:val="none" w:sz="0" w:space="0" w:color="auto"/>
            <w:left w:val="none" w:sz="0" w:space="0" w:color="auto"/>
            <w:bottom w:val="none" w:sz="0" w:space="0" w:color="auto"/>
            <w:right w:val="none" w:sz="0" w:space="0" w:color="auto"/>
          </w:divBdr>
        </w:div>
      </w:divsChild>
    </w:div>
    <w:div w:id="1347903979">
      <w:bodyDiv w:val="1"/>
      <w:marLeft w:val="0"/>
      <w:marRight w:val="0"/>
      <w:marTop w:val="0"/>
      <w:marBottom w:val="0"/>
      <w:divBdr>
        <w:top w:val="none" w:sz="0" w:space="0" w:color="auto"/>
        <w:left w:val="none" w:sz="0" w:space="0" w:color="auto"/>
        <w:bottom w:val="none" w:sz="0" w:space="0" w:color="auto"/>
        <w:right w:val="none" w:sz="0" w:space="0" w:color="auto"/>
      </w:divBdr>
    </w:div>
    <w:div w:id="1473710670">
      <w:bodyDiv w:val="1"/>
      <w:marLeft w:val="0"/>
      <w:marRight w:val="0"/>
      <w:marTop w:val="0"/>
      <w:marBottom w:val="0"/>
      <w:divBdr>
        <w:top w:val="none" w:sz="0" w:space="0" w:color="auto"/>
        <w:left w:val="none" w:sz="0" w:space="0" w:color="auto"/>
        <w:bottom w:val="none" w:sz="0" w:space="0" w:color="auto"/>
        <w:right w:val="none" w:sz="0" w:space="0" w:color="auto"/>
      </w:divBdr>
      <w:divsChild>
        <w:div w:id="1011953368">
          <w:marLeft w:val="0"/>
          <w:marRight w:val="0"/>
          <w:marTop w:val="0"/>
          <w:marBottom w:val="0"/>
          <w:divBdr>
            <w:top w:val="none" w:sz="0" w:space="0" w:color="auto"/>
            <w:left w:val="none" w:sz="0" w:space="0" w:color="auto"/>
            <w:bottom w:val="none" w:sz="0" w:space="0" w:color="auto"/>
            <w:right w:val="none" w:sz="0" w:space="0" w:color="auto"/>
          </w:divBdr>
        </w:div>
        <w:div w:id="421489789">
          <w:marLeft w:val="0"/>
          <w:marRight w:val="0"/>
          <w:marTop w:val="0"/>
          <w:marBottom w:val="0"/>
          <w:divBdr>
            <w:top w:val="none" w:sz="0" w:space="0" w:color="auto"/>
            <w:left w:val="none" w:sz="0" w:space="0" w:color="auto"/>
            <w:bottom w:val="none" w:sz="0" w:space="0" w:color="auto"/>
            <w:right w:val="none" w:sz="0" w:space="0" w:color="auto"/>
          </w:divBdr>
        </w:div>
        <w:div w:id="343365743">
          <w:marLeft w:val="0"/>
          <w:marRight w:val="0"/>
          <w:marTop w:val="0"/>
          <w:marBottom w:val="0"/>
          <w:divBdr>
            <w:top w:val="none" w:sz="0" w:space="0" w:color="auto"/>
            <w:left w:val="none" w:sz="0" w:space="0" w:color="auto"/>
            <w:bottom w:val="none" w:sz="0" w:space="0" w:color="auto"/>
            <w:right w:val="none" w:sz="0" w:space="0" w:color="auto"/>
          </w:divBdr>
        </w:div>
        <w:div w:id="847644164">
          <w:marLeft w:val="0"/>
          <w:marRight w:val="0"/>
          <w:marTop w:val="0"/>
          <w:marBottom w:val="0"/>
          <w:divBdr>
            <w:top w:val="none" w:sz="0" w:space="0" w:color="auto"/>
            <w:left w:val="none" w:sz="0" w:space="0" w:color="auto"/>
            <w:bottom w:val="none" w:sz="0" w:space="0" w:color="auto"/>
            <w:right w:val="none" w:sz="0" w:space="0" w:color="auto"/>
          </w:divBdr>
        </w:div>
      </w:divsChild>
    </w:div>
    <w:div w:id="1861358111">
      <w:bodyDiv w:val="1"/>
      <w:marLeft w:val="0"/>
      <w:marRight w:val="0"/>
      <w:marTop w:val="0"/>
      <w:marBottom w:val="0"/>
      <w:divBdr>
        <w:top w:val="none" w:sz="0" w:space="0" w:color="auto"/>
        <w:left w:val="none" w:sz="0" w:space="0" w:color="auto"/>
        <w:bottom w:val="none" w:sz="0" w:space="0" w:color="auto"/>
        <w:right w:val="none" w:sz="0" w:space="0" w:color="auto"/>
      </w:divBdr>
      <w:divsChild>
        <w:div w:id="1421947313">
          <w:marLeft w:val="547"/>
          <w:marRight w:val="0"/>
          <w:marTop w:val="200"/>
          <w:marBottom w:val="0"/>
          <w:divBdr>
            <w:top w:val="none" w:sz="0" w:space="0" w:color="auto"/>
            <w:left w:val="none" w:sz="0" w:space="0" w:color="auto"/>
            <w:bottom w:val="none" w:sz="0" w:space="0" w:color="auto"/>
            <w:right w:val="none" w:sz="0" w:space="0" w:color="auto"/>
          </w:divBdr>
          <w:divsChild>
            <w:div w:id="797724653">
              <w:marLeft w:val="0"/>
              <w:marRight w:val="0"/>
              <w:marTop w:val="0"/>
              <w:marBottom w:val="0"/>
              <w:divBdr>
                <w:top w:val="none" w:sz="0" w:space="0" w:color="auto"/>
                <w:left w:val="none" w:sz="0" w:space="0" w:color="auto"/>
                <w:bottom w:val="none" w:sz="0" w:space="0" w:color="auto"/>
                <w:right w:val="none" w:sz="0" w:space="0" w:color="auto"/>
              </w:divBdr>
              <w:divsChild>
                <w:div w:id="139034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032046">
      <w:bodyDiv w:val="1"/>
      <w:marLeft w:val="0"/>
      <w:marRight w:val="0"/>
      <w:marTop w:val="0"/>
      <w:marBottom w:val="0"/>
      <w:divBdr>
        <w:top w:val="none" w:sz="0" w:space="0" w:color="auto"/>
        <w:left w:val="none" w:sz="0" w:space="0" w:color="auto"/>
        <w:bottom w:val="none" w:sz="0" w:space="0" w:color="auto"/>
        <w:right w:val="none" w:sz="0" w:space="0" w:color="auto"/>
      </w:divBdr>
      <w:divsChild>
        <w:div w:id="1064986263">
          <w:marLeft w:val="288"/>
          <w:marRight w:val="0"/>
          <w:marTop w:val="240"/>
          <w:marBottom w:val="0"/>
          <w:divBdr>
            <w:top w:val="none" w:sz="0" w:space="0" w:color="auto"/>
            <w:left w:val="none" w:sz="0" w:space="0" w:color="auto"/>
            <w:bottom w:val="none" w:sz="0" w:space="0" w:color="auto"/>
            <w:right w:val="none" w:sz="0" w:space="0" w:color="auto"/>
          </w:divBdr>
        </w:div>
        <w:div w:id="1527282266">
          <w:marLeft w:val="288"/>
          <w:marRight w:val="0"/>
          <w:marTop w:val="240"/>
          <w:marBottom w:val="0"/>
          <w:divBdr>
            <w:top w:val="none" w:sz="0" w:space="0" w:color="auto"/>
            <w:left w:val="none" w:sz="0" w:space="0" w:color="auto"/>
            <w:bottom w:val="none" w:sz="0" w:space="0" w:color="auto"/>
            <w:right w:val="none" w:sz="0" w:space="0" w:color="auto"/>
          </w:divBdr>
        </w:div>
      </w:divsChild>
    </w:div>
    <w:div w:id="2147316174">
      <w:bodyDiv w:val="1"/>
      <w:marLeft w:val="0"/>
      <w:marRight w:val="0"/>
      <w:marTop w:val="0"/>
      <w:marBottom w:val="0"/>
      <w:divBdr>
        <w:top w:val="none" w:sz="0" w:space="0" w:color="auto"/>
        <w:left w:val="none" w:sz="0" w:space="0" w:color="auto"/>
        <w:bottom w:val="none" w:sz="0" w:space="0" w:color="auto"/>
        <w:right w:val="none" w:sz="0" w:space="0" w:color="auto"/>
      </w:divBdr>
      <w:divsChild>
        <w:div w:id="407850538">
          <w:marLeft w:val="288"/>
          <w:marRight w:val="0"/>
          <w:marTop w:val="240"/>
          <w:marBottom w:val="0"/>
          <w:divBdr>
            <w:top w:val="none" w:sz="0" w:space="0" w:color="auto"/>
            <w:left w:val="none" w:sz="0" w:space="0" w:color="auto"/>
            <w:bottom w:val="none" w:sz="0" w:space="0" w:color="auto"/>
            <w:right w:val="none" w:sz="0" w:space="0" w:color="auto"/>
          </w:divBdr>
        </w:div>
        <w:div w:id="2009821699">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defamation-laws-take-effect" TargetMode="External"/><Relationship Id="rId13" Type="http://schemas.openxmlformats.org/officeDocument/2006/relationships/hyperlink" Target="https://www.bailii.org/ew/cases/EWHC/QB/2010/1414.html" TargetMode="External"/><Relationship Id="rId3" Type="http://schemas.openxmlformats.org/officeDocument/2006/relationships/settings" Target="settings.xml"/><Relationship Id="rId7" Type="http://schemas.openxmlformats.org/officeDocument/2006/relationships/hyperlink" Target="https://www.supremecourt.uk/cases/docs/uksc-2017-0175-judgment.pdf" TargetMode="External"/><Relationship Id="rId12" Type="http://schemas.openxmlformats.org/officeDocument/2006/relationships/hyperlink" Target="https://publications.parliament.uk/pa/ld199899/ldjudgmt/jd991028/rey01.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838398/post-legislative-memorandum-defamation-act-2013.PDF" TargetMode="External"/><Relationship Id="rId11" Type="http://schemas.openxmlformats.org/officeDocument/2006/relationships/hyperlink" Target="https://www.bailii.org/uk/cases/UKHL/1999/45.html" TargetMode="External"/><Relationship Id="rId5" Type="http://schemas.openxmlformats.org/officeDocument/2006/relationships/hyperlink" Target="https://www.hse.gov.uk/enforce/enforcementguide/court/reporting-defamation.htm" TargetMode="External"/><Relationship Id="rId15" Type="http://schemas.openxmlformats.org/officeDocument/2006/relationships/theme" Target="theme/theme1.xml"/><Relationship Id="rId10" Type="http://schemas.openxmlformats.org/officeDocument/2006/relationships/hyperlink" Target="https://www.legislation.gov.uk/ukpga/2013/26/notes/division/5?view=plain" TargetMode="External"/><Relationship Id="rId4" Type="http://schemas.openxmlformats.org/officeDocument/2006/relationships/webSettings" Target="webSettings.xml"/><Relationship Id="rId9" Type="http://schemas.openxmlformats.org/officeDocument/2006/relationships/hyperlink" Target="https://www.lawgazette.co.uk/legal-updates/the-defamation-act-2013/5039959.articl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6A898D-39E2-47AB-A1B7-272FF0356993}">
  <we:reference id="wa200003478" version="1.0.0.0" store="en-US" storeType="OMEX"/>
  <we:alternateReferences>
    <we:reference id="wa200003478" version="1.0.0.0" store="en-US" storeType="OMEX"/>
  </we:alternateReferences>
  <we:properties>
    <we:property name="draftId" value="&quot;57bbed1f-abc9-4fa0-bf7c-25bd855c4f96&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TotalTime>
  <Pages>9</Pages>
  <Words>2528</Words>
  <Characters>14412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dc:creator>
  <cp:keywords/>
  <dc:description/>
  <cp:lastModifiedBy>nigella</cp:lastModifiedBy>
  <cp:revision>2</cp:revision>
  <dcterms:created xsi:type="dcterms:W3CDTF">2022-05-03T13:45:00Z</dcterms:created>
  <dcterms:modified xsi:type="dcterms:W3CDTF">2022-05-03T13:45:00Z</dcterms:modified>
</cp:coreProperties>
</file>