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1F9EF0" w14:textId="77777777" w:rsidR="00530E16" w:rsidRPr="007102A5" w:rsidRDefault="004468F8" w:rsidP="007102A5">
      <w:pPr>
        <w:pBdr>
          <w:top w:val="nil"/>
          <w:left w:val="nil"/>
          <w:bottom w:val="nil"/>
          <w:right w:val="nil"/>
          <w:between w:val="nil"/>
        </w:pBdr>
        <w:spacing w:after="0" w:line="360" w:lineRule="auto"/>
        <w:rPr>
          <w:rFonts w:ascii="Arial" w:eastAsia="Arial" w:hAnsi="Arial" w:cs="Arial"/>
          <w:color w:val="000000"/>
          <w:sz w:val="22"/>
          <w:szCs w:val="22"/>
        </w:rPr>
      </w:pPr>
      <w:r w:rsidRPr="007102A5">
        <w:rPr>
          <w:rFonts w:ascii="Arial" w:eastAsia="Arial" w:hAnsi="Arial" w:cs="Arial"/>
          <w:noProof/>
          <w:color w:val="000000"/>
          <w:sz w:val="22"/>
          <w:szCs w:val="22"/>
        </w:rPr>
        <mc:AlternateContent>
          <mc:Choice Requires="wpg">
            <w:drawing>
              <wp:anchor distT="0" distB="0" distL="114300" distR="114300" simplePos="0" relativeHeight="251656192" behindDoc="1" locked="0" layoutInCell="1" allowOverlap="1" wp14:anchorId="38720F14" wp14:editId="0AB94EE1">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5F21B88"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6EBAF50E"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8720F14" id="Group 1" o:spid="_x0000_s1026" style="position:absolute;margin-left:-48pt;margin-top:-123.75pt;width:172.5pt;height:590.35pt;z-index:-251660288"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5F21B88"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6EBAF50E"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Pr="007102A5">
        <w:rPr>
          <w:rFonts w:ascii="Arial" w:eastAsia="Arial" w:hAnsi="Arial" w:cs="Arial"/>
          <w:noProof/>
          <w:color w:val="000000"/>
          <w:sz w:val="22"/>
          <w:szCs w:val="22"/>
        </w:rPr>
        <mc:AlternateContent>
          <mc:Choice Requires="wps">
            <w:drawing>
              <wp:anchor distT="0" distB="0" distL="114300" distR="114300" simplePos="0" relativeHeight="251658240" behindDoc="0" locked="0" layoutInCell="1" hidden="0" allowOverlap="1" wp14:anchorId="0213D4B3" wp14:editId="4DD38B07">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6BC52AF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060D4981"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213D4B3" id="Rectangle 35" o:spid="_x0000_s1055" style="position:absolute;margin-left:249.65pt;margin-top:740.5pt;width:288.75pt;height:29.55pt;z-index:251658240;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6BC52AF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060D4981"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152154C7" w14:textId="77777777" w:rsidR="00530E16" w:rsidRPr="007102A5" w:rsidRDefault="004468F8" w:rsidP="007102A5">
      <w:pPr>
        <w:spacing w:line="360" w:lineRule="auto"/>
        <w:rPr>
          <w:rFonts w:ascii="Arial" w:eastAsia="Arial" w:hAnsi="Arial" w:cs="Arial"/>
          <w:sz w:val="22"/>
          <w:szCs w:val="22"/>
        </w:rPr>
      </w:pPr>
      <w:r w:rsidRPr="007102A5">
        <w:rPr>
          <w:rFonts w:ascii="Arial" w:eastAsia="Arial" w:hAnsi="Arial" w:cs="Arial"/>
          <w:noProof/>
          <w:sz w:val="22"/>
          <w:szCs w:val="22"/>
        </w:rPr>
        <mc:AlternateContent>
          <mc:Choice Requires="wps">
            <w:drawing>
              <wp:anchor distT="0" distB="0" distL="114300" distR="114300" simplePos="0" relativeHeight="251659264" behindDoc="0" locked="0" layoutInCell="1" hidden="0" allowOverlap="1" wp14:anchorId="478967A2" wp14:editId="7D598565">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3C5A1EA0" w14:textId="77777777" w:rsidR="00530E16" w:rsidRDefault="004468F8">
                            <w:pPr>
                              <w:spacing w:after="0" w:line="240" w:lineRule="auto"/>
                              <w:textDirection w:val="btLr"/>
                            </w:pPr>
                            <w:r>
                              <w:rPr>
                                <w:rFonts w:ascii="Play" w:eastAsia="Play" w:hAnsi="Play" w:cs="Play"/>
                                <w:color w:val="262626"/>
                                <w:sz w:val="72"/>
                              </w:rPr>
                              <w:t>Individual Report</w:t>
                            </w:r>
                          </w:p>
                          <w:p w14:paraId="6855A9ED" w14:textId="635B78FD" w:rsidR="00530E16" w:rsidRDefault="004468F8">
                            <w:pPr>
                              <w:spacing w:before="120" w:line="277" w:lineRule="auto"/>
                              <w:textDirection w:val="btLr"/>
                            </w:pPr>
                            <w:r>
                              <w:rPr>
                                <w:color w:val="404040"/>
                                <w:sz w:val="36"/>
                              </w:rPr>
                              <w:t xml:space="preserve">Module Name: </w:t>
                            </w:r>
                            <w:r w:rsidR="00365197" w:rsidRPr="00365197">
                              <w:rPr>
                                <w:color w:val="404040"/>
                                <w:sz w:val="36"/>
                              </w:rPr>
                              <w:t>Psychology in Health and Social Care</w:t>
                            </w:r>
                          </w:p>
                          <w:p w14:paraId="3964E614" w14:textId="1EFB52E0" w:rsidR="00530E16" w:rsidRDefault="004468F8">
                            <w:pPr>
                              <w:spacing w:before="120" w:line="277" w:lineRule="auto"/>
                              <w:textDirection w:val="btLr"/>
                            </w:pPr>
                            <w:r>
                              <w:rPr>
                                <w:color w:val="404040"/>
                                <w:sz w:val="36"/>
                              </w:rPr>
                              <w:t xml:space="preserve">Module Code: LCHS </w:t>
                            </w:r>
                            <w:r w:rsidR="00D66026">
                              <w:rPr>
                                <w:color w:val="404040"/>
                                <w:sz w:val="36"/>
                              </w:rPr>
                              <w:t>4010</w:t>
                            </w:r>
                          </w:p>
                          <w:p w14:paraId="6EDB6634" w14:textId="69AC1076" w:rsidR="00530E16" w:rsidRDefault="004468F8">
                            <w:pPr>
                              <w:spacing w:before="120" w:line="277" w:lineRule="auto"/>
                              <w:textDirection w:val="btLr"/>
                            </w:pPr>
                            <w:r>
                              <w:rPr>
                                <w:color w:val="404040"/>
                                <w:sz w:val="36"/>
                              </w:rPr>
                              <w:t xml:space="preserve">Student name: </w:t>
                            </w:r>
                            <w:r w:rsidR="00D66026">
                              <w:rPr>
                                <w:color w:val="404040"/>
                                <w:sz w:val="36"/>
                              </w:rPr>
                              <w:t>MODUPEOLA OYENAME-AWODESU</w:t>
                            </w:r>
                          </w:p>
                          <w:p w14:paraId="7190301A" w14:textId="61A44E4A" w:rsidR="00D66026" w:rsidRPr="00D66026" w:rsidRDefault="004468F8" w:rsidP="00D66026">
                            <w:pPr>
                              <w:spacing w:before="120" w:line="277" w:lineRule="auto"/>
                              <w:textDirection w:val="btLr"/>
                              <w:rPr>
                                <w:b/>
                                <w:bCs/>
                                <w:color w:val="404040"/>
                                <w:sz w:val="36"/>
                              </w:rPr>
                            </w:pPr>
                            <w:r>
                              <w:rPr>
                                <w:color w:val="404040"/>
                                <w:sz w:val="36"/>
                              </w:rPr>
                              <w:t>Student ID:</w:t>
                            </w:r>
                            <w:r w:rsidR="00D66026">
                              <w:rPr>
                                <w:color w:val="404040"/>
                                <w:sz w:val="36"/>
                              </w:rPr>
                              <w:t xml:space="preserve"> 2442429</w:t>
                            </w:r>
                          </w:p>
                          <w:p w14:paraId="71ECCA08" w14:textId="439258CB" w:rsidR="00530E16" w:rsidRDefault="00530E16">
                            <w:pPr>
                              <w:spacing w:before="120" w:line="277" w:lineRule="auto"/>
                              <w:textDirection w:val="btLr"/>
                            </w:pPr>
                          </w:p>
                          <w:p w14:paraId="240F7989" w14:textId="71E82920" w:rsidR="00530E16" w:rsidRDefault="004468F8">
                            <w:pPr>
                              <w:spacing w:before="120" w:line="277" w:lineRule="auto"/>
                              <w:textDirection w:val="btLr"/>
                            </w:pPr>
                            <w:r>
                              <w:rPr>
                                <w:color w:val="404040"/>
                                <w:sz w:val="36"/>
                              </w:rPr>
                              <w:t xml:space="preserve">Lecturer’s Name: </w:t>
                            </w:r>
                            <w:r w:rsidR="00672311">
                              <w:rPr>
                                <w:color w:val="404040"/>
                                <w:sz w:val="36"/>
                              </w:rPr>
                              <w:t xml:space="preserve">DR </w:t>
                            </w:r>
                            <w:r w:rsidR="00D66026">
                              <w:rPr>
                                <w:color w:val="404040"/>
                                <w:sz w:val="36"/>
                              </w:rPr>
                              <w:t>PASCAL NAVELL</w:t>
                            </w:r>
                            <w:r w:rsidR="00786BF8">
                              <w:rPr>
                                <w:color w:val="404040"/>
                                <w:sz w:val="36"/>
                              </w:rPr>
                              <w:t>E</w:t>
                            </w:r>
                          </w:p>
                        </w:txbxContent>
                      </wps:txbx>
                      <wps:bodyPr spcFirstLastPara="1" wrap="square" lIns="0" tIns="0" rIns="0" bIns="0" anchor="t" anchorCtr="0">
                        <a:noAutofit/>
                      </wps:bodyPr>
                    </wps:wsp>
                  </a:graphicData>
                </a:graphic>
              </wp:anchor>
            </w:drawing>
          </mc:Choice>
          <mc:Fallback>
            <w:pict>
              <v:rect w14:anchorId="478967A2" id="Rectangle 33" o:spid="_x0000_s1056" style="position:absolute;margin-left:87.4pt;margin-top:220.9pt;width:456pt;height:243.7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3C5A1EA0" w14:textId="77777777" w:rsidR="00530E16" w:rsidRDefault="004468F8">
                      <w:pPr>
                        <w:spacing w:after="0" w:line="240" w:lineRule="auto"/>
                        <w:textDirection w:val="btLr"/>
                      </w:pPr>
                      <w:r>
                        <w:rPr>
                          <w:rFonts w:ascii="Play" w:eastAsia="Play" w:hAnsi="Play" w:cs="Play"/>
                          <w:color w:val="262626"/>
                          <w:sz w:val="72"/>
                        </w:rPr>
                        <w:t>Individual Report</w:t>
                      </w:r>
                    </w:p>
                    <w:p w14:paraId="6855A9ED" w14:textId="635B78FD" w:rsidR="00530E16" w:rsidRDefault="004468F8">
                      <w:pPr>
                        <w:spacing w:before="120" w:line="277" w:lineRule="auto"/>
                        <w:textDirection w:val="btLr"/>
                      </w:pPr>
                      <w:r>
                        <w:rPr>
                          <w:color w:val="404040"/>
                          <w:sz w:val="36"/>
                        </w:rPr>
                        <w:t xml:space="preserve">Module Name: </w:t>
                      </w:r>
                      <w:r w:rsidR="00365197" w:rsidRPr="00365197">
                        <w:rPr>
                          <w:color w:val="404040"/>
                          <w:sz w:val="36"/>
                        </w:rPr>
                        <w:t>Psychology in Health and Social Care</w:t>
                      </w:r>
                    </w:p>
                    <w:p w14:paraId="3964E614" w14:textId="1EFB52E0" w:rsidR="00530E16" w:rsidRDefault="004468F8">
                      <w:pPr>
                        <w:spacing w:before="120" w:line="277" w:lineRule="auto"/>
                        <w:textDirection w:val="btLr"/>
                      </w:pPr>
                      <w:r>
                        <w:rPr>
                          <w:color w:val="404040"/>
                          <w:sz w:val="36"/>
                        </w:rPr>
                        <w:t xml:space="preserve">Module Code: LCHS </w:t>
                      </w:r>
                      <w:r w:rsidR="00D66026">
                        <w:rPr>
                          <w:color w:val="404040"/>
                          <w:sz w:val="36"/>
                        </w:rPr>
                        <w:t>4010</w:t>
                      </w:r>
                    </w:p>
                    <w:p w14:paraId="6EDB6634" w14:textId="69AC1076" w:rsidR="00530E16" w:rsidRDefault="004468F8">
                      <w:pPr>
                        <w:spacing w:before="120" w:line="277" w:lineRule="auto"/>
                        <w:textDirection w:val="btLr"/>
                      </w:pPr>
                      <w:r>
                        <w:rPr>
                          <w:color w:val="404040"/>
                          <w:sz w:val="36"/>
                        </w:rPr>
                        <w:t xml:space="preserve">Student name: </w:t>
                      </w:r>
                      <w:r w:rsidR="00D66026">
                        <w:rPr>
                          <w:color w:val="404040"/>
                          <w:sz w:val="36"/>
                        </w:rPr>
                        <w:t>MODUPEOLA OYENAME-AWODESU</w:t>
                      </w:r>
                    </w:p>
                    <w:p w14:paraId="7190301A" w14:textId="61A44E4A" w:rsidR="00D66026" w:rsidRPr="00D66026" w:rsidRDefault="004468F8" w:rsidP="00D66026">
                      <w:pPr>
                        <w:spacing w:before="120" w:line="277" w:lineRule="auto"/>
                        <w:textDirection w:val="btLr"/>
                        <w:rPr>
                          <w:b/>
                          <w:bCs/>
                          <w:color w:val="404040"/>
                          <w:sz w:val="36"/>
                        </w:rPr>
                      </w:pPr>
                      <w:r>
                        <w:rPr>
                          <w:color w:val="404040"/>
                          <w:sz w:val="36"/>
                        </w:rPr>
                        <w:t>Student ID:</w:t>
                      </w:r>
                      <w:r w:rsidR="00D66026">
                        <w:rPr>
                          <w:color w:val="404040"/>
                          <w:sz w:val="36"/>
                        </w:rPr>
                        <w:t xml:space="preserve"> 2442429</w:t>
                      </w:r>
                    </w:p>
                    <w:p w14:paraId="71ECCA08" w14:textId="439258CB" w:rsidR="00530E16" w:rsidRDefault="00530E16">
                      <w:pPr>
                        <w:spacing w:before="120" w:line="277" w:lineRule="auto"/>
                        <w:textDirection w:val="btLr"/>
                      </w:pPr>
                    </w:p>
                    <w:p w14:paraId="240F7989" w14:textId="71E82920" w:rsidR="00530E16" w:rsidRDefault="004468F8">
                      <w:pPr>
                        <w:spacing w:before="120" w:line="277" w:lineRule="auto"/>
                        <w:textDirection w:val="btLr"/>
                      </w:pPr>
                      <w:r>
                        <w:rPr>
                          <w:color w:val="404040"/>
                          <w:sz w:val="36"/>
                        </w:rPr>
                        <w:t xml:space="preserve">Lecturer’s Name: </w:t>
                      </w:r>
                      <w:r w:rsidR="00672311">
                        <w:rPr>
                          <w:color w:val="404040"/>
                          <w:sz w:val="36"/>
                        </w:rPr>
                        <w:t xml:space="preserve">DR </w:t>
                      </w:r>
                      <w:r w:rsidR="00D66026">
                        <w:rPr>
                          <w:color w:val="404040"/>
                          <w:sz w:val="36"/>
                        </w:rPr>
                        <w:t>PASCAL NAVELL</w:t>
                      </w:r>
                      <w:r w:rsidR="00786BF8">
                        <w:rPr>
                          <w:color w:val="404040"/>
                          <w:sz w:val="36"/>
                        </w:rPr>
                        <w:t>E</w:t>
                      </w:r>
                    </w:p>
                  </w:txbxContent>
                </v:textbox>
                <w10:wrap anchorx="page" anchory="page"/>
              </v:rect>
            </w:pict>
          </mc:Fallback>
        </mc:AlternateContent>
      </w:r>
      <w:r w:rsidRPr="007102A5">
        <w:rPr>
          <w:rFonts w:ascii="Arial" w:hAnsi="Arial" w:cs="Arial"/>
          <w:sz w:val="22"/>
          <w:szCs w:val="22"/>
        </w:rPr>
        <w:br w:type="page"/>
      </w:r>
    </w:p>
    <w:p w14:paraId="3ABE05E0" w14:textId="71161B65" w:rsidR="00530E16" w:rsidRPr="007102A5" w:rsidRDefault="00C33ED6" w:rsidP="007102A5">
      <w:pPr>
        <w:spacing w:line="360" w:lineRule="auto"/>
        <w:rPr>
          <w:rFonts w:ascii="Arial" w:eastAsia="Arial" w:hAnsi="Arial" w:cs="Arial"/>
          <w:sz w:val="22"/>
          <w:szCs w:val="22"/>
        </w:rPr>
      </w:pPr>
      <w:r w:rsidRPr="007102A5">
        <w:rPr>
          <w:rFonts w:ascii="Arial" w:eastAsia="Arial" w:hAnsi="Arial" w:cs="Arial"/>
          <w:sz w:val="22"/>
          <w:szCs w:val="22"/>
        </w:rPr>
        <w:lastRenderedPageBreak/>
        <w:t>TABLE OF CONTENTS</w:t>
      </w:r>
    </w:p>
    <w:p w14:paraId="330E3FB8" w14:textId="0BCB3D35" w:rsidR="00040558" w:rsidRPr="007102A5" w:rsidRDefault="00230094" w:rsidP="007102A5">
      <w:pPr>
        <w:pStyle w:val="ListParagraph"/>
        <w:numPr>
          <w:ilvl w:val="0"/>
          <w:numId w:val="10"/>
        </w:numPr>
        <w:spacing w:line="360" w:lineRule="auto"/>
        <w:rPr>
          <w:rFonts w:ascii="Arial" w:eastAsia="Arial" w:hAnsi="Arial" w:cs="Arial"/>
          <w:sz w:val="22"/>
          <w:szCs w:val="22"/>
        </w:rPr>
      </w:pPr>
      <w:r w:rsidRPr="007102A5">
        <w:rPr>
          <w:rFonts w:ascii="Arial" w:eastAsia="Arial" w:hAnsi="Arial" w:cs="Arial"/>
          <w:sz w:val="22"/>
          <w:szCs w:val="22"/>
        </w:rPr>
        <w:t>Introduction</w:t>
      </w:r>
      <w:r w:rsidR="000A248B" w:rsidRPr="007102A5">
        <w:rPr>
          <w:rFonts w:ascii="Arial" w:eastAsia="Arial" w:hAnsi="Arial" w:cs="Arial"/>
          <w:sz w:val="22"/>
          <w:szCs w:val="22"/>
        </w:rPr>
        <w:t>……………………………………………………………</w:t>
      </w:r>
      <w:r w:rsidR="00672311" w:rsidRPr="007102A5">
        <w:rPr>
          <w:rFonts w:ascii="Arial" w:eastAsia="Arial" w:hAnsi="Arial" w:cs="Arial"/>
          <w:sz w:val="22"/>
          <w:szCs w:val="22"/>
        </w:rPr>
        <w:t>…………</w:t>
      </w:r>
      <w:proofErr w:type="gramStart"/>
      <w:r w:rsidR="00672311" w:rsidRPr="007102A5">
        <w:rPr>
          <w:rFonts w:ascii="Arial" w:eastAsia="Arial" w:hAnsi="Arial" w:cs="Arial"/>
          <w:sz w:val="22"/>
          <w:szCs w:val="22"/>
        </w:rPr>
        <w:t>…..</w:t>
      </w:r>
      <w:proofErr w:type="gramEnd"/>
      <w:r w:rsidR="000A248B" w:rsidRPr="007102A5">
        <w:rPr>
          <w:rFonts w:ascii="Arial" w:eastAsia="Arial" w:hAnsi="Arial" w:cs="Arial"/>
          <w:sz w:val="22"/>
          <w:szCs w:val="22"/>
        </w:rPr>
        <w:t>1</w:t>
      </w:r>
    </w:p>
    <w:p w14:paraId="62E5EE20" w14:textId="33B589A2" w:rsidR="00C33ED6" w:rsidRPr="007102A5" w:rsidRDefault="00C33ED6" w:rsidP="007102A5">
      <w:pPr>
        <w:pStyle w:val="ListParagraph"/>
        <w:numPr>
          <w:ilvl w:val="0"/>
          <w:numId w:val="10"/>
        </w:numPr>
        <w:spacing w:line="360" w:lineRule="auto"/>
        <w:rPr>
          <w:rFonts w:ascii="Arial" w:eastAsia="Arial" w:hAnsi="Arial" w:cs="Arial"/>
          <w:sz w:val="22"/>
          <w:szCs w:val="22"/>
        </w:rPr>
      </w:pPr>
      <w:r w:rsidRPr="007102A5">
        <w:rPr>
          <w:rFonts w:ascii="Arial" w:eastAsia="Arial" w:hAnsi="Arial" w:cs="Arial"/>
          <w:sz w:val="22"/>
          <w:szCs w:val="22"/>
        </w:rPr>
        <w:t>Erikson, E.H. (1997) – Psychosocial Development Across the Lifespan</w:t>
      </w:r>
      <w:r w:rsidR="000A248B" w:rsidRPr="007102A5">
        <w:rPr>
          <w:rFonts w:ascii="Arial" w:eastAsia="Arial" w:hAnsi="Arial" w:cs="Arial"/>
          <w:sz w:val="22"/>
          <w:szCs w:val="22"/>
        </w:rPr>
        <w:t>…</w:t>
      </w:r>
      <w:proofErr w:type="gramStart"/>
      <w:r w:rsidR="000A248B" w:rsidRPr="007102A5">
        <w:rPr>
          <w:rFonts w:ascii="Arial" w:eastAsia="Arial" w:hAnsi="Arial" w:cs="Arial"/>
          <w:sz w:val="22"/>
          <w:szCs w:val="22"/>
        </w:rPr>
        <w:t>….</w:t>
      </w:r>
      <w:r w:rsidR="00FF55A6" w:rsidRPr="007102A5">
        <w:rPr>
          <w:rFonts w:ascii="Arial" w:eastAsia="Arial" w:hAnsi="Arial" w:cs="Arial"/>
          <w:sz w:val="22"/>
          <w:szCs w:val="22"/>
        </w:rPr>
        <w:t>.</w:t>
      </w:r>
      <w:proofErr w:type="gramEnd"/>
      <w:r w:rsidR="000A248B" w:rsidRPr="007102A5">
        <w:rPr>
          <w:rFonts w:ascii="Arial" w:eastAsia="Arial" w:hAnsi="Arial" w:cs="Arial"/>
          <w:sz w:val="22"/>
          <w:szCs w:val="22"/>
        </w:rPr>
        <w:t>2</w:t>
      </w:r>
    </w:p>
    <w:p w14:paraId="053F14E0" w14:textId="20D9B875" w:rsidR="000B3432" w:rsidRPr="007102A5" w:rsidRDefault="000B3432" w:rsidP="007102A5">
      <w:pPr>
        <w:pStyle w:val="ListParagraph"/>
        <w:numPr>
          <w:ilvl w:val="0"/>
          <w:numId w:val="10"/>
        </w:numPr>
        <w:spacing w:line="360" w:lineRule="auto"/>
        <w:rPr>
          <w:rFonts w:ascii="Arial" w:eastAsia="Arial" w:hAnsi="Arial" w:cs="Arial"/>
          <w:sz w:val="22"/>
          <w:szCs w:val="22"/>
        </w:rPr>
      </w:pPr>
      <w:r w:rsidRPr="007102A5">
        <w:rPr>
          <w:rFonts w:ascii="Arial" w:eastAsia="Arial" w:hAnsi="Arial" w:cs="Arial"/>
          <w:sz w:val="22"/>
          <w:szCs w:val="22"/>
        </w:rPr>
        <w:t>Erikson, E.H. (1982) – Identity, Ageing and Life Review</w:t>
      </w:r>
      <w:r w:rsidR="000A248B" w:rsidRPr="007102A5">
        <w:rPr>
          <w:rFonts w:ascii="Arial" w:eastAsia="Arial" w:hAnsi="Arial" w:cs="Arial"/>
          <w:sz w:val="22"/>
          <w:szCs w:val="22"/>
        </w:rPr>
        <w:t>……………………….3</w:t>
      </w:r>
    </w:p>
    <w:p w14:paraId="0AE38BFD" w14:textId="6B07AF37" w:rsidR="00456962" w:rsidRPr="007102A5" w:rsidRDefault="00456962" w:rsidP="007102A5">
      <w:pPr>
        <w:pStyle w:val="ListParagraph"/>
        <w:numPr>
          <w:ilvl w:val="0"/>
          <w:numId w:val="10"/>
        </w:numPr>
        <w:spacing w:line="360" w:lineRule="auto"/>
        <w:rPr>
          <w:rFonts w:ascii="Arial" w:eastAsia="Arial" w:hAnsi="Arial" w:cs="Arial"/>
          <w:sz w:val="22"/>
          <w:szCs w:val="22"/>
        </w:rPr>
      </w:pPr>
      <w:r w:rsidRPr="007102A5">
        <w:rPr>
          <w:rFonts w:ascii="Arial" w:eastAsia="Arial" w:hAnsi="Arial" w:cs="Arial"/>
          <w:sz w:val="22"/>
          <w:szCs w:val="22"/>
        </w:rPr>
        <w:t>Bandura, A. (1986) – Social Cognitive Theory</w:t>
      </w:r>
      <w:r w:rsidR="000A248B" w:rsidRPr="007102A5">
        <w:rPr>
          <w:rFonts w:ascii="Arial" w:eastAsia="Arial" w:hAnsi="Arial" w:cs="Arial"/>
          <w:sz w:val="22"/>
          <w:szCs w:val="22"/>
        </w:rPr>
        <w:t>………………………………</w:t>
      </w:r>
      <w:proofErr w:type="gramStart"/>
      <w:r w:rsidR="000A248B" w:rsidRPr="007102A5">
        <w:rPr>
          <w:rFonts w:ascii="Arial" w:eastAsia="Arial" w:hAnsi="Arial" w:cs="Arial"/>
          <w:sz w:val="22"/>
          <w:szCs w:val="22"/>
        </w:rPr>
        <w:t>…..</w:t>
      </w:r>
      <w:proofErr w:type="gramEnd"/>
      <w:r w:rsidR="000A248B" w:rsidRPr="007102A5">
        <w:rPr>
          <w:rFonts w:ascii="Arial" w:eastAsia="Arial" w:hAnsi="Arial" w:cs="Arial"/>
          <w:sz w:val="22"/>
          <w:szCs w:val="22"/>
        </w:rPr>
        <w:t>4</w:t>
      </w:r>
    </w:p>
    <w:p w14:paraId="2C0BF0FA" w14:textId="59F1FF81" w:rsidR="00EC7C27" w:rsidRPr="007102A5" w:rsidRDefault="00EC7C27" w:rsidP="007102A5">
      <w:pPr>
        <w:pStyle w:val="ListParagraph"/>
        <w:numPr>
          <w:ilvl w:val="0"/>
          <w:numId w:val="10"/>
        </w:numPr>
        <w:spacing w:line="360" w:lineRule="auto"/>
        <w:rPr>
          <w:rFonts w:ascii="Arial" w:eastAsia="Arial" w:hAnsi="Arial" w:cs="Arial"/>
          <w:sz w:val="22"/>
          <w:szCs w:val="22"/>
        </w:rPr>
      </w:pPr>
      <w:r w:rsidRPr="007102A5">
        <w:rPr>
          <w:rFonts w:ascii="Arial" w:eastAsia="Arial" w:hAnsi="Arial" w:cs="Arial"/>
          <w:sz w:val="22"/>
          <w:szCs w:val="22"/>
        </w:rPr>
        <w:t>Bandura, A. (1997) – Self Efficacy and Wellbeing</w:t>
      </w:r>
      <w:r w:rsidR="000A248B" w:rsidRPr="007102A5">
        <w:rPr>
          <w:rFonts w:ascii="Arial" w:eastAsia="Arial" w:hAnsi="Arial" w:cs="Arial"/>
          <w:sz w:val="22"/>
          <w:szCs w:val="22"/>
        </w:rPr>
        <w:t>……………………………….5</w:t>
      </w:r>
    </w:p>
    <w:p w14:paraId="79331DA7" w14:textId="485778B4" w:rsidR="00A92915" w:rsidRPr="007102A5" w:rsidRDefault="00A92915" w:rsidP="007102A5">
      <w:pPr>
        <w:pStyle w:val="ListParagraph"/>
        <w:numPr>
          <w:ilvl w:val="0"/>
          <w:numId w:val="10"/>
        </w:numPr>
        <w:spacing w:line="360" w:lineRule="auto"/>
        <w:rPr>
          <w:rFonts w:ascii="Arial" w:eastAsia="Arial" w:hAnsi="Arial" w:cs="Arial"/>
          <w:sz w:val="22"/>
          <w:szCs w:val="22"/>
        </w:rPr>
      </w:pPr>
      <w:r w:rsidRPr="007102A5">
        <w:rPr>
          <w:rFonts w:ascii="Arial" w:eastAsia="Arial" w:hAnsi="Arial" w:cs="Arial"/>
          <w:sz w:val="22"/>
          <w:szCs w:val="22"/>
        </w:rPr>
        <w:t>Applying Bandura’s Social Learning Theory to Improve Psychological Wellbeing in Older Adults</w:t>
      </w:r>
      <w:r w:rsidR="000A248B" w:rsidRPr="007102A5">
        <w:rPr>
          <w:rFonts w:ascii="Arial" w:eastAsia="Arial" w:hAnsi="Arial" w:cs="Arial"/>
          <w:sz w:val="22"/>
          <w:szCs w:val="22"/>
        </w:rPr>
        <w:t>………………………………………………………</w:t>
      </w:r>
      <w:proofErr w:type="gramStart"/>
      <w:r w:rsidR="000A248B" w:rsidRPr="007102A5">
        <w:rPr>
          <w:rFonts w:ascii="Arial" w:eastAsia="Arial" w:hAnsi="Arial" w:cs="Arial"/>
          <w:sz w:val="22"/>
          <w:szCs w:val="22"/>
        </w:rPr>
        <w:t>…</w:t>
      </w:r>
      <w:r w:rsidR="00294E3B" w:rsidRPr="007102A5">
        <w:rPr>
          <w:rFonts w:ascii="Arial" w:eastAsia="Arial" w:hAnsi="Arial" w:cs="Arial"/>
          <w:sz w:val="22"/>
          <w:szCs w:val="22"/>
        </w:rPr>
        <w:t>..</w:t>
      </w:r>
      <w:proofErr w:type="gramEnd"/>
      <w:r w:rsidR="00294E3B" w:rsidRPr="007102A5">
        <w:rPr>
          <w:rFonts w:ascii="Arial" w:eastAsia="Arial" w:hAnsi="Arial" w:cs="Arial"/>
          <w:sz w:val="22"/>
          <w:szCs w:val="22"/>
        </w:rPr>
        <w:t>6</w:t>
      </w:r>
    </w:p>
    <w:p w14:paraId="3C46E5D4" w14:textId="6727CB03" w:rsidR="00A92915" w:rsidRPr="007102A5" w:rsidRDefault="00A92915" w:rsidP="007102A5">
      <w:pPr>
        <w:pStyle w:val="ListParagraph"/>
        <w:numPr>
          <w:ilvl w:val="0"/>
          <w:numId w:val="10"/>
        </w:numPr>
        <w:spacing w:line="360" w:lineRule="auto"/>
        <w:rPr>
          <w:rFonts w:ascii="Arial" w:eastAsia="Arial" w:hAnsi="Arial" w:cs="Arial"/>
          <w:sz w:val="22"/>
          <w:szCs w:val="22"/>
        </w:rPr>
      </w:pPr>
      <w:r w:rsidRPr="007102A5">
        <w:rPr>
          <w:rFonts w:ascii="Arial" w:eastAsia="Arial" w:hAnsi="Arial" w:cs="Arial"/>
          <w:sz w:val="22"/>
          <w:szCs w:val="22"/>
        </w:rPr>
        <w:t>Applying Social Learning Theory in Residential Care Practice</w:t>
      </w:r>
      <w:r w:rsidR="00294E3B" w:rsidRPr="007102A5">
        <w:rPr>
          <w:rFonts w:ascii="Arial" w:eastAsia="Arial" w:hAnsi="Arial" w:cs="Arial"/>
          <w:sz w:val="22"/>
          <w:szCs w:val="22"/>
        </w:rPr>
        <w:t>…………………6</w:t>
      </w:r>
    </w:p>
    <w:p w14:paraId="693F3634" w14:textId="5E7325EC" w:rsidR="008E6245" w:rsidRPr="007102A5" w:rsidRDefault="008E6245" w:rsidP="007102A5">
      <w:pPr>
        <w:pStyle w:val="ListParagraph"/>
        <w:numPr>
          <w:ilvl w:val="0"/>
          <w:numId w:val="10"/>
        </w:numPr>
        <w:spacing w:line="360" w:lineRule="auto"/>
        <w:rPr>
          <w:rFonts w:ascii="Arial" w:eastAsia="Arial" w:hAnsi="Arial" w:cs="Arial"/>
          <w:sz w:val="22"/>
          <w:szCs w:val="22"/>
        </w:rPr>
      </w:pPr>
      <w:r w:rsidRPr="007102A5">
        <w:rPr>
          <w:rFonts w:ascii="Arial" w:eastAsia="Arial" w:hAnsi="Arial" w:cs="Arial"/>
          <w:sz w:val="22"/>
          <w:szCs w:val="22"/>
        </w:rPr>
        <w:t>Case Scenario</w:t>
      </w:r>
      <w:r w:rsidR="00294E3B" w:rsidRPr="007102A5">
        <w:rPr>
          <w:rFonts w:ascii="Arial" w:eastAsia="Arial" w:hAnsi="Arial" w:cs="Arial"/>
          <w:sz w:val="22"/>
          <w:szCs w:val="22"/>
        </w:rPr>
        <w:t>……………………………………………………………………….</w:t>
      </w:r>
      <w:r w:rsidR="00FF55A6" w:rsidRPr="007102A5">
        <w:rPr>
          <w:rFonts w:ascii="Arial" w:eastAsia="Arial" w:hAnsi="Arial" w:cs="Arial"/>
          <w:sz w:val="22"/>
          <w:szCs w:val="22"/>
        </w:rPr>
        <w:t>6</w:t>
      </w:r>
    </w:p>
    <w:p w14:paraId="160EB03A" w14:textId="735C4937" w:rsidR="000A248B" w:rsidRPr="007102A5" w:rsidRDefault="000A248B" w:rsidP="007102A5">
      <w:pPr>
        <w:pStyle w:val="ListParagraph"/>
        <w:numPr>
          <w:ilvl w:val="0"/>
          <w:numId w:val="10"/>
        </w:numPr>
        <w:spacing w:line="360" w:lineRule="auto"/>
        <w:rPr>
          <w:rFonts w:ascii="Arial" w:eastAsia="Arial" w:hAnsi="Arial" w:cs="Arial"/>
          <w:sz w:val="22"/>
          <w:szCs w:val="22"/>
        </w:rPr>
      </w:pPr>
      <w:r w:rsidRPr="007102A5">
        <w:rPr>
          <w:rFonts w:ascii="Arial" w:eastAsia="Arial" w:hAnsi="Arial" w:cs="Arial"/>
          <w:sz w:val="22"/>
          <w:szCs w:val="22"/>
        </w:rPr>
        <w:t>Overall Conclusion</w:t>
      </w:r>
      <w:r w:rsidR="00FF55A6" w:rsidRPr="007102A5">
        <w:rPr>
          <w:rFonts w:ascii="Arial" w:eastAsia="Arial" w:hAnsi="Arial" w:cs="Arial"/>
          <w:sz w:val="22"/>
          <w:szCs w:val="22"/>
        </w:rPr>
        <w:t>………………………………………………………………</w:t>
      </w:r>
      <w:proofErr w:type="gramStart"/>
      <w:r w:rsidR="00FF55A6" w:rsidRPr="007102A5">
        <w:rPr>
          <w:rFonts w:ascii="Arial" w:eastAsia="Arial" w:hAnsi="Arial" w:cs="Arial"/>
          <w:sz w:val="22"/>
          <w:szCs w:val="22"/>
        </w:rPr>
        <w:t>…..</w:t>
      </w:r>
      <w:proofErr w:type="gramEnd"/>
      <w:r w:rsidR="00FF55A6" w:rsidRPr="007102A5">
        <w:rPr>
          <w:rFonts w:ascii="Arial" w:eastAsia="Arial" w:hAnsi="Arial" w:cs="Arial"/>
          <w:sz w:val="22"/>
          <w:szCs w:val="22"/>
        </w:rPr>
        <w:t>6</w:t>
      </w:r>
    </w:p>
    <w:p w14:paraId="0FF31BDD" w14:textId="77777777" w:rsidR="00040558" w:rsidRPr="007102A5" w:rsidRDefault="00040558" w:rsidP="007102A5">
      <w:pPr>
        <w:spacing w:line="360" w:lineRule="auto"/>
        <w:rPr>
          <w:rFonts w:ascii="Arial" w:eastAsia="Arial" w:hAnsi="Arial" w:cs="Arial"/>
          <w:sz w:val="22"/>
          <w:szCs w:val="22"/>
        </w:rPr>
      </w:pPr>
    </w:p>
    <w:p w14:paraId="6FE8D063" w14:textId="77777777" w:rsidR="00040558" w:rsidRPr="007102A5" w:rsidRDefault="00040558" w:rsidP="007102A5">
      <w:pPr>
        <w:spacing w:line="360" w:lineRule="auto"/>
        <w:rPr>
          <w:rFonts w:ascii="Arial" w:eastAsia="Arial" w:hAnsi="Arial" w:cs="Arial"/>
          <w:sz w:val="22"/>
          <w:szCs w:val="22"/>
        </w:rPr>
      </w:pPr>
    </w:p>
    <w:p w14:paraId="01390072" w14:textId="77777777" w:rsidR="00040558" w:rsidRPr="007102A5" w:rsidRDefault="00040558" w:rsidP="007102A5">
      <w:pPr>
        <w:spacing w:line="360" w:lineRule="auto"/>
        <w:rPr>
          <w:rFonts w:ascii="Arial" w:eastAsia="Arial" w:hAnsi="Arial" w:cs="Arial"/>
          <w:sz w:val="22"/>
          <w:szCs w:val="22"/>
        </w:rPr>
      </w:pPr>
    </w:p>
    <w:p w14:paraId="6D013286" w14:textId="77777777" w:rsidR="00040558" w:rsidRPr="007102A5" w:rsidRDefault="00040558" w:rsidP="007102A5">
      <w:pPr>
        <w:spacing w:line="360" w:lineRule="auto"/>
        <w:rPr>
          <w:rFonts w:ascii="Arial" w:eastAsia="Arial" w:hAnsi="Arial" w:cs="Arial"/>
          <w:sz w:val="22"/>
          <w:szCs w:val="22"/>
        </w:rPr>
      </w:pPr>
    </w:p>
    <w:p w14:paraId="2151F97F" w14:textId="77777777" w:rsidR="00040558" w:rsidRPr="007102A5" w:rsidRDefault="00040558" w:rsidP="007102A5">
      <w:pPr>
        <w:spacing w:line="360" w:lineRule="auto"/>
        <w:rPr>
          <w:rFonts w:ascii="Arial" w:eastAsia="Arial" w:hAnsi="Arial" w:cs="Arial"/>
          <w:sz w:val="22"/>
          <w:szCs w:val="22"/>
        </w:rPr>
      </w:pPr>
    </w:p>
    <w:p w14:paraId="3285A4A5" w14:textId="25744A40" w:rsidR="00530E16" w:rsidRPr="007102A5" w:rsidRDefault="00530E16" w:rsidP="007102A5">
      <w:pPr>
        <w:spacing w:line="360" w:lineRule="auto"/>
        <w:rPr>
          <w:rFonts w:ascii="Arial" w:hAnsi="Arial" w:cs="Arial"/>
          <w:sz w:val="22"/>
          <w:szCs w:val="22"/>
        </w:rPr>
      </w:pPr>
    </w:p>
    <w:p w14:paraId="4C0A1952" w14:textId="77777777" w:rsidR="00530E16" w:rsidRPr="007102A5" w:rsidRDefault="00530E16" w:rsidP="007102A5">
      <w:pPr>
        <w:spacing w:line="360" w:lineRule="auto"/>
        <w:rPr>
          <w:rFonts w:ascii="Arial" w:eastAsia="Arial" w:hAnsi="Arial" w:cs="Arial"/>
          <w:sz w:val="22"/>
          <w:szCs w:val="22"/>
        </w:rPr>
      </w:pPr>
    </w:p>
    <w:p w14:paraId="3A7A2E4A" w14:textId="77777777" w:rsidR="00530E16" w:rsidRPr="007102A5" w:rsidRDefault="00530E16" w:rsidP="007102A5">
      <w:pPr>
        <w:spacing w:line="360" w:lineRule="auto"/>
        <w:rPr>
          <w:rFonts w:ascii="Arial" w:eastAsia="Arial" w:hAnsi="Arial" w:cs="Arial"/>
          <w:sz w:val="22"/>
          <w:szCs w:val="22"/>
        </w:rPr>
      </w:pPr>
    </w:p>
    <w:p w14:paraId="7C4E9C01" w14:textId="77777777" w:rsidR="00530E16" w:rsidRPr="007102A5" w:rsidRDefault="00530E16" w:rsidP="007102A5">
      <w:pPr>
        <w:spacing w:line="360" w:lineRule="auto"/>
        <w:rPr>
          <w:rFonts w:ascii="Arial" w:eastAsia="Arial" w:hAnsi="Arial" w:cs="Arial"/>
          <w:sz w:val="22"/>
          <w:szCs w:val="22"/>
        </w:rPr>
      </w:pPr>
    </w:p>
    <w:p w14:paraId="6EC3CB5F" w14:textId="77777777" w:rsidR="00530E16" w:rsidRPr="007102A5" w:rsidRDefault="00530E16" w:rsidP="007102A5">
      <w:pPr>
        <w:spacing w:line="360" w:lineRule="auto"/>
        <w:rPr>
          <w:rFonts w:ascii="Arial" w:eastAsia="Arial" w:hAnsi="Arial" w:cs="Arial"/>
          <w:sz w:val="22"/>
          <w:szCs w:val="22"/>
        </w:rPr>
      </w:pPr>
    </w:p>
    <w:p w14:paraId="685DE2D6" w14:textId="77777777" w:rsidR="00530E16" w:rsidRPr="007102A5" w:rsidRDefault="00530E16" w:rsidP="007102A5">
      <w:pPr>
        <w:spacing w:line="360" w:lineRule="auto"/>
        <w:rPr>
          <w:rFonts w:ascii="Arial" w:eastAsia="Arial" w:hAnsi="Arial" w:cs="Arial"/>
          <w:sz w:val="22"/>
          <w:szCs w:val="22"/>
        </w:rPr>
      </w:pPr>
    </w:p>
    <w:p w14:paraId="74D41829" w14:textId="77777777" w:rsidR="00530E16" w:rsidRPr="007102A5" w:rsidRDefault="00530E16" w:rsidP="007102A5">
      <w:pPr>
        <w:spacing w:line="360" w:lineRule="auto"/>
        <w:rPr>
          <w:rFonts w:ascii="Arial" w:eastAsia="Arial" w:hAnsi="Arial" w:cs="Arial"/>
          <w:sz w:val="22"/>
          <w:szCs w:val="22"/>
        </w:rPr>
      </w:pPr>
    </w:p>
    <w:p w14:paraId="07AFD6BB" w14:textId="77777777" w:rsidR="00530E16" w:rsidRPr="007102A5" w:rsidRDefault="00530E16" w:rsidP="007102A5">
      <w:pPr>
        <w:spacing w:line="360" w:lineRule="auto"/>
        <w:rPr>
          <w:rFonts w:ascii="Arial" w:eastAsia="Arial" w:hAnsi="Arial" w:cs="Arial"/>
          <w:sz w:val="22"/>
          <w:szCs w:val="22"/>
        </w:rPr>
      </w:pPr>
    </w:p>
    <w:p w14:paraId="7FCD84E5" w14:textId="77777777" w:rsidR="00530E16" w:rsidRPr="007102A5" w:rsidRDefault="00530E16" w:rsidP="007102A5">
      <w:pPr>
        <w:spacing w:line="360" w:lineRule="auto"/>
        <w:rPr>
          <w:rFonts w:ascii="Arial" w:eastAsia="Arial" w:hAnsi="Arial" w:cs="Arial"/>
          <w:sz w:val="22"/>
          <w:szCs w:val="22"/>
        </w:rPr>
      </w:pPr>
    </w:p>
    <w:p w14:paraId="0A70318B" w14:textId="77777777" w:rsidR="00530E16" w:rsidRPr="007102A5" w:rsidRDefault="00530E16" w:rsidP="007102A5">
      <w:pPr>
        <w:spacing w:line="360" w:lineRule="auto"/>
        <w:rPr>
          <w:rFonts w:ascii="Arial" w:eastAsia="Arial" w:hAnsi="Arial" w:cs="Arial"/>
          <w:sz w:val="22"/>
          <w:szCs w:val="22"/>
        </w:rPr>
      </w:pPr>
    </w:p>
    <w:p w14:paraId="0D2947CA" w14:textId="77777777" w:rsidR="002A1842" w:rsidRPr="007102A5" w:rsidRDefault="002A1842" w:rsidP="007102A5">
      <w:pPr>
        <w:spacing w:line="360" w:lineRule="auto"/>
        <w:rPr>
          <w:rFonts w:ascii="Arial" w:eastAsia="Arial" w:hAnsi="Arial" w:cs="Arial"/>
          <w:sz w:val="22"/>
          <w:szCs w:val="22"/>
        </w:rPr>
        <w:sectPr w:rsidR="002A1842" w:rsidRPr="007102A5">
          <w:footerReference w:type="default" r:id="rId9"/>
          <w:pgSz w:w="11906" w:h="16838"/>
          <w:pgMar w:top="1440" w:right="1440" w:bottom="1440" w:left="1440" w:header="708" w:footer="708" w:gutter="0"/>
          <w:pgNumType w:start="0"/>
          <w:cols w:space="720"/>
          <w:titlePg/>
        </w:sectPr>
      </w:pPr>
    </w:p>
    <w:p w14:paraId="03B3BCE5" w14:textId="77777777" w:rsidR="00530E16" w:rsidRPr="007102A5" w:rsidRDefault="00530E16" w:rsidP="007102A5">
      <w:pPr>
        <w:spacing w:line="360" w:lineRule="auto"/>
        <w:rPr>
          <w:rFonts w:ascii="Arial" w:eastAsia="Arial" w:hAnsi="Arial" w:cs="Arial"/>
          <w:sz w:val="22"/>
          <w:szCs w:val="22"/>
        </w:rPr>
      </w:pPr>
    </w:p>
    <w:p w14:paraId="5025D394" w14:textId="77777777" w:rsidR="00FF55A6" w:rsidRPr="007102A5" w:rsidRDefault="00FF55A6" w:rsidP="007102A5">
      <w:pPr>
        <w:spacing w:line="360" w:lineRule="auto"/>
        <w:rPr>
          <w:rFonts w:ascii="Arial" w:eastAsia="Arial" w:hAnsi="Arial" w:cs="Arial"/>
          <w:sz w:val="22"/>
          <w:szCs w:val="22"/>
        </w:rPr>
      </w:pPr>
    </w:p>
    <w:p w14:paraId="70364F6D" w14:textId="77777777" w:rsidR="00FF55A6" w:rsidRPr="007102A5" w:rsidRDefault="00FF55A6" w:rsidP="007102A5">
      <w:pPr>
        <w:spacing w:line="360" w:lineRule="auto"/>
        <w:rPr>
          <w:rFonts w:ascii="Arial" w:eastAsia="Arial" w:hAnsi="Arial" w:cs="Arial"/>
          <w:sz w:val="22"/>
          <w:szCs w:val="22"/>
        </w:rPr>
      </w:pPr>
    </w:p>
    <w:p w14:paraId="186E00ED" w14:textId="77777777" w:rsidR="00FF55A6" w:rsidRPr="007102A5" w:rsidRDefault="00FF55A6" w:rsidP="007102A5">
      <w:pPr>
        <w:spacing w:line="360" w:lineRule="auto"/>
        <w:rPr>
          <w:rFonts w:ascii="Arial" w:eastAsia="Arial" w:hAnsi="Arial" w:cs="Arial"/>
          <w:b/>
          <w:bCs/>
          <w:sz w:val="22"/>
          <w:szCs w:val="22"/>
        </w:rPr>
      </w:pPr>
    </w:p>
    <w:p w14:paraId="0A5493B1" w14:textId="77777777" w:rsidR="0099514B" w:rsidRPr="007102A5" w:rsidRDefault="0099514B" w:rsidP="007102A5">
      <w:pPr>
        <w:spacing w:line="360" w:lineRule="auto"/>
        <w:rPr>
          <w:rFonts w:ascii="Arial" w:eastAsia="Arial" w:hAnsi="Arial" w:cs="Arial"/>
          <w:b/>
          <w:bCs/>
          <w:sz w:val="22"/>
          <w:szCs w:val="22"/>
        </w:rPr>
      </w:pPr>
      <w:r w:rsidRPr="007102A5">
        <w:rPr>
          <w:rFonts w:ascii="Arial" w:eastAsia="Arial" w:hAnsi="Arial" w:cs="Arial"/>
          <w:b/>
          <w:bCs/>
          <w:sz w:val="22"/>
          <w:szCs w:val="22"/>
        </w:rPr>
        <w:t>Part A: Annotated Bibliography</w:t>
      </w:r>
    </w:p>
    <w:p w14:paraId="1B4E2DC3" w14:textId="77777777" w:rsidR="002514F3" w:rsidRPr="007102A5" w:rsidRDefault="002514F3" w:rsidP="007102A5">
      <w:pPr>
        <w:spacing w:line="360" w:lineRule="auto"/>
        <w:rPr>
          <w:rFonts w:ascii="Arial" w:eastAsia="Arial" w:hAnsi="Arial" w:cs="Arial"/>
          <w:sz w:val="22"/>
          <w:szCs w:val="22"/>
        </w:rPr>
      </w:pPr>
      <w:r w:rsidRPr="007102A5">
        <w:rPr>
          <w:rFonts w:ascii="Arial" w:eastAsia="Arial" w:hAnsi="Arial" w:cs="Arial"/>
          <w:sz w:val="22"/>
          <w:szCs w:val="22"/>
        </w:rPr>
        <w:t>Knowledge of adult development is important for effective practice in health and social care, especially when supporting older adults facing retirement, bereavement, declining health, reduced independence, and moves into residential care. These changes can affect identity, confidence, emotions, relationships, and overall wellbeing. Many older adults find it difficult to adjust, so professionals need awareness of development in later life.</w:t>
      </w:r>
    </w:p>
    <w:p w14:paraId="213E4159" w14:textId="77777777" w:rsidR="002514F3" w:rsidRPr="007102A5" w:rsidRDefault="002514F3" w:rsidP="007102A5">
      <w:pPr>
        <w:spacing w:line="360" w:lineRule="auto"/>
        <w:rPr>
          <w:rFonts w:ascii="Arial" w:eastAsia="Arial" w:hAnsi="Arial" w:cs="Arial"/>
          <w:sz w:val="22"/>
          <w:szCs w:val="22"/>
        </w:rPr>
      </w:pPr>
      <w:r w:rsidRPr="007102A5">
        <w:rPr>
          <w:rFonts w:ascii="Arial" w:eastAsia="Arial" w:hAnsi="Arial" w:cs="Arial"/>
          <w:sz w:val="22"/>
          <w:szCs w:val="22"/>
        </w:rPr>
        <w:t>Psychological theories provide clear frameworks to explain behaviour, emotional needs, and coping strategies. They also support person-centred care that promotes dignity, independence, resilience, and wellbeing. This annotated bibliography uses five academic sources, focusing on Erikson and Bandura to explore adult development and wellbeing in health and social care.</w:t>
      </w:r>
    </w:p>
    <w:p w14:paraId="5C3475E6" w14:textId="77777777" w:rsidR="00D7154A" w:rsidRPr="007102A5" w:rsidRDefault="00D7154A" w:rsidP="007102A5">
      <w:pPr>
        <w:spacing w:line="360" w:lineRule="auto"/>
        <w:rPr>
          <w:rFonts w:ascii="Arial" w:eastAsia="Arial" w:hAnsi="Arial" w:cs="Arial"/>
          <w:b/>
          <w:bCs/>
          <w:sz w:val="22"/>
          <w:szCs w:val="22"/>
        </w:rPr>
      </w:pPr>
      <w:r w:rsidRPr="007102A5">
        <w:rPr>
          <w:rFonts w:ascii="Arial" w:eastAsia="Arial" w:hAnsi="Arial" w:cs="Arial"/>
          <w:b/>
          <w:bCs/>
          <w:sz w:val="22"/>
          <w:szCs w:val="22"/>
        </w:rPr>
        <w:t>Erikson, E.H. (1997) – Psychosocial Development Across the Lifespan</w:t>
      </w:r>
    </w:p>
    <w:p w14:paraId="639BDA09" w14:textId="77777777" w:rsidR="00D7154A" w:rsidRPr="007102A5" w:rsidRDefault="00D7154A" w:rsidP="007102A5">
      <w:pPr>
        <w:spacing w:line="360" w:lineRule="auto"/>
        <w:rPr>
          <w:rFonts w:ascii="Arial" w:eastAsia="Arial" w:hAnsi="Arial" w:cs="Arial"/>
          <w:sz w:val="22"/>
          <w:szCs w:val="22"/>
        </w:rPr>
      </w:pPr>
      <w:r w:rsidRPr="007102A5">
        <w:rPr>
          <w:rFonts w:ascii="Arial" w:eastAsia="Arial" w:hAnsi="Arial" w:cs="Arial"/>
          <w:b/>
          <w:bCs/>
          <w:sz w:val="22"/>
          <w:szCs w:val="22"/>
        </w:rPr>
        <w:t>Summary:</w:t>
      </w:r>
      <w:r w:rsidRPr="007102A5">
        <w:rPr>
          <w:rFonts w:ascii="Arial" w:eastAsia="Arial" w:hAnsi="Arial" w:cs="Arial"/>
          <w:sz w:val="22"/>
          <w:szCs w:val="22"/>
        </w:rPr>
        <w:br/>
        <w:t>Erikson’s psychosocial theory describes eight stages of development from infancy to late adulthood, each involving a challenge. The final stage is wisdom: ego integrity versus despair, where individuals reflect on their lives and assess who they have become (Erikson, 1997). Ego integrity means accepting life as meaningful despite imperfections, while despair is linked to regret and dissatisfaction.</w:t>
      </w:r>
    </w:p>
    <w:p w14:paraId="6D08712B" w14:textId="0645537F" w:rsidR="00D7154A" w:rsidRPr="007102A5" w:rsidRDefault="00D7154A" w:rsidP="007102A5">
      <w:pPr>
        <w:spacing w:line="360" w:lineRule="auto"/>
        <w:rPr>
          <w:rFonts w:ascii="Arial" w:eastAsia="Arial" w:hAnsi="Arial" w:cs="Arial"/>
          <w:sz w:val="22"/>
          <w:szCs w:val="22"/>
        </w:rPr>
      </w:pPr>
      <w:r w:rsidRPr="007102A5">
        <w:rPr>
          <w:rFonts w:ascii="Arial" w:eastAsia="Arial" w:hAnsi="Arial" w:cs="Arial"/>
          <w:b/>
          <w:bCs/>
          <w:sz w:val="22"/>
          <w:szCs w:val="22"/>
        </w:rPr>
        <w:t>Critical relevance:</w:t>
      </w:r>
      <w:r w:rsidRPr="007102A5">
        <w:rPr>
          <w:rFonts w:ascii="Arial" w:eastAsia="Arial" w:hAnsi="Arial" w:cs="Arial"/>
          <w:sz w:val="22"/>
          <w:szCs w:val="22"/>
        </w:rPr>
        <w:br/>
        <w:t>This theory is relevant in health and social care, as many older adults reflect on their lives after illness, loss, or moving into care. Approaches like memory recall activities and life story work can support emotional wellbeing, identity, and meaning (Erikson, 1997), helping maintain dignity. However, the model can be criticised for being too rigid, as it assumes all individuals follow the same stages. In realism, ageing is influenced by cultural, social, and personal factors, so it may not fully reflect diverse experiences.</w:t>
      </w:r>
    </w:p>
    <w:p w14:paraId="68955161" w14:textId="77777777" w:rsidR="00D66026" w:rsidRPr="007102A5" w:rsidRDefault="00D66026" w:rsidP="007102A5">
      <w:pPr>
        <w:spacing w:line="360" w:lineRule="auto"/>
        <w:rPr>
          <w:rFonts w:ascii="Arial" w:eastAsia="Arial" w:hAnsi="Arial" w:cs="Arial"/>
          <w:b/>
          <w:bCs/>
          <w:sz w:val="22"/>
          <w:szCs w:val="22"/>
        </w:rPr>
      </w:pPr>
      <w:r w:rsidRPr="007102A5">
        <w:rPr>
          <w:rFonts w:ascii="Arial" w:eastAsia="Arial" w:hAnsi="Arial" w:cs="Arial"/>
          <w:b/>
          <w:bCs/>
          <w:sz w:val="22"/>
          <w:szCs w:val="22"/>
        </w:rPr>
        <w:t>Erikson, E.H. (1982) – Identity, Ageing and Life Review</w:t>
      </w:r>
    </w:p>
    <w:p w14:paraId="121D0372" w14:textId="77777777" w:rsidR="003A7786" w:rsidRPr="007102A5" w:rsidRDefault="003A7786" w:rsidP="007102A5">
      <w:pPr>
        <w:spacing w:line="360" w:lineRule="auto"/>
        <w:rPr>
          <w:rFonts w:ascii="Arial" w:eastAsia="Arial" w:hAnsi="Arial" w:cs="Arial"/>
          <w:sz w:val="22"/>
          <w:szCs w:val="22"/>
        </w:rPr>
      </w:pPr>
      <w:r w:rsidRPr="007102A5">
        <w:rPr>
          <w:rFonts w:ascii="Arial" w:eastAsia="Arial" w:hAnsi="Arial" w:cs="Arial"/>
          <w:b/>
          <w:bCs/>
          <w:sz w:val="22"/>
          <w:szCs w:val="22"/>
        </w:rPr>
        <w:t>Summary:</w:t>
      </w:r>
      <w:r w:rsidRPr="007102A5">
        <w:rPr>
          <w:rFonts w:ascii="Arial" w:eastAsia="Arial" w:hAnsi="Arial" w:cs="Arial"/>
          <w:sz w:val="22"/>
          <w:szCs w:val="22"/>
        </w:rPr>
        <w:br/>
        <w:t>In this work, Erikson highlights the importance of identity, continuity, and life review in later adulthood. He suggests that reflecting on past roles, achievements, and relationships helps individuals adjust to ageing and supports emotional stability in later life (Erikson, 1982).</w:t>
      </w:r>
    </w:p>
    <w:p w14:paraId="7E19EB47" w14:textId="77777777" w:rsidR="003A7786" w:rsidRPr="007102A5" w:rsidRDefault="003A7786" w:rsidP="007102A5">
      <w:pPr>
        <w:spacing w:line="360" w:lineRule="auto"/>
        <w:rPr>
          <w:rFonts w:ascii="Arial" w:eastAsia="Arial" w:hAnsi="Arial" w:cs="Arial"/>
          <w:sz w:val="22"/>
          <w:szCs w:val="22"/>
        </w:rPr>
      </w:pPr>
      <w:r w:rsidRPr="007102A5">
        <w:rPr>
          <w:rFonts w:ascii="Arial" w:eastAsia="Arial" w:hAnsi="Arial" w:cs="Arial"/>
          <w:b/>
          <w:bCs/>
          <w:sz w:val="22"/>
          <w:szCs w:val="22"/>
        </w:rPr>
        <w:lastRenderedPageBreak/>
        <w:t>Critical relevance:</w:t>
      </w:r>
      <w:r w:rsidRPr="007102A5">
        <w:rPr>
          <w:rFonts w:ascii="Arial" w:eastAsia="Arial" w:hAnsi="Arial" w:cs="Arial"/>
          <w:sz w:val="22"/>
          <w:szCs w:val="22"/>
        </w:rPr>
        <w:br/>
        <w:t>This source supports reflective practice in health and social care. It encourages older adults to share life experiences, which can improve self-worth, dignity, and emotional wellbeing. Life review also helps maintain identity despite physical or social changes.</w:t>
      </w:r>
    </w:p>
    <w:p w14:paraId="4363EBD8" w14:textId="77777777" w:rsidR="003A7786" w:rsidRPr="007102A5" w:rsidRDefault="003A7786" w:rsidP="007102A5">
      <w:pPr>
        <w:spacing w:line="360" w:lineRule="auto"/>
        <w:rPr>
          <w:rFonts w:ascii="Arial" w:eastAsia="Arial" w:hAnsi="Arial" w:cs="Arial"/>
          <w:sz w:val="22"/>
          <w:szCs w:val="22"/>
        </w:rPr>
      </w:pPr>
      <w:r w:rsidRPr="007102A5">
        <w:rPr>
          <w:rFonts w:ascii="Arial" w:eastAsia="Arial" w:hAnsi="Arial" w:cs="Arial"/>
          <w:sz w:val="22"/>
          <w:szCs w:val="22"/>
        </w:rPr>
        <w:t>However, a limitation is that it does not fully consider structural inequalities such as poverty, social exclusion, or limited access to services, which can strongly influence ageing and restrict positive identity development</w:t>
      </w:r>
    </w:p>
    <w:p w14:paraId="09F844BC" w14:textId="77777777" w:rsidR="00D66026" w:rsidRPr="007102A5" w:rsidRDefault="00D66026" w:rsidP="007102A5">
      <w:pPr>
        <w:spacing w:line="360" w:lineRule="auto"/>
        <w:rPr>
          <w:rFonts w:ascii="Arial" w:eastAsia="Arial" w:hAnsi="Arial" w:cs="Arial"/>
          <w:b/>
          <w:bCs/>
          <w:sz w:val="22"/>
          <w:szCs w:val="22"/>
        </w:rPr>
      </w:pPr>
      <w:r w:rsidRPr="007102A5">
        <w:rPr>
          <w:rFonts w:ascii="Arial" w:eastAsia="Arial" w:hAnsi="Arial" w:cs="Arial"/>
          <w:b/>
          <w:bCs/>
          <w:sz w:val="22"/>
          <w:szCs w:val="22"/>
        </w:rPr>
        <w:t>Bandura, A. (1986) – Social Cognitive Theory</w:t>
      </w:r>
    </w:p>
    <w:p w14:paraId="371A16E2" w14:textId="77777777" w:rsidR="00C845F2" w:rsidRPr="007102A5" w:rsidRDefault="00C845F2" w:rsidP="007102A5">
      <w:pPr>
        <w:spacing w:line="360" w:lineRule="auto"/>
        <w:rPr>
          <w:rFonts w:ascii="Arial" w:eastAsia="Arial" w:hAnsi="Arial" w:cs="Arial"/>
          <w:sz w:val="22"/>
          <w:szCs w:val="22"/>
        </w:rPr>
      </w:pPr>
      <w:r w:rsidRPr="007102A5">
        <w:rPr>
          <w:rFonts w:ascii="Arial" w:eastAsia="Arial" w:hAnsi="Arial" w:cs="Arial"/>
          <w:b/>
          <w:bCs/>
          <w:sz w:val="22"/>
          <w:szCs w:val="22"/>
        </w:rPr>
        <w:t>Summary:</w:t>
      </w:r>
      <w:r w:rsidRPr="007102A5">
        <w:rPr>
          <w:rFonts w:ascii="Arial" w:eastAsia="Arial" w:hAnsi="Arial" w:cs="Arial"/>
          <w:sz w:val="22"/>
          <w:szCs w:val="22"/>
        </w:rPr>
        <w:br/>
        <w:t>Bandura explains that behaviour is shaped through the interaction of personal factors, behaviour, and the environment, known as reciprocal determinism. Learning occurs through observation, imitation, reinforcement, and direct experience (Bandura, 1986).</w:t>
      </w:r>
    </w:p>
    <w:p w14:paraId="7EECA215" w14:textId="77777777" w:rsidR="00C845F2" w:rsidRPr="007102A5" w:rsidRDefault="00C845F2" w:rsidP="007102A5">
      <w:pPr>
        <w:spacing w:line="360" w:lineRule="auto"/>
        <w:rPr>
          <w:rFonts w:ascii="Arial" w:eastAsia="Arial" w:hAnsi="Arial" w:cs="Arial"/>
          <w:sz w:val="22"/>
          <w:szCs w:val="22"/>
        </w:rPr>
      </w:pPr>
      <w:r w:rsidRPr="007102A5">
        <w:rPr>
          <w:rFonts w:ascii="Arial" w:eastAsia="Arial" w:hAnsi="Arial" w:cs="Arial"/>
          <w:sz w:val="22"/>
          <w:szCs w:val="22"/>
        </w:rPr>
        <w:t>Critical relevance:</w:t>
      </w:r>
      <w:r w:rsidRPr="007102A5">
        <w:rPr>
          <w:rFonts w:ascii="Arial" w:eastAsia="Arial" w:hAnsi="Arial" w:cs="Arial"/>
          <w:sz w:val="22"/>
          <w:szCs w:val="22"/>
        </w:rPr>
        <w:br/>
        <w:t>This theory is applicable in residential care, where older adults are influenced by staff and other residents. Positive interactions, encouragement, and supportive environments can improve coping, confidence, and engagement in daily activities.</w:t>
      </w:r>
    </w:p>
    <w:p w14:paraId="5712F27E" w14:textId="77777777" w:rsidR="00C845F2" w:rsidRPr="007102A5" w:rsidRDefault="00C845F2" w:rsidP="007102A5">
      <w:pPr>
        <w:spacing w:line="360" w:lineRule="auto"/>
        <w:rPr>
          <w:rFonts w:ascii="Arial" w:eastAsia="Arial" w:hAnsi="Arial" w:cs="Arial"/>
          <w:sz w:val="22"/>
          <w:szCs w:val="22"/>
        </w:rPr>
      </w:pPr>
      <w:r w:rsidRPr="007102A5">
        <w:rPr>
          <w:rFonts w:ascii="Arial" w:eastAsia="Arial" w:hAnsi="Arial" w:cs="Arial"/>
          <w:sz w:val="22"/>
          <w:szCs w:val="22"/>
        </w:rPr>
        <w:t>However, cognitive impairment may reduce the effectiveness of observational learning. Individuals with memory or attention difficulties may struggle to observe and replicate behaviours, highlighting the need for adapted approaches that consider individual abilities.</w:t>
      </w:r>
    </w:p>
    <w:p w14:paraId="5E51B208" w14:textId="6C74DDA4" w:rsidR="00D66026" w:rsidRPr="007102A5" w:rsidRDefault="00D66026" w:rsidP="007102A5">
      <w:pPr>
        <w:spacing w:line="360" w:lineRule="auto"/>
        <w:rPr>
          <w:rFonts w:ascii="Arial" w:eastAsia="Arial" w:hAnsi="Arial" w:cs="Arial"/>
          <w:b/>
          <w:bCs/>
          <w:sz w:val="22"/>
          <w:szCs w:val="22"/>
        </w:rPr>
      </w:pPr>
      <w:r w:rsidRPr="007102A5">
        <w:rPr>
          <w:rFonts w:ascii="Arial" w:eastAsia="Arial" w:hAnsi="Arial" w:cs="Arial"/>
          <w:b/>
          <w:bCs/>
          <w:sz w:val="22"/>
          <w:szCs w:val="22"/>
        </w:rPr>
        <w:t>Bandura, A. (1977) – Social Learning Theory</w:t>
      </w:r>
    </w:p>
    <w:p w14:paraId="357D0DAD" w14:textId="77777777" w:rsidR="00303B33" w:rsidRPr="007102A5" w:rsidRDefault="00303B33" w:rsidP="007102A5">
      <w:pPr>
        <w:spacing w:line="360" w:lineRule="auto"/>
        <w:rPr>
          <w:rFonts w:ascii="Arial" w:eastAsia="Arial" w:hAnsi="Arial" w:cs="Arial"/>
          <w:sz w:val="22"/>
          <w:szCs w:val="22"/>
        </w:rPr>
      </w:pPr>
      <w:r w:rsidRPr="007102A5">
        <w:rPr>
          <w:rFonts w:ascii="Arial" w:eastAsia="Arial" w:hAnsi="Arial" w:cs="Arial"/>
          <w:b/>
          <w:bCs/>
          <w:sz w:val="22"/>
          <w:szCs w:val="22"/>
        </w:rPr>
        <w:t>Summary:</w:t>
      </w:r>
      <w:r w:rsidRPr="007102A5">
        <w:rPr>
          <w:rFonts w:ascii="Arial" w:eastAsia="Arial" w:hAnsi="Arial" w:cs="Arial"/>
          <w:sz w:val="22"/>
          <w:szCs w:val="22"/>
        </w:rPr>
        <w:br/>
        <w:t>Bandura’s Social Learning Theory explains that learning happens through observation, imitation, and modelling, not just direct experience. People are more likely to adopt behaviours when they observe others who seem confident or credible, especially when those behaviours are rewarded (Bandura, 1977). The theory highlights the role of social context in shaping behaviour.</w:t>
      </w:r>
    </w:p>
    <w:p w14:paraId="198282B0" w14:textId="77777777" w:rsidR="00303B33" w:rsidRPr="007102A5" w:rsidRDefault="00303B33" w:rsidP="007102A5">
      <w:pPr>
        <w:spacing w:line="360" w:lineRule="auto"/>
        <w:rPr>
          <w:rFonts w:ascii="Arial" w:eastAsia="Arial" w:hAnsi="Arial" w:cs="Arial"/>
          <w:sz w:val="22"/>
          <w:szCs w:val="22"/>
        </w:rPr>
      </w:pPr>
      <w:r w:rsidRPr="007102A5">
        <w:rPr>
          <w:rFonts w:ascii="Arial" w:eastAsia="Arial" w:hAnsi="Arial" w:cs="Arial"/>
          <w:b/>
          <w:bCs/>
          <w:sz w:val="22"/>
          <w:szCs w:val="22"/>
        </w:rPr>
        <w:t>Critical relevance:</w:t>
      </w:r>
      <w:r w:rsidRPr="007102A5">
        <w:rPr>
          <w:rFonts w:ascii="Arial" w:eastAsia="Arial" w:hAnsi="Arial" w:cs="Arial"/>
          <w:sz w:val="22"/>
          <w:szCs w:val="22"/>
        </w:rPr>
        <w:br/>
        <w:t>This theory is highly relevant in health and social care with older adults. It supports confidence building and skill development through positive role modelling. In residential care, staff can demonstrate calm communication, safe mobility, and coping strategies that residents may copy. This can reduce anxiety, improve participation, and support independence.</w:t>
      </w:r>
    </w:p>
    <w:p w14:paraId="3EDC4F70" w14:textId="77777777" w:rsidR="00303B33" w:rsidRPr="007102A5" w:rsidRDefault="00303B33" w:rsidP="007102A5">
      <w:pPr>
        <w:spacing w:line="360" w:lineRule="auto"/>
        <w:rPr>
          <w:rFonts w:ascii="Arial" w:eastAsia="Arial" w:hAnsi="Arial" w:cs="Arial"/>
          <w:sz w:val="22"/>
          <w:szCs w:val="22"/>
        </w:rPr>
      </w:pPr>
      <w:r w:rsidRPr="007102A5">
        <w:rPr>
          <w:rFonts w:ascii="Arial" w:eastAsia="Arial" w:hAnsi="Arial" w:cs="Arial"/>
          <w:sz w:val="22"/>
          <w:szCs w:val="22"/>
        </w:rPr>
        <w:lastRenderedPageBreak/>
        <w:t>However, modelling may be less effective for individuals with high anxiety, cognitive decline, or limited attention. These factors can affect their ability to observe and imitate behaviours, showing the need for repetition, simple demonstrations, and consistent support.</w:t>
      </w:r>
    </w:p>
    <w:p w14:paraId="764E8AEF" w14:textId="77777777" w:rsidR="00D66026" w:rsidRPr="007102A5" w:rsidRDefault="00D66026" w:rsidP="007102A5">
      <w:pPr>
        <w:spacing w:line="360" w:lineRule="auto"/>
        <w:rPr>
          <w:rFonts w:ascii="Arial" w:eastAsia="Arial" w:hAnsi="Arial" w:cs="Arial"/>
          <w:b/>
          <w:bCs/>
          <w:sz w:val="22"/>
          <w:szCs w:val="22"/>
        </w:rPr>
      </w:pPr>
      <w:r w:rsidRPr="007102A5">
        <w:rPr>
          <w:rFonts w:ascii="Arial" w:eastAsia="Arial" w:hAnsi="Arial" w:cs="Arial"/>
          <w:b/>
          <w:bCs/>
          <w:sz w:val="22"/>
          <w:szCs w:val="22"/>
        </w:rPr>
        <w:t>Bandura, A. (1997) – Self Efficacy and Wellbeing</w:t>
      </w:r>
    </w:p>
    <w:p w14:paraId="5B479FC7" w14:textId="77777777" w:rsidR="00BB2AC8" w:rsidRPr="007102A5" w:rsidRDefault="00BB2AC8" w:rsidP="007102A5">
      <w:pPr>
        <w:spacing w:line="360" w:lineRule="auto"/>
        <w:rPr>
          <w:rFonts w:ascii="Arial" w:eastAsia="Arial" w:hAnsi="Arial" w:cs="Arial"/>
          <w:sz w:val="22"/>
          <w:szCs w:val="22"/>
        </w:rPr>
      </w:pPr>
      <w:r w:rsidRPr="007102A5">
        <w:rPr>
          <w:rFonts w:ascii="Arial" w:eastAsia="Arial" w:hAnsi="Arial" w:cs="Arial"/>
          <w:b/>
          <w:bCs/>
          <w:sz w:val="22"/>
          <w:szCs w:val="22"/>
        </w:rPr>
        <w:t>Summary:</w:t>
      </w:r>
      <w:r w:rsidRPr="007102A5">
        <w:rPr>
          <w:rFonts w:ascii="Arial" w:eastAsia="Arial" w:hAnsi="Arial" w:cs="Arial"/>
          <w:sz w:val="22"/>
          <w:szCs w:val="22"/>
        </w:rPr>
        <w:br/>
        <w:t>Bandura defines self-efficacy as a person’s belief in their ability to manage situations and achieve goals successfully. High self-efficacy is linked to motivation, resilience, and improved psychological wellbeing (Bandura, 1997).</w:t>
      </w:r>
    </w:p>
    <w:p w14:paraId="60A2B922" w14:textId="06D4EC39" w:rsidR="00D66026" w:rsidRPr="007102A5" w:rsidRDefault="00BB2AC8" w:rsidP="007102A5">
      <w:pPr>
        <w:spacing w:line="360" w:lineRule="auto"/>
        <w:rPr>
          <w:rFonts w:ascii="Arial" w:eastAsia="Arial" w:hAnsi="Arial" w:cs="Arial"/>
          <w:sz w:val="22"/>
          <w:szCs w:val="22"/>
        </w:rPr>
      </w:pPr>
      <w:r w:rsidRPr="007102A5">
        <w:rPr>
          <w:rFonts w:ascii="Arial" w:eastAsia="Arial" w:hAnsi="Arial" w:cs="Arial"/>
          <w:b/>
          <w:bCs/>
          <w:sz w:val="22"/>
          <w:szCs w:val="22"/>
        </w:rPr>
        <w:t>Critical relevance:</w:t>
      </w:r>
      <w:r w:rsidRPr="007102A5">
        <w:rPr>
          <w:rFonts w:ascii="Arial" w:eastAsia="Arial" w:hAnsi="Arial" w:cs="Arial"/>
          <w:sz w:val="22"/>
          <w:szCs w:val="22"/>
        </w:rPr>
        <w:br/>
        <w:t>Self-efficacy is important for older adults who may lose confidence due to illness, disability, or reduced independence. Supporting realistic goals and giving positive reinforcement can improve engagement and confidence. However, physical frailty or cognitive decline may reduce its impact, meaning progress can be slow and require continued support from care professionals.</w:t>
      </w:r>
    </w:p>
    <w:p w14:paraId="1A0D39F2" w14:textId="77777777" w:rsidR="00233347" w:rsidRPr="007102A5" w:rsidRDefault="00233347" w:rsidP="007102A5">
      <w:pPr>
        <w:spacing w:line="360" w:lineRule="auto"/>
        <w:rPr>
          <w:rFonts w:ascii="Arial" w:eastAsia="Arial" w:hAnsi="Arial" w:cs="Arial"/>
          <w:sz w:val="22"/>
          <w:szCs w:val="22"/>
        </w:rPr>
      </w:pPr>
      <w:r w:rsidRPr="007102A5">
        <w:rPr>
          <w:rFonts w:ascii="Arial" w:eastAsia="Arial" w:hAnsi="Arial" w:cs="Arial"/>
          <w:sz w:val="22"/>
          <w:szCs w:val="22"/>
        </w:rPr>
        <w:t>In conclusion, Erikson and Bandura provide useful insights into ageing, identity, and behaviour. However, both have limitations, so flexible, person-centred care is essential for effective support.</w:t>
      </w:r>
    </w:p>
    <w:p w14:paraId="21A6CE77" w14:textId="77777777" w:rsidR="00C23ADD" w:rsidRPr="007102A5" w:rsidRDefault="00C23ADD" w:rsidP="007102A5">
      <w:pPr>
        <w:spacing w:line="360" w:lineRule="auto"/>
        <w:rPr>
          <w:rFonts w:ascii="Arial" w:eastAsia="Arial" w:hAnsi="Arial" w:cs="Arial"/>
          <w:sz w:val="22"/>
          <w:szCs w:val="22"/>
        </w:rPr>
      </w:pPr>
    </w:p>
    <w:p w14:paraId="4168F855" w14:textId="77777777" w:rsidR="00C23ADD" w:rsidRPr="007102A5" w:rsidRDefault="00C23ADD" w:rsidP="007102A5">
      <w:pPr>
        <w:spacing w:line="360" w:lineRule="auto"/>
        <w:rPr>
          <w:rFonts w:ascii="Arial" w:eastAsia="Arial" w:hAnsi="Arial" w:cs="Arial"/>
          <w:sz w:val="22"/>
          <w:szCs w:val="22"/>
        </w:rPr>
      </w:pPr>
    </w:p>
    <w:p w14:paraId="20BC4BB8" w14:textId="77777777" w:rsidR="00C23ADD" w:rsidRPr="007102A5" w:rsidRDefault="00C23ADD" w:rsidP="007102A5">
      <w:pPr>
        <w:spacing w:line="360" w:lineRule="auto"/>
        <w:rPr>
          <w:rFonts w:ascii="Arial" w:eastAsia="Arial" w:hAnsi="Arial" w:cs="Arial"/>
          <w:sz w:val="22"/>
          <w:szCs w:val="22"/>
        </w:rPr>
      </w:pPr>
    </w:p>
    <w:p w14:paraId="20EC9A19" w14:textId="77777777" w:rsidR="00C23ADD" w:rsidRPr="007102A5" w:rsidRDefault="00C23ADD" w:rsidP="007102A5">
      <w:pPr>
        <w:spacing w:line="360" w:lineRule="auto"/>
        <w:rPr>
          <w:rFonts w:ascii="Arial" w:eastAsia="Arial" w:hAnsi="Arial" w:cs="Arial"/>
          <w:sz w:val="22"/>
          <w:szCs w:val="22"/>
        </w:rPr>
      </w:pPr>
    </w:p>
    <w:p w14:paraId="52B762FE" w14:textId="77777777" w:rsidR="00C23ADD" w:rsidRPr="007102A5" w:rsidRDefault="00C23ADD" w:rsidP="007102A5">
      <w:pPr>
        <w:spacing w:line="360" w:lineRule="auto"/>
        <w:rPr>
          <w:rFonts w:ascii="Arial" w:eastAsia="Arial" w:hAnsi="Arial" w:cs="Arial"/>
          <w:sz w:val="22"/>
          <w:szCs w:val="22"/>
        </w:rPr>
      </w:pPr>
    </w:p>
    <w:p w14:paraId="0211B6A3" w14:textId="77777777" w:rsidR="00C23ADD" w:rsidRPr="007102A5" w:rsidRDefault="00C23ADD" w:rsidP="007102A5">
      <w:pPr>
        <w:spacing w:line="360" w:lineRule="auto"/>
        <w:rPr>
          <w:rFonts w:ascii="Arial" w:eastAsia="Arial" w:hAnsi="Arial" w:cs="Arial"/>
          <w:sz w:val="22"/>
          <w:szCs w:val="22"/>
        </w:rPr>
      </w:pPr>
    </w:p>
    <w:p w14:paraId="1A37962F" w14:textId="77777777" w:rsidR="002309C0" w:rsidRPr="007102A5" w:rsidRDefault="002309C0" w:rsidP="007102A5">
      <w:pPr>
        <w:spacing w:line="360" w:lineRule="auto"/>
        <w:rPr>
          <w:rFonts w:ascii="Arial" w:eastAsia="Arial" w:hAnsi="Arial" w:cs="Arial"/>
          <w:sz w:val="22"/>
          <w:szCs w:val="22"/>
        </w:rPr>
      </w:pPr>
    </w:p>
    <w:p w14:paraId="68B9A0D5" w14:textId="77777777" w:rsidR="002309C0" w:rsidRPr="007102A5" w:rsidRDefault="002309C0" w:rsidP="007102A5">
      <w:pPr>
        <w:spacing w:line="360" w:lineRule="auto"/>
        <w:rPr>
          <w:rFonts w:ascii="Arial" w:eastAsia="Arial" w:hAnsi="Arial" w:cs="Arial"/>
          <w:sz w:val="22"/>
          <w:szCs w:val="22"/>
        </w:rPr>
      </w:pPr>
    </w:p>
    <w:p w14:paraId="47E7DF50" w14:textId="77777777" w:rsidR="002309C0" w:rsidRPr="007102A5" w:rsidRDefault="002309C0" w:rsidP="007102A5">
      <w:pPr>
        <w:spacing w:line="360" w:lineRule="auto"/>
        <w:rPr>
          <w:rFonts w:ascii="Arial" w:eastAsia="Arial" w:hAnsi="Arial" w:cs="Arial"/>
          <w:sz w:val="22"/>
          <w:szCs w:val="22"/>
        </w:rPr>
      </w:pPr>
    </w:p>
    <w:p w14:paraId="28B8A3F2" w14:textId="77777777" w:rsidR="002309C0" w:rsidRPr="007102A5" w:rsidRDefault="002309C0" w:rsidP="007102A5">
      <w:pPr>
        <w:spacing w:line="360" w:lineRule="auto"/>
        <w:rPr>
          <w:rFonts w:ascii="Arial" w:eastAsia="Arial" w:hAnsi="Arial" w:cs="Arial"/>
          <w:sz w:val="22"/>
          <w:szCs w:val="22"/>
        </w:rPr>
      </w:pPr>
    </w:p>
    <w:p w14:paraId="29768621" w14:textId="77777777" w:rsidR="002309C0" w:rsidRPr="007102A5" w:rsidRDefault="002309C0" w:rsidP="007102A5">
      <w:pPr>
        <w:spacing w:line="360" w:lineRule="auto"/>
        <w:rPr>
          <w:rFonts w:ascii="Arial" w:eastAsia="Arial" w:hAnsi="Arial" w:cs="Arial"/>
          <w:sz w:val="22"/>
          <w:szCs w:val="22"/>
        </w:rPr>
      </w:pPr>
    </w:p>
    <w:p w14:paraId="369C4084" w14:textId="77777777" w:rsidR="00284B25" w:rsidRPr="007102A5" w:rsidRDefault="00284B25" w:rsidP="007102A5">
      <w:pPr>
        <w:spacing w:line="360" w:lineRule="auto"/>
        <w:rPr>
          <w:rFonts w:ascii="Arial" w:eastAsia="Arial" w:hAnsi="Arial" w:cs="Arial"/>
          <w:b/>
          <w:bCs/>
          <w:sz w:val="22"/>
          <w:szCs w:val="22"/>
        </w:rPr>
      </w:pPr>
    </w:p>
    <w:p w14:paraId="4A6F73B1" w14:textId="77777777" w:rsidR="00284B25" w:rsidRPr="007102A5" w:rsidRDefault="00284B25" w:rsidP="007102A5">
      <w:pPr>
        <w:spacing w:line="360" w:lineRule="auto"/>
        <w:rPr>
          <w:rFonts w:ascii="Arial" w:eastAsia="Arial" w:hAnsi="Arial" w:cs="Arial"/>
          <w:b/>
          <w:bCs/>
          <w:sz w:val="22"/>
          <w:szCs w:val="22"/>
        </w:rPr>
      </w:pPr>
    </w:p>
    <w:p w14:paraId="7A39B2BE" w14:textId="2363E5B1" w:rsidR="000929EC" w:rsidRPr="007102A5" w:rsidRDefault="00EA5BB4" w:rsidP="007102A5">
      <w:pPr>
        <w:spacing w:line="360" w:lineRule="auto"/>
        <w:rPr>
          <w:rFonts w:ascii="Arial" w:eastAsia="Arial" w:hAnsi="Arial" w:cs="Arial"/>
          <w:b/>
          <w:bCs/>
          <w:sz w:val="22"/>
          <w:szCs w:val="22"/>
        </w:rPr>
      </w:pPr>
      <w:r w:rsidRPr="007102A5">
        <w:rPr>
          <w:rFonts w:ascii="Arial" w:eastAsia="Arial" w:hAnsi="Arial" w:cs="Arial"/>
          <w:b/>
          <w:bCs/>
          <w:sz w:val="22"/>
          <w:szCs w:val="22"/>
        </w:rPr>
        <w:t>PART B</w:t>
      </w:r>
    </w:p>
    <w:p w14:paraId="5DA52577" w14:textId="0066939E" w:rsidR="00D66026" w:rsidRPr="007102A5" w:rsidRDefault="00D66026" w:rsidP="007102A5">
      <w:pPr>
        <w:spacing w:line="360" w:lineRule="auto"/>
        <w:rPr>
          <w:rFonts w:ascii="Arial" w:eastAsia="Arial" w:hAnsi="Arial" w:cs="Arial"/>
          <w:b/>
          <w:bCs/>
          <w:sz w:val="22"/>
          <w:szCs w:val="22"/>
        </w:rPr>
      </w:pPr>
      <w:r w:rsidRPr="007102A5">
        <w:rPr>
          <w:rFonts w:ascii="Arial" w:eastAsia="Arial" w:hAnsi="Arial" w:cs="Arial"/>
          <w:b/>
          <w:bCs/>
          <w:sz w:val="22"/>
          <w:szCs w:val="22"/>
        </w:rPr>
        <w:t>Applying Bandura’s Social Learning Theory to Improve Psychological Wellbeing in Older Adults</w:t>
      </w:r>
    </w:p>
    <w:p w14:paraId="05900FD9" w14:textId="6C50B2EB" w:rsidR="00872E6F" w:rsidRPr="007102A5" w:rsidRDefault="00EE07A5" w:rsidP="007102A5">
      <w:pPr>
        <w:spacing w:line="360" w:lineRule="auto"/>
        <w:rPr>
          <w:rFonts w:ascii="Arial" w:eastAsia="Arial" w:hAnsi="Arial" w:cs="Arial"/>
          <w:sz w:val="22"/>
          <w:szCs w:val="22"/>
        </w:rPr>
      </w:pPr>
      <w:r w:rsidRPr="007102A5">
        <w:rPr>
          <w:rFonts w:ascii="Arial" w:eastAsia="Arial" w:hAnsi="Arial" w:cs="Arial"/>
          <w:sz w:val="22"/>
          <w:szCs w:val="22"/>
        </w:rPr>
        <w:t xml:space="preserve">Bandura’s Social Learning Theory </w:t>
      </w:r>
      <w:r w:rsidR="000B021F" w:rsidRPr="007102A5">
        <w:rPr>
          <w:rFonts w:ascii="Arial" w:eastAsia="Arial" w:hAnsi="Arial" w:cs="Arial"/>
          <w:sz w:val="22"/>
          <w:szCs w:val="22"/>
        </w:rPr>
        <w:t>proposes</w:t>
      </w:r>
      <w:r w:rsidRPr="007102A5">
        <w:rPr>
          <w:rFonts w:ascii="Arial" w:eastAsia="Arial" w:hAnsi="Arial" w:cs="Arial"/>
          <w:sz w:val="22"/>
          <w:szCs w:val="22"/>
        </w:rPr>
        <w:t xml:space="preserve"> a useful way to explain how older adults adjust, </w:t>
      </w:r>
      <w:r w:rsidR="000B021F" w:rsidRPr="007102A5">
        <w:rPr>
          <w:rFonts w:ascii="Arial" w:eastAsia="Arial" w:hAnsi="Arial" w:cs="Arial"/>
          <w:sz w:val="22"/>
          <w:szCs w:val="22"/>
        </w:rPr>
        <w:t>attain</w:t>
      </w:r>
      <w:r w:rsidRPr="007102A5">
        <w:rPr>
          <w:rFonts w:ascii="Arial" w:eastAsia="Arial" w:hAnsi="Arial" w:cs="Arial"/>
          <w:sz w:val="22"/>
          <w:szCs w:val="22"/>
        </w:rPr>
        <w:t xml:space="preserve"> new skills, and </w:t>
      </w:r>
      <w:r w:rsidR="000B021F" w:rsidRPr="007102A5">
        <w:rPr>
          <w:rFonts w:ascii="Arial" w:eastAsia="Arial" w:hAnsi="Arial" w:cs="Arial"/>
          <w:sz w:val="22"/>
          <w:szCs w:val="22"/>
        </w:rPr>
        <w:t>recapture</w:t>
      </w:r>
      <w:r w:rsidRPr="007102A5">
        <w:rPr>
          <w:rFonts w:ascii="Arial" w:eastAsia="Arial" w:hAnsi="Arial" w:cs="Arial"/>
          <w:sz w:val="22"/>
          <w:szCs w:val="22"/>
        </w:rPr>
        <w:t xml:space="preserve"> </w:t>
      </w:r>
      <w:r w:rsidR="000B021F" w:rsidRPr="007102A5">
        <w:rPr>
          <w:rFonts w:ascii="Arial" w:eastAsia="Arial" w:hAnsi="Arial" w:cs="Arial"/>
          <w:sz w:val="22"/>
          <w:szCs w:val="22"/>
        </w:rPr>
        <w:t>belief</w:t>
      </w:r>
      <w:r w:rsidRPr="007102A5">
        <w:rPr>
          <w:rFonts w:ascii="Arial" w:eastAsia="Arial" w:hAnsi="Arial" w:cs="Arial"/>
          <w:sz w:val="22"/>
          <w:szCs w:val="22"/>
        </w:rPr>
        <w:t xml:space="preserve"> within residential care settings. It proposes that learning does not rely only on personal experience but also develops through watching others, copying behaviours, and reacting to praise and feedback (Bandura, 1977). Bandura later developed this idea further in Social Cognitive Theory, </w:t>
      </w:r>
      <w:r w:rsidR="007B3721" w:rsidRPr="007102A5">
        <w:rPr>
          <w:rFonts w:ascii="Arial" w:eastAsia="Arial" w:hAnsi="Arial" w:cs="Arial"/>
          <w:sz w:val="22"/>
          <w:szCs w:val="22"/>
        </w:rPr>
        <w:t>highlighting</w:t>
      </w:r>
      <w:r w:rsidRPr="007102A5">
        <w:rPr>
          <w:rFonts w:ascii="Arial" w:eastAsia="Arial" w:hAnsi="Arial" w:cs="Arial"/>
          <w:sz w:val="22"/>
          <w:szCs w:val="22"/>
        </w:rPr>
        <w:t xml:space="preserve"> that behaviour results from the interaction between personal beliefs, actions, and </w:t>
      </w:r>
      <w:r w:rsidR="007B3721" w:rsidRPr="007102A5">
        <w:rPr>
          <w:rFonts w:ascii="Arial" w:eastAsia="Arial" w:hAnsi="Arial" w:cs="Arial"/>
          <w:sz w:val="22"/>
          <w:szCs w:val="22"/>
        </w:rPr>
        <w:t>ecological</w:t>
      </w:r>
      <w:r w:rsidRPr="007102A5">
        <w:rPr>
          <w:rFonts w:ascii="Arial" w:eastAsia="Arial" w:hAnsi="Arial" w:cs="Arial"/>
          <w:sz w:val="22"/>
          <w:szCs w:val="22"/>
        </w:rPr>
        <w:t xml:space="preserve"> influences (Bandura, 1986). A central idea is self-efficacy, which describes a person’s belief in their own capacity to manage difficulties and complete tasks </w:t>
      </w:r>
      <w:r w:rsidR="001B783F" w:rsidRPr="007102A5">
        <w:rPr>
          <w:rFonts w:ascii="Arial" w:eastAsia="Arial" w:hAnsi="Arial" w:cs="Arial"/>
          <w:sz w:val="22"/>
          <w:szCs w:val="22"/>
        </w:rPr>
        <w:t>efficiently</w:t>
      </w:r>
      <w:r w:rsidRPr="007102A5">
        <w:rPr>
          <w:rFonts w:ascii="Arial" w:eastAsia="Arial" w:hAnsi="Arial" w:cs="Arial"/>
          <w:sz w:val="22"/>
          <w:szCs w:val="22"/>
        </w:rPr>
        <w:t xml:space="preserve"> (Bandura, 1997).</w:t>
      </w:r>
    </w:p>
    <w:p w14:paraId="0FBDFA70" w14:textId="4CC6F384" w:rsidR="00BD0DBF" w:rsidRPr="007102A5" w:rsidRDefault="00BD0DBF" w:rsidP="007102A5">
      <w:pPr>
        <w:spacing w:line="360" w:lineRule="auto"/>
        <w:rPr>
          <w:rFonts w:ascii="Arial" w:eastAsia="Arial" w:hAnsi="Arial" w:cs="Arial"/>
          <w:sz w:val="22"/>
          <w:szCs w:val="22"/>
        </w:rPr>
      </w:pPr>
      <w:r w:rsidRPr="007102A5">
        <w:rPr>
          <w:rFonts w:ascii="Arial" w:eastAsia="Arial" w:hAnsi="Arial" w:cs="Arial"/>
          <w:sz w:val="22"/>
          <w:szCs w:val="22"/>
        </w:rPr>
        <w:t xml:space="preserve">These ideas are relevant for older adults in residential care, where admission may involve loss of independence, reduced mobility, and unfamiliar routines that affect confidence and wellbeing. This section explains how Bandura’s theory can be applied in practice, shows a case scenario, and explores a key challenge faced by care professionals with an </w:t>
      </w:r>
      <w:r w:rsidR="00520F2B" w:rsidRPr="007102A5">
        <w:rPr>
          <w:rFonts w:ascii="Arial" w:eastAsia="Arial" w:hAnsi="Arial" w:cs="Arial"/>
          <w:sz w:val="22"/>
          <w:szCs w:val="22"/>
        </w:rPr>
        <w:t>applicable</w:t>
      </w:r>
      <w:r w:rsidRPr="007102A5">
        <w:rPr>
          <w:rFonts w:ascii="Arial" w:eastAsia="Arial" w:hAnsi="Arial" w:cs="Arial"/>
          <w:sz w:val="22"/>
          <w:szCs w:val="22"/>
        </w:rPr>
        <w:t xml:space="preserve"> </w:t>
      </w:r>
      <w:r w:rsidR="00520F2B" w:rsidRPr="007102A5">
        <w:rPr>
          <w:rFonts w:ascii="Arial" w:eastAsia="Arial" w:hAnsi="Arial" w:cs="Arial"/>
          <w:sz w:val="22"/>
          <w:szCs w:val="22"/>
        </w:rPr>
        <w:t>approach</w:t>
      </w:r>
      <w:r w:rsidRPr="007102A5">
        <w:rPr>
          <w:rFonts w:ascii="Arial" w:eastAsia="Arial" w:hAnsi="Arial" w:cs="Arial"/>
          <w:sz w:val="22"/>
          <w:szCs w:val="22"/>
        </w:rPr>
        <w:t>.</w:t>
      </w:r>
      <w:r w:rsidRPr="007102A5">
        <w:rPr>
          <w:rFonts w:ascii="Arial" w:eastAsia="Arial" w:hAnsi="Arial" w:cs="Arial"/>
          <w:vanish/>
          <w:sz w:val="22"/>
          <w:szCs w:val="22"/>
        </w:rPr>
        <w:t>Top of Form</w:t>
      </w:r>
    </w:p>
    <w:p w14:paraId="063D5104" w14:textId="77777777" w:rsidR="00BD0DBF" w:rsidRPr="007102A5" w:rsidRDefault="00BD0DBF" w:rsidP="007102A5">
      <w:pPr>
        <w:spacing w:line="360" w:lineRule="auto"/>
        <w:rPr>
          <w:rFonts w:ascii="Arial" w:eastAsia="Arial" w:hAnsi="Arial" w:cs="Arial"/>
          <w:vanish/>
          <w:sz w:val="22"/>
          <w:szCs w:val="22"/>
        </w:rPr>
      </w:pPr>
      <w:r w:rsidRPr="007102A5">
        <w:rPr>
          <w:rFonts w:ascii="Arial" w:eastAsia="Arial" w:hAnsi="Arial" w:cs="Arial"/>
          <w:vanish/>
          <w:sz w:val="22"/>
          <w:szCs w:val="22"/>
        </w:rPr>
        <w:t>Bottom of Form</w:t>
      </w:r>
    </w:p>
    <w:p w14:paraId="051AAB38" w14:textId="77777777" w:rsidR="00D66026" w:rsidRPr="007102A5" w:rsidRDefault="00D66026" w:rsidP="007102A5">
      <w:pPr>
        <w:spacing w:line="360" w:lineRule="auto"/>
        <w:rPr>
          <w:rFonts w:ascii="Arial" w:eastAsia="Arial" w:hAnsi="Arial" w:cs="Arial"/>
          <w:b/>
          <w:bCs/>
          <w:sz w:val="22"/>
          <w:szCs w:val="22"/>
        </w:rPr>
      </w:pPr>
      <w:r w:rsidRPr="007102A5">
        <w:rPr>
          <w:rFonts w:ascii="Arial" w:eastAsia="Arial" w:hAnsi="Arial" w:cs="Arial"/>
          <w:b/>
          <w:bCs/>
          <w:sz w:val="22"/>
          <w:szCs w:val="22"/>
        </w:rPr>
        <w:t>Applying Social Learning Theory in Residential Care Practice</w:t>
      </w:r>
    </w:p>
    <w:p w14:paraId="33AA77C0" w14:textId="77777777" w:rsidR="00A51B75" w:rsidRPr="007102A5" w:rsidRDefault="00A51B75" w:rsidP="007102A5">
      <w:pPr>
        <w:spacing w:line="360" w:lineRule="auto"/>
        <w:rPr>
          <w:rFonts w:ascii="Arial" w:eastAsia="Arial" w:hAnsi="Arial" w:cs="Arial"/>
          <w:sz w:val="22"/>
          <w:szCs w:val="22"/>
        </w:rPr>
      </w:pPr>
      <w:r w:rsidRPr="007102A5">
        <w:rPr>
          <w:rFonts w:ascii="Arial" w:eastAsia="Arial" w:hAnsi="Arial" w:cs="Arial"/>
          <w:sz w:val="22"/>
          <w:szCs w:val="22"/>
        </w:rPr>
        <w:t>Within residential care settings, older adults are regularly exposed to the behaviour of care staff and other residents. Bandura (1977) suggests individuals are more likely to adopt behaviours when they observe others who appear calm, competent, and trustworthy. As a result, care staff act as role models whose behaviour can influence residents’ responses to daily activities and emotional situations.</w:t>
      </w:r>
    </w:p>
    <w:p w14:paraId="2DC0C6BC" w14:textId="77777777" w:rsidR="00A51B75" w:rsidRPr="007102A5" w:rsidRDefault="00A51B75" w:rsidP="007102A5">
      <w:pPr>
        <w:spacing w:line="360" w:lineRule="auto"/>
        <w:rPr>
          <w:rFonts w:ascii="Arial" w:eastAsia="Arial" w:hAnsi="Arial" w:cs="Arial"/>
          <w:sz w:val="22"/>
          <w:szCs w:val="22"/>
        </w:rPr>
      </w:pPr>
      <w:r w:rsidRPr="007102A5">
        <w:rPr>
          <w:rFonts w:ascii="Arial" w:eastAsia="Arial" w:hAnsi="Arial" w:cs="Arial"/>
          <w:sz w:val="22"/>
          <w:szCs w:val="22"/>
        </w:rPr>
        <w:t>When staff demonstrate calm communication, reassurance, and patience, residents are more likely to mirror these behaviours. For example, observing staff support mobility or personal care in a respectful and confident way can reduce fear and encourage participation. This observational learning helps residents build confidence gradually without pressure or fear of failure. Bandura (1986) also highlights the importance of the care environment in shaping behaviour. A structured and supportive setting helps residents feel safe, improving emotional wellbeing through routines, consistency, and clear communication.</w:t>
      </w:r>
    </w:p>
    <w:p w14:paraId="4B12604C" w14:textId="3C50E259" w:rsidR="004131B3" w:rsidRPr="007102A5" w:rsidRDefault="00A51B75" w:rsidP="007102A5">
      <w:pPr>
        <w:spacing w:line="360" w:lineRule="auto"/>
        <w:rPr>
          <w:rFonts w:ascii="Arial" w:eastAsia="Arial" w:hAnsi="Arial" w:cs="Arial"/>
          <w:sz w:val="22"/>
          <w:szCs w:val="22"/>
        </w:rPr>
      </w:pPr>
      <w:r w:rsidRPr="007102A5">
        <w:rPr>
          <w:rFonts w:ascii="Arial" w:eastAsia="Arial" w:hAnsi="Arial" w:cs="Arial"/>
          <w:sz w:val="22"/>
          <w:szCs w:val="22"/>
        </w:rPr>
        <w:t xml:space="preserve">Another key concept is self-efficacy. Older adults who believe they can manage tasks are more likely to attempt them (Bandura, 1997). Professionals can strengthen this through realistic goals, step-by-step support, and consistent encouragement. Recognising effort as </w:t>
      </w:r>
      <w:r w:rsidRPr="007102A5">
        <w:rPr>
          <w:rFonts w:ascii="Arial" w:eastAsia="Arial" w:hAnsi="Arial" w:cs="Arial"/>
          <w:sz w:val="22"/>
          <w:szCs w:val="22"/>
        </w:rPr>
        <w:lastRenderedPageBreak/>
        <w:t>well as achievement helps residents feel capable and valued. However, not all individuals respond the same way, as anxiety, illness, or cognitive decline may limit learning. This highlights the need for flexible, person-centred care approaches that respect individual needs and dignity.</w:t>
      </w:r>
    </w:p>
    <w:p w14:paraId="733AB0DF" w14:textId="77777777" w:rsidR="00D66026" w:rsidRPr="007102A5" w:rsidRDefault="00D66026" w:rsidP="007102A5">
      <w:pPr>
        <w:spacing w:line="360" w:lineRule="auto"/>
        <w:rPr>
          <w:rFonts w:ascii="Arial" w:eastAsia="Arial" w:hAnsi="Arial" w:cs="Arial"/>
          <w:b/>
          <w:bCs/>
          <w:sz w:val="22"/>
          <w:szCs w:val="22"/>
        </w:rPr>
      </w:pPr>
      <w:r w:rsidRPr="007102A5">
        <w:rPr>
          <w:rFonts w:ascii="Arial" w:eastAsia="Arial" w:hAnsi="Arial" w:cs="Arial"/>
          <w:b/>
          <w:bCs/>
          <w:sz w:val="22"/>
          <w:szCs w:val="22"/>
        </w:rPr>
        <w:t>Case Scenario</w:t>
      </w:r>
    </w:p>
    <w:p w14:paraId="322FE8CF" w14:textId="77777777" w:rsidR="00CB21A1" w:rsidRPr="007102A5" w:rsidRDefault="00CB21A1" w:rsidP="007102A5">
      <w:pPr>
        <w:spacing w:line="360" w:lineRule="auto"/>
        <w:rPr>
          <w:rFonts w:ascii="Arial" w:eastAsia="Arial" w:hAnsi="Arial" w:cs="Arial"/>
          <w:sz w:val="22"/>
          <w:szCs w:val="22"/>
        </w:rPr>
      </w:pPr>
      <w:r w:rsidRPr="007102A5">
        <w:rPr>
          <w:rFonts w:ascii="Arial" w:eastAsia="Arial" w:hAnsi="Arial" w:cs="Arial"/>
          <w:sz w:val="22"/>
          <w:szCs w:val="22"/>
        </w:rPr>
        <w:t>Mr Flanagan is an 80-year-old man who moved into a residential care home after a hospital admission that reduced his mobility. Before this, he lived independently and managed his daily activities. Since entering care, he has become anxious and withdrawn, especially about walking without support. He fears falling, avoids communal areas, and relies heavily on staff reassurance.</w:t>
      </w:r>
    </w:p>
    <w:p w14:paraId="73032696" w14:textId="77777777" w:rsidR="00CB21A1" w:rsidRPr="007102A5" w:rsidRDefault="00CB21A1" w:rsidP="007102A5">
      <w:pPr>
        <w:spacing w:line="360" w:lineRule="auto"/>
        <w:rPr>
          <w:rFonts w:ascii="Arial" w:eastAsia="Arial" w:hAnsi="Arial" w:cs="Arial"/>
          <w:sz w:val="22"/>
          <w:szCs w:val="22"/>
        </w:rPr>
      </w:pPr>
      <w:r w:rsidRPr="007102A5">
        <w:rPr>
          <w:rFonts w:ascii="Arial" w:eastAsia="Arial" w:hAnsi="Arial" w:cs="Arial"/>
          <w:sz w:val="22"/>
          <w:szCs w:val="22"/>
        </w:rPr>
        <w:t>A care worker applies Social Learning Theory by demonstrating safe mobility techniques. The worker shows how to use a walking frame, explaining each step clearly and slowly. Mr Flanagan first observes the demonstration and then watches another resident of similar age successfully using the same method.</w:t>
      </w:r>
    </w:p>
    <w:p w14:paraId="5AEC3D14" w14:textId="77777777" w:rsidR="00CB21A1" w:rsidRPr="007102A5" w:rsidRDefault="00CB21A1" w:rsidP="007102A5">
      <w:pPr>
        <w:spacing w:line="360" w:lineRule="auto"/>
        <w:rPr>
          <w:rFonts w:ascii="Arial" w:eastAsia="Arial" w:hAnsi="Arial" w:cs="Arial"/>
          <w:sz w:val="22"/>
          <w:szCs w:val="22"/>
        </w:rPr>
      </w:pPr>
      <w:r w:rsidRPr="007102A5">
        <w:rPr>
          <w:rFonts w:ascii="Arial" w:eastAsia="Arial" w:hAnsi="Arial" w:cs="Arial"/>
          <w:sz w:val="22"/>
          <w:szCs w:val="22"/>
        </w:rPr>
        <w:t>With reassurance and supervision, he begins to copy the behaviour in small steps. Staff give positive feedback, which builds his confidence. Over time, he improves and starts walking short distances independently within the care home.</w:t>
      </w:r>
    </w:p>
    <w:p w14:paraId="28E4DC80" w14:textId="1F5E8209" w:rsidR="00D66026" w:rsidRPr="007102A5" w:rsidRDefault="00CB21A1" w:rsidP="007102A5">
      <w:pPr>
        <w:spacing w:line="360" w:lineRule="auto"/>
        <w:rPr>
          <w:rFonts w:ascii="Arial" w:eastAsia="Arial" w:hAnsi="Arial" w:cs="Arial"/>
          <w:sz w:val="22"/>
          <w:szCs w:val="22"/>
        </w:rPr>
      </w:pPr>
      <w:r w:rsidRPr="007102A5">
        <w:rPr>
          <w:rFonts w:ascii="Arial" w:eastAsia="Arial" w:hAnsi="Arial" w:cs="Arial"/>
          <w:sz w:val="22"/>
          <w:szCs w:val="22"/>
        </w:rPr>
        <w:t>This shows Social Learning Theory in practice, as learning occurs through observation and imitation, while encouragement strengthens self-efficacy (Bandura, 1977; Bandura, 1997). His anxiety reduces and wellbeing improves. However, progress varies between individuals, highlighting the need for flexible, person-centred care</w:t>
      </w:r>
      <w:r w:rsidR="00D66026" w:rsidRPr="007102A5">
        <w:rPr>
          <w:rFonts w:ascii="Arial" w:eastAsia="Arial" w:hAnsi="Arial" w:cs="Arial"/>
          <w:sz w:val="22"/>
          <w:szCs w:val="22"/>
        </w:rPr>
        <w:t>.</w:t>
      </w:r>
    </w:p>
    <w:p w14:paraId="6EEBE906" w14:textId="77777777" w:rsidR="00D66026" w:rsidRPr="007102A5" w:rsidRDefault="00D66026" w:rsidP="007102A5">
      <w:pPr>
        <w:spacing w:line="360" w:lineRule="auto"/>
        <w:rPr>
          <w:rFonts w:ascii="Arial" w:eastAsia="Arial" w:hAnsi="Arial" w:cs="Arial"/>
          <w:b/>
          <w:bCs/>
          <w:sz w:val="22"/>
          <w:szCs w:val="22"/>
        </w:rPr>
      </w:pPr>
      <w:r w:rsidRPr="007102A5">
        <w:rPr>
          <w:rFonts w:ascii="Arial" w:eastAsia="Arial" w:hAnsi="Arial" w:cs="Arial"/>
          <w:b/>
          <w:bCs/>
          <w:sz w:val="22"/>
          <w:szCs w:val="22"/>
        </w:rPr>
        <w:t>Challenge and Strategy</w:t>
      </w:r>
    </w:p>
    <w:p w14:paraId="14DC2AC5" w14:textId="74177A84" w:rsidR="00D66026" w:rsidRPr="007102A5" w:rsidRDefault="00D66026" w:rsidP="007102A5">
      <w:pPr>
        <w:spacing w:line="360" w:lineRule="auto"/>
        <w:rPr>
          <w:rFonts w:ascii="Arial" w:eastAsia="Arial" w:hAnsi="Arial" w:cs="Arial"/>
          <w:sz w:val="22"/>
          <w:szCs w:val="22"/>
        </w:rPr>
      </w:pPr>
      <w:r w:rsidRPr="007102A5">
        <w:rPr>
          <w:rFonts w:ascii="Arial" w:eastAsia="Arial" w:hAnsi="Arial" w:cs="Arial"/>
          <w:sz w:val="22"/>
          <w:szCs w:val="22"/>
        </w:rPr>
        <w:t>A key challenge in applying Social Learning Theory with older adults is cognitive impairment, such as dementia. Cognitive difficulties can affect attention, memory, and the ability to recall observed behaviours. Some individuals may also feel overwhelmed or lack confidence when attempting new tasks.</w:t>
      </w:r>
      <w:r w:rsidR="00FF55A6" w:rsidRPr="007102A5">
        <w:rPr>
          <w:rFonts w:ascii="Arial" w:eastAsia="Arial" w:hAnsi="Arial" w:cs="Arial"/>
          <w:sz w:val="22"/>
          <w:szCs w:val="22"/>
        </w:rPr>
        <w:t xml:space="preserve"> </w:t>
      </w:r>
      <w:r w:rsidRPr="007102A5">
        <w:rPr>
          <w:rFonts w:ascii="Arial" w:eastAsia="Arial" w:hAnsi="Arial" w:cs="Arial"/>
          <w:sz w:val="22"/>
          <w:szCs w:val="22"/>
        </w:rPr>
        <w:t>To address this challenge, care professionals should adapt their approach by using simple demonstrations, repeating key actions, and maintaining consistent routines. Bandura (1986) explains that repetition and reinforcement strengthen learning. Using familiar staff members as role models helps build trust and reduce anxiety.</w:t>
      </w:r>
    </w:p>
    <w:p w14:paraId="5D618AA0" w14:textId="77777777" w:rsidR="00D66026" w:rsidRPr="007102A5" w:rsidRDefault="00D66026" w:rsidP="007102A5">
      <w:pPr>
        <w:spacing w:line="360" w:lineRule="auto"/>
        <w:rPr>
          <w:rFonts w:ascii="Arial" w:eastAsia="Arial" w:hAnsi="Arial" w:cs="Arial"/>
          <w:sz w:val="22"/>
          <w:szCs w:val="22"/>
        </w:rPr>
      </w:pPr>
      <w:r w:rsidRPr="007102A5">
        <w:rPr>
          <w:rFonts w:ascii="Arial" w:eastAsia="Arial" w:hAnsi="Arial" w:cs="Arial"/>
          <w:sz w:val="22"/>
          <w:szCs w:val="22"/>
        </w:rPr>
        <w:t>In addition, focusing on small, achievable successes supports self-efficacy, even where cognitive decline is present. This flexible approach ensures that care remains supportive, inclusive, and person-centred.</w:t>
      </w:r>
    </w:p>
    <w:p w14:paraId="3CA050C5" w14:textId="77777777" w:rsidR="00D66026" w:rsidRPr="007102A5" w:rsidRDefault="00D66026" w:rsidP="007102A5">
      <w:pPr>
        <w:spacing w:line="360" w:lineRule="auto"/>
        <w:rPr>
          <w:rFonts w:ascii="Arial" w:eastAsia="Arial" w:hAnsi="Arial" w:cs="Arial"/>
          <w:b/>
          <w:bCs/>
          <w:sz w:val="22"/>
          <w:szCs w:val="22"/>
        </w:rPr>
      </w:pPr>
      <w:r w:rsidRPr="007102A5">
        <w:rPr>
          <w:rFonts w:ascii="Arial" w:eastAsia="Arial" w:hAnsi="Arial" w:cs="Arial"/>
          <w:b/>
          <w:bCs/>
          <w:sz w:val="22"/>
          <w:szCs w:val="22"/>
        </w:rPr>
        <w:t>Overall Conclusion</w:t>
      </w:r>
    </w:p>
    <w:p w14:paraId="6E5AD89F" w14:textId="1F3732CF" w:rsidR="00D66026" w:rsidRPr="007102A5" w:rsidRDefault="00D66026" w:rsidP="007102A5">
      <w:pPr>
        <w:spacing w:line="360" w:lineRule="auto"/>
        <w:rPr>
          <w:rFonts w:ascii="Arial" w:eastAsia="Arial" w:hAnsi="Arial" w:cs="Arial"/>
          <w:sz w:val="22"/>
          <w:szCs w:val="22"/>
        </w:rPr>
      </w:pPr>
      <w:r w:rsidRPr="007102A5">
        <w:rPr>
          <w:rFonts w:ascii="Arial" w:eastAsia="Arial" w:hAnsi="Arial" w:cs="Arial"/>
          <w:sz w:val="22"/>
          <w:szCs w:val="22"/>
        </w:rPr>
        <w:lastRenderedPageBreak/>
        <w:t>Erikson’s psychosocial theory highlights the importance of meaning, identity, and emotional resolution in later life. Bandura’s theory focuses on learning, behaviour, and confidence.</w:t>
      </w:r>
      <w:r w:rsidR="00FF55A6" w:rsidRPr="007102A5">
        <w:rPr>
          <w:rFonts w:ascii="Arial" w:eastAsia="Arial" w:hAnsi="Arial" w:cs="Arial"/>
          <w:sz w:val="22"/>
          <w:szCs w:val="22"/>
        </w:rPr>
        <w:t xml:space="preserve"> </w:t>
      </w:r>
      <w:r w:rsidRPr="007102A5">
        <w:rPr>
          <w:rFonts w:ascii="Arial" w:eastAsia="Arial" w:hAnsi="Arial" w:cs="Arial"/>
          <w:sz w:val="22"/>
          <w:szCs w:val="22"/>
        </w:rPr>
        <w:t>Together, these theories provide a strong foundation for person-centred care, supporting both emotional and practical needs.</w:t>
      </w:r>
      <w:r w:rsidR="00FF55A6" w:rsidRPr="007102A5">
        <w:rPr>
          <w:rFonts w:ascii="Arial" w:eastAsia="Arial" w:hAnsi="Arial" w:cs="Arial"/>
          <w:sz w:val="22"/>
          <w:szCs w:val="22"/>
        </w:rPr>
        <w:t xml:space="preserve"> </w:t>
      </w:r>
      <w:r w:rsidRPr="007102A5">
        <w:rPr>
          <w:rFonts w:ascii="Arial" w:eastAsia="Arial" w:hAnsi="Arial" w:cs="Arial"/>
          <w:sz w:val="22"/>
          <w:szCs w:val="22"/>
        </w:rPr>
        <w:t>However, both theories have limitations, particularly in addressing diversity, inequality, and cognitive decline. This means care must always be flexible, inclusive, and tailored to individual needs.</w:t>
      </w:r>
    </w:p>
    <w:p w14:paraId="2E352C59" w14:textId="77777777" w:rsidR="00D66026" w:rsidRPr="007102A5" w:rsidRDefault="00D66026" w:rsidP="007102A5">
      <w:pPr>
        <w:spacing w:line="360" w:lineRule="auto"/>
        <w:rPr>
          <w:rFonts w:ascii="Arial" w:eastAsia="Arial" w:hAnsi="Arial" w:cs="Arial"/>
          <w:b/>
          <w:bCs/>
          <w:sz w:val="22"/>
          <w:szCs w:val="22"/>
        </w:rPr>
      </w:pPr>
      <w:r w:rsidRPr="007102A5">
        <w:rPr>
          <w:rFonts w:ascii="Arial" w:eastAsia="Arial" w:hAnsi="Arial" w:cs="Arial"/>
          <w:b/>
          <w:bCs/>
          <w:sz w:val="22"/>
          <w:szCs w:val="22"/>
        </w:rPr>
        <w:t>References</w:t>
      </w:r>
    </w:p>
    <w:p w14:paraId="48F30B0D" w14:textId="6D66E340" w:rsidR="00D66026" w:rsidRPr="007102A5" w:rsidRDefault="00D66026" w:rsidP="007102A5">
      <w:pPr>
        <w:spacing w:line="360" w:lineRule="auto"/>
        <w:rPr>
          <w:rFonts w:ascii="Arial" w:eastAsia="Arial" w:hAnsi="Arial" w:cs="Arial"/>
          <w:sz w:val="22"/>
          <w:szCs w:val="22"/>
        </w:rPr>
      </w:pPr>
      <w:r w:rsidRPr="007102A5">
        <w:rPr>
          <w:rFonts w:ascii="Arial" w:eastAsia="Arial" w:hAnsi="Arial" w:cs="Arial"/>
          <w:sz w:val="22"/>
          <w:szCs w:val="22"/>
        </w:rPr>
        <w:t xml:space="preserve">Erikson, E.H. (1982) </w:t>
      </w:r>
      <w:r w:rsidRPr="007102A5">
        <w:rPr>
          <w:rFonts w:ascii="Arial" w:eastAsia="Arial" w:hAnsi="Arial" w:cs="Arial"/>
          <w:i/>
          <w:iCs/>
          <w:sz w:val="22"/>
          <w:szCs w:val="22"/>
        </w:rPr>
        <w:t>The Life Cycle Completed</w:t>
      </w:r>
      <w:r w:rsidRPr="007102A5">
        <w:rPr>
          <w:rFonts w:ascii="Arial" w:eastAsia="Arial" w:hAnsi="Arial" w:cs="Arial"/>
          <w:sz w:val="22"/>
          <w:szCs w:val="22"/>
        </w:rPr>
        <w:t xml:space="preserve">. New York: W.W. Norton. Available at: </w:t>
      </w:r>
      <w:hyperlink r:id="rId10" w:tgtFrame="_new" w:history="1">
        <w:r w:rsidRPr="007102A5">
          <w:rPr>
            <w:rStyle w:val="Hyperlink"/>
            <w:rFonts w:ascii="Arial" w:eastAsia="Arial" w:hAnsi="Arial" w:cs="Arial"/>
            <w:sz w:val="22"/>
            <w:szCs w:val="22"/>
          </w:rPr>
          <w:t>https://www.simplypsychology.org/erik-erikson.html</w:t>
        </w:r>
      </w:hyperlink>
      <w:r w:rsidRPr="007102A5">
        <w:rPr>
          <w:rFonts w:ascii="Arial" w:eastAsia="Arial" w:hAnsi="Arial" w:cs="Arial"/>
          <w:sz w:val="22"/>
          <w:szCs w:val="22"/>
        </w:rPr>
        <w:t xml:space="preserve"> (Accessed: </w:t>
      </w:r>
      <w:r w:rsidR="00713999" w:rsidRPr="007102A5">
        <w:rPr>
          <w:rFonts w:ascii="Arial" w:eastAsia="Arial" w:hAnsi="Arial" w:cs="Arial"/>
          <w:sz w:val="22"/>
          <w:szCs w:val="22"/>
        </w:rPr>
        <w:t>15</w:t>
      </w:r>
      <w:r w:rsidRPr="007102A5">
        <w:rPr>
          <w:rFonts w:ascii="Arial" w:eastAsia="Arial" w:hAnsi="Arial" w:cs="Arial"/>
          <w:sz w:val="22"/>
          <w:szCs w:val="22"/>
        </w:rPr>
        <w:t xml:space="preserve"> April 2026).</w:t>
      </w:r>
    </w:p>
    <w:p w14:paraId="2EFBDED2" w14:textId="1B39DB7A" w:rsidR="00D66026" w:rsidRPr="007102A5" w:rsidRDefault="00D66026" w:rsidP="007102A5">
      <w:pPr>
        <w:spacing w:line="360" w:lineRule="auto"/>
        <w:rPr>
          <w:rFonts w:ascii="Arial" w:eastAsia="Arial" w:hAnsi="Arial" w:cs="Arial"/>
          <w:sz w:val="22"/>
          <w:szCs w:val="22"/>
        </w:rPr>
      </w:pPr>
      <w:r w:rsidRPr="007102A5">
        <w:rPr>
          <w:rFonts w:ascii="Arial" w:eastAsia="Arial" w:hAnsi="Arial" w:cs="Arial"/>
          <w:sz w:val="22"/>
          <w:szCs w:val="22"/>
        </w:rPr>
        <w:t xml:space="preserve">Erikson, E.H. (1997) </w:t>
      </w:r>
      <w:r w:rsidRPr="007102A5">
        <w:rPr>
          <w:rFonts w:ascii="Arial" w:eastAsia="Arial" w:hAnsi="Arial" w:cs="Arial"/>
          <w:i/>
          <w:iCs/>
          <w:sz w:val="22"/>
          <w:szCs w:val="22"/>
        </w:rPr>
        <w:t xml:space="preserve">The Life Cycle Completed (extended </w:t>
      </w:r>
      <w:proofErr w:type="spellStart"/>
      <w:r w:rsidRPr="007102A5">
        <w:rPr>
          <w:rFonts w:ascii="Arial" w:eastAsia="Arial" w:hAnsi="Arial" w:cs="Arial"/>
          <w:i/>
          <w:iCs/>
          <w:sz w:val="22"/>
          <w:szCs w:val="22"/>
        </w:rPr>
        <w:t>edn</w:t>
      </w:r>
      <w:proofErr w:type="spellEnd"/>
      <w:r w:rsidRPr="007102A5">
        <w:rPr>
          <w:rFonts w:ascii="Arial" w:eastAsia="Arial" w:hAnsi="Arial" w:cs="Arial"/>
          <w:i/>
          <w:iCs/>
          <w:sz w:val="22"/>
          <w:szCs w:val="22"/>
        </w:rPr>
        <w:t>)</w:t>
      </w:r>
      <w:r w:rsidRPr="007102A5">
        <w:rPr>
          <w:rFonts w:ascii="Arial" w:eastAsia="Arial" w:hAnsi="Arial" w:cs="Arial"/>
          <w:sz w:val="22"/>
          <w:szCs w:val="22"/>
        </w:rPr>
        <w:t xml:space="preserve">. New York: W.W. Norton. Available at: </w:t>
      </w:r>
      <w:hyperlink r:id="rId11" w:tgtFrame="_new" w:history="1">
        <w:r w:rsidRPr="007102A5">
          <w:rPr>
            <w:rStyle w:val="Hyperlink"/>
            <w:rFonts w:ascii="Arial" w:eastAsia="Arial" w:hAnsi="Arial" w:cs="Arial"/>
            <w:sz w:val="22"/>
            <w:szCs w:val="22"/>
          </w:rPr>
          <w:t>https://www.britannica.com/biography/Erik-Erikson</w:t>
        </w:r>
      </w:hyperlink>
      <w:r w:rsidRPr="007102A5">
        <w:rPr>
          <w:rFonts w:ascii="Arial" w:eastAsia="Arial" w:hAnsi="Arial" w:cs="Arial"/>
          <w:sz w:val="22"/>
          <w:szCs w:val="22"/>
        </w:rPr>
        <w:t xml:space="preserve"> (Accessed: </w:t>
      </w:r>
      <w:r w:rsidR="00713999" w:rsidRPr="007102A5">
        <w:rPr>
          <w:rFonts w:ascii="Arial" w:eastAsia="Arial" w:hAnsi="Arial" w:cs="Arial"/>
          <w:sz w:val="22"/>
          <w:szCs w:val="22"/>
        </w:rPr>
        <w:t>15</w:t>
      </w:r>
      <w:r w:rsidRPr="007102A5">
        <w:rPr>
          <w:rFonts w:ascii="Arial" w:eastAsia="Arial" w:hAnsi="Arial" w:cs="Arial"/>
          <w:sz w:val="22"/>
          <w:szCs w:val="22"/>
        </w:rPr>
        <w:t xml:space="preserve"> April 2026).</w:t>
      </w:r>
    </w:p>
    <w:p w14:paraId="0F9FE3C0" w14:textId="1A2D9266" w:rsidR="00D66026" w:rsidRPr="007102A5" w:rsidRDefault="00D66026" w:rsidP="007102A5">
      <w:pPr>
        <w:spacing w:line="360" w:lineRule="auto"/>
        <w:rPr>
          <w:rFonts w:ascii="Arial" w:eastAsia="Arial" w:hAnsi="Arial" w:cs="Arial"/>
          <w:sz w:val="22"/>
          <w:szCs w:val="22"/>
        </w:rPr>
      </w:pPr>
      <w:r w:rsidRPr="007102A5">
        <w:rPr>
          <w:rFonts w:ascii="Arial" w:eastAsia="Arial" w:hAnsi="Arial" w:cs="Arial"/>
          <w:sz w:val="22"/>
          <w:szCs w:val="22"/>
        </w:rPr>
        <w:t xml:space="preserve">Bandura, A. (1977) </w:t>
      </w:r>
      <w:r w:rsidRPr="007102A5">
        <w:rPr>
          <w:rFonts w:ascii="Arial" w:eastAsia="Arial" w:hAnsi="Arial" w:cs="Arial"/>
          <w:i/>
          <w:iCs/>
          <w:sz w:val="22"/>
          <w:szCs w:val="22"/>
        </w:rPr>
        <w:t>Social Learning Theory</w:t>
      </w:r>
      <w:r w:rsidRPr="007102A5">
        <w:rPr>
          <w:rFonts w:ascii="Arial" w:eastAsia="Arial" w:hAnsi="Arial" w:cs="Arial"/>
          <w:sz w:val="22"/>
          <w:szCs w:val="22"/>
        </w:rPr>
        <w:t xml:space="preserve">. Englewood Cliffs: Prentice Hall. Available at: </w:t>
      </w:r>
      <w:hyperlink r:id="rId12" w:tgtFrame="_new" w:history="1">
        <w:r w:rsidRPr="007102A5">
          <w:rPr>
            <w:rStyle w:val="Hyperlink"/>
            <w:rFonts w:ascii="Arial" w:eastAsia="Arial" w:hAnsi="Arial" w:cs="Arial"/>
            <w:sz w:val="22"/>
            <w:szCs w:val="22"/>
          </w:rPr>
          <w:t>https://www.simplypsychology.org/bandura.html</w:t>
        </w:r>
      </w:hyperlink>
      <w:r w:rsidRPr="007102A5">
        <w:rPr>
          <w:rFonts w:ascii="Arial" w:eastAsia="Arial" w:hAnsi="Arial" w:cs="Arial"/>
          <w:sz w:val="22"/>
          <w:szCs w:val="22"/>
        </w:rPr>
        <w:t xml:space="preserve"> (Accessed: </w:t>
      </w:r>
      <w:r w:rsidR="00713999" w:rsidRPr="007102A5">
        <w:rPr>
          <w:rFonts w:ascii="Arial" w:eastAsia="Arial" w:hAnsi="Arial" w:cs="Arial"/>
          <w:sz w:val="22"/>
          <w:szCs w:val="22"/>
        </w:rPr>
        <w:t>15</w:t>
      </w:r>
      <w:r w:rsidRPr="007102A5">
        <w:rPr>
          <w:rFonts w:ascii="Arial" w:eastAsia="Arial" w:hAnsi="Arial" w:cs="Arial"/>
          <w:sz w:val="22"/>
          <w:szCs w:val="22"/>
        </w:rPr>
        <w:t xml:space="preserve"> April 2026).</w:t>
      </w:r>
    </w:p>
    <w:p w14:paraId="03F0FED7" w14:textId="67C6EA09" w:rsidR="00D66026" w:rsidRPr="007102A5" w:rsidRDefault="00D66026" w:rsidP="007102A5">
      <w:pPr>
        <w:spacing w:line="360" w:lineRule="auto"/>
        <w:rPr>
          <w:rFonts w:ascii="Arial" w:eastAsia="Arial" w:hAnsi="Arial" w:cs="Arial"/>
          <w:sz w:val="22"/>
          <w:szCs w:val="22"/>
        </w:rPr>
      </w:pPr>
      <w:r w:rsidRPr="007102A5">
        <w:rPr>
          <w:rFonts w:ascii="Arial" w:eastAsia="Arial" w:hAnsi="Arial" w:cs="Arial"/>
          <w:sz w:val="22"/>
          <w:szCs w:val="22"/>
        </w:rPr>
        <w:t xml:space="preserve">Bandura, A. (1986) </w:t>
      </w:r>
      <w:r w:rsidRPr="007102A5">
        <w:rPr>
          <w:rFonts w:ascii="Arial" w:eastAsia="Arial" w:hAnsi="Arial" w:cs="Arial"/>
          <w:i/>
          <w:iCs/>
          <w:sz w:val="22"/>
          <w:szCs w:val="22"/>
        </w:rPr>
        <w:t>Social Foundations of Thought and Action: A Social Cognitive Theory</w:t>
      </w:r>
      <w:r w:rsidRPr="007102A5">
        <w:rPr>
          <w:rFonts w:ascii="Arial" w:eastAsia="Arial" w:hAnsi="Arial" w:cs="Arial"/>
          <w:sz w:val="22"/>
          <w:szCs w:val="22"/>
        </w:rPr>
        <w:t xml:space="preserve">. Englewood Cliffs: Prentice Hall. Available at: </w:t>
      </w:r>
      <w:hyperlink r:id="rId13" w:tgtFrame="_new" w:history="1">
        <w:r w:rsidRPr="007102A5">
          <w:rPr>
            <w:rStyle w:val="Hyperlink"/>
            <w:rFonts w:ascii="Arial" w:eastAsia="Arial" w:hAnsi="Arial" w:cs="Arial"/>
            <w:sz w:val="22"/>
            <w:szCs w:val="22"/>
          </w:rPr>
          <w:t>https://www.simplypsychology.org/social-cognitive-theory.html</w:t>
        </w:r>
      </w:hyperlink>
      <w:r w:rsidRPr="007102A5">
        <w:rPr>
          <w:rFonts w:ascii="Arial" w:eastAsia="Arial" w:hAnsi="Arial" w:cs="Arial"/>
          <w:sz w:val="22"/>
          <w:szCs w:val="22"/>
        </w:rPr>
        <w:t xml:space="preserve"> (Accessed: </w:t>
      </w:r>
      <w:r w:rsidR="004534D1" w:rsidRPr="007102A5">
        <w:rPr>
          <w:rFonts w:ascii="Arial" w:eastAsia="Arial" w:hAnsi="Arial" w:cs="Arial"/>
          <w:sz w:val="22"/>
          <w:szCs w:val="22"/>
        </w:rPr>
        <w:t>17</w:t>
      </w:r>
      <w:r w:rsidRPr="007102A5">
        <w:rPr>
          <w:rFonts w:ascii="Arial" w:eastAsia="Arial" w:hAnsi="Arial" w:cs="Arial"/>
          <w:sz w:val="22"/>
          <w:szCs w:val="22"/>
        </w:rPr>
        <w:t xml:space="preserve"> April 2026).</w:t>
      </w:r>
    </w:p>
    <w:p w14:paraId="4F6D3986" w14:textId="55B823A3" w:rsidR="00D66026" w:rsidRPr="007102A5" w:rsidRDefault="00D66026" w:rsidP="007102A5">
      <w:pPr>
        <w:spacing w:line="360" w:lineRule="auto"/>
        <w:rPr>
          <w:rFonts w:ascii="Arial" w:eastAsia="Arial" w:hAnsi="Arial" w:cs="Arial"/>
          <w:sz w:val="22"/>
          <w:szCs w:val="22"/>
        </w:rPr>
      </w:pPr>
      <w:r w:rsidRPr="007102A5">
        <w:rPr>
          <w:rFonts w:ascii="Arial" w:eastAsia="Arial" w:hAnsi="Arial" w:cs="Arial"/>
          <w:sz w:val="22"/>
          <w:szCs w:val="22"/>
        </w:rPr>
        <w:t xml:space="preserve">Bandura, A. (1997) </w:t>
      </w:r>
      <w:r w:rsidRPr="007102A5">
        <w:rPr>
          <w:rFonts w:ascii="Arial" w:eastAsia="Arial" w:hAnsi="Arial" w:cs="Arial"/>
          <w:i/>
          <w:iCs/>
          <w:sz w:val="22"/>
          <w:szCs w:val="22"/>
        </w:rPr>
        <w:t>Self Efficacy: The Exercise of Control</w:t>
      </w:r>
      <w:r w:rsidRPr="007102A5">
        <w:rPr>
          <w:rFonts w:ascii="Arial" w:eastAsia="Arial" w:hAnsi="Arial" w:cs="Arial"/>
          <w:sz w:val="22"/>
          <w:szCs w:val="22"/>
        </w:rPr>
        <w:t xml:space="preserve">. New York: Freeman. Available at: </w:t>
      </w:r>
      <w:hyperlink r:id="rId14" w:tgtFrame="_new" w:history="1">
        <w:r w:rsidRPr="007102A5">
          <w:rPr>
            <w:rStyle w:val="Hyperlink"/>
            <w:rFonts w:ascii="Arial" w:eastAsia="Arial" w:hAnsi="Arial" w:cs="Arial"/>
            <w:sz w:val="22"/>
            <w:szCs w:val="22"/>
          </w:rPr>
          <w:t>https://www.uky.edu/~eushe2/Bandura/Bandura1997SE.pdf</w:t>
        </w:r>
      </w:hyperlink>
      <w:r w:rsidRPr="007102A5">
        <w:rPr>
          <w:rFonts w:ascii="Arial" w:eastAsia="Arial" w:hAnsi="Arial" w:cs="Arial"/>
          <w:sz w:val="22"/>
          <w:szCs w:val="22"/>
        </w:rPr>
        <w:t xml:space="preserve"> (Accessed: </w:t>
      </w:r>
      <w:r w:rsidR="004534D1" w:rsidRPr="007102A5">
        <w:rPr>
          <w:rFonts w:ascii="Arial" w:eastAsia="Arial" w:hAnsi="Arial" w:cs="Arial"/>
          <w:sz w:val="22"/>
          <w:szCs w:val="22"/>
        </w:rPr>
        <w:t>18</w:t>
      </w:r>
      <w:r w:rsidRPr="007102A5">
        <w:rPr>
          <w:rFonts w:ascii="Arial" w:eastAsia="Arial" w:hAnsi="Arial" w:cs="Arial"/>
          <w:sz w:val="22"/>
          <w:szCs w:val="22"/>
        </w:rPr>
        <w:t xml:space="preserve"> April 2026)</w:t>
      </w:r>
    </w:p>
    <w:p w14:paraId="205A04AC" w14:textId="5522DBBB" w:rsidR="00530E16" w:rsidRPr="007102A5" w:rsidRDefault="00530E16" w:rsidP="007102A5">
      <w:pPr>
        <w:spacing w:line="360" w:lineRule="auto"/>
        <w:rPr>
          <w:rFonts w:ascii="Arial" w:eastAsia="Arial" w:hAnsi="Arial" w:cs="Arial"/>
          <w:sz w:val="22"/>
          <w:szCs w:val="22"/>
        </w:rPr>
      </w:pPr>
    </w:p>
    <w:sectPr w:rsidR="00530E16" w:rsidRPr="007102A5" w:rsidSect="00722EFE">
      <w:footerReference w:type="first" r:id="rId15"/>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FA1E0F" w14:textId="77777777" w:rsidR="00F22068" w:rsidRDefault="00F22068" w:rsidP="002A1842">
      <w:pPr>
        <w:spacing w:after="0" w:line="240" w:lineRule="auto"/>
      </w:pPr>
      <w:r>
        <w:separator/>
      </w:r>
    </w:p>
  </w:endnote>
  <w:endnote w:type="continuationSeparator" w:id="0">
    <w:p w14:paraId="048F9A0B" w14:textId="77777777" w:rsidR="00F22068" w:rsidRDefault="00F22068"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4B482733"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2A14A120"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71F86DB4"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62958434"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914406" w14:textId="77777777" w:rsidR="00F22068" w:rsidRDefault="00F22068" w:rsidP="002A1842">
      <w:pPr>
        <w:spacing w:after="0" w:line="240" w:lineRule="auto"/>
      </w:pPr>
      <w:r>
        <w:separator/>
      </w:r>
    </w:p>
  </w:footnote>
  <w:footnote w:type="continuationSeparator" w:id="0">
    <w:p w14:paraId="38B4289D" w14:textId="77777777" w:rsidR="00F22068" w:rsidRDefault="00F22068"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47E30704"/>
    <w:multiLevelType w:val="hybridMultilevel"/>
    <w:tmpl w:val="ADE6F5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1637D9E"/>
    <w:multiLevelType w:val="hybridMultilevel"/>
    <w:tmpl w:val="5EA4467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722681657">
    <w:abstractNumId w:val="7"/>
  </w:num>
  <w:num w:numId="2" w16cid:durableId="132868013">
    <w:abstractNumId w:val="5"/>
  </w:num>
  <w:num w:numId="3" w16cid:durableId="1346247759">
    <w:abstractNumId w:val="2"/>
  </w:num>
  <w:num w:numId="4" w16cid:durableId="1857885177">
    <w:abstractNumId w:val="1"/>
  </w:num>
  <w:num w:numId="5" w16cid:durableId="1208491287">
    <w:abstractNumId w:val="6"/>
  </w:num>
  <w:num w:numId="6" w16cid:durableId="4678973">
    <w:abstractNumId w:val="0"/>
  </w:num>
  <w:num w:numId="7" w16cid:durableId="1679580242">
    <w:abstractNumId w:val="9"/>
  </w:num>
  <w:num w:numId="8" w16cid:durableId="1874682828">
    <w:abstractNumId w:val="8"/>
  </w:num>
  <w:num w:numId="9" w16cid:durableId="1670523204">
    <w:abstractNumId w:val="3"/>
  </w:num>
  <w:num w:numId="10" w16cid:durableId="153708238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0558"/>
    <w:rsid w:val="000445CB"/>
    <w:rsid w:val="000466A6"/>
    <w:rsid w:val="00073E06"/>
    <w:rsid w:val="000929EC"/>
    <w:rsid w:val="0009537B"/>
    <w:rsid w:val="000A248B"/>
    <w:rsid w:val="000B021F"/>
    <w:rsid w:val="000B3432"/>
    <w:rsid w:val="000C3067"/>
    <w:rsid w:val="000D02B4"/>
    <w:rsid w:val="000E69E7"/>
    <w:rsid w:val="000F75C2"/>
    <w:rsid w:val="000F7CB4"/>
    <w:rsid w:val="00161AF5"/>
    <w:rsid w:val="00172AD1"/>
    <w:rsid w:val="001813E7"/>
    <w:rsid w:val="001A647A"/>
    <w:rsid w:val="001B783F"/>
    <w:rsid w:val="001B7CA8"/>
    <w:rsid w:val="001E0AF6"/>
    <w:rsid w:val="00230094"/>
    <w:rsid w:val="002309C0"/>
    <w:rsid w:val="00233347"/>
    <w:rsid w:val="00236482"/>
    <w:rsid w:val="00237D0B"/>
    <w:rsid w:val="002439B0"/>
    <w:rsid w:val="002514F3"/>
    <w:rsid w:val="00284B25"/>
    <w:rsid w:val="00294E3B"/>
    <w:rsid w:val="002A1842"/>
    <w:rsid w:val="00303B33"/>
    <w:rsid w:val="003159F9"/>
    <w:rsid w:val="003517B8"/>
    <w:rsid w:val="00355DFD"/>
    <w:rsid w:val="00365197"/>
    <w:rsid w:val="003A7786"/>
    <w:rsid w:val="004131B3"/>
    <w:rsid w:val="00422FD4"/>
    <w:rsid w:val="00432D05"/>
    <w:rsid w:val="004468F8"/>
    <w:rsid w:val="004534D1"/>
    <w:rsid w:val="00454926"/>
    <w:rsid w:val="00456962"/>
    <w:rsid w:val="00497244"/>
    <w:rsid w:val="004D36AF"/>
    <w:rsid w:val="00520F2B"/>
    <w:rsid w:val="00530E16"/>
    <w:rsid w:val="005330A9"/>
    <w:rsid w:val="00575E73"/>
    <w:rsid w:val="005A36F6"/>
    <w:rsid w:val="00662299"/>
    <w:rsid w:val="00672311"/>
    <w:rsid w:val="007102A5"/>
    <w:rsid w:val="00713999"/>
    <w:rsid w:val="0071418A"/>
    <w:rsid w:val="00722EFE"/>
    <w:rsid w:val="00732A03"/>
    <w:rsid w:val="007637E9"/>
    <w:rsid w:val="00786BF8"/>
    <w:rsid w:val="0079780E"/>
    <w:rsid w:val="007B3721"/>
    <w:rsid w:val="0081196D"/>
    <w:rsid w:val="008310B6"/>
    <w:rsid w:val="00872E6F"/>
    <w:rsid w:val="008C16EA"/>
    <w:rsid w:val="008E6245"/>
    <w:rsid w:val="008E66F1"/>
    <w:rsid w:val="008E7834"/>
    <w:rsid w:val="00960FDE"/>
    <w:rsid w:val="0099514B"/>
    <w:rsid w:val="00997C6B"/>
    <w:rsid w:val="009A1B8A"/>
    <w:rsid w:val="009C0A32"/>
    <w:rsid w:val="009C3077"/>
    <w:rsid w:val="009F60D1"/>
    <w:rsid w:val="00A13D9C"/>
    <w:rsid w:val="00A51B75"/>
    <w:rsid w:val="00A75B15"/>
    <w:rsid w:val="00A92915"/>
    <w:rsid w:val="00A93E98"/>
    <w:rsid w:val="00AB62F8"/>
    <w:rsid w:val="00AE06EA"/>
    <w:rsid w:val="00AE13A9"/>
    <w:rsid w:val="00B65ED6"/>
    <w:rsid w:val="00B862A5"/>
    <w:rsid w:val="00BA0043"/>
    <w:rsid w:val="00BB2AC8"/>
    <w:rsid w:val="00BD0DBF"/>
    <w:rsid w:val="00C23ADD"/>
    <w:rsid w:val="00C33ED6"/>
    <w:rsid w:val="00C845F2"/>
    <w:rsid w:val="00CB21A1"/>
    <w:rsid w:val="00CD4E3E"/>
    <w:rsid w:val="00CF650B"/>
    <w:rsid w:val="00D62A9C"/>
    <w:rsid w:val="00D66026"/>
    <w:rsid w:val="00D7154A"/>
    <w:rsid w:val="00D727BC"/>
    <w:rsid w:val="00DB181C"/>
    <w:rsid w:val="00DE7C9F"/>
    <w:rsid w:val="00E554C2"/>
    <w:rsid w:val="00EA04EC"/>
    <w:rsid w:val="00EA1363"/>
    <w:rsid w:val="00EA5BB4"/>
    <w:rsid w:val="00EC7C27"/>
    <w:rsid w:val="00EE07A5"/>
    <w:rsid w:val="00F22068"/>
    <w:rsid w:val="00F37297"/>
    <w:rsid w:val="00F4417D"/>
    <w:rsid w:val="00F618F2"/>
    <w:rsid w:val="00F62B7B"/>
    <w:rsid w:val="00FC65B2"/>
    <w:rsid w:val="00FF55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21296"/>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2A03"/>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D66026"/>
    <w:rPr>
      <w:color w:val="605E5C"/>
      <w:shd w:val="clear" w:color="auto" w:fill="E1DFDD"/>
    </w:rPr>
  </w:style>
  <w:style w:type="paragraph" w:styleId="NormalWeb">
    <w:name w:val="Normal (Web)"/>
    <w:basedOn w:val="Normal"/>
    <w:uiPriority w:val="99"/>
    <w:semiHidden/>
    <w:unhideWhenUsed/>
    <w:rsid w:val="00497244"/>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implypsychology.org/social-cognitive-theory.html"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simplypsychology.org/bandura.html"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ritannica.com/biography/Erik-Erikson" TargetMode="External"/><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hyperlink" Target="https://www.simplypsychology.org/erik-erikson.html"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uky.edu/~eushe2/Bandura/Bandura1997S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1935</Words>
  <Characters>11030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MODUPEOLA OYENAME</cp:lastModifiedBy>
  <cp:revision>2</cp:revision>
  <dcterms:created xsi:type="dcterms:W3CDTF">2026-04-21T07:57:00Z</dcterms:created>
  <dcterms:modified xsi:type="dcterms:W3CDTF">2026-04-21T07:57:00Z</dcterms:modified>
</cp:coreProperties>
</file>