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557F2" w14:textId="77777777" w:rsidR="00B17C53" w:rsidRDefault="00B17C53" w:rsidP="00953880">
      <w:pPr>
        <w:rPr>
          <w:rFonts w:ascii="Times New Roman" w:eastAsia="Times New Roman" w:hAnsi="Times New Roman" w:cs="Times New Roman"/>
          <w:b/>
          <w:bCs/>
          <w:sz w:val="36"/>
          <w:szCs w:val="36"/>
        </w:rPr>
      </w:pPr>
    </w:p>
    <w:p w14:paraId="1CC5917B" w14:textId="46216702" w:rsidR="00B17C53" w:rsidRDefault="00B17C53" w:rsidP="00953880">
      <w:pPr>
        <w:rPr>
          <w:rFonts w:ascii="Times New Roman" w:eastAsia="Times New Roman" w:hAnsi="Times New Roman" w:cs="Times New Roman"/>
          <w:b/>
          <w:bCs/>
          <w:sz w:val="36"/>
          <w:szCs w:val="36"/>
        </w:rPr>
      </w:pPr>
      <w:r>
        <w:rPr>
          <w:rFonts w:ascii="Times New Roman" w:eastAsia="Times New Roman" w:hAnsi="Times New Roman" w:cs="Times New Roman"/>
          <w:b/>
          <w:bCs/>
          <w:sz w:val="36"/>
          <w:szCs w:val="36"/>
        </w:rPr>
        <w:t>Criminal Law assignment 2</w:t>
      </w:r>
    </w:p>
    <w:p w14:paraId="76A10486" w14:textId="77777777" w:rsidR="00B17C53" w:rsidRDefault="00B17C53" w:rsidP="00953880">
      <w:pPr>
        <w:rPr>
          <w:rFonts w:ascii="Times New Roman" w:eastAsia="Times New Roman" w:hAnsi="Times New Roman" w:cs="Times New Roman"/>
          <w:b/>
          <w:bCs/>
          <w:sz w:val="36"/>
          <w:szCs w:val="36"/>
        </w:rPr>
      </w:pPr>
    </w:p>
    <w:p w14:paraId="38BB5A98" w14:textId="1A377D1F" w:rsidR="00953880" w:rsidRPr="009E5376" w:rsidRDefault="00953880" w:rsidP="00B17C53">
      <w:pPr>
        <w:rPr>
          <w:rFonts w:ascii="Times New Roman" w:eastAsia="Times New Roman" w:hAnsi="Times New Roman" w:cs="Times New Roman"/>
          <w:b/>
          <w:bCs/>
          <w:sz w:val="28"/>
          <w:szCs w:val="28"/>
        </w:rPr>
      </w:pPr>
      <w:r w:rsidRPr="009E5376">
        <w:rPr>
          <w:rFonts w:ascii="Times New Roman" w:eastAsia="Times New Roman" w:hAnsi="Times New Roman" w:cs="Times New Roman"/>
          <w:b/>
          <w:bCs/>
          <w:sz w:val="28"/>
          <w:szCs w:val="28"/>
        </w:rPr>
        <w:t>Part A</w:t>
      </w:r>
    </w:p>
    <w:p w14:paraId="11CDC958" w14:textId="77777777" w:rsidR="009E5376" w:rsidRPr="00B17C53" w:rsidRDefault="009E5376" w:rsidP="00B17C53">
      <w:pPr>
        <w:rPr>
          <w:rFonts w:ascii="Times New Roman" w:eastAsia="Times New Roman" w:hAnsi="Times New Roman" w:cs="Times New Roman"/>
          <w:b/>
          <w:bCs/>
          <w:sz w:val="32"/>
          <w:szCs w:val="32"/>
        </w:rPr>
      </w:pPr>
    </w:p>
    <w:p w14:paraId="448BEB72" w14:textId="5DC7CC3A" w:rsidR="00953880" w:rsidRPr="00B17C53" w:rsidRDefault="00953880" w:rsidP="00B17C53">
      <w:pPr>
        <w:rPr>
          <w:rFonts w:ascii="Times New Roman" w:eastAsia="Times New Roman" w:hAnsi="Times New Roman" w:cs="Times New Roman"/>
          <w:b/>
          <w:bCs/>
          <w:sz w:val="24"/>
          <w:szCs w:val="24"/>
        </w:rPr>
      </w:pPr>
      <w:r w:rsidRPr="00B17C53">
        <w:rPr>
          <w:rFonts w:ascii="Times New Roman" w:eastAsia="Times New Roman" w:hAnsi="Times New Roman" w:cs="Times New Roman"/>
          <w:b/>
          <w:bCs/>
          <w:sz w:val="24"/>
          <w:szCs w:val="24"/>
        </w:rPr>
        <w:t>Identify the potential criminal liability of the offence.</w:t>
      </w:r>
    </w:p>
    <w:p w14:paraId="46D45FF0" w14:textId="501D6A2E" w:rsidR="00953880" w:rsidRPr="00B17C53" w:rsidRDefault="00953880" w:rsidP="00953880">
      <w:pPr>
        <w:rPr>
          <w:rFonts w:ascii="Times New Roman" w:eastAsia="Times New Roman" w:hAnsi="Times New Roman" w:cs="Times New Roman"/>
          <w:i/>
          <w:iCs/>
          <w:sz w:val="24"/>
          <w:szCs w:val="24"/>
        </w:rPr>
      </w:pPr>
      <w:r w:rsidRPr="00B17C53">
        <w:rPr>
          <w:rFonts w:ascii="Times New Roman" w:eastAsia="Times New Roman" w:hAnsi="Times New Roman" w:cs="Times New Roman"/>
          <w:sz w:val="24"/>
          <w:szCs w:val="24"/>
        </w:rPr>
        <w:t>Th</w:t>
      </w:r>
      <w:r w:rsidR="001973BC">
        <w:rPr>
          <w:rFonts w:ascii="Times New Roman" w:eastAsia="Times New Roman" w:hAnsi="Times New Roman" w:cs="Times New Roman"/>
          <w:sz w:val="24"/>
          <w:szCs w:val="24"/>
        </w:rPr>
        <w:t xml:space="preserve">e overall situation </w:t>
      </w:r>
      <w:r w:rsidRPr="00B17C53">
        <w:rPr>
          <w:rFonts w:ascii="Times New Roman" w:eastAsia="Times New Roman" w:hAnsi="Times New Roman" w:cs="Times New Roman"/>
          <w:sz w:val="24"/>
          <w:szCs w:val="24"/>
        </w:rPr>
        <w:t xml:space="preserve">has been addressed here in the case of Hadley and his criminal liability for theft. This </w:t>
      </w:r>
      <w:r w:rsidR="001973BC">
        <w:rPr>
          <w:rFonts w:ascii="Times New Roman" w:eastAsia="Times New Roman" w:hAnsi="Times New Roman" w:cs="Times New Roman"/>
          <w:sz w:val="24"/>
          <w:szCs w:val="24"/>
        </w:rPr>
        <w:t xml:space="preserve"> has </w:t>
      </w:r>
      <w:r w:rsidRPr="00B17C53">
        <w:rPr>
          <w:rFonts w:ascii="Times New Roman" w:eastAsia="Times New Roman" w:hAnsi="Times New Roman" w:cs="Times New Roman"/>
          <w:sz w:val="24"/>
          <w:szCs w:val="24"/>
        </w:rPr>
        <w:t>mainly</w:t>
      </w:r>
      <w:r w:rsidR="001973BC">
        <w:rPr>
          <w:rFonts w:ascii="Times New Roman" w:eastAsia="Times New Roman" w:hAnsi="Times New Roman" w:cs="Times New Roman"/>
          <w:sz w:val="24"/>
          <w:szCs w:val="24"/>
        </w:rPr>
        <w:t xml:space="preserve"> </w:t>
      </w:r>
      <w:r w:rsidRPr="00B17C53">
        <w:rPr>
          <w:rFonts w:ascii="Times New Roman" w:eastAsia="Times New Roman" w:hAnsi="Times New Roman" w:cs="Times New Roman"/>
          <w:sz w:val="24"/>
          <w:szCs w:val="24"/>
        </w:rPr>
        <w:t xml:space="preserve">occurred with the approach of Ronan and his </w:t>
      </w:r>
      <w:r w:rsidR="00B17C53" w:rsidRPr="00B17C53">
        <w:rPr>
          <w:rFonts w:ascii="Times New Roman" w:eastAsia="Times New Roman" w:hAnsi="Times New Roman" w:cs="Times New Roman"/>
          <w:sz w:val="24"/>
          <w:szCs w:val="24"/>
        </w:rPr>
        <w:t>behavior</w:t>
      </w:r>
      <w:r w:rsidRPr="00B17C53">
        <w:rPr>
          <w:rFonts w:ascii="Times New Roman" w:eastAsia="Times New Roman" w:hAnsi="Times New Roman" w:cs="Times New Roman"/>
          <w:sz w:val="24"/>
          <w:szCs w:val="24"/>
        </w:rPr>
        <w:t xml:space="preserve"> of showing off his expensive possessions to his friends and to Hadley in the local nightclub. It was thought by Hadley that Ronan is such a poser as he was showing off his Bucci Trainer and the information that he will be going away on holiday to the Maldives. With this opportunity, Hadley took the approach of stealing the Bucci trainer from Ronan’s house. In terms of that, as Hadley jumped over the back fence of the garden, he landed on a wooden bench, and it got broken in half. This approach of getting into the house and using a bamboo to put through the cat flap to hook the key from inside the house was also another potential criminal liability. Then, due to not finding the Bucci trainer and stealing </w:t>
      </w:r>
      <w:proofErr w:type="spellStart"/>
      <w:r w:rsidRPr="00B17C53">
        <w:rPr>
          <w:rFonts w:ascii="Times New Roman" w:eastAsia="Times New Roman" w:hAnsi="Times New Roman" w:cs="Times New Roman"/>
          <w:sz w:val="24"/>
          <w:szCs w:val="24"/>
        </w:rPr>
        <w:t>Kolex’s</w:t>
      </w:r>
      <w:proofErr w:type="spellEnd"/>
      <w:r w:rsidRPr="00B17C53">
        <w:rPr>
          <w:rFonts w:ascii="Times New Roman" w:eastAsia="Times New Roman" w:hAnsi="Times New Roman" w:cs="Times New Roman"/>
          <w:sz w:val="24"/>
          <w:szCs w:val="24"/>
        </w:rPr>
        <w:t xml:space="preserve"> watch and pouring aftershave in the dressing room bin sitting it on fire, it also indicates the criminal liability of Hadley. According to the case, the primary criminal liability that has occurred indicates stealing, causing </w:t>
      </w:r>
      <w:r w:rsidRPr="00B17C53">
        <w:rPr>
          <w:rFonts w:ascii="Times New Roman" w:eastAsia="Times New Roman" w:hAnsi="Times New Roman" w:cs="Times New Roman"/>
          <w:i/>
          <w:iCs/>
          <w:sz w:val="24"/>
          <w:szCs w:val="24"/>
        </w:rPr>
        <w:t>damage to property, and intentionally destroying property belonging to Ronan.</w:t>
      </w:r>
    </w:p>
    <w:p w14:paraId="7C0AE3D8" w14:textId="39ECCA85" w:rsidR="00953880" w:rsidRPr="00B17C53" w:rsidRDefault="00953880" w:rsidP="00B17C53">
      <w:pPr>
        <w:rPr>
          <w:rFonts w:ascii="Times New Roman" w:eastAsia="Times New Roman" w:hAnsi="Times New Roman" w:cs="Times New Roman"/>
          <w:sz w:val="24"/>
          <w:szCs w:val="24"/>
        </w:rPr>
      </w:pPr>
      <w:r w:rsidRPr="00B17C53">
        <w:rPr>
          <w:rFonts w:ascii="Times New Roman" w:eastAsia="Times New Roman" w:hAnsi="Times New Roman" w:cs="Times New Roman"/>
          <w:b/>
          <w:bCs/>
          <w:sz w:val="24"/>
          <w:szCs w:val="24"/>
        </w:rPr>
        <w:t>Apply the law</w:t>
      </w:r>
      <w:r w:rsidRPr="00B17C53">
        <w:rPr>
          <w:rFonts w:ascii="Times New Roman" w:eastAsia="Times New Roman" w:hAnsi="Times New Roman" w:cs="Times New Roman"/>
          <w:sz w:val="24"/>
          <w:szCs w:val="24"/>
        </w:rPr>
        <w:t xml:space="preserve"> </w:t>
      </w:r>
    </w:p>
    <w:p w14:paraId="08ADFFBF" w14:textId="4C222CDA" w:rsidR="00953880" w:rsidRPr="00B17C53" w:rsidRDefault="00953880" w:rsidP="00B17C53">
      <w:pPr>
        <w:rPr>
          <w:rFonts w:ascii="Times New Roman" w:eastAsia="Times New Roman" w:hAnsi="Times New Roman" w:cs="Times New Roman"/>
          <w:sz w:val="24"/>
          <w:szCs w:val="24"/>
        </w:rPr>
      </w:pPr>
      <w:r w:rsidRPr="00B17C53">
        <w:rPr>
          <w:rFonts w:ascii="Times New Roman" w:eastAsia="Times New Roman" w:hAnsi="Times New Roman" w:cs="Times New Roman"/>
          <w:sz w:val="24"/>
          <w:szCs w:val="24"/>
        </w:rPr>
        <w:t xml:space="preserve">The basis of the offence can be determined here with the application of the Criminal Damage Act 1971 and with consideration of the Theft Act 1968. According to the understanding of the Theft Act 1968, Section 1 indicates that a </w:t>
      </w:r>
      <w:r w:rsidR="00B17C53" w:rsidRPr="00B17C53">
        <w:rPr>
          <w:rFonts w:ascii="Times New Roman" w:eastAsia="Times New Roman" w:hAnsi="Times New Roman" w:cs="Times New Roman"/>
          <w:sz w:val="24"/>
          <w:szCs w:val="24"/>
        </w:rPr>
        <w:t>person is</w:t>
      </w:r>
      <w:r w:rsidRPr="00B17C53">
        <w:rPr>
          <w:rFonts w:ascii="Times New Roman" w:eastAsia="Times New Roman" w:hAnsi="Times New Roman" w:cs="Times New Roman"/>
          <w:sz w:val="24"/>
          <w:szCs w:val="24"/>
        </w:rPr>
        <w:t xml:space="preserve"> guilty of theft of dishonestly appropriated property that belongs to another person (Participation, 1968). This essentially will be considered as theft. Moreover, according to the Criminal Damage Act 1971, Section 1 addressed that a person will be guilty of an offence if the individual, without lawful excuse, destroys or damages property belonging to another and also destroys and damages it recklessly (Participation, 1971). Both the actions have been conducted by Hadley, as he has stolen Ronan’s watch and also destroyed the wooden bench recklessly and set the dressing room been on fire intentionally. </w:t>
      </w:r>
    </w:p>
    <w:p w14:paraId="1638F7AA" w14:textId="77777777" w:rsidR="00953880" w:rsidRPr="009E5376" w:rsidRDefault="00953880" w:rsidP="00953880">
      <w:pPr>
        <w:rPr>
          <w:rFonts w:ascii="Times New Roman" w:eastAsia="Times New Roman" w:hAnsi="Times New Roman" w:cs="Times New Roman"/>
          <w:b/>
          <w:bCs/>
          <w:sz w:val="24"/>
          <w:szCs w:val="24"/>
        </w:rPr>
      </w:pPr>
      <w:r w:rsidRPr="009E5376">
        <w:rPr>
          <w:rFonts w:ascii="Times New Roman" w:eastAsia="Times New Roman" w:hAnsi="Times New Roman" w:cs="Times New Roman"/>
          <w:b/>
          <w:bCs/>
          <w:sz w:val="24"/>
          <w:szCs w:val="24"/>
        </w:rPr>
        <w:t>Actus reus of the crime</w:t>
      </w:r>
    </w:p>
    <w:p w14:paraId="7100CA17" w14:textId="77777777" w:rsidR="00953880" w:rsidRPr="009E5376" w:rsidRDefault="00953880" w:rsidP="00953880">
      <w:pPr>
        <w:rPr>
          <w:rFonts w:ascii="Times New Roman" w:eastAsia="Times New Roman" w:hAnsi="Times New Roman" w:cs="Times New Roman"/>
          <w:sz w:val="24"/>
          <w:szCs w:val="24"/>
        </w:rPr>
      </w:pPr>
      <w:r w:rsidRPr="009E5376">
        <w:rPr>
          <w:rFonts w:ascii="Times New Roman" w:eastAsia="Times New Roman" w:hAnsi="Times New Roman" w:cs="Times New Roman"/>
          <w:sz w:val="24"/>
          <w:szCs w:val="24"/>
        </w:rPr>
        <w:t xml:space="preserve">The actus reus of the crime essentially indicates that without the consideration of a lawful excuse, destroying and damaging the property of others is considered here based on the Criminal Damage Act 1971. The section 10 of the act is prominent here to determine the damage to the property that belongs to Ronan and was caused by Hadley. In terms of stealing, the actus reus is also prominent on Hadley based on his stealing of the watch from Ronan’s house. According to </w:t>
      </w:r>
      <w:r w:rsidRPr="009E5376">
        <w:rPr>
          <w:rFonts w:ascii="Times New Roman" w:eastAsia="Times New Roman" w:hAnsi="Times New Roman" w:cs="Times New Roman"/>
          <w:sz w:val="24"/>
          <w:szCs w:val="24"/>
        </w:rPr>
        <w:lastRenderedPageBreak/>
        <w:t>the Theft Act 1968, Section 4 of the act, known as property, determines the actus reus of stealing the property of others.</w:t>
      </w:r>
    </w:p>
    <w:p w14:paraId="62D8957A" w14:textId="77777777" w:rsidR="00953880" w:rsidRPr="009E5376" w:rsidRDefault="00953880" w:rsidP="00953880">
      <w:pPr>
        <w:rPr>
          <w:rFonts w:ascii="Times New Roman" w:eastAsia="Times New Roman" w:hAnsi="Times New Roman" w:cs="Times New Roman"/>
          <w:b/>
          <w:bCs/>
          <w:sz w:val="24"/>
          <w:szCs w:val="24"/>
        </w:rPr>
      </w:pPr>
      <w:r w:rsidRPr="009E5376">
        <w:rPr>
          <w:rFonts w:ascii="Times New Roman" w:eastAsia="Times New Roman" w:hAnsi="Times New Roman" w:cs="Times New Roman"/>
          <w:b/>
          <w:bCs/>
          <w:sz w:val="24"/>
          <w:szCs w:val="24"/>
        </w:rPr>
        <w:t xml:space="preserve">Men's Rea of the crime  </w:t>
      </w:r>
    </w:p>
    <w:p w14:paraId="59F7D50A" w14:textId="561F8D8C" w:rsidR="00953880" w:rsidRPr="00B17C53" w:rsidRDefault="00953880" w:rsidP="00B17C53">
      <w:pPr>
        <w:rPr>
          <w:rFonts w:ascii="Times New Roman" w:eastAsia="Times New Roman" w:hAnsi="Times New Roman" w:cs="Times New Roman"/>
          <w:sz w:val="28"/>
          <w:szCs w:val="28"/>
        </w:rPr>
      </w:pPr>
      <w:r w:rsidRPr="009E5376">
        <w:rPr>
          <w:rFonts w:ascii="Times New Roman" w:eastAsia="Times New Roman" w:hAnsi="Times New Roman" w:cs="Times New Roman"/>
          <w:sz w:val="24"/>
          <w:szCs w:val="24"/>
        </w:rPr>
        <w:t>Under the aggravated offence, Men’s Rea essentially indicates intending to destroy or damage the property and conducting reckless action in destroying the property. However, the unintentional act was also prominent when Hadley was trying to jump the back fence and, without knowing, destroyed the wooden bench that he was not aware of being there</w:t>
      </w:r>
      <w:r w:rsidRPr="5BEBFA9E">
        <w:rPr>
          <w:rFonts w:ascii="Times New Roman" w:eastAsia="Times New Roman" w:hAnsi="Times New Roman" w:cs="Times New Roman"/>
          <w:sz w:val="28"/>
          <w:szCs w:val="28"/>
        </w:rPr>
        <w:t>.</w:t>
      </w:r>
    </w:p>
    <w:p w14:paraId="1B19FAD3" w14:textId="13861259" w:rsidR="00953880" w:rsidRPr="009E5376" w:rsidRDefault="00953880" w:rsidP="00B17C53">
      <w:pPr>
        <w:rPr>
          <w:rFonts w:ascii="Times New Roman" w:eastAsia="Times New Roman" w:hAnsi="Times New Roman" w:cs="Times New Roman"/>
          <w:b/>
          <w:bCs/>
          <w:sz w:val="24"/>
          <w:szCs w:val="24"/>
        </w:rPr>
      </w:pPr>
      <w:r w:rsidRPr="009E5376">
        <w:rPr>
          <w:rFonts w:ascii="Times New Roman" w:eastAsia="Times New Roman" w:hAnsi="Times New Roman" w:cs="Times New Roman"/>
          <w:b/>
          <w:bCs/>
          <w:sz w:val="24"/>
          <w:szCs w:val="24"/>
        </w:rPr>
        <w:t>Supporting with case law</w:t>
      </w:r>
    </w:p>
    <w:p w14:paraId="511E695C" w14:textId="77777777" w:rsidR="009E5376" w:rsidRDefault="00953880" w:rsidP="009E5376">
      <w:pPr>
        <w:rPr>
          <w:rFonts w:ascii="Times New Roman" w:eastAsia="Times New Roman" w:hAnsi="Times New Roman" w:cs="Times New Roman"/>
          <w:sz w:val="24"/>
          <w:szCs w:val="24"/>
        </w:rPr>
      </w:pPr>
      <w:r w:rsidRPr="00B17C53">
        <w:rPr>
          <w:rFonts w:ascii="Times New Roman" w:eastAsia="Times New Roman" w:hAnsi="Times New Roman" w:cs="Times New Roman"/>
          <w:sz w:val="24"/>
          <w:szCs w:val="24"/>
        </w:rPr>
        <w:t xml:space="preserve">In terms of supporting case law, the application of actus reus and </w:t>
      </w:r>
      <w:r w:rsidR="00B17C53" w:rsidRPr="00B17C53">
        <w:rPr>
          <w:rFonts w:ascii="Times New Roman" w:eastAsia="Times New Roman" w:hAnsi="Times New Roman" w:cs="Times New Roman"/>
          <w:sz w:val="24"/>
          <w:szCs w:val="24"/>
        </w:rPr>
        <w:t>men’s</w:t>
      </w:r>
      <w:r w:rsidRPr="00B17C53">
        <w:rPr>
          <w:rFonts w:ascii="Times New Roman" w:eastAsia="Times New Roman" w:hAnsi="Times New Roman" w:cs="Times New Roman"/>
          <w:sz w:val="24"/>
          <w:szCs w:val="24"/>
        </w:rPr>
        <w:t xml:space="preserve"> rea is essential here. In the case of Hadley, there is appropriate evidence and knowledge of the actus reus and </w:t>
      </w:r>
      <w:r w:rsidR="00B17C53" w:rsidRPr="00B17C53">
        <w:rPr>
          <w:rFonts w:ascii="Times New Roman" w:eastAsia="Times New Roman" w:hAnsi="Times New Roman" w:cs="Times New Roman"/>
          <w:sz w:val="24"/>
          <w:szCs w:val="24"/>
        </w:rPr>
        <w:t>men’s</w:t>
      </w:r>
      <w:r w:rsidRPr="00B17C53">
        <w:rPr>
          <w:rFonts w:ascii="Times New Roman" w:eastAsia="Times New Roman" w:hAnsi="Times New Roman" w:cs="Times New Roman"/>
          <w:sz w:val="24"/>
          <w:szCs w:val="24"/>
        </w:rPr>
        <w:t xml:space="preserve"> rea for the criminal offences of intentional damage, unintentional damage, and also stealing. The application of the case </w:t>
      </w:r>
      <w:r w:rsidRPr="00B17C53">
        <w:rPr>
          <w:rFonts w:ascii="Times New Roman" w:eastAsia="Times New Roman" w:hAnsi="Times New Roman" w:cs="Times New Roman"/>
          <w:i/>
          <w:iCs/>
          <w:sz w:val="24"/>
          <w:szCs w:val="24"/>
        </w:rPr>
        <w:t>R v. G and another [2003] UKHL 50, [2004] 1 AC 1034 (2023</w:t>
      </w:r>
      <w:r w:rsidR="00B17C53" w:rsidRPr="00B17C53">
        <w:rPr>
          <w:rFonts w:ascii="Times New Roman" w:eastAsia="Times New Roman" w:hAnsi="Times New Roman" w:cs="Times New Roman"/>
          <w:i/>
          <w:iCs/>
          <w:sz w:val="24"/>
          <w:szCs w:val="24"/>
        </w:rPr>
        <w:t>) essentially</w:t>
      </w:r>
      <w:r w:rsidRPr="00B17C53">
        <w:rPr>
          <w:rFonts w:ascii="Times New Roman" w:eastAsia="Times New Roman" w:hAnsi="Times New Roman" w:cs="Times New Roman"/>
          <w:sz w:val="24"/>
          <w:szCs w:val="24"/>
        </w:rPr>
        <w:t xml:space="preserve"> indicates the two defendants and their approach of intentionally damaging a shop by sitting on fire to a </w:t>
      </w:r>
      <w:r w:rsidR="00B17C53" w:rsidRPr="00B17C53">
        <w:rPr>
          <w:rFonts w:ascii="Times New Roman" w:eastAsia="Times New Roman" w:hAnsi="Times New Roman" w:cs="Times New Roman"/>
          <w:sz w:val="24"/>
          <w:szCs w:val="24"/>
        </w:rPr>
        <w:t>newspaper and</w:t>
      </w:r>
      <w:r w:rsidRPr="00B17C53">
        <w:rPr>
          <w:rFonts w:ascii="Times New Roman" w:eastAsia="Times New Roman" w:hAnsi="Times New Roman" w:cs="Times New Roman"/>
          <w:sz w:val="24"/>
          <w:szCs w:val="24"/>
        </w:rPr>
        <w:t xml:space="preserve"> putting it underneath the wheelie bin that has caused $1 million worth of damage. This is also similar to the </w:t>
      </w:r>
      <w:r w:rsidR="00B17C53" w:rsidRPr="00B17C53">
        <w:rPr>
          <w:rFonts w:ascii="Times New Roman" w:eastAsia="Times New Roman" w:hAnsi="Times New Roman" w:cs="Times New Roman"/>
          <w:sz w:val="24"/>
          <w:szCs w:val="24"/>
        </w:rPr>
        <w:t>men’s</w:t>
      </w:r>
      <w:r w:rsidRPr="00B17C53">
        <w:rPr>
          <w:rFonts w:ascii="Times New Roman" w:eastAsia="Times New Roman" w:hAnsi="Times New Roman" w:cs="Times New Roman"/>
          <w:sz w:val="24"/>
          <w:szCs w:val="24"/>
        </w:rPr>
        <w:t xml:space="preserve"> rea of </w:t>
      </w:r>
      <w:r w:rsidR="00B17C53" w:rsidRPr="00B17C53">
        <w:rPr>
          <w:rFonts w:ascii="Times New Roman" w:eastAsia="Times New Roman" w:hAnsi="Times New Roman" w:cs="Times New Roman"/>
          <w:sz w:val="24"/>
          <w:szCs w:val="24"/>
        </w:rPr>
        <w:t>Hadley, as</w:t>
      </w:r>
      <w:r w:rsidRPr="00B17C53">
        <w:rPr>
          <w:rFonts w:ascii="Times New Roman" w:eastAsia="Times New Roman" w:hAnsi="Times New Roman" w:cs="Times New Roman"/>
          <w:sz w:val="24"/>
          <w:szCs w:val="24"/>
        </w:rPr>
        <w:t xml:space="preserve"> he has set fire to the dressing room bin in Ronan’s house by using aftershave. The case of </w:t>
      </w:r>
      <w:r w:rsidRPr="00B17C53">
        <w:rPr>
          <w:rFonts w:ascii="Times New Roman" w:eastAsia="Times New Roman" w:hAnsi="Times New Roman" w:cs="Times New Roman"/>
          <w:i/>
          <w:iCs/>
          <w:sz w:val="24"/>
          <w:szCs w:val="24"/>
        </w:rPr>
        <w:t xml:space="preserve">R v. Miller [1983] 2 AC 161 </w:t>
      </w:r>
      <w:r w:rsidRPr="00B17C53">
        <w:rPr>
          <w:rFonts w:ascii="Times New Roman" w:eastAsia="Times New Roman" w:hAnsi="Times New Roman" w:cs="Times New Roman"/>
          <w:sz w:val="24"/>
          <w:szCs w:val="24"/>
        </w:rPr>
        <w:t xml:space="preserve">also indicates the unintentional damage caused by the defendant as he fell asleep with a li cigarette, which started a fire. Similarly, Hadley’s approach of jumping the back fence, falling on the wooden bench, and snapping it in half indicates the unintentional damage. In terms of stealing the watch, the case </w:t>
      </w:r>
      <w:proofErr w:type="gramStart"/>
      <w:r w:rsidRPr="00B17C53">
        <w:rPr>
          <w:rFonts w:ascii="Times New Roman" w:eastAsia="Times New Roman" w:hAnsi="Times New Roman" w:cs="Times New Roman"/>
          <w:sz w:val="24"/>
          <w:szCs w:val="24"/>
        </w:rPr>
        <w:t xml:space="preserve">of  </w:t>
      </w:r>
      <w:r w:rsidRPr="00B17C53">
        <w:rPr>
          <w:rFonts w:ascii="Times New Roman" w:eastAsia="Times New Roman" w:hAnsi="Times New Roman" w:cs="Times New Roman"/>
          <w:i/>
          <w:iCs/>
          <w:sz w:val="24"/>
          <w:szCs w:val="24"/>
        </w:rPr>
        <w:t>R</w:t>
      </w:r>
      <w:proofErr w:type="gramEnd"/>
      <w:r w:rsidRPr="00B17C53">
        <w:rPr>
          <w:rFonts w:ascii="Times New Roman" w:eastAsia="Times New Roman" w:hAnsi="Times New Roman" w:cs="Times New Roman"/>
          <w:i/>
          <w:iCs/>
          <w:sz w:val="24"/>
          <w:szCs w:val="24"/>
        </w:rPr>
        <w:t xml:space="preserve"> v. woodman[1974]QB 758 </w:t>
      </w:r>
      <w:r w:rsidRPr="00B17C53">
        <w:rPr>
          <w:rFonts w:ascii="Times New Roman" w:eastAsia="Times New Roman" w:hAnsi="Times New Roman" w:cs="Times New Roman"/>
          <w:sz w:val="24"/>
          <w:szCs w:val="24"/>
        </w:rPr>
        <w:t>is applicable here, as it indicates the approach of the defendant in entering a premises and taking scrap that is valuable.</w:t>
      </w:r>
    </w:p>
    <w:p w14:paraId="6813F50E" w14:textId="6C4FEC05" w:rsidR="00953880" w:rsidRPr="009E5376" w:rsidRDefault="009E5376" w:rsidP="009E5376">
      <w:pPr>
        <w:rPr>
          <w:rFonts w:ascii="Times New Roman" w:eastAsia="Times New Roman" w:hAnsi="Times New Roman" w:cs="Times New Roman"/>
          <w:sz w:val="24"/>
          <w:szCs w:val="24"/>
        </w:rPr>
      </w:pPr>
      <w:r w:rsidRPr="009E5376">
        <w:rPr>
          <w:rFonts w:ascii="Times New Roman" w:eastAsia="Times New Roman" w:hAnsi="Times New Roman" w:cs="Times New Roman"/>
          <w:b/>
          <w:bCs/>
          <w:sz w:val="24"/>
          <w:szCs w:val="24"/>
        </w:rPr>
        <w:t>C</w:t>
      </w:r>
      <w:r w:rsidR="00953880" w:rsidRPr="009E5376">
        <w:rPr>
          <w:rFonts w:ascii="Times New Roman" w:eastAsia="Times New Roman" w:hAnsi="Times New Roman" w:cs="Times New Roman"/>
          <w:b/>
          <w:bCs/>
          <w:sz w:val="24"/>
          <w:szCs w:val="24"/>
        </w:rPr>
        <w:t xml:space="preserve">onclusion </w:t>
      </w:r>
    </w:p>
    <w:p w14:paraId="4B38419A" w14:textId="2A67F5AE" w:rsidR="00953880" w:rsidRPr="00B17C53" w:rsidRDefault="00953880" w:rsidP="00B17C53">
      <w:pPr>
        <w:rPr>
          <w:rFonts w:ascii="Times New Roman" w:eastAsia="Times New Roman" w:hAnsi="Times New Roman" w:cs="Times New Roman"/>
          <w:sz w:val="24"/>
          <w:szCs w:val="24"/>
        </w:rPr>
      </w:pPr>
      <w:r w:rsidRPr="00B17C53">
        <w:rPr>
          <w:rFonts w:ascii="Times New Roman" w:eastAsia="Times New Roman" w:hAnsi="Times New Roman" w:cs="Times New Roman"/>
          <w:sz w:val="24"/>
          <w:szCs w:val="24"/>
        </w:rPr>
        <w:t xml:space="preserve">In conclusion, based on the identification of the actus reus and </w:t>
      </w:r>
      <w:r w:rsidR="009E5376" w:rsidRPr="00B17C53">
        <w:rPr>
          <w:rFonts w:ascii="Times New Roman" w:eastAsia="Times New Roman" w:hAnsi="Times New Roman" w:cs="Times New Roman"/>
          <w:sz w:val="24"/>
          <w:szCs w:val="24"/>
        </w:rPr>
        <w:t>men’s</w:t>
      </w:r>
      <w:r w:rsidRPr="00B17C53">
        <w:rPr>
          <w:rFonts w:ascii="Times New Roman" w:eastAsia="Times New Roman" w:hAnsi="Times New Roman" w:cs="Times New Roman"/>
          <w:sz w:val="24"/>
          <w:szCs w:val="24"/>
        </w:rPr>
        <w:t xml:space="preserve"> rea and the application of case law examples and the acts, the evaluation of the overall case of Hadley has been possible here. The evaluation essentially indicates the criminal offence of evaluation essentially indicates the criminal offence of intentionally and unintentionally and destroying the property of Ronan and the criminal offence of stealing of which Hadley will be liable in paying the price or the possibility of being a prisoner </w:t>
      </w:r>
    </w:p>
    <w:p w14:paraId="48399B1E" w14:textId="77777777" w:rsidR="00953880" w:rsidRDefault="00953880" w:rsidP="00953880">
      <w:pPr>
        <w:rPr>
          <w:rFonts w:ascii="Times New Roman" w:eastAsia="Times New Roman" w:hAnsi="Times New Roman" w:cs="Times New Roman"/>
          <w:sz w:val="28"/>
          <w:szCs w:val="28"/>
        </w:rPr>
      </w:pPr>
    </w:p>
    <w:p w14:paraId="676615DA" w14:textId="065236D2" w:rsidR="00953880" w:rsidRPr="009E5376" w:rsidRDefault="00953880" w:rsidP="009E5376">
      <w:pPr>
        <w:rPr>
          <w:rFonts w:ascii="Times New Roman" w:eastAsia="Times New Roman" w:hAnsi="Times New Roman" w:cs="Times New Roman"/>
          <w:b/>
          <w:bCs/>
          <w:sz w:val="28"/>
          <w:szCs w:val="28"/>
        </w:rPr>
      </w:pPr>
      <w:r w:rsidRPr="00B17C53">
        <w:rPr>
          <w:rFonts w:ascii="Times New Roman" w:eastAsia="Times New Roman" w:hAnsi="Times New Roman" w:cs="Times New Roman"/>
          <w:b/>
          <w:bCs/>
          <w:sz w:val="28"/>
          <w:szCs w:val="28"/>
        </w:rPr>
        <w:t>Part B</w:t>
      </w:r>
    </w:p>
    <w:p w14:paraId="526145BA" w14:textId="77777777" w:rsidR="00953880" w:rsidRPr="009E5376" w:rsidRDefault="00953880" w:rsidP="00953880">
      <w:pPr>
        <w:rPr>
          <w:rFonts w:ascii="Times New Roman" w:eastAsia="Times New Roman" w:hAnsi="Times New Roman" w:cs="Times New Roman"/>
          <w:b/>
          <w:bCs/>
          <w:sz w:val="24"/>
          <w:szCs w:val="24"/>
        </w:rPr>
      </w:pPr>
      <w:r w:rsidRPr="009E5376">
        <w:rPr>
          <w:rFonts w:ascii="Times New Roman" w:eastAsia="Times New Roman" w:hAnsi="Times New Roman" w:cs="Times New Roman"/>
          <w:b/>
          <w:bCs/>
          <w:sz w:val="24"/>
          <w:szCs w:val="24"/>
        </w:rPr>
        <w:t xml:space="preserve">Apply the law </w:t>
      </w:r>
    </w:p>
    <w:p w14:paraId="014006B2" w14:textId="5C80CD5E" w:rsidR="00953880" w:rsidRPr="00B17C53" w:rsidRDefault="00953880" w:rsidP="00953880">
      <w:pPr>
        <w:rPr>
          <w:rFonts w:ascii="Times New Roman" w:eastAsia="Times New Roman" w:hAnsi="Times New Roman" w:cs="Times New Roman"/>
          <w:sz w:val="24"/>
          <w:szCs w:val="24"/>
        </w:rPr>
      </w:pPr>
      <w:r w:rsidRPr="00B17C53">
        <w:rPr>
          <w:rFonts w:ascii="Times New Roman" w:eastAsia="Times New Roman" w:hAnsi="Times New Roman" w:cs="Times New Roman"/>
          <w:sz w:val="24"/>
          <w:szCs w:val="24"/>
        </w:rPr>
        <w:t xml:space="preserve">Based on the application of the law known as offence against person ACT 1961, the assault occasioning bodily harm has been on mike, which provides Freya with the criminal liability of proving whether she has conducted the assault and bodily harm on mike intentionally or unintentionally (participation, 1978). The primary knowledge of intoxication essentially indicates the approach of an individual in </w:t>
      </w:r>
      <w:r w:rsidR="00B17C53" w:rsidRPr="00B17C53">
        <w:rPr>
          <w:rFonts w:ascii="Times New Roman" w:eastAsia="Times New Roman" w:hAnsi="Times New Roman" w:cs="Times New Roman"/>
          <w:sz w:val="24"/>
          <w:szCs w:val="24"/>
        </w:rPr>
        <w:t>causing voluntary</w:t>
      </w:r>
      <w:r w:rsidRPr="00B17C53">
        <w:rPr>
          <w:rFonts w:ascii="Times New Roman" w:eastAsia="Times New Roman" w:hAnsi="Times New Roman" w:cs="Times New Roman"/>
          <w:sz w:val="24"/>
          <w:szCs w:val="24"/>
        </w:rPr>
        <w:t xml:space="preserve"> consumption of alcohol or drugs and the incapability of forming the mental sense and element of causing any offence. Moreover, </w:t>
      </w:r>
      <w:r w:rsidR="00B17C53" w:rsidRPr="00B17C53">
        <w:rPr>
          <w:rFonts w:ascii="Times New Roman" w:eastAsia="Times New Roman" w:hAnsi="Times New Roman" w:cs="Times New Roman"/>
          <w:sz w:val="24"/>
          <w:szCs w:val="24"/>
        </w:rPr>
        <w:t xml:space="preserve">the </w:t>
      </w:r>
      <w:r w:rsidR="00B17C53" w:rsidRPr="00B17C53">
        <w:rPr>
          <w:rFonts w:ascii="Times New Roman" w:eastAsia="Times New Roman" w:hAnsi="Times New Roman" w:cs="Times New Roman"/>
          <w:sz w:val="24"/>
          <w:szCs w:val="24"/>
        </w:rPr>
        <w:lastRenderedPageBreak/>
        <w:t>knowledge</w:t>
      </w:r>
      <w:r w:rsidRPr="00B17C53">
        <w:rPr>
          <w:rFonts w:ascii="Times New Roman" w:eastAsia="Times New Roman" w:hAnsi="Times New Roman" w:cs="Times New Roman"/>
          <w:sz w:val="24"/>
          <w:szCs w:val="24"/>
        </w:rPr>
        <w:t xml:space="preserve"> of automatism indicates the occurrence of an act that has been done by the body of an individual who was not under the control of the mind. It also essential to mention here that, in terms of automatism, the situation of </w:t>
      </w:r>
      <w:r w:rsidR="009E5376" w:rsidRPr="00B17C53">
        <w:rPr>
          <w:rFonts w:ascii="Times New Roman" w:eastAsia="Times New Roman" w:hAnsi="Times New Roman" w:cs="Times New Roman"/>
          <w:sz w:val="24"/>
          <w:szCs w:val="24"/>
        </w:rPr>
        <w:t>Freya</w:t>
      </w:r>
      <w:r w:rsidRPr="00B17C53">
        <w:rPr>
          <w:rFonts w:ascii="Times New Roman" w:eastAsia="Times New Roman" w:hAnsi="Times New Roman" w:cs="Times New Roman"/>
          <w:sz w:val="24"/>
          <w:szCs w:val="24"/>
        </w:rPr>
        <w:t xml:space="preserve"> arises from the disease of her mind, which is epilepsy, and from the internal malfunctioning of her body, which has caused her to punch mike and give him black eyes.</w:t>
      </w:r>
    </w:p>
    <w:p w14:paraId="0955D823" w14:textId="77777777" w:rsidR="00953880" w:rsidRPr="009E5376" w:rsidRDefault="00953880" w:rsidP="00953880">
      <w:pPr>
        <w:rPr>
          <w:rFonts w:ascii="Times New Roman" w:eastAsia="Times New Roman" w:hAnsi="Times New Roman" w:cs="Times New Roman"/>
          <w:b/>
          <w:bCs/>
          <w:sz w:val="24"/>
          <w:szCs w:val="24"/>
        </w:rPr>
      </w:pPr>
      <w:r w:rsidRPr="009E5376">
        <w:rPr>
          <w:rFonts w:ascii="Times New Roman" w:eastAsia="Times New Roman" w:hAnsi="Times New Roman" w:cs="Times New Roman"/>
          <w:b/>
          <w:bCs/>
          <w:sz w:val="24"/>
          <w:szCs w:val="24"/>
        </w:rPr>
        <w:t>Actus reus of the crime</w:t>
      </w:r>
    </w:p>
    <w:p w14:paraId="75E6CC9B" w14:textId="77777777" w:rsidR="00953880" w:rsidRPr="009E5376" w:rsidRDefault="00953880" w:rsidP="00953880">
      <w:pPr>
        <w:rPr>
          <w:rFonts w:ascii="Times New Roman" w:eastAsia="Times New Roman" w:hAnsi="Times New Roman" w:cs="Times New Roman"/>
          <w:sz w:val="24"/>
          <w:szCs w:val="24"/>
        </w:rPr>
      </w:pPr>
      <w:r w:rsidRPr="009E5376">
        <w:rPr>
          <w:rFonts w:ascii="Times New Roman" w:eastAsia="Times New Roman" w:hAnsi="Times New Roman" w:cs="Times New Roman"/>
          <w:sz w:val="24"/>
          <w:szCs w:val="24"/>
        </w:rPr>
        <w:t>The actus reus of the crime is essentially addressing the abuse of alcohol that has been caused by Freya, as she has drunk a lot of gin and tonic. Moreover, the occurrences of bodily harm on mike are also considered the actus reus here for Freya.</w:t>
      </w:r>
    </w:p>
    <w:p w14:paraId="42C30A5D" w14:textId="77777777" w:rsidR="00953880" w:rsidRPr="009E5376" w:rsidRDefault="00953880" w:rsidP="00953880">
      <w:pPr>
        <w:rPr>
          <w:rFonts w:ascii="Times New Roman" w:eastAsia="Times New Roman" w:hAnsi="Times New Roman" w:cs="Times New Roman"/>
          <w:b/>
          <w:bCs/>
          <w:sz w:val="24"/>
          <w:szCs w:val="24"/>
        </w:rPr>
      </w:pPr>
      <w:r w:rsidRPr="009E5376">
        <w:rPr>
          <w:rFonts w:ascii="Times New Roman" w:eastAsia="Times New Roman" w:hAnsi="Times New Roman" w:cs="Times New Roman"/>
          <w:b/>
          <w:bCs/>
          <w:sz w:val="24"/>
          <w:szCs w:val="24"/>
        </w:rPr>
        <w:t xml:space="preserve">Men’s Rea of the crime    </w:t>
      </w:r>
    </w:p>
    <w:p w14:paraId="4EF56258" w14:textId="40D35434" w:rsidR="00953880" w:rsidRPr="00B17C53" w:rsidRDefault="00953880" w:rsidP="00953880">
      <w:pPr>
        <w:rPr>
          <w:rFonts w:ascii="Times New Roman" w:eastAsia="Times New Roman" w:hAnsi="Times New Roman" w:cs="Times New Roman"/>
          <w:sz w:val="24"/>
          <w:szCs w:val="24"/>
        </w:rPr>
      </w:pPr>
      <w:r w:rsidRPr="00B17C53">
        <w:rPr>
          <w:rFonts w:ascii="Times New Roman" w:eastAsia="Times New Roman" w:hAnsi="Times New Roman" w:cs="Times New Roman"/>
          <w:sz w:val="24"/>
          <w:szCs w:val="24"/>
        </w:rPr>
        <w:t xml:space="preserve">The </w:t>
      </w:r>
      <w:r w:rsidR="009E5376" w:rsidRPr="00B17C53">
        <w:rPr>
          <w:rFonts w:ascii="Times New Roman" w:eastAsia="Times New Roman" w:hAnsi="Times New Roman" w:cs="Times New Roman"/>
          <w:sz w:val="24"/>
          <w:szCs w:val="24"/>
        </w:rPr>
        <w:t>men’s</w:t>
      </w:r>
      <w:r w:rsidRPr="00B17C53">
        <w:rPr>
          <w:rFonts w:ascii="Times New Roman" w:eastAsia="Times New Roman" w:hAnsi="Times New Roman" w:cs="Times New Roman"/>
          <w:sz w:val="24"/>
          <w:szCs w:val="24"/>
        </w:rPr>
        <w:t xml:space="preserve"> rea of the crime also indicates the occurrence of the seizure due to having epilepsy and the unintentional harm done to Mike by Freya. </w:t>
      </w:r>
      <w:r w:rsidR="009E5376" w:rsidRPr="00B17C53">
        <w:rPr>
          <w:rFonts w:ascii="Times New Roman" w:eastAsia="Times New Roman" w:hAnsi="Times New Roman" w:cs="Times New Roman"/>
          <w:sz w:val="24"/>
          <w:szCs w:val="24"/>
        </w:rPr>
        <w:t>As she</w:t>
      </w:r>
      <w:r w:rsidRPr="00B17C53">
        <w:rPr>
          <w:rFonts w:ascii="Times New Roman" w:eastAsia="Times New Roman" w:hAnsi="Times New Roman" w:cs="Times New Roman"/>
          <w:sz w:val="24"/>
          <w:szCs w:val="24"/>
        </w:rPr>
        <w:t xml:space="preserve"> was already suffering from a mental illness or disease, no proper </w:t>
      </w:r>
      <w:r w:rsidR="009E5376" w:rsidRPr="00B17C53">
        <w:rPr>
          <w:rFonts w:ascii="Times New Roman" w:eastAsia="Times New Roman" w:hAnsi="Times New Roman" w:cs="Times New Roman"/>
          <w:sz w:val="24"/>
          <w:szCs w:val="24"/>
        </w:rPr>
        <w:t>men’s</w:t>
      </w:r>
      <w:r w:rsidRPr="00B17C53">
        <w:rPr>
          <w:rFonts w:ascii="Times New Roman" w:eastAsia="Times New Roman" w:hAnsi="Times New Roman" w:cs="Times New Roman"/>
          <w:sz w:val="24"/>
          <w:szCs w:val="24"/>
        </w:rPr>
        <w:t xml:space="preserve"> rea has developed here, as she had no intention of harming </w:t>
      </w:r>
      <w:r w:rsidR="009E5376" w:rsidRPr="00B17C53">
        <w:rPr>
          <w:rFonts w:ascii="Times New Roman" w:eastAsia="Times New Roman" w:hAnsi="Times New Roman" w:cs="Times New Roman"/>
          <w:sz w:val="24"/>
          <w:szCs w:val="24"/>
        </w:rPr>
        <w:t>Mike and</w:t>
      </w:r>
      <w:r w:rsidRPr="00B17C53">
        <w:rPr>
          <w:rFonts w:ascii="Times New Roman" w:eastAsia="Times New Roman" w:hAnsi="Times New Roman" w:cs="Times New Roman"/>
          <w:sz w:val="24"/>
          <w:szCs w:val="24"/>
        </w:rPr>
        <w:t xml:space="preserve"> was facing a seizure, triggered her to commit the bodily harm.</w:t>
      </w:r>
    </w:p>
    <w:p w14:paraId="57980A2C" w14:textId="77777777" w:rsidR="00953880" w:rsidRPr="009E5376" w:rsidRDefault="00953880" w:rsidP="00953880">
      <w:pPr>
        <w:rPr>
          <w:rFonts w:ascii="Times New Roman" w:eastAsia="Times New Roman" w:hAnsi="Times New Roman" w:cs="Times New Roman"/>
          <w:b/>
          <w:bCs/>
          <w:sz w:val="24"/>
          <w:szCs w:val="24"/>
        </w:rPr>
      </w:pPr>
      <w:r w:rsidRPr="009E5376">
        <w:rPr>
          <w:rFonts w:ascii="Times New Roman" w:eastAsia="Times New Roman" w:hAnsi="Times New Roman" w:cs="Times New Roman"/>
          <w:b/>
          <w:bCs/>
          <w:sz w:val="24"/>
          <w:szCs w:val="24"/>
        </w:rPr>
        <w:t>Supporting with Case Law</w:t>
      </w:r>
    </w:p>
    <w:p w14:paraId="4F121F57" w14:textId="28BE3792" w:rsidR="00953880" w:rsidRPr="00B17C53" w:rsidRDefault="00953880" w:rsidP="00953880">
      <w:pPr>
        <w:rPr>
          <w:rFonts w:ascii="Times New Roman" w:eastAsia="Times New Roman" w:hAnsi="Times New Roman" w:cs="Times New Roman"/>
          <w:sz w:val="24"/>
          <w:szCs w:val="24"/>
        </w:rPr>
      </w:pPr>
      <w:r w:rsidRPr="00B17C53">
        <w:rPr>
          <w:rFonts w:ascii="Times New Roman" w:eastAsia="Times New Roman" w:hAnsi="Times New Roman" w:cs="Times New Roman"/>
          <w:sz w:val="24"/>
          <w:szCs w:val="24"/>
        </w:rPr>
        <w:t xml:space="preserve">Based on the identification of the actus reus and </w:t>
      </w:r>
      <w:r w:rsidR="009E5376" w:rsidRPr="00B17C53">
        <w:rPr>
          <w:rFonts w:ascii="Times New Roman" w:eastAsia="Times New Roman" w:hAnsi="Times New Roman" w:cs="Times New Roman"/>
          <w:sz w:val="24"/>
          <w:szCs w:val="24"/>
        </w:rPr>
        <w:t>men’s</w:t>
      </w:r>
      <w:r w:rsidRPr="00B17C53">
        <w:rPr>
          <w:rFonts w:ascii="Times New Roman" w:eastAsia="Times New Roman" w:hAnsi="Times New Roman" w:cs="Times New Roman"/>
          <w:sz w:val="24"/>
          <w:szCs w:val="24"/>
        </w:rPr>
        <w:t xml:space="preserve"> rea elements, it is highly essential to support Freya’s situation with the application of case law examples. At first, it is essential to address here that, though she has been charged with the criminal offence of causing bodily harm, due to her having voluntarily consumed alcohol and losing control over her mind due to a seizure occurring from epilepsy, there is a possibility for Freya to rely on her intoxication state to overcome the liability of the criminal offence. The application of the case such as </w:t>
      </w:r>
      <w:r w:rsidRPr="00B17C53">
        <w:rPr>
          <w:rFonts w:ascii="Times New Roman" w:eastAsia="Times New Roman" w:hAnsi="Times New Roman" w:cs="Times New Roman"/>
          <w:i/>
          <w:iCs/>
          <w:sz w:val="24"/>
          <w:szCs w:val="24"/>
        </w:rPr>
        <w:t xml:space="preserve">R v. Sullivan [1984] AC 156 </w:t>
      </w:r>
      <w:r w:rsidRPr="00B17C53">
        <w:rPr>
          <w:rFonts w:ascii="Times New Roman" w:eastAsia="Times New Roman" w:hAnsi="Times New Roman" w:cs="Times New Roman"/>
          <w:sz w:val="24"/>
          <w:szCs w:val="24"/>
        </w:rPr>
        <w:t>is prominent here, as this also indicates the similar situation of seizure occurring from epilepsy and the causing of bodily to a person.</w:t>
      </w:r>
    </w:p>
    <w:p w14:paraId="6A053A14" w14:textId="77777777" w:rsidR="00953880" w:rsidRPr="009E5376" w:rsidRDefault="00953880" w:rsidP="00953880">
      <w:pPr>
        <w:rPr>
          <w:rFonts w:ascii="Times New Roman" w:eastAsia="Times New Roman" w:hAnsi="Times New Roman" w:cs="Times New Roman"/>
          <w:b/>
          <w:bCs/>
          <w:i/>
          <w:iCs/>
          <w:sz w:val="24"/>
          <w:szCs w:val="24"/>
        </w:rPr>
      </w:pPr>
      <w:r w:rsidRPr="009E5376">
        <w:rPr>
          <w:rFonts w:ascii="Times New Roman" w:eastAsia="Times New Roman" w:hAnsi="Times New Roman" w:cs="Times New Roman"/>
          <w:b/>
          <w:bCs/>
          <w:sz w:val="24"/>
          <w:szCs w:val="24"/>
        </w:rPr>
        <w:t>Fact of R</w:t>
      </w:r>
      <w:r w:rsidRPr="009E5376">
        <w:rPr>
          <w:rFonts w:ascii="Times New Roman" w:eastAsia="Times New Roman" w:hAnsi="Times New Roman" w:cs="Times New Roman"/>
          <w:b/>
          <w:bCs/>
          <w:i/>
          <w:iCs/>
          <w:sz w:val="24"/>
          <w:szCs w:val="24"/>
        </w:rPr>
        <w:t xml:space="preserve"> v. Sullivan [1984] AC 156</w:t>
      </w:r>
    </w:p>
    <w:p w14:paraId="65920F25" w14:textId="2EA24A04" w:rsidR="00953880" w:rsidRPr="00B17C53" w:rsidRDefault="00953880" w:rsidP="00953880">
      <w:pPr>
        <w:rPr>
          <w:rFonts w:ascii="Times New Roman" w:eastAsia="Times New Roman" w:hAnsi="Times New Roman" w:cs="Times New Roman"/>
          <w:sz w:val="24"/>
          <w:szCs w:val="24"/>
        </w:rPr>
      </w:pPr>
      <w:r w:rsidRPr="00B17C53">
        <w:rPr>
          <w:rFonts w:ascii="Times New Roman" w:eastAsia="Times New Roman" w:hAnsi="Times New Roman" w:cs="Times New Roman"/>
          <w:sz w:val="24"/>
          <w:szCs w:val="24"/>
        </w:rPr>
        <w:t xml:space="preserve">The defendant, who has psychomotor epilepsy, kicked the victim in the head with great force while having a seizure. According to Sections 18 and 20 of the Offences against persons Act 1861, he was accused of causing grievous bodily harm. After consulting with counsel, he changed his plea from not guilty to assault causing actual bodily harm in violation of Section 47 of the Offence Against Person Act of 1861 and was found guilty of the crime. Two medical experts testified at the trial that the defendant's attack on the victim most likely happened during the postictal stage of the epileptic seizure, at which stage a sufferer makes automatic movements without being aware of them. The evidence presented at trial indicates that the defendant did not remember the incident, and this evidence was accepted. The trial judge determined that insanity, not automatism, should be used as the </w:t>
      </w:r>
      <w:proofErr w:type="spellStart"/>
      <w:r w:rsidR="009E5376" w:rsidRPr="00B17C53">
        <w:rPr>
          <w:rFonts w:ascii="Times New Roman" w:eastAsia="Times New Roman" w:hAnsi="Times New Roman" w:cs="Times New Roman"/>
          <w:sz w:val="24"/>
          <w:szCs w:val="24"/>
        </w:rPr>
        <w:t>def</w:t>
      </w:r>
      <w:r w:rsidR="009E5376">
        <w:rPr>
          <w:rFonts w:ascii="Times New Roman" w:eastAsia="Times New Roman" w:hAnsi="Times New Roman" w:cs="Times New Roman"/>
          <w:sz w:val="24"/>
          <w:szCs w:val="24"/>
        </w:rPr>
        <w:t>ence</w:t>
      </w:r>
      <w:proofErr w:type="spellEnd"/>
      <w:r w:rsidRPr="00B17C53">
        <w:rPr>
          <w:rFonts w:ascii="Times New Roman" w:eastAsia="Times New Roman" w:hAnsi="Times New Roman" w:cs="Times New Roman"/>
          <w:sz w:val="24"/>
          <w:szCs w:val="24"/>
        </w:rPr>
        <w:t xml:space="preserve"> in this case.  </w:t>
      </w:r>
    </w:p>
    <w:p w14:paraId="2F21C54E" w14:textId="77777777" w:rsidR="00953880" w:rsidRPr="009E5376" w:rsidRDefault="00953880" w:rsidP="00953880">
      <w:pPr>
        <w:rPr>
          <w:rFonts w:ascii="Times New Roman" w:eastAsia="Times New Roman" w:hAnsi="Times New Roman" w:cs="Times New Roman"/>
          <w:b/>
          <w:bCs/>
          <w:sz w:val="24"/>
          <w:szCs w:val="24"/>
        </w:rPr>
      </w:pPr>
      <w:r w:rsidRPr="009E5376">
        <w:rPr>
          <w:rFonts w:ascii="Times New Roman" w:eastAsia="Times New Roman" w:hAnsi="Times New Roman" w:cs="Times New Roman"/>
          <w:b/>
          <w:bCs/>
          <w:sz w:val="24"/>
          <w:szCs w:val="24"/>
        </w:rPr>
        <w:t>Decision</w:t>
      </w:r>
    </w:p>
    <w:p w14:paraId="7F636210" w14:textId="4A06965B" w:rsidR="00953880" w:rsidRPr="00B17C53" w:rsidRDefault="00953880" w:rsidP="00953880">
      <w:pPr>
        <w:rPr>
          <w:rFonts w:ascii="Times New Roman" w:eastAsia="Times New Roman" w:hAnsi="Times New Roman" w:cs="Times New Roman"/>
          <w:sz w:val="24"/>
          <w:szCs w:val="24"/>
        </w:rPr>
      </w:pPr>
      <w:r w:rsidRPr="00B17C53">
        <w:rPr>
          <w:rFonts w:ascii="Times New Roman" w:eastAsia="Times New Roman" w:hAnsi="Times New Roman" w:cs="Times New Roman"/>
          <w:sz w:val="24"/>
          <w:szCs w:val="24"/>
        </w:rPr>
        <w:t xml:space="preserve">The trial judge’s assessment that epilepsy is a mental illness and that the best </w:t>
      </w:r>
      <w:r w:rsidR="00B17C53" w:rsidRPr="00B17C53">
        <w:rPr>
          <w:rFonts w:ascii="Times New Roman" w:eastAsia="Times New Roman" w:hAnsi="Times New Roman" w:cs="Times New Roman"/>
          <w:sz w:val="24"/>
          <w:szCs w:val="24"/>
        </w:rPr>
        <w:t>defense</w:t>
      </w:r>
      <w:r w:rsidRPr="00B17C53">
        <w:rPr>
          <w:rFonts w:ascii="Times New Roman" w:eastAsia="Times New Roman" w:hAnsi="Times New Roman" w:cs="Times New Roman"/>
          <w:sz w:val="24"/>
          <w:szCs w:val="24"/>
        </w:rPr>
        <w:t xml:space="preserve"> is insanity was accepted by the court. Epilepsy falls under the </w:t>
      </w:r>
      <w:proofErr w:type="spellStart"/>
      <w:r w:rsidR="001973BC" w:rsidRPr="00B17C53">
        <w:rPr>
          <w:rFonts w:ascii="Times New Roman" w:eastAsia="Times New Roman" w:hAnsi="Times New Roman" w:cs="Times New Roman"/>
          <w:sz w:val="24"/>
          <w:szCs w:val="24"/>
        </w:rPr>
        <w:t>M</w:t>
      </w:r>
      <w:r w:rsidR="001973BC">
        <w:rPr>
          <w:rFonts w:ascii="Times New Roman" w:eastAsia="Times New Roman" w:hAnsi="Times New Roman" w:cs="Times New Roman"/>
          <w:sz w:val="24"/>
          <w:szCs w:val="24"/>
        </w:rPr>
        <w:t>’Naghten</w:t>
      </w:r>
      <w:proofErr w:type="spellEnd"/>
      <w:r w:rsidR="001973BC">
        <w:rPr>
          <w:rFonts w:ascii="Times New Roman" w:eastAsia="Times New Roman" w:hAnsi="Times New Roman" w:cs="Times New Roman"/>
          <w:sz w:val="24"/>
          <w:szCs w:val="24"/>
        </w:rPr>
        <w:t xml:space="preserve"> </w:t>
      </w:r>
      <w:r w:rsidR="001973BC" w:rsidRPr="00B17C53">
        <w:rPr>
          <w:rFonts w:ascii="Times New Roman" w:eastAsia="Times New Roman" w:hAnsi="Times New Roman" w:cs="Times New Roman"/>
          <w:sz w:val="24"/>
          <w:szCs w:val="24"/>
        </w:rPr>
        <w:t>definition</w:t>
      </w:r>
      <w:r w:rsidRPr="00B17C53">
        <w:rPr>
          <w:rFonts w:ascii="Times New Roman" w:eastAsia="Times New Roman" w:hAnsi="Times New Roman" w:cs="Times New Roman"/>
          <w:sz w:val="24"/>
          <w:szCs w:val="24"/>
        </w:rPr>
        <w:t xml:space="preserve"> because it is an internal illness that affects the mind rather than being brought on by an external factor.</w:t>
      </w:r>
    </w:p>
    <w:p w14:paraId="22B603D7" w14:textId="77777777" w:rsidR="00953880" w:rsidRPr="00B17C53" w:rsidRDefault="00953880" w:rsidP="00953880">
      <w:pPr>
        <w:rPr>
          <w:rFonts w:ascii="Times New Roman" w:eastAsia="Times New Roman" w:hAnsi="Times New Roman" w:cs="Times New Roman"/>
          <w:sz w:val="24"/>
          <w:szCs w:val="24"/>
        </w:rPr>
      </w:pPr>
    </w:p>
    <w:p w14:paraId="3BBE04AE" w14:textId="340D769F" w:rsidR="00953880" w:rsidRDefault="00953880" w:rsidP="00953880">
      <w:pPr>
        <w:rPr>
          <w:rFonts w:ascii="Times New Roman" w:eastAsia="Times New Roman" w:hAnsi="Times New Roman" w:cs="Times New Roman"/>
          <w:sz w:val="28"/>
          <w:szCs w:val="28"/>
        </w:rPr>
      </w:pPr>
      <w:r w:rsidRPr="00B17C53">
        <w:rPr>
          <w:rFonts w:ascii="Times New Roman" w:eastAsia="Times New Roman" w:hAnsi="Times New Roman" w:cs="Times New Roman"/>
          <w:sz w:val="24"/>
          <w:szCs w:val="24"/>
        </w:rPr>
        <w:t xml:space="preserve">This essentially helps Freya in proving the fact that, though she has caused harm to Mike, that harm has mainly occurred due to her seizure occurring from epilepsy. Moreover, in terms of relying on intoxication, that has also been done voluntarily by Freya. This is supportive of the case of </w:t>
      </w:r>
      <w:r w:rsidRPr="00B17C53">
        <w:rPr>
          <w:rFonts w:ascii="Times New Roman" w:eastAsia="Times New Roman" w:hAnsi="Times New Roman" w:cs="Times New Roman"/>
          <w:i/>
          <w:iCs/>
          <w:sz w:val="24"/>
          <w:szCs w:val="24"/>
        </w:rPr>
        <w:t xml:space="preserve">R v. Lipman [1970] 1 QB 152, </w:t>
      </w:r>
      <w:r w:rsidRPr="00B17C53">
        <w:rPr>
          <w:rFonts w:ascii="Times New Roman" w:eastAsia="Times New Roman" w:hAnsi="Times New Roman" w:cs="Times New Roman"/>
          <w:sz w:val="24"/>
          <w:szCs w:val="24"/>
        </w:rPr>
        <w:t xml:space="preserve">where voluntary intoxication made the defendant manslaughter while having an LSD trip. As the defendant was held intoxication, the decision taken by the court indicates that he was not having a </w:t>
      </w:r>
      <w:r w:rsidR="00B17C53" w:rsidRPr="00B17C53">
        <w:rPr>
          <w:rFonts w:ascii="Times New Roman" w:eastAsia="Times New Roman" w:hAnsi="Times New Roman" w:cs="Times New Roman"/>
          <w:sz w:val="24"/>
          <w:szCs w:val="24"/>
        </w:rPr>
        <w:t>men’s</w:t>
      </w:r>
      <w:r w:rsidRPr="00B17C53">
        <w:rPr>
          <w:rFonts w:ascii="Times New Roman" w:eastAsia="Times New Roman" w:hAnsi="Times New Roman" w:cs="Times New Roman"/>
          <w:sz w:val="24"/>
          <w:szCs w:val="24"/>
        </w:rPr>
        <w:t xml:space="preserve"> rea enough to determine that, while intoxication, he was having a guilty mind about killing his friend. This has enabled the court to prove that the defendant is not criminally liable. Similarly, by relying on intoxication, there is a possibility for Freya to overcome the criminal offence. Based on the understanding of automatism, no </w:t>
      </w:r>
      <w:r w:rsidR="00B17C53" w:rsidRPr="00B17C53">
        <w:rPr>
          <w:rFonts w:ascii="Times New Roman" w:eastAsia="Times New Roman" w:hAnsi="Times New Roman" w:cs="Times New Roman"/>
          <w:sz w:val="24"/>
          <w:szCs w:val="24"/>
        </w:rPr>
        <w:t>men’s</w:t>
      </w:r>
      <w:r w:rsidRPr="00B17C53">
        <w:rPr>
          <w:rFonts w:ascii="Times New Roman" w:eastAsia="Times New Roman" w:hAnsi="Times New Roman" w:cs="Times New Roman"/>
          <w:sz w:val="24"/>
          <w:szCs w:val="24"/>
        </w:rPr>
        <w:t xml:space="preserve"> rea is also prominent in the case of Freya, and it is also similar to the case of</w:t>
      </w:r>
      <w:r w:rsidRPr="00B17C53">
        <w:rPr>
          <w:rFonts w:ascii="Times New Roman" w:eastAsia="Times New Roman" w:hAnsi="Times New Roman" w:cs="Times New Roman"/>
          <w:i/>
          <w:iCs/>
          <w:sz w:val="24"/>
          <w:szCs w:val="24"/>
        </w:rPr>
        <w:t xml:space="preserve"> Hill v. Baxter [1958] 1 All ER </w:t>
      </w:r>
      <w:r w:rsidR="00B17C53" w:rsidRPr="00B17C53">
        <w:rPr>
          <w:rFonts w:ascii="Times New Roman" w:eastAsia="Times New Roman" w:hAnsi="Times New Roman" w:cs="Times New Roman"/>
          <w:i/>
          <w:iCs/>
          <w:sz w:val="24"/>
          <w:szCs w:val="24"/>
        </w:rPr>
        <w:t>193,</w:t>
      </w:r>
      <w:r w:rsidR="00B17C53" w:rsidRPr="00B17C53">
        <w:rPr>
          <w:rFonts w:ascii="Times New Roman" w:eastAsia="Times New Roman" w:hAnsi="Times New Roman" w:cs="Times New Roman"/>
          <w:sz w:val="24"/>
          <w:szCs w:val="24"/>
        </w:rPr>
        <w:t xml:space="preserve"> which</w:t>
      </w:r>
      <w:r w:rsidRPr="00B17C53">
        <w:rPr>
          <w:rFonts w:ascii="Times New Roman" w:eastAsia="Times New Roman" w:hAnsi="Times New Roman" w:cs="Times New Roman"/>
          <w:sz w:val="24"/>
          <w:szCs w:val="24"/>
        </w:rPr>
        <w:t xml:space="preserve"> also indicates that the accused did not have any knowledge, nature or quality of action. In a similar sense, the seizure condition and intoxication have also caused Freya to inflict bodily harm on Mike, which also helps Freya prove that she is not guilty under Section 47 of the Offence against person Act 1981</w:t>
      </w:r>
      <w:r w:rsidRPr="5BEBFA9E">
        <w:rPr>
          <w:rFonts w:ascii="Times New Roman" w:eastAsia="Times New Roman" w:hAnsi="Times New Roman" w:cs="Times New Roman"/>
          <w:sz w:val="28"/>
          <w:szCs w:val="28"/>
        </w:rPr>
        <w:t>.</w:t>
      </w:r>
    </w:p>
    <w:p w14:paraId="6BCB29CC" w14:textId="77777777" w:rsidR="00953880" w:rsidRPr="009E5376" w:rsidRDefault="00953880" w:rsidP="00953880">
      <w:pPr>
        <w:rPr>
          <w:rFonts w:ascii="Times New Roman" w:eastAsia="Times New Roman" w:hAnsi="Times New Roman" w:cs="Times New Roman"/>
          <w:b/>
          <w:bCs/>
          <w:sz w:val="24"/>
          <w:szCs w:val="24"/>
        </w:rPr>
      </w:pPr>
      <w:r w:rsidRPr="009E5376">
        <w:rPr>
          <w:rFonts w:ascii="Times New Roman" w:eastAsia="Times New Roman" w:hAnsi="Times New Roman" w:cs="Times New Roman"/>
          <w:b/>
          <w:bCs/>
          <w:sz w:val="24"/>
          <w:szCs w:val="24"/>
        </w:rPr>
        <w:t xml:space="preserve">Conclusion </w:t>
      </w:r>
    </w:p>
    <w:p w14:paraId="6C0F762F" w14:textId="0D9FECF8" w:rsidR="00953880" w:rsidRDefault="00953880" w:rsidP="00953880">
      <w:pPr>
        <w:rPr>
          <w:rFonts w:ascii="Times New Roman" w:eastAsia="Times New Roman" w:hAnsi="Times New Roman" w:cs="Times New Roman"/>
          <w:sz w:val="28"/>
          <w:szCs w:val="28"/>
        </w:rPr>
      </w:pPr>
      <w:r w:rsidRPr="00B17C53">
        <w:rPr>
          <w:rFonts w:ascii="Times New Roman" w:eastAsia="Times New Roman" w:hAnsi="Times New Roman" w:cs="Times New Roman"/>
          <w:sz w:val="24"/>
          <w:szCs w:val="24"/>
        </w:rPr>
        <w:t xml:space="preserve">In conclusion, the application of appropriate case examples, the act, and the evaluation of the actus reus and men’s rea have helped in determining the possibility of freaky </w:t>
      </w:r>
      <w:r w:rsidR="00B17C53" w:rsidRPr="00B17C53">
        <w:rPr>
          <w:rFonts w:ascii="Times New Roman" w:eastAsia="Times New Roman" w:hAnsi="Times New Roman" w:cs="Times New Roman"/>
          <w:sz w:val="24"/>
          <w:szCs w:val="24"/>
        </w:rPr>
        <w:t>behavior</w:t>
      </w:r>
      <w:r w:rsidRPr="00B17C53">
        <w:rPr>
          <w:rFonts w:ascii="Times New Roman" w:eastAsia="Times New Roman" w:hAnsi="Times New Roman" w:cs="Times New Roman"/>
          <w:sz w:val="24"/>
          <w:szCs w:val="24"/>
        </w:rPr>
        <w:t xml:space="preserve"> in avoiding the criminal offence and also the consequences of it</w:t>
      </w:r>
      <w:r w:rsidRPr="5BEBFA9E">
        <w:rPr>
          <w:rFonts w:ascii="Times New Roman" w:eastAsia="Times New Roman" w:hAnsi="Times New Roman" w:cs="Times New Roman"/>
          <w:sz w:val="28"/>
          <w:szCs w:val="28"/>
        </w:rPr>
        <w:t>.</w:t>
      </w:r>
    </w:p>
    <w:p w14:paraId="109B6C87" w14:textId="77777777" w:rsidR="00B17C53" w:rsidRDefault="00B17C53" w:rsidP="00953880">
      <w:pPr>
        <w:rPr>
          <w:rFonts w:ascii="Times New Roman" w:eastAsia="Times New Roman" w:hAnsi="Times New Roman" w:cs="Times New Roman"/>
          <w:sz w:val="28"/>
          <w:szCs w:val="28"/>
        </w:rPr>
      </w:pPr>
    </w:p>
    <w:p w14:paraId="395C7D64" w14:textId="749EB3E5" w:rsidR="00B17C53" w:rsidRDefault="00B17C53" w:rsidP="00953880">
      <w:pPr>
        <w:rPr>
          <w:rFonts w:ascii="Times New Roman" w:eastAsia="Times New Roman" w:hAnsi="Times New Roman" w:cs="Times New Roman"/>
          <w:b/>
          <w:bCs/>
          <w:sz w:val="24"/>
          <w:szCs w:val="24"/>
        </w:rPr>
      </w:pPr>
      <w:r w:rsidRPr="009E5376">
        <w:rPr>
          <w:rFonts w:ascii="Times New Roman" w:eastAsia="Times New Roman" w:hAnsi="Times New Roman" w:cs="Times New Roman"/>
          <w:b/>
          <w:bCs/>
          <w:sz w:val="24"/>
          <w:szCs w:val="24"/>
        </w:rPr>
        <w:t>Reference list</w:t>
      </w:r>
    </w:p>
    <w:p w14:paraId="061E4523" w14:textId="0DA20A09" w:rsidR="001973BC" w:rsidRPr="001973BC" w:rsidRDefault="001973BC" w:rsidP="001973BC">
      <w:pPr>
        <w:shd w:val="clear" w:color="auto" w:fill="FFFFFF"/>
        <w:ind w:right="1440"/>
        <w:rPr>
          <w:rFonts w:asciiTheme="majorBidi" w:hAnsiTheme="majorBidi" w:cstheme="majorBidi"/>
          <w:b/>
          <w:i/>
          <w:sz w:val="20"/>
          <w:szCs w:val="20"/>
          <w:lang w:val="en-GB"/>
        </w:rPr>
      </w:pPr>
      <w:r w:rsidRPr="0009194A">
        <w:rPr>
          <w:rFonts w:asciiTheme="majorBidi" w:hAnsiTheme="majorBidi" w:cstheme="majorBidi"/>
          <w:b/>
          <w:i/>
          <w:sz w:val="20"/>
          <w:szCs w:val="20"/>
          <w:lang w:val="en-GB"/>
        </w:rPr>
        <w:t>Websites</w:t>
      </w:r>
    </w:p>
    <w:p w14:paraId="54AA0B94" w14:textId="77777777" w:rsidR="001973BC" w:rsidRDefault="001973BC" w:rsidP="001973BC">
      <w:pPr>
        <w:shd w:val="clear" w:color="auto" w:fill="FFFFFF"/>
        <w:ind w:right="1440"/>
        <w:rPr>
          <w:rFonts w:asciiTheme="majorBidi" w:hAnsiTheme="majorBidi" w:cstheme="majorBidi"/>
          <w:sz w:val="20"/>
          <w:szCs w:val="20"/>
          <w:lang w:val="en-GB"/>
        </w:rPr>
      </w:pPr>
      <w:r w:rsidRPr="0009194A">
        <w:rPr>
          <w:rFonts w:asciiTheme="majorBidi" w:hAnsiTheme="majorBidi" w:cstheme="majorBidi"/>
          <w:sz w:val="20"/>
          <w:szCs w:val="20"/>
          <w:lang w:val="en-GB"/>
        </w:rPr>
        <w:t xml:space="preserve">Participation, E. (1968) Theft act 1968, Legislation.gov.uk. Statue Law Database. Available at: </w:t>
      </w:r>
      <w:hyperlink r:id="rId4" w:anchor=":~:text=(1)A%20person%20is%20guilty,steal%E2%80%9D%20shall%20be%20constructed%20accordingly" w:history="1">
        <w:r w:rsidRPr="0009194A">
          <w:rPr>
            <w:rFonts w:asciiTheme="majorBidi" w:hAnsiTheme="majorBidi" w:cstheme="majorBidi"/>
            <w:color w:val="1155CC"/>
            <w:sz w:val="20"/>
            <w:szCs w:val="20"/>
            <w:u w:val="single"/>
            <w:lang w:val="en-GB"/>
          </w:rPr>
          <w:t>https://www.legislation.gov.uk/ukpga/1968/60#:~:text=(1)A%20person%20is%20guilty,steal%E2%80%9D%20shall%20be%20constructed%20accordingly</w:t>
        </w:r>
      </w:hyperlink>
      <w:r w:rsidRPr="0009194A">
        <w:rPr>
          <w:rFonts w:asciiTheme="majorBidi" w:hAnsiTheme="majorBidi" w:cstheme="majorBidi"/>
          <w:sz w:val="20"/>
          <w:szCs w:val="20"/>
          <w:lang w:val="en-GB"/>
        </w:rPr>
        <w:t xml:space="preserve">. (Accessed: January 2, 2023). </w:t>
      </w:r>
    </w:p>
    <w:p w14:paraId="65213C1B" w14:textId="77777777" w:rsidR="001973BC" w:rsidRDefault="001973BC" w:rsidP="001973BC">
      <w:pPr>
        <w:shd w:val="clear" w:color="auto" w:fill="FFFFFF"/>
        <w:ind w:right="1440"/>
        <w:rPr>
          <w:rFonts w:asciiTheme="majorBidi" w:hAnsiTheme="majorBidi" w:cstheme="majorBidi"/>
          <w:sz w:val="20"/>
          <w:szCs w:val="20"/>
          <w:lang w:val="en-GB"/>
        </w:rPr>
      </w:pPr>
      <w:r w:rsidRPr="0009194A">
        <w:rPr>
          <w:rFonts w:asciiTheme="majorBidi" w:hAnsiTheme="majorBidi" w:cstheme="majorBidi"/>
          <w:sz w:val="20"/>
          <w:szCs w:val="20"/>
          <w:lang w:val="en-GB"/>
        </w:rPr>
        <w:t xml:space="preserve">Participation, E. (1971) </w:t>
      </w:r>
      <w:r w:rsidRPr="0009194A">
        <w:rPr>
          <w:rFonts w:asciiTheme="majorBidi" w:hAnsiTheme="majorBidi" w:cstheme="majorBidi"/>
          <w:i/>
          <w:sz w:val="20"/>
          <w:szCs w:val="20"/>
          <w:lang w:val="en-GB"/>
        </w:rPr>
        <w:t xml:space="preserve">Criminal damage act 1971, Legislation.gov.uk. </w:t>
      </w:r>
      <w:r w:rsidRPr="0009194A">
        <w:rPr>
          <w:rFonts w:asciiTheme="majorBidi" w:hAnsiTheme="majorBidi" w:cstheme="majorBidi"/>
          <w:sz w:val="20"/>
          <w:szCs w:val="20"/>
          <w:lang w:val="en-GB"/>
        </w:rPr>
        <w:t>Statute</w:t>
      </w:r>
      <w:r w:rsidRPr="0009194A">
        <w:rPr>
          <w:rFonts w:asciiTheme="majorBidi" w:hAnsiTheme="majorBidi" w:cstheme="majorBidi"/>
          <w:i/>
          <w:sz w:val="20"/>
          <w:szCs w:val="20"/>
          <w:lang w:val="en-GB"/>
        </w:rPr>
        <w:t xml:space="preserve"> </w:t>
      </w:r>
      <w:r w:rsidRPr="0009194A">
        <w:rPr>
          <w:rFonts w:asciiTheme="majorBidi" w:hAnsiTheme="majorBidi" w:cstheme="majorBidi"/>
          <w:sz w:val="20"/>
          <w:szCs w:val="20"/>
          <w:lang w:val="en-GB"/>
        </w:rPr>
        <w:t xml:space="preserve">Law Database. Available at: </w:t>
      </w:r>
      <w:hyperlink r:id="rId5" w:history="1">
        <w:r w:rsidRPr="0009194A">
          <w:rPr>
            <w:rFonts w:asciiTheme="majorBidi" w:hAnsiTheme="majorBidi" w:cstheme="majorBidi"/>
            <w:color w:val="1155CC"/>
            <w:sz w:val="20"/>
            <w:szCs w:val="20"/>
            <w:u w:val="single"/>
            <w:lang w:val="en-GB"/>
          </w:rPr>
          <w:t>https://www.legislation.gov.uk/id/ukpga/1971/48</w:t>
        </w:r>
      </w:hyperlink>
      <w:r w:rsidRPr="0009194A">
        <w:rPr>
          <w:rFonts w:asciiTheme="majorBidi" w:hAnsiTheme="majorBidi" w:cstheme="majorBidi"/>
          <w:sz w:val="20"/>
          <w:szCs w:val="20"/>
          <w:lang w:val="en-GB"/>
        </w:rPr>
        <w:t xml:space="preserve"> (Accessed: January 2, 2023). </w:t>
      </w:r>
    </w:p>
    <w:p w14:paraId="524EF5C8" w14:textId="1A8B17EA" w:rsidR="001973BC" w:rsidRPr="0009194A" w:rsidRDefault="001973BC" w:rsidP="001973BC">
      <w:pPr>
        <w:shd w:val="clear" w:color="auto" w:fill="FFFFFF"/>
        <w:ind w:right="1440"/>
        <w:rPr>
          <w:rFonts w:asciiTheme="majorBidi" w:hAnsiTheme="majorBidi" w:cstheme="majorBidi"/>
          <w:sz w:val="20"/>
          <w:szCs w:val="20"/>
          <w:lang w:val="en-GB"/>
        </w:rPr>
      </w:pPr>
      <w:r w:rsidRPr="0009194A">
        <w:rPr>
          <w:rFonts w:asciiTheme="majorBidi" w:hAnsiTheme="majorBidi" w:cstheme="majorBidi"/>
          <w:sz w:val="20"/>
          <w:szCs w:val="20"/>
          <w:lang w:val="en-GB"/>
        </w:rPr>
        <w:t xml:space="preserve">Participation, E. (1978) Offences against the Person Act 1861, Legislation.gov.uk. Statue Law Database. Available at: </w:t>
      </w:r>
      <w:hyperlink r:id="rId6" w:history="1">
        <w:r w:rsidRPr="0009194A">
          <w:rPr>
            <w:rFonts w:asciiTheme="majorBidi" w:hAnsiTheme="majorBidi" w:cstheme="majorBidi"/>
            <w:color w:val="1155CC"/>
            <w:sz w:val="20"/>
            <w:szCs w:val="20"/>
            <w:u w:val="single"/>
            <w:lang w:val="en-GB"/>
          </w:rPr>
          <w:t>https://www.legislation.gov.uk/ukpga/Vict/24-25/100/contents</w:t>
        </w:r>
      </w:hyperlink>
      <w:r w:rsidRPr="0009194A">
        <w:rPr>
          <w:rFonts w:asciiTheme="majorBidi" w:hAnsiTheme="majorBidi" w:cstheme="majorBidi"/>
          <w:sz w:val="20"/>
          <w:szCs w:val="20"/>
          <w:lang w:val="en-GB"/>
        </w:rPr>
        <w:t xml:space="preserve"> (Accessed: January 2, 2023).</w:t>
      </w:r>
    </w:p>
    <w:p w14:paraId="3A37CE9E" w14:textId="77777777" w:rsidR="001973BC" w:rsidRPr="0009194A" w:rsidRDefault="001973BC" w:rsidP="001973BC">
      <w:pPr>
        <w:shd w:val="clear" w:color="auto" w:fill="FFFFFF"/>
        <w:ind w:right="1440"/>
        <w:rPr>
          <w:rFonts w:asciiTheme="majorBidi" w:hAnsiTheme="majorBidi" w:cstheme="majorBidi"/>
          <w:b/>
          <w:i/>
          <w:sz w:val="20"/>
          <w:szCs w:val="20"/>
          <w:lang w:val="en-GB"/>
        </w:rPr>
      </w:pPr>
      <w:r w:rsidRPr="0009194A">
        <w:rPr>
          <w:rFonts w:asciiTheme="majorBidi" w:hAnsiTheme="majorBidi" w:cstheme="majorBidi"/>
          <w:b/>
          <w:i/>
          <w:sz w:val="20"/>
          <w:szCs w:val="20"/>
          <w:lang w:val="en-GB"/>
        </w:rPr>
        <w:t>Case Laws</w:t>
      </w:r>
    </w:p>
    <w:p w14:paraId="09FE4D35" w14:textId="77777777" w:rsidR="001973BC" w:rsidRPr="0009194A" w:rsidRDefault="001973BC" w:rsidP="001973BC">
      <w:pPr>
        <w:shd w:val="clear" w:color="auto" w:fill="FFFFFF"/>
        <w:ind w:right="1440"/>
        <w:rPr>
          <w:rFonts w:asciiTheme="majorBidi" w:hAnsiTheme="majorBidi" w:cstheme="majorBidi"/>
          <w:i/>
          <w:sz w:val="20"/>
          <w:szCs w:val="20"/>
          <w:lang w:val="en-GB"/>
        </w:rPr>
      </w:pPr>
      <w:r w:rsidRPr="0009194A">
        <w:rPr>
          <w:rFonts w:asciiTheme="majorBidi" w:hAnsiTheme="majorBidi" w:cstheme="majorBidi"/>
          <w:i/>
          <w:sz w:val="20"/>
          <w:szCs w:val="20"/>
          <w:lang w:val="en-GB"/>
        </w:rPr>
        <w:t>R v G and another [2003] UKHL 50, [2004] 1 AC 1034 (2023).</w:t>
      </w:r>
    </w:p>
    <w:p w14:paraId="7BE49A81" w14:textId="77777777" w:rsidR="001973BC" w:rsidRPr="0009194A" w:rsidRDefault="001973BC" w:rsidP="001973BC">
      <w:pPr>
        <w:shd w:val="clear" w:color="auto" w:fill="FFFFFF"/>
        <w:ind w:right="1440"/>
        <w:rPr>
          <w:rFonts w:asciiTheme="majorBidi" w:hAnsiTheme="majorBidi" w:cstheme="majorBidi"/>
          <w:i/>
          <w:sz w:val="20"/>
          <w:szCs w:val="20"/>
          <w:lang w:val="en-GB"/>
        </w:rPr>
      </w:pPr>
      <w:r w:rsidRPr="0009194A">
        <w:rPr>
          <w:rFonts w:asciiTheme="majorBidi" w:hAnsiTheme="majorBidi" w:cstheme="majorBidi"/>
          <w:i/>
          <w:sz w:val="20"/>
          <w:szCs w:val="20"/>
          <w:lang w:val="en-GB"/>
        </w:rPr>
        <w:t>R v Miller [1983] 2 AC 161</w:t>
      </w:r>
    </w:p>
    <w:p w14:paraId="0C08462C" w14:textId="77777777" w:rsidR="001973BC" w:rsidRPr="0009194A" w:rsidRDefault="001973BC" w:rsidP="001973BC">
      <w:pPr>
        <w:shd w:val="clear" w:color="auto" w:fill="FFFFFF"/>
        <w:ind w:right="1440"/>
        <w:rPr>
          <w:rFonts w:asciiTheme="majorBidi" w:hAnsiTheme="majorBidi" w:cstheme="majorBidi"/>
          <w:i/>
          <w:sz w:val="20"/>
          <w:szCs w:val="20"/>
          <w:lang w:val="en-GB"/>
        </w:rPr>
      </w:pPr>
      <w:r w:rsidRPr="0009194A">
        <w:rPr>
          <w:rFonts w:asciiTheme="majorBidi" w:hAnsiTheme="majorBidi" w:cstheme="majorBidi"/>
          <w:i/>
          <w:sz w:val="20"/>
          <w:szCs w:val="20"/>
          <w:lang w:val="en-GB"/>
        </w:rPr>
        <w:t>R v Woodman [1974] QB 758</w:t>
      </w:r>
    </w:p>
    <w:p w14:paraId="3478AA7A" w14:textId="77777777" w:rsidR="001973BC" w:rsidRPr="0009194A" w:rsidRDefault="001973BC" w:rsidP="001973BC">
      <w:pPr>
        <w:shd w:val="clear" w:color="auto" w:fill="FFFFFF"/>
        <w:ind w:right="1440"/>
        <w:rPr>
          <w:rFonts w:asciiTheme="majorBidi" w:hAnsiTheme="majorBidi" w:cstheme="majorBidi"/>
          <w:i/>
          <w:sz w:val="20"/>
          <w:szCs w:val="20"/>
          <w:lang w:val="en-GB"/>
        </w:rPr>
      </w:pPr>
      <w:r w:rsidRPr="0009194A">
        <w:rPr>
          <w:rFonts w:asciiTheme="majorBidi" w:hAnsiTheme="majorBidi" w:cstheme="majorBidi"/>
          <w:i/>
          <w:sz w:val="20"/>
          <w:szCs w:val="20"/>
          <w:lang w:val="en-GB"/>
        </w:rPr>
        <w:t>R v Sullivan [1984] AC 156</w:t>
      </w:r>
    </w:p>
    <w:p w14:paraId="1430CF68" w14:textId="77777777" w:rsidR="001973BC" w:rsidRPr="0009194A" w:rsidRDefault="001973BC" w:rsidP="001973BC">
      <w:pPr>
        <w:shd w:val="clear" w:color="auto" w:fill="FFFFFF"/>
        <w:ind w:right="1440"/>
        <w:rPr>
          <w:rFonts w:asciiTheme="majorBidi" w:hAnsiTheme="majorBidi" w:cstheme="majorBidi"/>
          <w:i/>
          <w:sz w:val="20"/>
          <w:szCs w:val="20"/>
          <w:lang w:val="en-GB"/>
        </w:rPr>
      </w:pPr>
      <w:r w:rsidRPr="0009194A">
        <w:rPr>
          <w:rFonts w:asciiTheme="majorBidi" w:hAnsiTheme="majorBidi" w:cstheme="majorBidi"/>
          <w:i/>
          <w:sz w:val="20"/>
          <w:szCs w:val="20"/>
          <w:lang w:val="en-GB"/>
        </w:rPr>
        <w:t>R v Lipman [1970] 1 QB 152</w:t>
      </w:r>
    </w:p>
    <w:p w14:paraId="2F918E64" w14:textId="77777777" w:rsidR="001973BC" w:rsidRPr="0009194A" w:rsidRDefault="001973BC" w:rsidP="001973BC">
      <w:pPr>
        <w:shd w:val="clear" w:color="auto" w:fill="FFFFFF"/>
        <w:ind w:right="1440"/>
        <w:rPr>
          <w:rFonts w:asciiTheme="majorBidi" w:hAnsiTheme="majorBidi" w:cstheme="majorBidi"/>
          <w:i/>
          <w:sz w:val="20"/>
          <w:szCs w:val="20"/>
          <w:lang w:val="en-GB"/>
        </w:rPr>
      </w:pPr>
      <w:r w:rsidRPr="0009194A">
        <w:rPr>
          <w:rFonts w:asciiTheme="majorBidi" w:hAnsiTheme="majorBidi" w:cstheme="majorBidi"/>
          <w:i/>
          <w:sz w:val="20"/>
          <w:szCs w:val="20"/>
          <w:lang w:val="en-GB"/>
        </w:rPr>
        <w:t>Hill v Baxter [1958] 1 ALL ER 193</w:t>
      </w:r>
    </w:p>
    <w:p w14:paraId="0413AC1D" w14:textId="77777777" w:rsidR="001973BC" w:rsidRPr="001973BC" w:rsidRDefault="001973BC" w:rsidP="00953880">
      <w:pPr>
        <w:rPr>
          <w:rFonts w:ascii="Times New Roman" w:eastAsia="Times New Roman" w:hAnsi="Times New Roman" w:cs="Times New Roman"/>
          <w:b/>
          <w:bCs/>
          <w:sz w:val="24"/>
          <w:szCs w:val="24"/>
          <w:lang w:val="en-GB"/>
        </w:rPr>
      </w:pPr>
    </w:p>
    <w:p w14:paraId="490B4CC0" w14:textId="77777777" w:rsidR="00B17C53" w:rsidRPr="00B17C53" w:rsidRDefault="00B17C53" w:rsidP="00953880">
      <w:pPr>
        <w:rPr>
          <w:rFonts w:ascii="Times New Roman" w:eastAsia="Times New Roman" w:hAnsi="Times New Roman" w:cs="Times New Roman"/>
          <w:b/>
          <w:bCs/>
          <w:sz w:val="28"/>
          <w:szCs w:val="28"/>
        </w:rPr>
      </w:pPr>
    </w:p>
    <w:p w14:paraId="0340B955" w14:textId="77777777" w:rsidR="00FA62C2" w:rsidRPr="00953880" w:rsidRDefault="00FA62C2" w:rsidP="008739BA">
      <w:pPr>
        <w:bidi/>
        <w:rPr>
          <w:rtl/>
        </w:rPr>
      </w:pPr>
    </w:p>
    <w:sectPr w:rsidR="00FA62C2" w:rsidRPr="0095388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39BA"/>
    <w:rsid w:val="00085EF9"/>
    <w:rsid w:val="001973BC"/>
    <w:rsid w:val="008739BA"/>
    <w:rsid w:val="00953880"/>
    <w:rsid w:val="009E5376"/>
    <w:rsid w:val="00B17C53"/>
    <w:rsid w:val="00FA62C2"/>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ecimalSymbol w:val="."/>
  <w:listSeparator w:val=","/>
  <w14:docId w14:val="15339EB2"/>
  <w15:chartTrackingRefBased/>
  <w15:docId w15:val="{79FDE449-FFBB-7F43-BB82-BFE27C8B33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53880"/>
    <w:pPr>
      <w:spacing w:after="160" w:line="259" w:lineRule="auto"/>
    </w:pPr>
    <w:rPr>
      <w:sz w:val="22"/>
      <w:szCs w:val="2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legislation.gov.uk/ukpga/Vict/24-25/100/contents" TargetMode="External"/><Relationship Id="rId5" Type="http://schemas.openxmlformats.org/officeDocument/2006/relationships/hyperlink" Target="https://www.legislation.gov.uk/id/ukpga/1971/48" TargetMode="External"/><Relationship Id="rId4" Type="http://schemas.openxmlformats.org/officeDocument/2006/relationships/hyperlink" Target="https://www.legislation.gov.uk/ukpga/1968/6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28</TotalTime>
  <Pages>5</Pages>
  <Words>1687</Words>
  <Characters>9617</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Abbasa abbasa</dc:creator>
  <cp:keywords/>
  <dc:description/>
  <cp:lastModifiedBy>Abbasa abbasa</cp:lastModifiedBy>
  <cp:revision>3</cp:revision>
  <dcterms:created xsi:type="dcterms:W3CDTF">2023-03-28T17:33:00Z</dcterms:created>
  <dcterms:modified xsi:type="dcterms:W3CDTF">2023-03-28T18:04:00Z</dcterms:modified>
</cp:coreProperties>
</file>