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9A2DDA" w14:textId="77777777" w:rsidR="004D282A" w:rsidRPr="004D282A" w:rsidRDefault="004D282A" w:rsidP="004D282A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Name: John Moses Imade Omorogbe </w:t>
      </w:r>
    </w:p>
    <w:p w14:paraId="7CDE0512" w14:textId="77777777" w:rsidR="004D282A" w:rsidRPr="004D282A" w:rsidRDefault="004D282A" w:rsidP="004D282A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Student id: 2310505</w:t>
      </w:r>
    </w:p>
    <w:p w14:paraId="6C756D8F" w14:textId="77777777" w:rsidR="004D282A" w:rsidRPr="004D282A" w:rsidRDefault="004D282A" w:rsidP="004D282A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Programme: </w:t>
      </w:r>
      <w:proofErr w:type="spellStart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BSc</w:t>
      </w:r>
      <w:proofErr w:type="spellEnd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 (</w:t>
      </w:r>
      <w:proofErr w:type="spellStart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Hons</w:t>
      </w:r>
      <w:proofErr w:type="spellEnd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) Health and Social Care</w:t>
      </w:r>
    </w:p>
    <w:p w14:paraId="62DBBF68" w14:textId="54577771" w:rsidR="00D705DA" w:rsidRPr="004D282A" w:rsidRDefault="004D282A" w:rsidP="004D282A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Module: </w:t>
      </w:r>
      <w:r w:rsidR="00D705D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empowering the older person </w:t>
      </w:r>
    </w:p>
    <w:p w14:paraId="3FB6B35D" w14:textId="73E202E3" w:rsidR="004D282A" w:rsidRPr="004D282A" w:rsidRDefault="004D282A" w:rsidP="004D282A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Module code: BMHP602</w:t>
      </w:r>
      <w:r w:rsidR="00D705D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7</w:t>
      </w:r>
    </w:p>
    <w:p w14:paraId="5F0BCC20" w14:textId="510A182B" w:rsidR="004D282A" w:rsidRPr="004D282A" w:rsidRDefault="00DC0A5C" w:rsidP="004D282A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Lecture: </w:t>
      </w:r>
      <w:proofErr w:type="spellStart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rizwan</w:t>
      </w:r>
      <w:proofErr w:type="spellEnd"/>
      <w:r w:rsidR="00400D57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 </w:t>
      </w:r>
      <w:proofErr w:type="spellStart"/>
      <w:r w:rsidR="00400D57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Nadi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m</w:t>
      </w:r>
      <w:proofErr w:type="spellEnd"/>
    </w:p>
    <w:p w14:paraId="5E9C82B0" w14:textId="2AD84218" w:rsidR="00C31207" w:rsidRPr="00DC0A5C" w:rsidRDefault="004D282A" w:rsidP="00DC0A5C">
      <w:pPr>
        <w:spacing w:after="0" w:line="360" w:lineRule="auto"/>
        <w:jc w:val="both"/>
        <w:outlineLvl w:val="2"/>
        <w:rPr>
          <w:rStyle w:val="s10"/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Assignment title Component </w:t>
      </w:r>
      <w:r w:rsidR="00A80C80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2 debate</w:t>
      </w:r>
    </w:p>
    <w:p w14:paraId="09B18FA7" w14:textId="77777777" w:rsidR="00C31207" w:rsidRDefault="00C31207">
      <w:pPr>
        <w:pStyle w:val="s19"/>
        <w:spacing w:before="0" w:beforeAutospacing="0" w:after="90" w:afterAutospacing="0"/>
        <w:rPr>
          <w:rStyle w:val="s10"/>
          <w:rFonts w:ascii="Arial" w:hAnsi="Arial" w:cs="Arial"/>
          <w:b/>
          <w:bCs/>
          <w:color w:val="1F1F1F"/>
          <w:sz w:val="22"/>
          <w:szCs w:val="22"/>
        </w:rPr>
      </w:pPr>
    </w:p>
    <w:p w14:paraId="755C563D" w14:textId="77777777" w:rsidR="00C31207" w:rsidRDefault="00C31207">
      <w:pPr>
        <w:pStyle w:val="s19"/>
        <w:spacing w:before="0" w:beforeAutospacing="0" w:after="90" w:afterAutospacing="0"/>
        <w:rPr>
          <w:rStyle w:val="s10"/>
          <w:rFonts w:ascii="Arial" w:hAnsi="Arial" w:cs="Arial"/>
          <w:b/>
          <w:bCs/>
          <w:color w:val="1F1F1F"/>
          <w:sz w:val="22"/>
          <w:szCs w:val="22"/>
        </w:rPr>
      </w:pPr>
    </w:p>
    <w:p w14:paraId="0F0675A3" w14:textId="7BE0AD11" w:rsidR="00C31207" w:rsidRPr="00C31207" w:rsidRDefault="00071839">
      <w:pPr>
        <w:pStyle w:val="s19"/>
        <w:spacing w:before="0" w:beforeAutospacing="0" w:after="90" w:afterAutospacing="0"/>
        <w:rPr>
          <w:rFonts w:ascii="Arial" w:hAnsi="Arial" w:cs="Arial"/>
          <w:b/>
          <w:bCs/>
          <w:color w:val="1F1F1F"/>
          <w:sz w:val="22"/>
          <w:szCs w:val="22"/>
        </w:rPr>
      </w:pPr>
      <w:r w:rsidRPr="00071839">
        <w:rPr>
          <w:rStyle w:val="s10"/>
          <w:rFonts w:ascii="Arial" w:hAnsi="Arial" w:cs="Arial"/>
          <w:b/>
          <w:bCs/>
          <w:color w:val="1F1F1F"/>
          <w:sz w:val="22"/>
          <w:szCs w:val="22"/>
        </w:rPr>
        <w:t>Reference List</w:t>
      </w:r>
      <w:r w:rsidRPr="00071839">
        <w:rPr>
          <w:rStyle w:val="apple-converted-space"/>
          <w:rFonts w:ascii="Arial" w:hAnsi="Arial" w:cs="Arial"/>
          <w:b/>
          <w:bCs/>
          <w:color w:val="1F1F1F"/>
          <w:sz w:val="22"/>
          <w:szCs w:val="22"/>
        </w:rPr>
        <w:t> </w:t>
      </w:r>
      <w:r w:rsidRPr="00071839">
        <w:rPr>
          <w:rStyle w:val="s10"/>
          <w:rFonts w:ascii="Arial" w:hAnsi="Arial" w:cs="Arial"/>
          <w:b/>
          <w:bCs/>
          <w:color w:val="1F1F1F"/>
          <w:sz w:val="22"/>
          <w:szCs w:val="22"/>
        </w:rPr>
        <w:t>(Student B)</w:t>
      </w:r>
    </w:p>
    <w:p w14:paraId="046057FB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Ada Lovelace Institute (2022) The data divide: Public attitudes towards health data and privacy. London: Ada Lovelace Institute. Available at: https://www.adalovelaceinstitute.org/report/data-divide/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7F1BF818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Almond, H., Cummings, E. and Turner, P., 2019. Empowerment, digital literacy and shared digital health records: the value of ‘nothing about me without me’. Stud Health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Technol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 Inform, 266, pp.13-19.</w:t>
      </w:r>
    </w:p>
    <w:p w14:paraId="6F09AE99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Alzheimer’s Society (2023) Dementia UK: Update on prevalence and cost projections. London: Alzheimer’s Society. Available at: https://www.alzheimers.org.uk/dementiauk-report</w:t>
      </w:r>
    </w:p>
    <w:p w14:paraId="617C036A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Campaign to End Loneliness (2023) The State of Loneliness 2023: Facts and Statistics. London: Campaign to End Loneliness. Available at: https://www.campaigntoendloneliness.org/state-of-loneliness-2023/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6D9BDFA2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Daniels, K. and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Bonnechère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, B., 2024. Harnessing digital health interventions to bridge the gap in prevention for older adults. Frontiers in public health, 11, p.1281923.</w:t>
      </w:r>
    </w:p>
    <w:p w14:paraId="0FDF39CC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Digital Poverty Alliance (2022) The State of Digital Poverty 2022. London: Digital Poverty Alliance. Available at: https://digitalpovertyalliance.org/state-of-digital-poverty-2022/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01B908D3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Fauziningtyas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, R., 2025. Empowering age: Bridging the digital healthcare for older population. In Digital Healthcare, Digital Transformation and Citizen Empowerment in Asia-Pacific and Europe for a Healthier Society (pp. 593-616). Academic Press.</w:t>
      </w:r>
    </w:p>
    <w:p w14:paraId="32944598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Hepburn, J., Williams, L. and McCann, L., 2025. Barriers to and facilitators of digital health technology adoption among older adults with chronic diseases: updated systematic review. JMIR aging, 8, p.e80000.</w:t>
      </w:r>
    </w:p>
    <w:p w14:paraId="7D3EA1DF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Kebede, A.S.,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Ozolins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, L.L., Holst, H. and Galvin, K., 2022. Digital engagement of older adults: scoping review. Journal of Medical Internet Research, 24(12), p.e40192.</w:t>
      </w:r>
    </w:p>
    <w:p w14:paraId="66D4EE0E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Lloyds Bank (2023) UK Consumer Digital Index 2023. London: Lloyds Banking Group. Available at: https://www.lloydsbank.com/banking-with-us/whats-happening/consumer-digital-index.html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11BD8DA5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Mace, R.A.,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Mattos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, M.K. and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Vranceanu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, A.M., 2022. Older adults can use technology: why healthcare professionals must overcome ageism in digital health. Translational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Behavioral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 Medicine, 12(12), pp.1102-1105.</w:t>
      </w:r>
    </w:p>
    <w:p w14:paraId="2FEF9E67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Marmot, M. (2020) Health Equity in England: The Marmot Review 10 Years On. London: Institute of Health Equity. Available at: https://www.instituteofhealthequity.org/resources-reports/marmot-review-10-years-on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169C9662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lastRenderedPageBreak/>
        <w:t xml:space="preserve">Martins, A.I., Ribeiro, Ó.,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Santinha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, G., Silva, T., Rocha, N.P. and Silva, A.G., 2025. Effectiveness of integrated digital solutions to empower older adults in aspects related to their health: systematic review and meta-analysis. Journal of Medical Internet Research, 27, p.e54466.</w:t>
      </w:r>
    </w:p>
    <w:p w14:paraId="1041F396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NHS England (2021) Code of conduct for data-driven health and care technology. London: NHS England. Available at: https://www.gov.uk/government/publications/code-of-conduct-for-data-driven-health-and-care-technology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4D2A8DFE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Piccolo, R., 2024. Digitisation, health literacy and health empowerment of older people. International Entrepreneurship and Management Journal, 20(4), pp.3001-3034.</w:t>
      </w:r>
    </w:p>
    <w:p w14:paraId="74963491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Soares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, S.,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Hoffmeister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, L.V.,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Fernandes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, M.D.F., Henriques, A. and Costa, A., 2024. The use of digital technologies in the promotion of health literacy and empowerment of informal caregivers: scoping review. JMIR aging, 7, p.e54913.</w:t>
      </w:r>
    </w:p>
    <w:p w14:paraId="416BA313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Tappen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, R.M., Cooley, M.E.,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Luckmann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, R. and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Panday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, S., 2022. Digital health information disparities in older adults: a mixed methods study. Journal of racial and ethnic health disparities, 9(1), pp.82-92.</w:t>
      </w:r>
    </w:p>
    <w:p w14:paraId="595BE83E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The Lancet Digital Health (2021) ‘Designing for the margins: Why age-inclusive UI/UX is critical for health equity’, The Lancet Digital Health, 3(8), pp. 456–458.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doi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: 10.1016/S2589-7500(21)00121-1. Available at: https://www.thelancet.com/journals/landig/article/PIIS2589-7500(21)00121-1/fulltext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35E97248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Victor, C., Rogers, A. and Smith, K. (2021) ‘The safety paradox: How remote monitoring affects perceived and actual safety for housebound seniors’, Journal of Health Services Research &amp; Policy, 26(3), pp. 201–209.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doi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: 10.1177/1355819621996742.</w:t>
      </w:r>
      <w:r w:rsidRPr="00071839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</w:p>
    <w:p w14:paraId="57D2133D" w14:textId="77777777" w:rsidR="00071839" w:rsidRPr="00071839" w:rsidRDefault="00071839">
      <w:pPr>
        <w:pStyle w:val="s20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000000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>World Health Organisation (2021) Global report on ageism. Geneva: WHO. Available at: https://www.who.int/publications/i/item/9789240016866</w:t>
      </w:r>
    </w:p>
    <w:p w14:paraId="3138F842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Style w:val="s13"/>
          <w:rFonts w:ascii="Arial" w:hAnsi="Arial" w:cs="Arial"/>
          <w:color w:val="1F1F1F"/>
          <w:sz w:val="22"/>
          <w:szCs w:val="22"/>
        </w:rPr>
        <w:t xml:space="preserve">Xu, H., </w:t>
      </w:r>
      <w:proofErr w:type="spellStart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Xie</w:t>
      </w:r>
      <w:proofErr w:type="spellEnd"/>
      <w:r w:rsidRPr="00071839">
        <w:rPr>
          <w:rStyle w:val="s13"/>
          <w:rFonts w:ascii="Arial" w:hAnsi="Arial" w:cs="Arial"/>
          <w:color w:val="1F1F1F"/>
          <w:sz w:val="22"/>
          <w:szCs w:val="22"/>
        </w:rPr>
        <w:t>, B. and Chang, C.H., 2024. Empowering the care of older adults through the use of technology. Work, Aging and Retirement, 10(1), pp.1-5.</w:t>
      </w:r>
    </w:p>
    <w:p w14:paraId="7198C16F" w14:textId="77777777" w:rsidR="00071839" w:rsidRPr="00071839" w:rsidRDefault="00071839">
      <w:pPr>
        <w:pStyle w:val="s21"/>
        <w:spacing w:before="0" w:beforeAutospacing="0" w:after="120" w:afterAutospacing="0"/>
        <w:ind w:left="540" w:hanging="540"/>
        <w:jc w:val="both"/>
        <w:rPr>
          <w:rFonts w:ascii="Arial" w:hAnsi="Arial" w:cs="Arial"/>
          <w:color w:val="1F1F1F"/>
          <w:sz w:val="22"/>
          <w:szCs w:val="22"/>
        </w:rPr>
      </w:pPr>
      <w:r w:rsidRPr="00071839">
        <w:rPr>
          <w:rFonts w:ascii="Arial" w:hAnsi="Arial" w:cs="Arial"/>
          <w:color w:val="1F1F1F"/>
          <w:sz w:val="22"/>
          <w:szCs w:val="22"/>
        </w:rPr>
        <w:t> </w:t>
      </w:r>
    </w:p>
    <w:p w14:paraId="08D84AA0" w14:textId="77777777" w:rsidR="00071839" w:rsidRPr="00071839" w:rsidRDefault="00071839">
      <w:pPr>
        <w:rPr>
          <w:sz w:val="22"/>
          <w:szCs w:val="22"/>
        </w:rPr>
      </w:pPr>
    </w:p>
    <w:sectPr w:rsidR="00071839" w:rsidRPr="000718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839"/>
    <w:rsid w:val="00071839"/>
    <w:rsid w:val="00400D57"/>
    <w:rsid w:val="00454D04"/>
    <w:rsid w:val="004D282A"/>
    <w:rsid w:val="00773353"/>
    <w:rsid w:val="00A7364E"/>
    <w:rsid w:val="00A80C80"/>
    <w:rsid w:val="00C31207"/>
    <w:rsid w:val="00D705DA"/>
    <w:rsid w:val="00DC0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5B13E4"/>
  <w15:chartTrackingRefBased/>
  <w15:docId w15:val="{81820723-7D0A-2747-9424-47CEBE91D4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18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18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18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18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18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18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18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18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18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18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18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18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18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18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18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18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18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18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18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18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18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18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18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18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18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18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18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18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1839"/>
    <w:rPr>
      <w:b/>
      <w:bCs/>
      <w:smallCaps/>
      <w:color w:val="0F4761" w:themeColor="accent1" w:themeShade="BF"/>
      <w:spacing w:val="5"/>
    </w:rPr>
  </w:style>
  <w:style w:type="paragraph" w:customStyle="1" w:styleId="s19">
    <w:name w:val="s19"/>
    <w:basedOn w:val="Normal"/>
    <w:rsid w:val="0007183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0">
    <w:name w:val="s10"/>
    <w:basedOn w:val="DefaultParagraphFont"/>
    <w:rsid w:val="00071839"/>
  </w:style>
  <w:style w:type="character" w:customStyle="1" w:styleId="apple-converted-space">
    <w:name w:val="apple-converted-space"/>
    <w:basedOn w:val="DefaultParagraphFont"/>
    <w:rsid w:val="00071839"/>
  </w:style>
  <w:style w:type="paragraph" w:customStyle="1" w:styleId="s21">
    <w:name w:val="s21"/>
    <w:basedOn w:val="Normal"/>
    <w:rsid w:val="0007183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3">
    <w:name w:val="s13"/>
    <w:basedOn w:val="DefaultParagraphFont"/>
    <w:rsid w:val="00071839"/>
  </w:style>
  <w:style w:type="paragraph" w:customStyle="1" w:styleId="s20">
    <w:name w:val="s20"/>
    <w:basedOn w:val="Normal"/>
    <w:rsid w:val="0007183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678</Words>
  <Characters>3866</Characters>
  <Application>Microsoft Office Word</Application>
  <DocSecurity>0</DocSecurity>
  <Lines>32</Lines>
  <Paragraphs>9</Paragraphs>
  <ScaleCrop>false</ScaleCrop>
  <Company/>
  <LinksUpToDate>false</LinksUpToDate>
  <CharactersWithSpaces>4535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Imade Omorogbe (2310505)</dc:creator>
  <cp:keywords/>
  <dc:description/>
  <cp:lastModifiedBy>John Imade Omorogbe (2310505)</cp:lastModifiedBy>
  <cp:revision>7</cp:revision>
  <dcterms:created xsi:type="dcterms:W3CDTF">2026-02-18T09:09:00Z</dcterms:created>
  <dcterms:modified xsi:type="dcterms:W3CDTF">2026-02-18T09:13:00Z</dcterms:modified>
</cp:coreProperties>
</file>