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0E6368">
      <w:pPr>
        <w:jc w:val="center"/>
        <w:rPr>
          <w:rFonts w:ascii="Arial" w:hAnsi="Arial" w:eastAsia="Arial" w:cs="Arial"/>
          <w:b/>
          <w:sz w:val="32"/>
          <w:szCs w:val="32"/>
        </w:rPr>
      </w:pPr>
    </w:p>
    <w:p w14:paraId="09898A44">
      <w:pPr>
        <w:jc w:val="center"/>
        <w:rPr>
          <w:rFonts w:ascii="Arial" w:hAnsi="Arial" w:eastAsia="Arial" w:cs="Arial"/>
          <w:b/>
          <w:sz w:val="32"/>
          <w:szCs w:val="32"/>
        </w:rPr>
      </w:pPr>
    </w:p>
    <w:p w14:paraId="38409285">
      <w:pPr>
        <w:jc w:val="center"/>
        <w:rPr>
          <w:rFonts w:ascii="Arial" w:hAnsi="Arial" w:eastAsia="Arial" w:cs="Arial"/>
          <w:b/>
          <w:sz w:val="32"/>
          <w:szCs w:val="32"/>
        </w:rPr>
      </w:pPr>
    </w:p>
    <w:p w14:paraId="44D8F15A">
      <w:pPr>
        <w:jc w:val="center"/>
        <w:rPr>
          <w:rFonts w:ascii="Arial" w:hAnsi="Arial" w:eastAsia="Arial" w:cs="Arial"/>
          <w:b/>
          <w:sz w:val="32"/>
          <w:szCs w:val="32"/>
        </w:rPr>
      </w:pPr>
    </w:p>
    <w:p w14:paraId="587F3E35">
      <w:pPr>
        <w:jc w:val="center"/>
        <w:rPr>
          <w:rFonts w:ascii="Arial" w:hAnsi="Arial" w:eastAsia="Arial" w:cs="Arial"/>
          <w:b/>
          <w:sz w:val="32"/>
          <w:szCs w:val="32"/>
        </w:rPr>
      </w:pPr>
    </w:p>
    <w:p w14:paraId="44A40D74">
      <w:pPr>
        <w:jc w:val="center"/>
        <w:rPr>
          <w:rFonts w:ascii="Arial" w:hAnsi="Arial" w:eastAsia="Arial" w:cs="Arial"/>
          <w:b/>
          <w:sz w:val="32"/>
          <w:szCs w:val="32"/>
        </w:rPr>
      </w:pPr>
    </w:p>
    <w:p w14:paraId="14BB05A9">
      <w:pPr>
        <w:jc w:val="center"/>
        <w:rPr>
          <w:rFonts w:ascii="Arial" w:hAnsi="Arial" w:eastAsia="Arial" w:cs="Arial"/>
          <w:b/>
          <w:sz w:val="32"/>
          <w:szCs w:val="32"/>
        </w:rPr>
      </w:pPr>
    </w:p>
    <w:p w14:paraId="75BAB4AC">
      <w:pPr>
        <w:jc w:val="center"/>
        <w:rPr>
          <w:rFonts w:ascii="Arial" w:hAnsi="Arial" w:eastAsia="Arial" w:cs="Arial"/>
          <w:b/>
          <w:sz w:val="32"/>
          <w:szCs w:val="32"/>
        </w:rPr>
      </w:pPr>
    </w:p>
    <w:p w14:paraId="257FD667">
      <w:pPr>
        <w:jc w:val="center"/>
        <w:rPr>
          <w:rFonts w:ascii="Arial" w:hAnsi="Arial" w:eastAsia="Arial" w:cs="Arial"/>
          <w:b/>
          <w:sz w:val="32"/>
          <w:szCs w:val="32"/>
        </w:rPr>
      </w:pPr>
    </w:p>
    <w:p w14:paraId="4BB1BAA3">
      <w:pPr>
        <w:jc w:val="center"/>
        <w:rPr>
          <w:rFonts w:ascii="Arial" w:hAnsi="Arial" w:eastAsia="Arial" w:cs="Arial"/>
          <w:b/>
          <w:sz w:val="32"/>
          <w:szCs w:val="32"/>
        </w:rPr>
      </w:pPr>
    </w:p>
    <w:p w14:paraId="15758804">
      <w:pPr>
        <w:jc w:val="center"/>
        <w:rPr>
          <w:rFonts w:ascii="Arial" w:hAnsi="Arial" w:eastAsia="Arial" w:cs="Arial"/>
          <w:b/>
          <w:sz w:val="36"/>
          <w:szCs w:val="36"/>
        </w:rPr>
      </w:pPr>
    </w:p>
    <w:p w14:paraId="3BC26A7A">
      <w:pPr>
        <w:jc w:val="center"/>
        <w:rPr>
          <w:rFonts w:ascii="Arial" w:hAnsi="Arial" w:eastAsia="Arial" w:cs="Arial"/>
          <w:b/>
          <w:sz w:val="36"/>
          <w:szCs w:val="36"/>
        </w:rPr>
      </w:pPr>
      <w:r>
        <w:rPr>
          <w:rFonts w:ascii="Arial" w:hAnsi="Arial" w:eastAsia="Arial" w:cs="Arial"/>
          <w:b/>
          <w:sz w:val="36"/>
          <w:szCs w:val="36"/>
        </w:rPr>
        <w:t>Academic Discipline of Hospitality and Tourism Management</w:t>
      </w:r>
    </w:p>
    <w:p w14:paraId="18068390">
      <w:pPr>
        <w:jc w:val="center"/>
        <w:rPr>
          <w:rFonts w:ascii="Arial" w:hAnsi="Arial" w:eastAsia="Arial" w:cs="Arial"/>
          <w:b/>
          <w:sz w:val="36"/>
          <w:szCs w:val="36"/>
        </w:rPr>
      </w:pPr>
      <w:r>
        <w:rPr>
          <w:rFonts w:ascii="Arial" w:hAnsi="Arial" w:eastAsia="Arial" w:cs="Arial"/>
          <w:b/>
          <w:sz w:val="36"/>
          <w:szCs w:val="36"/>
        </w:rPr>
        <w:t>Sustainable Hospitality &amp; Tourism Management</w:t>
      </w:r>
    </w:p>
    <w:p w14:paraId="1B4A7C16">
      <w:pPr>
        <w:pStyle w:val="15"/>
        <w:spacing w:before="0" w:beforeAutospacing="0" w:after="0" w:afterAutospacing="0"/>
        <w:jc w:val="center"/>
        <w:rPr>
          <w:sz w:val="36"/>
          <w:szCs w:val="36"/>
        </w:rPr>
      </w:pPr>
      <w:r>
        <w:rPr>
          <w:rFonts w:ascii="Arial" w:hAnsi="Arial" w:cs="Arial"/>
          <w:b/>
          <w:bCs/>
          <w:color w:val="000000"/>
          <w:sz w:val="36"/>
          <w:szCs w:val="36"/>
        </w:rPr>
        <w:t>Module code: BMIH5006</w:t>
      </w:r>
    </w:p>
    <w:p w14:paraId="3DA0E7A5">
      <w:pPr>
        <w:pStyle w:val="15"/>
        <w:spacing w:before="0" w:beforeAutospacing="0" w:after="0" w:afterAutospacing="0"/>
        <w:jc w:val="center"/>
        <w:rPr>
          <w:rFonts w:hint="default"/>
          <w:sz w:val="36"/>
          <w:szCs w:val="36"/>
          <w:lang w:val="en-GB"/>
        </w:rPr>
      </w:pPr>
      <w:r>
        <w:rPr>
          <w:rFonts w:ascii="Arial" w:hAnsi="Arial" w:cs="Arial"/>
          <w:b/>
          <w:bCs/>
          <w:color w:val="000000"/>
          <w:sz w:val="36"/>
          <w:szCs w:val="36"/>
        </w:rPr>
        <w:t>Student name:</w:t>
      </w:r>
      <w:r>
        <w:rPr>
          <w:rFonts w:hint="default" w:ascii="Arial" w:hAnsi="Arial" w:cs="Arial"/>
          <w:b/>
          <w:bCs/>
          <w:color w:val="000000"/>
          <w:sz w:val="36"/>
          <w:szCs w:val="36"/>
          <w:lang w:val="en-GB"/>
        </w:rPr>
        <w:t xml:space="preserve"> Catalin Mircea Leva </w:t>
      </w:r>
    </w:p>
    <w:p w14:paraId="5E2242A8">
      <w:pPr>
        <w:pStyle w:val="15"/>
        <w:spacing w:before="0" w:beforeAutospacing="0" w:after="0" w:afterAutospacing="0"/>
        <w:jc w:val="center"/>
        <w:rPr>
          <w:rFonts w:hint="default" w:ascii="Times New Roman" w:hAnsi="Times New Roman" w:eastAsia="Times New Roman"/>
          <w:b/>
          <w:sz w:val="32"/>
          <w:szCs w:val="32"/>
        </w:rPr>
      </w:pPr>
      <w:r>
        <w:rPr>
          <w:rFonts w:ascii="Arial" w:hAnsi="Arial" w:cs="Arial"/>
          <w:b/>
          <w:bCs/>
          <w:color w:val="000000"/>
          <w:sz w:val="36"/>
          <w:szCs w:val="36"/>
        </w:rPr>
        <w:t xml:space="preserve"> Student ID number: </w:t>
      </w:r>
      <w:r>
        <w:rPr>
          <w:rFonts w:hint="default" w:ascii="Times New Roman" w:hAnsi="Times New Roman" w:eastAsia="Times New Roman"/>
          <w:b/>
          <w:sz w:val="32"/>
          <w:szCs w:val="32"/>
        </w:rPr>
        <w:t xml:space="preserve">2244690 </w:t>
      </w:r>
    </w:p>
    <w:p w14:paraId="19B2553F">
      <w:pPr>
        <w:pStyle w:val="15"/>
        <w:spacing w:before="0" w:beforeAutospacing="0" w:after="0" w:afterAutospacing="0"/>
        <w:jc w:val="center"/>
        <w:rPr>
          <w:rFonts w:hint="default"/>
          <w:sz w:val="36"/>
          <w:szCs w:val="36"/>
          <w:lang w:val="en-GB"/>
        </w:rPr>
      </w:pPr>
      <w:r>
        <w:rPr>
          <w:rFonts w:ascii="Arial" w:hAnsi="Arial" w:cs="Arial"/>
          <w:b/>
          <w:bCs/>
          <w:color w:val="000000"/>
          <w:sz w:val="36"/>
          <w:szCs w:val="36"/>
        </w:rPr>
        <w:t xml:space="preserve">Module </w:t>
      </w:r>
      <w:r>
        <w:rPr>
          <w:rFonts w:hint="default" w:ascii="Arial" w:hAnsi="Arial" w:cs="Arial"/>
          <w:b/>
          <w:bCs/>
          <w:color w:val="000000"/>
          <w:sz w:val="36"/>
          <w:szCs w:val="36"/>
          <w:lang w:val="en-GB"/>
        </w:rPr>
        <w:t>Leader</w:t>
      </w:r>
      <w:r>
        <w:rPr>
          <w:rFonts w:ascii="Arial" w:hAnsi="Arial" w:cs="Arial"/>
          <w:b/>
          <w:bCs/>
          <w:color w:val="000000"/>
          <w:sz w:val="36"/>
          <w:szCs w:val="36"/>
        </w:rPr>
        <w:t xml:space="preserve">: </w:t>
      </w:r>
      <w:r>
        <w:rPr>
          <w:rFonts w:hint="default" w:ascii="Arial" w:hAnsi="Arial" w:cs="Arial"/>
          <w:b/>
          <w:bCs/>
          <w:color w:val="000000"/>
          <w:sz w:val="36"/>
          <w:szCs w:val="36"/>
          <w:lang w:val="en-GB"/>
        </w:rPr>
        <w:t>Christopher Wilkin</w:t>
      </w:r>
    </w:p>
    <w:p w14:paraId="47C01037">
      <w:pPr>
        <w:pStyle w:val="15"/>
        <w:spacing w:before="0" w:beforeAutospacing="0" w:after="0" w:afterAutospacing="0"/>
        <w:jc w:val="center"/>
        <w:rPr>
          <w:rFonts w:hint="default" w:ascii="Times New Roman" w:hAnsi="Times New Roman" w:eastAsia="Times New Roman"/>
          <w:b/>
          <w:sz w:val="32"/>
          <w:szCs w:val="32"/>
        </w:rPr>
      </w:pPr>
    </w:p>
    <w:p w14:paraId="519ED65D">
      <w:pPr>
        <w:pStyle w:val="15"/>
        <w:bidi w:val="0"/>
        <w:rPr>
          <w:rFonts w:hint="default"/>
          <w:lang w:val="en-GB"/>
        </w:rPr>
      </w:pPr>
    </w:p>
    <w:p w14:paraId="56623B53">
      <w:pPr>
        <w:jc w:val="center"/>
        <w:rPr>
          <w:rFonts w:ascii="Arial" w:hAnsi="Arial" w:eastAsia="Arial" w:cs="Arial"/>
          <w:b/>
          <w:sz w:val="36"/>
          <w:szCs w:val="36"/>
        </w:rPr>
      </w:pPr>
    </w:p>
    <w:p w14:paraId="4196FAFE">
      <w:pPr>
        <w:jc w:val="center"/>
        <w:rPr>
          <w:rFonts w:ascii="Arial" w:hAnsi="Arial" w:eastAsia="Arial" w:cs="Arial"/>
          <w:b/>
          <w:sz w:val="36"/>
          <w:szCs w:val="36"/>
        </w:rPr>
      </w:pPr>
    </w:p>
    <w:p w14:paraId="10B31BC1">
      <w:pPr>
        <w:jc w:val="center"/>
        <w:rPr>
          <w:rFonts w:ascii="Arial" w:hAnsi="Arial" w:eastAsia="Arial" w:cs="Arial"/>
          <w:b/>
          <w:sz w:val="36"/>
          <w:szCs w:val="36"/>
        </w:rPr>
      </w:pPr>
    </w:p>
    <w:p w14:paraId="07084954">
      <w:pPr>
        <w:keepNext/>
        <w:keepLines/>
        <w:pBdr>
          <w:top w:val="none" w:color="auto" w:sz="0" w:space="0"/>
          <w:left w:val="none" w:color="auto" w:sz="0" w:space="0"/>
          <w:bottom w:val="none" w:color="auto" w:sz="0" w:space="0"/>
          <w:right w:val="none" w:color="auto" w:sz="0" w:space="0"/>
          <w:between w:val="none" w:color="auto" w:sz="0" w:space="0"/>
        </w:pBdr>
        <w:spacing w:before="240" w:line="259" w:lineRule="auto"/>
        <w:jc w:val="left"/>
        <w:rPr>
          <w:rFonts w:ascii="Arial" w:hAnsi="Arial" w:eastAsia="Arial" w:cs="Arial"/>
          <w:color w:val="366091"/>
          <w:sz w:val="32"/>
          <w:szCs w:val="32"/>
        </w:rPr>
      </w:pPr>
      <w:r>
        <w:rPr>
          <w:rFonts w:ascii="Arial" w:hAnsi="Arial" w:eastAsia="Arial" w:cs="Arial"/>
          <w:color w:val="366091"/>
          <w:sz w:val="32"/>
          <w:szCs w:val="32"/>
        </w:rPr>
        <w:t>Table of Contents</w:t>
      </w:r>
    </w:p>
    <w:sdt>
      <w:sdtPr>
        <w:id w:val="1234055336"/>
        <w:docPartObj>
          <w:docPartGallery w:val="Table of Contents"/>
          <w:docPartUnique/>
        </w:docPartObj>
      </w:sdtPr>
      <w:sdtContent>
        <w:p w14:paraId="6029C8DA">
          <w:pPr>
            <w:rPr>
              <w:rFonts w:ascii="Times New Roman" w:hAnsi="Times New Roman" w:eastAsia="Times New Roman" w:cs="Times New Roman"/>
              <w:sz w:val="24"/>
              <w:szCs w:val="24"/>
              <w:lang w:val="en" w:eastAsia="en-IN" w:bidi="ar-SA"/>
            </w:rPr>
          </w:pPr>
          <w:r>
            <w:fldChar w:fldCharType="begin"/>
          </w:r>
          <w:r>
            <w:instrText xml:space="preserve"> TOC \h \u \z \t "Heading 1,1,Heading 2,2,Heading 3,3,"</w:instrText>
          </w:r>
          <w:r>
            <w:fldChar w:fldCharType="separate"/>
          </w:r>
        </w:p>
        <w:p w14:paraId="0220BA03">
          <w:pPr>
            <w:pStyle w:val="18"/>
            <w:tabs>
              <w:tab w:val="right" w:leader="dot" w:pos="9360"/>
            </w:tabs>
          </w:pPr>
          <w:r>
            <w:fldChar w:fldCharType="begin"/>
          </w:r>
          <w:r>
            <w:instrText xml:space="preserve"> HYPERLINK \l _Toc12966 </w:instrText>
          </w:r>
          <w:r>
            <w:fldChar w:fldCharType="separate"/>
          </w:r>
          <w:r>
            <w:rPr>
              <w:rFonts w:ascii="Arial" w:hAnsi="Arial" w:eastAsia="Arial" w:cs="Arial"/>
            </w:rPr>
            <w:t>Assessment 2: Report</w:t>
          </w:r>
          <w:r>
            <w:tab/>
          </w:r>
          <w:r>
            <w:fldChar w:fldCharType="begin"/>
          </w:r>
          <w:r>
            <w:instrText xml:space="preserve"> PAGEREF _Toc12966 \h </w:instrText>
          </w:r>
          <w:r>
            <w:fldChar w:fldCharType="separate"/>
          </w:r>
          <w:r>
            <w:t>3</w:t>
          </w:r>
          <w:r>
            <w:fldChar w:fldCharType="end"/>
          </w:r>
          <w:r>
            <w:fldChar w:fldCharType="end"/>
          </w:r>
        </w:p>
        <w:p w14:paraId="50B2AD2D">
          <w:pPr>
            <w:pStyle w:val="19"/>
            <w:tabs>
              <w:tab w:val="right" w:leader="dot" w:pos="9360"/>
            </w:tabs>
          </w:pPr>
          <w:r>
            <w:fldChar w:fldCharType="begin"/>
          </w:r>
          <w:r>
            <w:instrText xml:space="preserve"> HYPERLINK \l _Toc7322 </w:instrText>
          </w:r>
          <w:r>
            <w:fldChar w:fldCharType="separate"/>
          </w:r>
          <w:r>
            <w:rPr>
              <w:rFonts w:ascii="Arial" w:hAnsi="Arial" w:eastAsia="Arial" w:cs="Arial"/>
            </w:rPr>
            <w:t>Introduction</w:t>
          </w:r>
          <w:r>
            <w:tab/>
          </w:r>
          <w:r>
            <w:fldChar w:fldCharType="begin"/>
          </w:r>
          <w:r>
            <w:instrText xml:space="preserve"> PAGEREF _Toc7322 \h </w:instrText>
          </w:r>
          <w:r>
            <w:fldChar w:fldCharType="separate"/>
          </w:r>
          <w:r>
            <w:t>4</w:t>
          </w:r>
          <w:r>
            <w:fldChar w:fldCharType="end"/>
          </w:r>
          <w:r>
            <w:fldChar w:fldCharType="end"/>
          </w:r>
        </w:p>
        <w:p w14:paraId="10DA5150">
          <w:pPr>
            <w:pStyle w:val="19"/>
            <w:tabs>
              <w:tab w:val="right" w:leader="dot" w:pos="9360"/>
            </w:tabs>
          </w:pPr>
          <w:r>
            <w:fldChar w:fldCharType="begin"/>
          </w:r>
          <w:r>
            <w:instrText xml:space="preserve"> HYPERLINK \l _Toc627 </w:instrText>
          </w:r>
          <w:r>
            <w:fldChar w:fldCharType="separate"/>
          </w:r>
          <w:r>
            <w:rPr>
              <w:rFonts w:ascii="Arial" w:hAnsi="Arial" w:eastAsia="Arial" w:cs="Arial"/>
            </w:rPr>
            <w:t>The Mode of Transport’s Requirements (entailment)</w:t>
          </w:r>
          <w:r>
            <w:tab/>
          </w:r>
          <w:r>
            <w:fldChar w:fldCharType="begin"/>
          </w:r>
          <w:r>
            <w:instrText xml:space="preserve"> PAGEREF _Toc627 \h </w:instrText>
          </w:r>
          <w:r>
            <w:fldChar w:fldCharType="separate"/>
          </w:r>
          <w:r>
            <w:t>4</w:t>
          </w:r>
          <w:r>
            <w:fldChar w:fldCharType="end"/>
          </w:r>
          <w:r>
            <w:fldChar w:fldCharType="end"/>
          </w:r>
        </w:p>
        <w:p w14:paraId="275AB5CB">
          <w:pPr>
            <w:pStyle w:val="19"/>
            <w:tabs>
              <w:tab w:val="right" w:leader="dot" w:pos="9360"/>
            </w:tabs>
          </w:pPr>
          <w:r>
            <w:fldChar w:fldCharType="begin"/>
          </w:r>
          <w:r>
            <w:instrText xml:space="preserve"> HYPERLINK \l _Toc29820 </w:instrText>
          </w:r>
          <w:r>
            <w:fldChar w:fldCharType="separate"/>
          </w:r>
          <w:r>
            <w:rPr>
              <w:rFonts w:ascii="Arial" w:hAnsi="Arial" w:eastAsia="Arial" w:cs="Arial"/>
            </w:rPr>
            <w:t>Environmental, Landscape, and Community Impact</w:t>
          </w:r>
          <w:r>
            <w:tab/>
          </w:r>
          <w:r>
            <w:fldChar w:fldCharType="begin"/>
          </w:r>
          <w:r>
            <w:instrText xml:space="preserve"> PAGEREF _Toc29820 \h </w:instrText>
          </w:r>
          <w:r>
            <w:fldChar w:fldCharType="separate"/>
          </w:r>
          <w:r>
            <w:t>5</w:t>
          </w:r>
          <w:r>
            <w:fldChar w:fldCharType="end"/>
          </w:r>
          <w:r>
            <w:fldChar w:fldCharType="end"/>
          </w:r>
        </w:p>
        <w:p w14:paraId="1FF59F40">
          <w:pPr>
            <w:pStyle w:val="19"/>
            <w:tabs>
              <w:tab w:val="right" w:leader="dot" w:pos="9360"/>
            </w:tabs>
          </w:pPr>
          <w:r>
            <w:fldChar w:fldCharType="begin"/>
          </w:r>
          <w:r>
            <w:instrText xml:space="preserve"> HYPERLINK \l _Toc18324 </w:instrText>
          </w:r>
          <w:r>
            <w:fldChar w:fldCharType="separate"/>
          </w:r>
          <w:r>
            <w:rPr>
              <w:rFonts w:ascii="Arial" w:hAnsi="Arial" w:eastAsia="Arial" w:cs="Arial"/>
            </w:rPr>
            <w:t>Improving Ride-sharing Services</w:t>
          </w:r>
          <w:r>
            <w:tab/>
          </w:r>
          <w:r>
            <w:fldChar w:fldCharType="begin"/>
          </w:r>
          <w:r>
            <w:instrText xml:space="preserve"> PAGEREF _Toc18324 \h </w:instrText>
          </w:r>
          <w:r>
            <w:fldChar w:fldCharType="separate"/>
          </w:r>
          <w:r>
            <w:t>6</w:t>
          </w:r>
          <w:r>
            <w:fldChar w:fldCharType="end"/>
          </w:r>
          <w:r>
            <w:fldChar w:fldCharType="end"/>
          </w:r>
        </w:p>
        <w:p w14:paraId="3E4AB2AD">
          <w:pPr>
            <w:pStyle w:val="20"/>
            <w:tabs>
              <w:tab w:val="right" w:leader="dot" w:pos="9360"/>
            </w:tabs>
          </w:pPr>
          <w:r>
            <w:fldChar w:fldCharType="begin"/>
          </w:r>
          <w:r>
            <w:instrText xml:space="preserve"> HYPERLINK \l _Toc22243 </w:instrText>
          </w:r>
          <w:r>
            <w:fldChar w:fldCharType="separate"/>
          </w:r>
          <w:r>
            <w:rPr>
              <w:rFonts w:ascii="Arial" w:hAnsi="Arial" w:eastAsia="Arial" w:cs="Arial"/>
            </w:rPr>
            <w:t>Adopting EVs</w:t>
          </w:r>
          <w:r>
            <w:tab/>
          </w:r>
          <w:r>
            <w:fldChar w:fldCharType="begin"/>
          </w:r>
          <w:r>
            <w:instrText xml:space="preserve"> PAGEREF _Toc22243 \h </w:instrText>
          </w:r>
          <w:r>
            <w:fldChar w:fldCharType="separate"/>
          </w:r>
          <w:r>
            <w:t>6</w:t>
          </w:r>
          <w:r>
            <w:fldChar w:fldCharType="end"/>
          </w:r>
          <w:r>
            <w:fldChar w:fldCharType="end"/>
          </w:r>
        </w:p>
        <w:p w14:paraId="642C3CF0">
          <w:pPr>
            <w:pStyle w:val="20"/>
            <w:tabs>
              <w:tab w:val="right" w:leader="dot" w:pos="9360"/>
            </w:tabs>
          </w:pPr>
          <w:r>
            <w:fldChar w:fldCharType="begin"/>
          </w:r>
          <w:r>
            <w:instrText xml:space="preserve"> HYPERLINK \l _Toc17059 </w:instrText>
          </w:r>
          <w:r>
            <w:fldChar w:fldCharType="separate"/>
          </w:r>
          <w:r>
            <w:rPr>
              <w:rFonts w:ascii="Arial" w:hAnsi="Arial" w:eastAsia="Arial" w:cs="Arial"/>
            </w:rPr>
            <w:t>Pool-based Services</w:t>
          </w:r>
          <w:r>
            <w:tab/>
          </w:r>
          <w:r>
            <w:fldChar w:fldCharType="begin"/>
          </w:r>
          <w:r>
            <w:instrText xml:space="preserve"> PAGEREF _Toc17059 \h </w:instrText>
          </w:r>
          <w:r>
            <w:fldChar w:fldCharType="separate"/>
          </w:r>
          <w:r>
            <w:t>7</w:t>
          </w:r>
          <w:r>
            <w:fldChar w:fldCharType="end"/>
          </w:r>
          <w:r>
            <w:fldChar w:fldCharType="end"/>
          </w:r>
        </w:p>
        <w:p w14:paraId="26B6C794">
          <w:pPr>
            <w:pStyle w:val="20"/>
            <w:tabs>
              <w:tab w:val="right" w:leader="dot" w:pos="9360"/>
            </w:tabs>
          </w:pPr>
          <w:r>
            <w:fldChar w:fldCharType="begin"/>
          </w:r>
          <w:r>
            <w:instrText xml:space="preserve"> HYPERLINK \l _Toc22539 </w:instrText>
          </w:r>
          <w:r>
            <w:fldChar w:fldCharType="separate"/>
          </w:r>
          <w:r>
            <w:rPr>
              <w:rFonts w:ascii="Arial" w:hAnsi="Arial" w:eastAsia="Arial" w:cs="Arial"/>
            </w:rPr>
            <w:t>Integration with Systems Related to Public Transport</w:t>
          </w:r>
          <w:r>
            <w:tab/>
          </w:r>
          <w:r>
            <w:fldChar w:fldCharType="begin"/>
          </w:r>
          <w:r>
            <w:instrText xml:space="preserve"> PAGEREF _Toc22539 \h </w:instrText>
          </w:r>
          <w:r>
            <w:fldChar w:fldCharType="separate"/>
          </w:r>
          <w:r>
            <w:t>7</w:t>
          </w:r>
          <w:r>
            <w:fldChar w:fldCharType="end"/>
          </w:r>
          <w:r>
            <w:fldChar w:fldCharType="end"/>
          </w:r>
        </w:p>
        <w:p w14:paraId="220E7DAD">
          <w:pPr>
            <w:pStyle w:val="19"/>
            <w:tabs>
              <w:tab w:val="right" w:leader="dot" w:pos="9360"/>
            </w:tabs>
          </w:pPr>
          <w:r>
            <w:fldChar w:fldCharType="begin"/>
          </w:r>
          <w:r>
            <w:instrText xml:space="preserve"> HYPERLINK \l _Toc23758 </w:instrText>
          </w:r>
          <w:r>
            <w:fldChar w:fldCharType="separate"/>
          </w:r>
          <w:r>
            <w:rPr>
              <w:rFonts w:ascii="Arial" w:hAnsi="Arial" w:eastAsia="Arial" w:cs="Arial"/>
            </w:rPr>
            <w:t>Environmental Benefits of Improving Ride-sharing Services</w:t>
          </w:r>
          <w:r>
            <w:tab/>
          </w:r>
          <w:r>
            <w:fldChar w:fldCharType="begin"/>
          </w:r>
          <w:r>
            <w:instrText xml:space="preserve"> PAGEREF _Toc23758 \h </w:instrText>
          </w:r>
          <w:r>
            <w:fldChar w:fldCharType="separate"/>
          </w:r>
          <w:r>
            <w:t>9</w:t>
          </w:r>
          <w:r>
            <w:fldChar w:fldCharType="end"/>
          </w:r>
          <w:r>
            <w:fldChar w:fldCharType="end"/>
          </w:r>
        </w:p>
        <w:p w14:paraId="2A3DC0A2">
          <w:pPr>
            <w:pStyle w:val="20"/>
            <w:tabs>
              <w:tab w:val="right" w:leader="dot" w:pos="9360"/>
            </w:tabs>
          </w:pPr>
          <w:r>
            <w:fldChar w:fldCharType="begin"/>
          </w:r>
          <w:r>
            <w:instrText xml:space="preserve"> HYPERLINK \l _Toc21188 </w:instrText>
          </w:r>
          <w:r>
            <w:fldChar w:fldCharType="separate"/>
          </w:r>
          <w:r>
            <w:rPr>
              <w:rFonts w:ascii="Arial" w:hAnsi="Arial" w:eastAsia="Arial" w:cs="Arial"/>
            </w:rPr>
            <w:t>Reduction of Pollution</w:t>
          </w:r>
          <w:r>
            <w:tab/>
          </w:r>
          <w:r>
            <w:fldChar w:fldCharType="begin"/>
          </w:r>
          <w:r>
            <w:instrText xml:space="preserve"> PAGEREF _Toc21188 \h </w:instrText>
          </w:r>
          <w:r>
            <w:fldChar w:fldCharType="separate"/>
          </w:r>
          <w:r>
            <w:t>9</w:t>
          </w:r>
          <w:r>
            <w:fldChar w:fldCharType="end"/>
          </w:r>
          <w:r>
            <w:fldChar w:fldCharType="end"/>
          </w:r>
        </w:p>
        <w:p w14:paraId="15E3A982">
          <w:pPr>
            <w:pStyle w:val="20"/>
            <w:tabs>
              <w:tab w:val="right" w:leader="dot" w:pos="9360"/>
            </w:tabs>
          </w:pPr>
          <w:r>
            <w:fldChar w:fldCharType="begin"/>
          </w:r>
          <w:r>
            <w:instrText xml:space="preserve"> HYPERLINK \l _Toc10901 </w:instrText>
          </w:r>
          <w:r>
            <w:fldChar w:fldCharType="separate"/>
          </w:r>
          <w:r>
            <w:rPr>
              <w:rFonts w:ascii="Arial" w:hAnsi="Arial" w:eastAsia="Arial" w:cs="Arial"/>
            </w:rPr>
            <w:t>Improved Air Quality</w:t>
          </w:r>
          <w:r>
            <w:tab/>
          </w:r>
          <w:r>
            <w:fldChar w:fldCharType="begin"/>
          </w:r>
          <w:r>
            <w:instrText xml:space="preserve"> PAGEREF _Toc10901 \h </w:instrText>
          </w:r>
          <w:r>
            <w:fldChar w:fldCharType="separate"/>
          </w:r>
          <w:r>
            <w:t>10</w:t>
          </w:r>
          <w:r>
            <w:fldChar w:fldCharType="end"/>
          </w:r>
          <w:r>
            <w:fldChar w:fldCharType="end"/>
          </w:r>
        </w:p>
        <w:p w14:paraId="52601BF3">
          <w:pPr>
            <w:pStyle w:val="20"/>
            <w:tabs>
              <w:tab w:val="right" w:leader="dot" w:pos="9360"/>
            </w:tabs>
          </w:pPr>
          <w:r>
            <w:fldChar w:fldCharType="begin"/>
          </w:r>
          <w:r>
            <w:instrText xml:space="preserve"> HYPERLINK \l _Toc25271 </w:instrText>
          </w:r>
          <w:r>
            <w:fldChar w:fldCharType="separate"/>
          </w:r>
          <w:r>
            <w:rPr>
              <w:rFonts w:ascii="Arial" w:hAnsi="Arial" w:eastAsia="Arial" w:cs="Arial"/>
            </w:rPr>
            <w:t>Promoting Clean Energy Usage</w:t>
          </w:r>
          <w:r>
            <w:tab/>
          </w:r>
          <w:r>
            <w:fldChar w:fldCharType="begin"/>
          </w:r>
          <w:r>
            <w:instrText xml:space="preserve"> PAGEREF _Toc25271 \h </w:instrText>
          </w:r>
          <w:r>
            <w:fldChar w:fldCharType="separate"/>
          </w:r>
          <w:r>
            <w:t>10</w:t>
          </w:r>
          <w:r>
            <w:fldChar w:fldCharType="end"/>
          </w:r>
          <w:r>
            <w:fldChar w:fldCharType="end"/>
          </w:r>
        </w:p>
        <w:p w14:paraId="4811E57F">
          <w:pPr>
            <w:pStyle w:val="19"/>
            <w:tabs>
              <w:tab w:val="right" w:leader="dot" w:pos="9360"/>
            </w:tabs>
          </w:pPr>
          <w:r>
            <w:fldChar w:fldCharType="begin"/>
          </w:r>
          <w:r>
            <w:instrText xml:space="preserve"> HYPERLINK \l _Toc30079 </w:instrText>
          </w:r>
          <w:r>
            <w:fldChar w:fldCharType="separate"/>
          </w:r>
          <w:r>
            <w:rPr>
              <w:rFonts w:ascii="Arial" w:hAnsi="Arial" w:eastAsia="Arial" w:cs="Arial"/>
            </w:rPr>
            <w:t>Conclusion/Recommendations</w:t>
          </w:r>
          <w:r>
            <w:tab/>
          </w:r>
          <w:r>
            <w:fldChar w:fldCharType="begin"/>
          </w:r>
          <w:r>
            <w:instrText xml:space="preserve"> PAGEREF _Toc30079 \h </w:instrText>
          </w:r>
          <w:r>
            <w:fldChar w:fldCharType="separate"/>
          </w:r>
          <w:r>
            <w:t>10</w:t>
          </w:r>
          <w:r>
            <w:fldChar w:fldCharType="end"/>
          </w:r>
          <w:r>
            <w:fldChar w:fldCharType="end"/>
          </w:r>
        </w:p>
        <w:p w14:paraId="3AB6164D">
          <w:pPr>
            <w:pStyle w:val="18"/>
            <w:tabs>
              <w:tab w:val="right" w:leader="dot" w:pos="9360"/>
            </w:tabs>
          </w:pPr>
          <w:r>
            <w:fldChar w:fldCharType="begin"/>
          </w:r>
          <w:r>
            <w:instrText xml:space="preserve"> HYPERLINK \l _Toc24013 </w:instrText>
          </w:r>
          <w:r>
            <w:fldChar w:fldCharType="separate"/>
          </w:r>
          <w:r>
            <w:rPr>
              <w:rFonts w:ascii="Arial" w:hAnsi="Arial" w:eastAsia="Arial" w:cs="Arial"/>
            </w:rPr>
            <w:t>References</w:t>
          </w:r>
          <w:r>
            <w:tab/>
          </w:r>
          <w:r>
            <w:fldChar w:fldCharType="begin"/>
          </w:r>
          <w:r>
            <w:instrText xml:space="preserve"> PAGEREF _Toc24013 \h </w:instrText>
          </w:r>
          <w:r>
            <w:fldChar w:fldCharType="separate"/>
          </w:r>
          <w:r>
            <w:t>12</w:t>
          </w:r>
          <w:r>
            <w:fldChar w:fldCharType="end"/>
          </w:r>
          <w:r>
            <w:fldChar w:fldCharType="end"/>
          </w:r>
        </w:p>
        <w:p w14:paraId="32CBDA12">
          <w:pPr>
            <w:pStyle w:val="18"/>
            <w:tabs>
              <w:tab w:val="right" w:leader="dot" w:pos="9350"/>
            </w:tabs>
            <w:rPr>
              <w:rFonts w:ascii="Arial" w:hAnsi="Arial" w:eastAsia="Arial" w:cs="Arial"/>
            </w:rPr>
          </w:pPr>
          <w:r>
            <w:fldChar w:fldCharType="end"/>
          </w:r>
        </w:p>
      </w:sdtContent>
    </w:sdt>
    <w:p w14:paraId="6F8DBF0A">
      <w:pPr>
        <w:rPr>
          <w:rFonts w:ascii="Arial" w:hAnsi="Arial" w:eastAsia="Arial" w:cs="Arial"/>
          <w:sz w:val="28"/>
          <w:szCs w:val="28"/>
        </w:rPr>
      </w:pPr>
      <w:r>
        <w:br w:type="page"/>
      </w:r>
    </w:p>
    <w:p w14:paraId="717BEC59">
      <w:pPr>
        <w:pStyle w:val="2"/>
        <w:rPr>
          <w:rFonts w:ascii="Arial" w:hAnsi="Arial" w:eastAsia="Arial" w:cs="Arial"/>
        </w:rPr>
      </w:pPr>
      <w:bookmarkStart w:id="18" w:name="_GoBack"/>
      <w:bookmarkEnd w:id="18"/>
      <w:bookmarkStart w:id="0" w:name="_heading=h.60z7idputojh" w:colFirst="0" w:colLast="0"/>
      <w:bookmarkEnd w:id="0"/>
      <w:bookmarkStart w:id="1" w:name="_Toc12966"/>
      <w:r>
        <w:rPr>
          <w:rFonts w:ascii="Arial" w:hAnsi="Arial" w:eastAsia="Arial" w:cs="Arial"/>
        </w:rPr>
        <w:t>Assessment 2: Report</w:t>
      </w:r>
      <w:bookmarkEnd w:id="1"/>
    </w:p>
    <w:p w14:paraId="06EAA1C1">
      <w:pPr>
        <w:jc w:val="center"/>
        <w:rPr>
          <w:rFonts w:ascii="Arial" w:hAnsi="Arial" w:eastAsia="Arial" w:cs="Arial"/>
          <w:b/>
          <w:sz w:val="28"/>
          <w:szCs w:val="28"/>
        </w:rPr>
      </w:pPr>
      <w:r>
        <w:rPr>
          <w:rFonts w:ascii="Arial" w:hAnsi="Arial" w:eastAsia="Arial" w:cs="Arial"/>
          <w:b/>
          <w:sz w:val="28"/>
          <w:szCs w:val="28"/>
        </w:rPr>
        <w:t>Executive Summary</w:t>
      </w:r>
    </w:p>
    <w:p w14:paraId="3395BC29">
      <w:pPr>
        <w:rPr>
          <w:rFonts w:ascii="Arial" w:hAnsi="Arial" w:eastAsia="Arial" w:cs="Arial"/>
        </w:rPr>
      </w:pPr>
      <w:r>
        <w:rPr>
          <w:rFonts w:ascii="Arial" w:hAnsi="Arial" w:eastAsia="Arial" w:cs="Arial"/>
        </w:rPr>
        <w:t xml:space="preserve">Services related to sharing rides such as Uber and Lyft can offer a range of benefits to businesses in the hospitality industry. The report showcased benefits in the form of increased convenience for guests, savings of costs on transportation, improvement in the experience, and an opportunity for partnerships with public transport. However, such services can cause congestion of traffic in urban areas. Hence, the report discussed a range of potential improvements through the suggestion of including electric vehicles (EVs) in the operations of hotels. This can reduce emissions along with enhancing the quality of air and effectiveness considering costs. Major hotel chains such as Hilton already partnered with Uber and Lyft to focus on guests preferring rides associated with environmental influence with a minimal amount. The improvement of existing charging-based infrastructure along with integrating services with public transport can ensure a sustainable future for transportation. </w:t>
      </w:r>
    </w:p>
    <w:p w14:paraId="417BA0C8">
      <w:pPr>
        <w:rPr>
          <w:rFonts w:ascii="Arial" w:hAnsi="Arial" w:eastAsia="Arial" w:cs="Arial"/>
          <w:b/>
        </w:rPr>
      </w:pPr>
      <w:bookmarkStart w:id="2" w:name="_heading=h.30j0zll" w:colFirst="0" w:colLast="0"/>
      <w:bookmarkEnd w:id="2"/>
      <w:r>
        <w:br w:type="page"/>
      </w:r>
    </w:p>
    <w:p w14:paraId="599599E6">
      <w:pPr>
        <w:pStyle w:val="3"/>
        <w:rPr>
          <w:rFonts w:ascii="Arial" w:hAnsi="Arial" w:eastAsia="Arial" w:cs="Arial"/>
        </w:rPr>
      </w:pPr>
      <w:bookmarkStart w:id="3" w:name="_Toc7322"/>
      <w:r>
        <w:rPr>
          <w:rFonts w:ascii="Arial" w:hAnsi="Arial" w:eastAsia="Arial" w:cs="Arial"/>
        </w:rPr>
        <w:t>Introduction</w:t>
      </w:r>
      <w:bookmarkEnd w:id="3"/>
      <w:r>
        <w:rPr>
          <w:rFonts w:ascii="Arial" w:hAnsi="Arial" w:eastAsia="Arial" w:cs="Arial"/>
        </w:rPr>
        <w:t xml:space="preserve"> </w:t>
      </w:r>
    </w:p>
    <w:p w14:paraId="0C1ED4E4">
      <w:pPr>
        <w:rPr>
          <w:rFonts w:ascii="Arial" w:hAnsi="Arial" w:eastAsia="Arial" w:cs="Arial"/>
        </w:rPr>
      </w:pPr>
      <w:r>
        <w:rPr>
          <w:rFonts w:ascii="Arial" w:hAnsi="Arial" w:eastAsia="Arial" w:cs="Arial"/>
        </w:rPr>
        <w:t>Transport in hospitality consists of a number of modes of transportation applicable to the enhancement of the experience of guests. This can ensure a seamless and convenient form of travel to and from hotels, resorts, and other set of hospitality-based businesses. These services include hotel shuttles, taxis, private vehicles, and the latest options regarding sharing of rides. The role of transportation in hospitality is vital for the satisfaction of guests (Inkson and Minnaert, 2018). The report will discuss guests’ transportation via services based on sharing rides such as Uber and Lyft. These have gained popularity in the hospitality industry by providing guests with flexibility, convenience, and savings compared to a traditional set of taxis. Services based on sharing rides are considered a modern form of solution to transportation-related requirements. This can specifically be evident for a number of hotels in urban areas with access being a core aspect (Cooper, 2021).</w:t>
      </w:r>
    </w:p>
    <w:p w14:paraId="4F1CC003">
      <w:pPr>
        <w:rPr>
          <w:rFonts w:ascii="Arial" w:hAnsi="Arial" w:eastAsia="Arial" w:cs="Arial"/>
        </w:rPr>
      </w:pPr>
      <w:r>
        <w:rPr>
          <w:rFonts w:ascii="Arial" w:hAnsi="Arial" w:eastAsia="Arial" w:cs="Arial"/>
        </w:rPr>
        <w:t>The report will further elaborate on the influence of such services on the environment, landscape, and community as a whole. The improvement-related measures related to those will be discussed along with their effectiveness considering costs and realistic aspects. The improvements’ benefits to the environment will be showcased by including examples from the industry.</w:t>
      </w:r>
    </w:p>
    <w:p w14:paraId="455FD47E">
      <w:pPr>
        <w:pStyle w:val="3"/>
        <w:rPr>
          <w:rFonts w:ascii="Arial" w:hAnsi="Arial" w:eastAsia="Arial" w:cs="Arial"/>
        </w:rPr>
      </w:pPr>
      <w:bookmarkStart w:id="4" w:name="_Toc627"/>
      <w:r>
        <w:rPr>
          <w:rFonts w:ascii="Arial" w:hAnsi="Arial" w:eastAsia="Arial" w:cs="Arial"/>
        </w:rPr>
        <w:t>The Mode of Transport’s Requirements (entailment)</w:t>
      </w:r>
      <w:bookmarkEnd w:id="4"/>
      <w:r>
        <w:rPr>
          <w:rFonts w:ascii="Arial" w:hAnsi="Arial" w:eastAsia="Arial" w:cs="Arial"/>
        </w:rPr>
        <w:t xml:space="preserve"> </w:t>
      </w:r>
    </w:p>
    <w:p w14:paraId="3B440655">
      <w:pPr>
        <w:rPr>
          <w:rFonts w:ascii="Arial" w:hAnsi="Arial" w:eastAsia="Arial" w:cs="Arial"/>
        </w:rPr>
      </w:pPr>
      <w:r>
        <w:rPr>
          <w:rFonts w:ascii="Arial" w:hAnsi="Arial" w:eastAsia="Arial" w:cs="Arial"/>
        </w:rPr>
        <w:t>Services based on sharing rides such as Uber and Lyft provide transportation on-demand through a mobile application to more than 18 million passengers in the UK (Statista, 2023). Such an approach is helpful for visitors in booking rides to and from hotels or airports. These services can rely on a number of private drivers utilising their own vehicles. These can offer a flexible and convenient form of transportation at a competitive range of rates. The concept of sharing rides has become a core alternative to a number of traditional forms of taxis in the UK. Services are being operated in major cities such as London, Manchester, and Birmingham. These can serve both residents and external travellers.</w:t>
      </w:r>
    </w:p>
    <w:p w14:paraId="48317B64">
      <w:pPr>
        <w:jc w:val="center"/>
        <w:rPr>
          <w:rFonts w:ascii="Arial" w:hAnsi="Arial" w:eastAsia="Arial" w:cs="Arial"/>
        </w:rPr>
      </w:pPr>
      <w:r>
        <w:rPr>
          <w:rFonts w:ascii="Arial" w:hAnsi="Arial" w:eastAsia="Arial" w:cs="Arial"/>
        </w:rPr>
        <w:drawing>
          <wp:inline distT="114300" distB="114300" distL="114300" distR="114300">
            <wp:extent cx="5943600" cy="3886200"/>
            <wp:effectExtent l="0" t="0" r="0" b="0"/>
            <wp:docPr id="1056724378" name="image1.png"/>
            <wp:cNvGraphicFramePr/>
            <a:graphic xmlns:a="http://schemas.openxmlformats.org/drawingml/2006/main">
              <a:graphicData uri="http://schemas.openxmlformats.org/drawingml/2006/picture">
                <pic:pic xmlns:pic="http://schemas.openxmlformats.org/drawingml/2006/picture">
                  <pic:nvPicPr>
                    <pic:cNvPr id="1056724378" name="image1.png"/>
                    <pic:cNvPicPr preferRelativeResize="0"/>
                  </pic:nvPicPr>
                  <pic:blipFill>
                    <a:blip r:embed="rId6"/>
                    <a:srcRect/>
                    <a:stretch>
                      <a:fillRect/>
                    </a:stretch>
                  </pic:blipFill>
                  <pic:spPr>
                    <a:xfrm>
                      <a:off x="0" y="0"/>
                      <a:ext cx="5943600" cy="3886200"/>
                    </a:xfrm>
                    <a:prstGeom prst="rect">
                      <a:avLst/>
                    </a:prstGeom>
                  </pic:spPr>
                </pic:pic>
              </a:graphicData>
            </a:graphic>
          </wp:inline>
        </w:drawing>
      </w:r>
    </w:p>
    <w:p w14:paraId="7E56862A">
      <w:pPr>
        <w:jc w:val="center"/>
        <w:rPr>
          <w:rFonts w:ascii="Arial" w:hAnsi="Arial" w:eastAsia="Arial" w:cs="Arial"/>
          <w:b/>
        </w:rPr>
      </w:pPr>
      <w:r>
        <w:rPr>
          <w:rFonts w:ascii="Arial" w:hAnsi="Arial" w:eastAsia="Arial" w:cs="Arial"/>
          <w:b/>
        </w:rPr>
        <w:t>Figure: Users of ride-hailing in the UK</w:t>
      </w:r>
    </w:p>
    <w:p w14:paraId="03593856">
      <w:pPr>
        <w:jc w:val="center"/>
        <w:rPr>
          <w:rFonts w:ascii="Arial" w:hAnsi="Arial" w:eastAsia="Arial" w:cs="Arial"/>
        </w:rPr>
      </w:pPr>
      <w:r>
        <w:rPr>
          <w:rFonts w:ascii="Arial" w:hAnsi="Arial" w:eastAsia="Arial" w:cs="Arial"/>
        </w:rPr>
        <w:t>(Source: Statista, 2023)</w:t>
      </w:r>
    </w:p>
    <w:p w14:paraId="6520642E">
      <w:pPr>
        <w:pStyle w:val="3"/>
        <w:rPr>
          <w:rFonts w:ascii="Arial" w:hAnsi="Arial" w:eastAsia="Arial" w:cs="Arial"/>
        </w:rPr>
      </w:pPr>
      <w:bookmarkStart w:id="5" w:name="_Toc29820"/>
      <w:r>
        <w:rPr>
          <w:rFonts w:ascii="Arial" w:hAnsi="Arial" w:eastAsia="Arial" w:cs="Arial"/>
        </w:rPr>
        <w:t>Environmental, Landscape, and Community Impact</w:t>
      </w:r>
      <w:bookmarkEnd w:id="5"/>
    </w:p>
    <w:p w14:paraId="467981ED">
      <w:pPr>
        <w:rPr>
          <w:rFonts w:ascii="Arial" w:hAnsi="Arial" w:eastAsia="Arial" w:cs="Arial"/>
          <w:b/>
          <w:i/>
        </w:rPr>
      </w:pPr>
      <w:r>
        <w:rPr>
          <w:rFonts w:ascii="Arial" w:hAnsi="Arial" w:eastAsia="Arial" w:cs="Arial"/>
          <w:b/>
          <w:i/>
        </w:rPr>
        <w:t xml:space="preserve">Environment </w:t>
      </w:r>
    </w:p>
    <w:p w14:paraId="39079B9E">
      <w:pPr>
        <w:rPr>
          <w:rFonts w:ascii="Arial" w:hAnsi="Arial" w:eastAsia="Arial" w:cs="Arial"/>
        </w:rPr>
      </w:pPr>
      <w:r>
        <w:rPr>
          <w:rFonts w:ascii="Arial" w:hAnsi="Arial" w:eastAsia="Arial" w:cs="Arial"/>
        </w:rPr>
        <w:t xml:space="preserve">A number of services related to sharing rides offer convenience. However, those showcase a range of associated environmental influences. The sharing of rides can contribute to an enhanced level of congestion of traffic and emissions. A typical vehicle based on petrol or diesel utilised in sharing rides emits around 170 grams of CO2 per kilometer (Unagi, 2024). Hence, sharing rides can enhance the number of vehicle-related miles travelled. This can contribute to an excessively high level of emissions and pollution in the air. However, there are still a few cars on the road compared to a traditional form of taxi-based services. </w:t>
      </w:r>
    </w:p>
    <w:p w14:paraId="41FB3264">
      <w:pPr>
        <w:rPr>
          <w:rFonts w:ascii="Arial" w:hAnsi="Arial" w:eastAsia="Arial" w:cs="Arial"/>
          <w:b/>
          <w:i/>
        </w:rPr>
      </w:pPr>
      <w:r>
        <w:rPr>
          <w:rFonts w:ascii="Arial" w:hAnsi="Arial" w:eastAsia="Arial" w:cs="Arial"/>
          <w:b/>
          <w:i/>
        </w:rPr>
        <w:t>Landscape</w:t>
      </w:r>
    </w:p>
    <w:p w14:paraId="01EEC6D9">
      <w:pPr>
        <w:rPr>
          <w:rFonts w:ascii="Arial" w:hAnsi="Arial" w:eastAsia="Arial" w:cs="Arial"/>
        </w:rPr>
      </w:pPr>
      <w:r>
        <w:rPr>
          <w:rFonts w:ascii="Arial" w:hAnsi="Arial" w:eastAsia="Arial" w:cs="Arial"/>
        </w:rPr>
        <w:t xml:space="preserve">A number of services based on sharing rides are adopting a set of EVs at a gradual rate. Uber UK has committed to making its fleet 100% electric by 2030 (Uber, 2025). Such a transition is vital for the reduction of the influence on the environment. EVs produce zero emissions related to tailpipes. This can contribute to an improved form of quality of air. This is specifically associated with the urban areas. The shift to an electric approach to sharing rides can additionally be helpful in the mitigation of the concerns in the growth around pollution of noise in cities. </w:t>
      </w:r>
    </w:p>
    <w:p w14:paraId="25A74AF9">
      <w:pPr>
        <w:rPr>
          <w:rFonts w:ascii="Arial" w:hAnsi="Arial" w:eastAsia="Arial" w:cs="Arial"/>
          <w:b/>
          <w:i/>
        </w:rPr>
      </w:pPr>
      <w:r>
        <w:rPr>
          <w:rFonts w:ascii="Arial" w:hAnsi="Arial" w:eastAsia="Arial" w:cs="Arial"/>
          <w:b/>
          <w:i/>
        </w:rPr>
        <w:t>Community</w:t>
      </w:r>
    </w:p>
    <w:p w14:paraId="0ABBFE6D">
      <w:pPr>
        <w:rPr>
          <w:rFonts w:ascii="Arial" w:hAnsi="Arial" w:eastAsia="Arial" w:cs="Arial"/>
        </w:rPr>
      </w:pPr>
      <w:r>
        <w:rPr>
          <w:rFonts w:ascii="Arial" w:hAnsi="Arial" w:eastAsia="Arial" w:cs="Arial"/>
        </w:rPr>
        <w:t>Community-based approaches to sharing rides can introduce improvements in the level of accessibility. This can be achieved by providing an affordable form of transportation to a set of underserved areas. The variation of fare between a trip on a taxi and services related to sharing a ride could reach around 30% to focus on individuals in those areas (ADDICTED, 2025). However, it has additionally been criticised for influencing the livelihoods of traditional taxi drivers in a negative way. This can tend toward social tension and a number of regulation-related obstacles.</w:t>
      </w:r>
    </w:p>
    <w:p w14:paraId="1A7DDCA8">
      <w:pPr>
        <w:pStyle w:val="3"/>
        <w:rPr>
          <w:rFonts w:ascii="Arial" w:hAnsi="Arial" w:eastAsia="Arial" w:cs="Arial"/>
        </w:rPr>
      </w:pPr>
      <w:bookmarkStart w:id="6" w:name="_Toc18324"/>
      <w:r>
        <w:rPr>
          <w:rFonts w:ascii="Arial" w:hAnsi="Arial" w:eastAsia="Arial" w:cs="Arial"/>
        </w:rPr>
        <w:t>Improving Ride-sharing Services</w:t>
      </w:r>
      <w:bookmarkEnd w:id="6"/>
    </w:p>
    <w:p w14:paraId="566082F8">
      <w:pPr>
        <w:pStyle w:val="4"/>
        <w:rPr>
          <w:rFonts w:ascii="Arial" w:hAnsi="Arial" w:eastAsia="Arial" w:cs="Arial"/>
        </w:rPr>
      </w:pPr>
      <w:bookmarkStart w:id="7" w:name="_Toc22243"/>
      <w:r>
        <w:rPr>
          <w:rFonts w:ascii="Arial" w:hAnsi="Arial" w:eastAsia="Arial" w:cs="Arial"/>
        </w:rPr>
        <w:t>Adopting EVs</w:t>
      </w:r>
      <w:bookmarkEnd w:id="7"/>
    </w:p>
    <w:p w14:paraId="67FA82D6">
      <w:pPr>
        <w:rPr>
          <w:rFonts w:ascii="Arial" w:hAnsi="Arial" w:eastAsia="Arial" w:cs="Arial"/>
        </w:rPr>
      </w:pPr>
      <w:r>
        <w:rPr>
          <w:rFonts w:ascii="Arial" w:hAnsi="Arial" w:eastAsia="Arial" w:cs="Arial"/>
        </w:rPr>
        <w:t xml:space="preserve">A core aspect of improvement would be the acceleration of the adoption of EVs. The goal is to reduce the influence on the environment of services related to sharing rides. The introduction of an additional set of EVs could reduce emissions in a major way by contributing to the vast range of goals regarding the sustainability of the hospitality industry. The adoption of autonomous EVs can reduce emissions of greenhouse gases by up to 35% of the complete emissions introduced by transportation (Ercan </w:t>
      </w:r>
      <w:r>
        <w:rPr>
          <w:rFonts w:ascii="Arial" w:hAnsi="Arial" w:eastAsia="Arial" w:cs="Arial"/>
          <w:i/>
        </w:rPr>
        <w:t>et al.</w:t>
      </w:r>
      <w:r>
        <w:rPr>
          <w:rFonts w:ascii="Arial" w:hAnsi="Arial" w:eastAsia="Arial" w:cs="Arial"/>
        </w:rPr>
        <w:t xml:space="preserve">, 2022). A number of infrastructures related to charging must additionally be expanded. This can be specifically in a set of urban areas with a high demand for services related to sharing rides. </w:t>
      </w:r>
    </w:p>
    <w:p w14:paraId="2B85684F">
      <w:pPr>
        <w:rPr>
          <w:rFonts w:ascii="Arial" w:hAnsi="Arial" w:eastAsia="Arial" w:cs="Arial"/>
          <w:b/>
          <w:i/>
        </w:rPr>
      </w:pPr>
      <w:r>
        <w:rPr>
          <w:rFonts w:ascii="Arial" w:hAnsi="Arial" w:eastAsia="Arial" w:cs="Arial"/>
          <w:b/>
          <w:i/>
        </w:rPr>
        <w:t>Industry Example</w:t>
      </w:r>
    </w:p>
    <w:p w14:paraId="10ECB5FB">
      <w:pPr>
        <w:rPr>
          <w:rFonts w:ascii="Arial" w:hAnsi="Arial" w:eastAsia="Arial" w:cs="Arial"/>
        </w:rPr>
      </w:pPr>
      <w:r>
        <w:rPr>
          <w:rFonts w:ascii="Arial" w:hAnsi="Arial" w:eastAsia="Arial" w:cs="Arial"/>
        </w:rPr>
        <w:t>For instance, Hilton Hotels has partnered with Lyft to offer a service related to sharing rides for guests. This is helpful for travellers in booking rides in a seamless way through the Hilton application. Hilton encourages guests to consider an eco-friendly form of options related to sharing rides. The goal is to support the sustainability of the business entity (Lyft, 2024).</w:t>
      </w:r>
    </w:p>
    <w:p w14:paraId="305875E3">
      <w:pPr>
        <w:pStyle w:val="4"/>
        <w:rPr>
          <w:rFonts w:ascii="Arial" w:hAnsi="Arial" w:eastAsia="Arial" w:cs="Arial"/>
        </w:rPr>
      </w:pPr>
      <w:bookmarkStart w:id="8" w:name="_Toc17059"/>
      <w:r>
        <w:rPr>
          <w:rFonts w:ascii="Arial" w:hAnsi="Arial" w:eastAsia="Arial" w:cs="Arial"/>
        </w:rPr>
        <w:t>Pool-based Services</w:t>
      </w:r>
      <w:bookmarkEnd w:id="8"/>
    </w:p>
    <w:p w14:paraId="5D78742E">
      <w:pPr>
        <w:rPr>
          <w:rFonts w:ascii="Arial" w:hAnsi="Arial" w:eastAsia="Arial" w:cs="Arial"/>
        </w:rPr>
      </w:pPr>
      <w:r>
        <w:rPr>
          <w:rFonts w:ascii="Arial" w:hAnsi="Arial" w:eastAsia="Arial" w:cs="Arial"/>
        </w:rPr>
        <w:t>Apart from these, platforms based on sharing rides could explore a set of shared rides as a way to reduce the number of vehicles on the road. This can reduce congestion and emissions. For instance, Uber UK offers a pooling-based option to share a ride for passengers to travel in the same direction. This can be helpful in the reduction of the environment-related footprint as well.</w:t>
      </w:r>
    </w:p>
    <w:p w14:paraId="04D4AA56">
      <w:pPr>
        <w:pStyle w:val="4"/>
        <w:rPr>
          <w:rFonts w:ascii="Arial" w:hAnsi="Arial" w:eastAsia="Arial" w:cs="Arial"/>
        </w:rPr>
      </w:pPr>
      <w:bookmarkStart w:id="9" w:name="_Toc22539"/>
      <w:r>
        <w:rPr>
          <w:rFonts w:ascii="Arial" w:hAnsi="Arial" w:eastAsia="Arial" w:cs="Arial"/>
        </w:rPr>
        <w:t>Integration with Systems Related to Public Transport</w:t>
      </w:r>
      <w:bookmarkEnd w:id="9"/>
    </w:p>
    <w:p w14:paraId="170CCD69">
      <w:pPr>
        <w:rPr>
          <w:rFonts w:ascii="Arial" w:hAnsi="Arial" w:eastAsia="Arial" w:cs="Arial"/>
        </w:rPr>
      </w:pPr>
      <w:r>
        <w:rPr>
          <w:rFonts w:ascii="Arial" w:hAnsi="Arial" w:eastAsia="Arial" w:cs="Arial"/>
        </w:rPr>
        <w:t xml:space="preserve">Up to 40% of trips related to hailing rides do not have any viable form of alternative regarding public transport (Cats </w:t>
      </w:r>
      <w:r>
        <w:rPr>
          <w:rFonts w:ascii="Arial" w:hAnsi="Arial" w:eastAsia="Arial" w:cs="Arial"/>
          <w:i/>
        </w:rPr>
        <w:t>et al.</w:t>
      </w:r>
      <w:r>
        <w:rPr>
          <w:rFonts w:ascii="Arial" w:hAnsi="Arial" w:eastAsia="Arial" w:cs="Arial"/>
        </w:rPr>
        <w:t>, 2022). Services related to sharing rides in the hospitality industry can be improved by integrating those with the existing systems based on public transport. Mobility-as-a-service has already been executed in Leeds, UK. The initiative connects a range of services based on sharing bikes and public transport through a mobile application. For instance, the GO-HI app focused on the accessibility of transport assists a number of users in planning their travel along with finding, booking, and paying for the complete range of modes of transport utilising their mobile devices.</w:t>
      </w:r>
    </w:p>
    <w:p w14:paraId="33FF11B3">
      <w:pPr>
        <w:rPr>
          <w:rFonts w:ascii="Arial" w:hAnsi="Arial" w:eastAsia="Arial" w:cs="Arial"/>
          <w:b/>
          <w:i/>
        </w:rPr>
      </w:pPr>
      <w:bookmarkStart w:id="10" w:name="_heading=h.2s8eyo1" w:colFirst="0" w:colLast="0"/>
      <w:bookmarkEnd w:id="10"/>
      <w:r>
        <w:rPr>
          <w:rFonts w:ascii="Arial" w:hAnsi="Arial" w:eastAsia="Arial" w:cs="Arial"/>
          <w:b/>
          <w:i/>
        </w:rPr>
        <w:t xml:space="preserve">Cost Effectiveness </w:t>
      </w:r>
    </w:p>
    <w:p w14:paraId="14B897FB">
      <w:pPr>
        <w:rPr>
          <w:rFonts w:ascii="Arial" w:hAnsi="Arial" w:eastAsia="Arial" w:cs="Arial"/>
        </w:rPr>
      </w:pPr>
      <w:r>
        <w:rPr>
          <w:rFonts w:ascii="Arial" w:hAnsi="Arial" w:eastAsia="Arial" w:cs="Arial"/>
        </w:rPr>
        <w:t>Services based on sharing rides are generally considered excessively affordable compared to a traditional set of taxis. The average cost of an Uber ride in the UK is up to £2 per mile. This is less compared to the average £4 per mile for a traditional taxi. However, the investment in EVs at the initial level and the expansion of charging-based infrastructure may enhance operation-based costs in the short-term considering the business entities based on sharing rides. However, these costs can be balanced by savings in the long term on fuel. The savings on EVs are heavily caused by a low level of average running costs of around £1,300 annually compared to more than £2,500 for a car run by fossil fuel (Lv, 2021). These include a low level of maintenance-based costs considering EVs along with potential subsidies or incentives in the form of ‘plug-in’ grants provided by the UK government.</w:t>
      </w:r>
    </w:p>
    <w:p w14:paraId="73804A0A">
      <w:pPr>
        <w:rPr>
          <w:rFonts w:ascii="Arial" w:hAnsi="Arial" w:eastAsia="Arial" w:cs="Arial"/>
          <w:b/>
          <w:i/>
        </w:rPr>
      </w:pPr>
      <w:bookmarkStart w:id="11" w:name="_heading=h.17dp8vu" w:colFirst="0" w:colLast="0"/>
      <w:bookmarkEnd w:id="11"/>
      <w:r>
        <w:rPr>
          <w:rFonts w:ascii="Arial" w:hAnsi="Arial" w:eastAsia="Arial" w:cs="Arial"/>
          <w:b/>
          <w:i/>
        </w:rPr>
        <w:t xml:space="preserve">Realistic Implementation </w:t>
      </w:r>
    </w:p>
    <w:p w14:paraId="11218DF1">
      <w:pPr>
        <w:rPr>
          <w:rFonts w:ascii="Arial" w:hAnsi="Arial" w:eastAsia="Arial" w:cs="Arial"/>
        </w:rPr>
      </w:pPr>
      <w:r>
        <w:rPr>
          <w:rFonts w:ascii="Arial" w:hAnsi="Arial" w:eastAsia="Arial" w:cs="Arial"/>
        </w:rPr>
        <w:t>The transition toward a fully electric form of fleet is considered realistic. The cost of EVs is expected to decrease in time due to the growth of the market for EVs and advancements in battery-based technological advancements. The total cost of owning an EV will be lower compared to the traditional type of petrol and diesel vehicles by the mid-2020s. This makes the transition excessively practical for business entities based on sharing rides. Apart from these, the UK government has introduced a number of incentives including grants for EVs and investments in charging-based infrastructure. An entity can obtain a discount of around £350 or 75% of the cost to purchase and install an EV chargepoint socket (GOV.UK, 2022). These can additionally support the realism of the shift toward services focused on electric cars for sharing rides.</w:t>
      </w:r>
    </w:p>
    <w:p w14:paraId="689173E6">
      <w:pPr>
        <w:rPr>
          <w:rFonts w:ascii="Arial" w:hAnsi="Arial" w:eastAsia="Arial" w:cs="Arial"/>
          <w:b/>
        </w:rPr>
      </w:pPr>
      <w:r>
        <w:br w:type="page"/>
      </w:r>
    </w:p>
    <w:p w14:paraId="51EEB7CF">
      <w:pPr>
        <w:rPr>
          <w:rFonts w:ascii="Arial" w:hAnsi="Arial" w:eastAsia="Arial" w:cs="Arial"/>
          <w:b/>
        </w:rPr>
      </w:pPr>
      <w:r>
        <w:rPr>
          <w:rFonts w:ascii="Arial" w:hAnsi="Arial" w:eastAsia="Arial" w:cs="Arial"/>
          <w:b/>
        </w:rPr>
        <w:t>Aligning with Triple Bottom Line (TBL)</w:t>
      </w:r>
    </w:p>
    <w:p w14:paraId="1C77BCBA">
      <w:pPr>
        <w:jc w:val="center"/>
        <w:rPr>
          <w:rFonts w:ascii="Arial" w:hAnsi="Arial" w:eastAsia="Arial" w:cs="Arial"/>
          <w:b/>
        </w:rPr>
      </w:pPr>
      <w:r>
        <w:rPr>
          <w:rFonts w:ascii="Arial" w:hAnsi="Arial" w:eastAsia="Arial" w:cs="Arial"/>
        </w:rPr>
        <w:drawing>
          <wp:inline distT="0" distB="0" distL="0" distR="0">
            <wp:extent cx="4305300" cy="2486025"/>
            <wp:effectExtent l="0" t="0" r="0" b="0"/>
            <wp:docPr id="1056724379" name="image2.png"/>
            <wp:cNvGraphicFramePr/>
            <a:graphic xmlns:a="http://schemas.openxmlformats.org/drawingml/2006/main">
              <a:graphicData uri="http://schemas.openxmlformats.org/drawingml/2006/picture">
                <pic:pic xmlns:pic="http://schemas.openxmlformats.org/drawingml/2006/picture">
                  <pic:nvPicPr>
                    <pic:cNvPr id="1056724379" name="image2.png"/>
                    <pic:cNvPicPr preferRelativeResize="0"/>
                  </pic:nvPicPr>
                  <pic:blipFill>
                    <a:blip r:embed="rId7"/>
                    <a:srcRect/>
                    <a:stretch>
                      <a:fillRect/>
                    </a:stretch>
                  </pic:blipFill>
                  <pic:spPr>
                    <a:xfrm>
                      <a:off x="0" y="0"/>
                      <a:ext cx="4305300" cy="2486025"/>
                    </a:xfrm>
                    <a:prstGeom prst="rect">
                      <a:avLst/>
                    </a:prstGeom>
                  </pic:spPr>
                </pic:pic>
              </a:graphicData>
            </a:graphic>
          </wp:inline>
        </w:drawing>
      </w:r>
    </w:p>
    <w:p w14:paraId="70FD9148">
      <w:pPr>
        <w:jc w:val="center"/>
        <w:rPr>
          <w:rFonts w:ascii="Arial" w:hAnsi="Arial" w:eastAsia="Arial" w:cs="Arial"/>
          <w:b/>
        </w:rPr>
      </w:pPr>
      <w:r>
        <w:rPr>
          <w:rFonts w:ascii="Arial" w:hAnsi="Arial" w:eastAsia="Arial" w:cs="Arial"/>
          <w:b/>
        </w:rPr>
        <w:t>Figure: TBL framework aligned with sustainability</w:t>
      </w:r>
    </w:p>
    <w:p w14:paraId="00473351">
      <w:pPr>
        <w:jc w:val="center"/>
        <w:rPr>
          <w:rFonts w:ascii="Arial" w:hAnsi="Arial" w:eastAsia="Arial" w:cs="Arial"/>
        </w:rPr>
      </w:pPr>
      <w:r>
        <w:rPr>
          <w:rFonts w:ascii="Arial" w:hAnsi="Arial" w:eastAsia="Arial" w:cs="Arial"/>
        </w:rPr>
        <w:t xml:space="preserve">(Source: van Bueren </w:t>
      </w:r>
      <w:r>
        <w:rPr>
          <w:rFonts w:ascii="Arial" w:hAnsi="Arial" w:eastAsia="Arial" w:cs="Arial"/>
          <w:i/>
        </w:rPr>
        <w:t>et al.</w:t>
      </w:r>
      <w:r>
        <w:rPr>
          <w:rFonts w:ascii="Arial" w:hAnsi="Arial" w:eastAsia="Arial" w:cs="Arial"/>
        </w:rPr>
        <w:t>, 2023)</w:t>
      </w:r>
    </w:p>
    <w:p w14:paraId="0AF0969C">
      <w:pPr>
        <w:rPr>
          <w:rFonts w:ascii="Arial" w:hAnsi="Arial" w:eastAsia="Arial" w:cs="Arial"/>
        </w:rPr>
      </w:pPr>
      <w:r>
        <w:rPr>
          <w:rFonts w:ascii="Arial" w:hAnsi="Arial" w:eastAsia="Arial" w:cs="Arial"/>
        </w:rPr>
        <w:t>TBL can be aligned with to stress the balance between economic, social, and environment-related performance. The model is considered economical considering a low level of operation-based costs and potential revenue-based growth considering incentives regarding EVs and eco-conscious consumers. The adoption of electric forms of vehicles can come up with beneficial aspects for a number of communities through the improvement of the quality of air and the reduction of pollution related to noise. A number of shared rides introduce improvements in the accessibility of parts of the nation. The transition to EVs contributes to the reduction of emissions of carbon along with enhancing efforts regarding sustainability in the hospitality-related industry in a direct way.</w:t>
      </w:r>
    </w:p>
    <w:p w14:paraId="25C86391">
      <w:pPr>
        <w:pStyle w:val="3"/>
        <w:rPr>
          <w:rFonts w:ascii="Arial" w:hAnsi="Arial" w:eastAsia="Arial" w:cs="Arial"/>
        </w:rPr>
      </w:pPr>
      <w:bookmarkStart w:id="12" w:name="_Toc23758"/>
      <w:r>
        <w:rPr>
          <w:rFonts w:ascii="Arial" w:hAnsi="Arial" w:eastAsia="Arial" w:cs="Arial"/>
        </w:rPr>
        <w:t>Environmental Benefits of Improving Ride-sharing Services</w:t>
      </w:r>
      <w:bookmarkEnd w:id="12"/>
    </w:p>
    <w:p w14:paraId="4B2D44F2">
      <w:pPr>
        <w:pStyle w:val="4"/>
        <w:rPr>
          <w:rFonts w:ascii="Arial" w:hAnsi="Arial" w:eastAsia="Arial" w:cs="Arial"/>
        </w:rPr>
      </w:pPr>
      <w:bookmarkStart w:id="13" w:name="_Toc21188"/>
      <w:r>
        <w:rPr>
          <w:rFonts w:ascii="Arial" w:hAnsi="Arial" w:eastAsia="Arial" w:cs="Arial"/>
        </w:rPr>
        <w:t>Reduction of Pollution</w:t>
      </w:r>
      <w:bookmarkEnd w:id="13"/>
    </w:p>
    <w:p w14:paraId="46F87CAE">
      <w:pPr>
        <w:rPr>
          <w:rFonts w:ascii="Arial" w:hAnsi="Arial" w:eastAsia="Arial" w:cs="Arial"/>
        </w:rPr>
      </w:pPr>
      <w:r>
        <w:rPr>
          <w:rFonts w:ascii="Arial" w:hAnsi="Arial" w:eastAsia="Arial" w:cs="Arial"/>
        </w:rPr>
        <w:t xml:space="preserve">The transition of services toward sharing rides by utilising EVs can be helpful for hotels and resorts in reducing pollution by partnering with major providers. For instance, Uber UK has already prevented around 55,000 tonnes of air-based pollution since 2021 through services focused on EVs along with encouraging further adoption (UBER, 2025). Hilton has partnered with Uber to assist guests in setting ride-based reminders along with requesting vehicles from nearby locations to save time and enhance the efficiency of electricity through the loyalty application ‘HHonors’ (Retail Dive, 2024). </w:t>
      </w:r>
    </w:p>
    <w:p w14:paraId="244D2DC8">
      <w:pPr>
        <w:pStyle w:val="4"/>
        <w:rPr>
          <w:rFonts w:ascii="Arial" w:hAnsi="Arial" w:eastAsia="Arial" w:cs="Arial"/>
        </w:rPr>
      </w:pPr>
      <w:bookmarkStart w:id="14" w:name="_Toc10901"/>
      <w:r>
        <w:rPr>
          <w:rFonts w:ascii="Arial" w:hAnsi="Arial" w:eastAsia="Arial" w:cs="Arial"/>
        </w:rPr>
        <w:t>Improved Air Quality</w:t>
      </w:r>
      <w:bookmarkEnd w:id="14"/>
    </w:p>
    <w:p w14:paraId="4145D526">
      <w:pPr>
        <w:rPr>
          <w:rFonts w:ascii="Arial" w:hAnsi="Arial" w:eastAsia="Arial" w:cs="Arial"/>
        </w:rPr>
      </w:pPr>
      <w:r>
        <w:rPr>
          <w:rFonts w:ascii="Arial" w:hAnsi="Arial" w:eastAsia="Arial" w:cs="Arial"/>
        </w:rPr>
        <w:t>The adoption of EVs in sharing rides for guests can improve the quality of air both indoor and outdoor of a hotel or a resort. For instance, the Zetter Hotel London has already commenced providing guests with a range of options for riding in EVs. This aligns with the standards of Ultra Low Emission Zone (ULEZ). Such an approach helped hospitality-focused businesses in Central London to reduce nitrogen dioxide by up to 45% (London Government, 2024). International tourists often focus on the quality of air while travelling to a destination specifically the ones habituated with a high level of air quality. Hence, businesses operating in the hospitality sector must focus on the complete range of convenience from picking up guests to reaching them at the destination by incorporating merely EVs.</w:t>
      </w:r>
    </w:p>
    <w:p w14:paraId="03D37285">
      <w:pPr>
        <w:pStyle w:val="4"/>
        <w:rPr>
          <w:rFonts w:ascii="Arial" w:hAnsi="Arial" w:eastAsia="Arial" w:cs="Arial"/>
        </w:rPr>
      </w:pPr>
      <w:bookmarkStart w:id="15" w:name="_Toc25271"/>
      <w:r>
        <w:rPr>
          <w:rFonts w:ascii="Arial" w:hAnsi="Arial" w:eastAsia="Arial" w:cs="Arial"/>
        </w:rPr>
        <w:t>Promoting Clean Energy Usage</w:t>
      </w:r>
      <w:bookmarkEnd w:id="15"/>
    </w:p>
    <w:p w14:paraId="0D801D32">
      <w:pPr>
        <w:rPr>
          <w:rFonts w:ascii="Arial" w:hAnsi="Arial" w:eastAsia="Arial" w:cs="Arial"/>
        </w:rPr>
      </w:pPr>
      <w:r>
        <w:rPr>
          <w:rFonts w:ascii="Arial" w:hAnsi="Arial" w:eastAsia="Arial" w:cs="Arial"/>
        </w:rPr>
        <w:t>A sizeable number of hotels integrate a charging-based station with their properties. Additionally, services based on sharing rides can obtain benefits from an enhanced form of charging-based infrastructure. This can encourage a number of drivers to switch to EVs. For instance, more than 130 hotels of Accor have already incorporated charging-based points for EVs in Northern Europe including around 30 hotels in the UK alone (Travel-pursuit, 2022). The goal is to support a set of sustainable options for trips considering guests. Hotels offering a range of such components are promoting a clean form of energy in an indirect way. This can align with the goal of the UK related to the transition to renewable energy.</w:t>
      </w:r>
    </w:p>
    <w:p w14:paraId="64F4448D">
      <w:pPr>
        <w:pStyle w:val="3"/>
        <w:rPr>
          <w:rFonts w:ascii="Arial" w:hAnsi="Arial" w:eastAsia="Arial" w:cs="Arial"/>
        </w:rPr>
      </w:pPr>
      <w:bookmarkStart w:id="16" w:name="_Toc30079"/>
      <w:r>
        <w:rPr>
          <w:rFonts w:ascii="Arial" w:hAnsi="Arial" w:eastAsia="Arial" w:cs="Arial"/>
        </w:rPr>
        <w:t>Conclusion/Recommendations</w:t>
      </w:r>
      <w:bookmarkEnd w:id="16"/>
    </w:p>
    <w:p w14:paraId="655D468D">
      <w:pPr>
        <w:rPr>
          <w:rFonts w:ascii="Arial" w:hAnsi="Arial" w:eastAsia="Arial" w:cs="Arial"/>
        </w:rPr>
      </w:pPr>
      <w:r>
        <w:rPr>
          <w:rFonts w:ascii="Arial" w:hAnsi="Arial" w:eastAsia="Arial" w:cs="Arial"/>
        </w:rPr>
        <w:t xml:space="preserve">Services of sharing rides have transformed into a vital mode of transportation for customers within the hospitality industry. These can offer a sufficient level of flexibility and convenience. However, the integration of EVs has been ideated by hotels such as the Zetter Hotel London to improve the quality of air for its base of guests. Accor Hotel is focusing on its charging-related infrastructure for EVs. London’s ULEZ highlights the feasibility and beneficial aspects of promoting a range of sustainable solutions related to sharing rides. Hence, the hospitality industry can enhance the experience of guests along with reducing its carbon-related footprint on the environment.  Being associated with public transport to provide such services can prove to be a smart approach while accelerating the transition to EVs. An innovative approach to recommendations includes the introduction of optimisation of rides through AI. This could reduce an idle form of trips along with reducing congestion at a gradual rate. Additionally, the integration of programs regarding the balancing of carbon into bookings of guests for a sustainable approach to transportation can be considered. These, as a whole, can additionally enhance the satisfaction of guests along with encouraging engagement in the community. </w:t>
      </w:r>
    </w:p>
    <w:p w14:paraId="72FAED08">
      <w:pPr>
        <w:rPr>
          <w:rFonts w:ascii="Arial" w:hAnsi="Arial" w:eastAsia="Arial" w:cs="Arial"/>
        </w:rPr>
      </w:pPr>
      <w:r>
        <w:br w:type="page"/>
      </w:r>
    </w:p>
    <w:p w14:paraId="539D4F82">
      <w:pPr>
        <w:pStyle w:val="2"/>
        <w:rPr>
          <w:rFonts w:ascii="Arial" w:hAnsi="Arial" w:eastAsia="Arial" w:cs="Arial"/>
        </w:rPr>
      </w:pPr>
      <w:bookmarkStart w:id="17" w:name="_Toc24013"/>
      <w:r>
        <w:rPr>
          <w:rFonts w:ascii="Arial" w:hAnsi="Arial" w:eastAsia="Arial" w:cs="Arial"/>
        </w:rPr>
        <w:t>References</w:t>
      </w:r>
      <w:bookmarkEnd w:id="17"/>
    </w:p>
    <w:p w14:paraId="08395E8A">
      <w:pPr>
        <w:rPr>
          <w:rFonts w:ascii="Arial" w:hAnsi="Arial" w:eastAsia="Arial" w:cs="Arial"/>
        </w:rPr>
      </w:pPr>
      <w:r>
        <w:rPr>
          <w:rFonts w:ascii="Arial" w:hAnsi="Arial" w:eastAsia="Arial" w:cs="Arial"/>
        </w:rPr>
        <w:t>ADDICTED, 2025</w:t>
      </w:r>
      <w:r>
        <w:rPr>
          <w:rFonts w:ascii="Arial" w:hAnsi="Arial" w:eastAsia="Arial" w:cs="Arial"/>
          <w:i/>
        </w:rPr>
        <w:t>. Reasons to Choose Ridesharing Over Traditional Taxis</w:t>
      </w:r>
      <w:r>
        <w:rPr>
          <w:rFonts w:ascii="Arial" w:hAnsi="Arial" w:eastAsia="Arial" w:cs="Arial"/>
        </w:rPr>
        <w:t>. Available at: https://www.weraddicted.com/reasons-to-choose-ridesharing-over-traditional-taxis/ (Accessed: 6 February 2025).</w:t>
      </w:r>
    </w:p>
    <w:p w14:paraId="3D199E73">
      <w:pPr>
        <w:rPr>
          <w:rFonts w:ascii="Arial" w:hAnsi="Arial" w:eastAsia="Arial" w:cs="Arial"/>
        </w:rPr>
      </w:pPr>
      <w:r>
        <w:rPr>
          <w:rFonts w:ascii="Arial" w:hAnsi="Arial" w:eastAsia="Arial" w:cs="Arial"/>
        </w:rPr>
        <w:t>Cats, O., Kucharski, R., Danda, S.R. and Yap, M., 2022. Beyond the dichotomy: How ride-hailing competes with and complements public transport. </w:t>
      </w:r>
      <w:r>
        <w:rPr>
          <w:rFonts w:ascii="Arial" w:hAnsi="Arial" w:eastAsia="Arial" w:cs="Arial"/>
          <w:i/>
        </w:rPr>
        <w:t>Plos one</w:t>
      </w:r>
      <w:r>
        <w:rPr>
          <w:rFonts w:ascii="Arial" w:hAnsi="Arial" w:eastAsia="Arial" w:cs="Arial"/>
        </w:rPr>
        <w:t>, </w:t>
      </w:r>
      <w:r>
        <w:rPr>
          <w:rFonts w:ascii="Arial" w:hAnsi="Arial" w:eastAsia="Arial" w:cs="Arial"/>
          <w:i/>
        </w:rPr>
        <w:t>17</w:t>
      </w:r>
      <w:r>
        <w:rPr>
          <w:rFonts w:ascii="Arial" w:hAnsi="Arial" w:eastAsia="Arial" w:cs="Arial"/>
        </w:rPr>
        <w:t>(1), p.e0262496.</w:t>
      </w:r>
    </w:p>
    <w:p w14:paraId="432D9FA5">
      <w:pPr>
        <w:rPr>
          <w:rFonts w:ascii="Arial" w:hAnsi="Arial" w:eastAsia="Arial" w:cs="Arial"/>
        </w:rPr>
      </w:pPr>
      <w:r>
        <w:rPr>
          <w:rFonts w:ascii="Arial" w:hAnsi="Arial" w:eastAsia="Arial" w:cs="Arial"/>
        </w:rPr>
        <w:t>Cooper, C., 2021. Essentials of tourism. Third edition. London: SAGE.</w:t>
      </w:r>
    </w:p>
    <w:p w14:paraId="66A50AD0">
      <w:pPr>
        <w:rPr>
          <w:rFonts w:ascii="Arial" w:hAnsi="Arial" w:eastAsia="Arial" w:cs="Arial"/>
        </w:rPr>
      </w:pPr>
      <w:r>
        <w:rPr>
          <w:rFonts w:ascii="Arial" w:hAnsi="Arial" w:eastAsia="Arial" w:cs="Arial"/>
        </w:rPr>
        <w:t>Ercan, T., Onat, N.C., Keya, N., Tatari, O., Eluru, N. and Kucukvar, M., 2022. Autonomous electric vehicles can reduce carbon emissions and air pollution in cities. </w:t>
      </w:r>
      <w:r>
        <w:rPr>
          <w:rFonts w:ascii="Arial" w:hAnsi="Arial" w:eastAsia="Arial" w:cs="Arial"/>
          <w:i/>
        </w:rPr>
        <w:t>Transportation Research Part D: Transport and Environment</w:t>
      </w:r>
      <w:r>
        <w:rPr>
          <w:rFonts w:ascii="Arial" w:hAnsi="Arial" w:eastAsia="Arial" w:cs="Arial"/>
        </w:rPr>
        <w:t>, </w:t>
      </w:r>
      <w:r>
        <w:rPr>
          <w:rFonts w:ascii="Arial" w:hAnsi="Arial" w:eastAsia="Arial" w:cs="Arial"/>
          <w:i/>
        </w:rPr>
        <w:t>112</w:t>
      </w:r>
      <w:r>
        <w:rPr>
          <w:rFonts w:ascii="Arial" w:hAnsi="Arial" w:eastAsia="Arial" w:cs="Arial"/>
        </w:rPr>
        <w:t>, p.103472.</w:t>
      </w:r>
    </w:p>
    <w:p w14:paraId="46B545D8">
      <w:pPr>
        <w:rPr>
          <w:rFonts w:ascii="Arial" w:hAnsi="Arial" w:eastAsia="Arial" w:cs="Arial"/>
        </w:rPr>
      </w:pPr>
      <w:r>
        <w:rPr>
          <w:rFonts w:ascii="Arial" w:hAnsi="Arial" w:eastAsia="Arial" w:cs="Arial"/>
        </w:rPr>
        <w:t>GOV.UK, 2022. </w:t>
      </w:r>
      <w:r>
        <w:rPr>
          <w:rFonts w:ascii="Arial" w:hAnsi="Arial" w:eastAsia="Arial" w:cs="Arial"/>
          <w:i/>
        </w:rPr>
        <w:t>Electric vehicle chargepoint and infrastructure grants for landlords</w:t>
      </w:r>
      <w:r>
        <w:rPr>
          <w:rFonts w:ascii="Arial" w:hAnsi="Arial" w:eastAsia="Arial" w:cs="Arial"/>
        </w:rPr>
        <w:t>, </w:t>
      </w:r>
      <w:r>
        <w:rPr>
          <w:rFonts w:ascii="Arial" w:hAnsi="Arial" w:eastAsia="Arial" w:cs="Arial"/>
          <w:i/>
        </w:rPr>
        <w:t>GOV.UK</w:t>
      </w:r>
      <w:r>
        <w:rPr>
          <w:rFonts w:ascii="Arial" w:hAnsi="Arial" w:eastAsia="Arial" w:cs="Arial"/>
        </w:rPr>
        <w:t>. Available at: https://www.gov.uk/electric-vehicle-chargepoint-grant-landlords#:~:text=An%20EV%20chargepoint%20grant%20gives,200%20grants%20for%20residential%20properties (Accessed: 6 February 2025).</w:t>
      </w:r>
    </w:p>
    <w:p w14:paraId="749E244D">
      <w:pPr>
        <w:rPr>
          <w:rFonts w:ascii="Arial" w:hAnsi="Arial" w:eastAsia="Arial" w:cs="Arial"/>
        </w:rPr>
      </w:pPr>
      <w:r>
        <w:rPr>
          <w:rFonts w:ascii="Arial" w:hAnsi="Arial" w:eastAsia="Arial" w:cs="Arial"/>
        </w:rPr>
        <w:t>Inkson, C. and Minnaert, L., 2018. </w:t>
      </w:r>
      <w:r>
        <w:rPr>
          <w:rFonts w:ascii="Arial" w:hAnsi="Arial" w:eastAsia="Arial" w:cs="Arial"/>
          <w:i/>
        </w:rPr>
        <w:t>Tourism management: an introduction</w:t>
      </w:r>
      <w:r>
        <w:rPr>
          <w:rFonts w:ascii="Arial" w:hAnsi="Arial" w:eastAsia="Arial" w:cs="Arial"/>
        </w:rPr>
        <w:t>. Sage.</w:t>
      </w:r>
    </w:p>
    <w:p w14:paraId="260B6850">
      <w:pPr>
        <w:rPr>
          <w:rFonts w:ascii="Arial" w:hAnsi="Arial" w:eastAsia="Arial" w:cs="Arial"/>
        </w:rPr>
      </w:pPr>
      <w:r>
        <w:rPr>
          <w:rFonts w:ascii="Arial" w:hAnsi="Arial" w:eastAsia="Arial" w:cs="Arial"/>
        </w:rPr>
        <w:t>London Government, 2024. EXPANDED ULTRA LOW EMISSION ZONE – FIRST MONTH REPORT. Available at: https://www.london.gov.uk/sites/default/files/ulez_first_month_report_december_2021.pdf (Accessed: 6 February 2025).</w:t>
      </w:r>
    </w:p>
    <w:p w14:paraId="6A534918">
      <w:pPr>
        <w:rPr>
          <w:rFonts w:ascii="Arial" w:hAnsi="Arial" w:eastAsia="Arial" w:cs="Arial"/>
        </w:rPr>
      </w:pPr>
      <w:r>
        <w:rPr>
          <w:rFonts w:ascii="Arial" w:hAnsi="Arial" w:eastAsia="Arial" w:cs="Arial"/>
        </w:rPr>
        <w:t xml:space="preserve">Lv, 2021. </w:t>
      </w:r>
      <w:r>
        <w:rPr>
          <w:rFonts w:ascii="Arial" w:hAnsi="Arial" w:eastAsia="Arial" w:cs="Arial"/>
          <w:i/>
        </w:rPr>
        <w:t>Electric cars cheaper on average than petrol and diesel over ownership period</w:t>
      </w:r>
      <w:r>
        <w:rPr>
          <w:rFonts w:ascii="Arial" w:hAnsi="Arial" w:eastAsia="Arial" w:cs="Arial"/>
        </w:rPr>
        <w:t>. Available at: https://www.lv.com/insurance/press/electric-cars-cheaper-on-average-than-petrol-and-diesel-over-ownership-period (Accessed: 6 February 2025).</w:t>
      </w:r>
    </w:p>
    <w:p w14:paraId="5EC12A36">
      <w:pPr>
        <w:rPr>
          <w:rFonts w:ascii="Arial" w:hAnsi="Arial" w:eastAsia="Arial" w:cs="Arial"/>
        </w:rPr>
      </w:pPr>
      <w:r>
        <w:rPr>
          <w:rFonts w:ascii="Arial" w:hAnsi="Arial" w:eastAsia="Arial" w:cs="Arial"/>
        </w:rPr>
        <w:t>Lyft, 2024</w:t>
      </w:r>
      <w:r>
        <w:rPr>
          <w:rFonts w:ascii="Arial" w:hAnsi="Arial" w:eastAsia="Arial" w:cs="Arial"/>
          <w:i/>
        </w:rPr>
        <w:t>. Hilton Honors Lyft partnership</w:t>
      </w:r>
      <w:r>
        <w:rPr>
          <w:rFonts w:ascii="Arial" w:hAnsi="Arial" w:eastAsia="Arial" w:cs="Arial"/>
        </w:rPr>
        <w:t>. Available at: https://help.lyft.com/hc/ru/all/articles/360020588473-Hilton-Honors-Lyft-partnership (Accessed: 6 February 2025).</w:t>
      </w:r>
    </w:p>
    <w:p w14:paraId="1EB82E57">
      <w:pPr>
        <w:rPr>
          <w:rFonts w:ascii="Arial" w:hAnsi="Arial" w:eastAsia="Arial" w:cs="Arial"/>
        </w:rPr>
      </w:pPr>
      <w:r>
        <w:rPr>
          <w:rFonts w:ascii="Arial" w:hAnsi="Arial" w:eastAsia="Arial" w:cs="Arial"/>
        </w:rPr>
        <w:t>Retail Dive, 2024</w:t>
      </w:r>
      <w:r>
        <w:rPr>
          <w:rFonts w:ascii="Arial" w:hAnsi="Arial" w:eastAsia="Arial" w:cs="Arial"/>
          <w:i/>
        </w:rPr>
        <w:t>. Don’t miss tomorrow’s retail industry news</w:t>
      </w:r>
      <w:r>
        <w:rPr>
          <w:rFonts w:ascii="Arial" w:hAnsi="Arial" w:eastAsia="Arial" w:cs="Arial"/>
        </w:rPr>
        <w:t>. Available at: https://www.retaildive.com/ex/mobilecommercedaily/hilton-unrolls-expanded-in-app-uber-integration-as-hospitality-partnerships-thrive#:~:text=Hilton%20first%20ushered%20in%20the,loyalty%20app%20(see%20story) (Accessed: 6 February 2025).</w:t>
      </w:r>
    </w:p>
    <w:p w14:paraId="5612AE1A">
      <w:pPr>
        <w:rPr>
          <w:rFonts w:ascii="Arial" w:hAnsi="Arial" w:eastAsia="Arial" w:cs="Arial"/>
        </w:rPr>
      </w:pPr>
      <w:r>
        <w:rPr>
          <w:rFonts w:ascii="Arial" w:hAnsi="Arial" w:eastAsia="Arial" w:cs="Arial"/>
        </w:rPr>
        <w:t xml:space="preserve">Statista, 2023. </w:t>
      </w:r>
      <w:r>
        <w:rPr>
          <w:rFonts w:ascii="Arial" w:hAnsi="Arial" w:eastAsia="Arial" w:cs="Arial"/>
          <w:i/>
        </w:rPr>
        <w:t>Number of users of ride-hailing in the United Kingdom from 2020 to 2029</w:t>
      </w:r>
      <w:r>
        <w:rPr>
          <w:rFonts w:ascii="Arial" w:hAnsi="Arial" w:eastAsia="Arial" w:cs="Arial"/>
        </w:rPr>
        <w:t>. Available at: https://www.statista.com/forecasts/815459/number-of-users-in-the-online-ride-hailing-market-in-the-united-kingdom</w:t>
      </w:r>
    </w:p>
    <w:p w14:paraId="690320FD">
      <w:pPr>
        <w:rPr>
          <w:rFonts w:ascii="Arial" w:hAnsi="Arial" w:eastAsia="Arial" w:cs="Arial"/>
        </w:rPr>
      </w:pPr>
      <w:r>
        <w:rPr>
          <w:rFonts w:ascii="Arial" w:hAnsi="Arial" w:eastAsia="Arial" w:cs="Arial"/>
        </w:rPr>
        <w:t>Travel-pursuit, 2022. </w:t>
      </w:r>
      <w:r>
        <w:rPr>
          <w:rFonts w:ascii="Arial" w:hAnsi="Arial" w:eastAsia="Arial" w:cs="Arial"/>
          <w:i/>
        </w:rPr>
        <w:t>Accor Maps EV Charge Points Across Europe</w:t>
      </w:r>
      <w:r>
        <w:rPr>
          <w:rFonts w:ascii="Arial" w:hAnsi="Arial" w:eastAsia="Arial" w:cs="Arial"/>
        </w:rPr>
        <w:t>, </w:t>
      </w:r>
      <w:r>
        <w:rPr>
          <w:rFonts w:ascii="Arial" w:hAnsi="Arial" w:eastAsia="Arial" w:cs="Arial"/>
          <w:i/>
        </w:rPr>
        <w:t>Travel Pursuit</w:t>
      </w:r>
      <w:r>
        <w:rPr>
          <w:rFonts w:ascii="Arial" w:hAnsi="Arial" w:eastAsia="Arial" w:cs="Arial"/>
        </w:rPr>
        <w:t>. Available at: https://travel-pursuit.co.uk/accor-maps-ev-charge-points-across-europe/ (Accessed: 6 February 2025).</w:t>
      </w:r>
    </w:p>
    <w:p w14:paraId="0007FB51">
      <w:pPr>
        <w:rPr>
          <w:rFonts w:ascii="Arial" w:hAnsi="Arial" w:eastAsia="Arial" w:cs="Arial"/>
        </w:rPr>
      </w:pPr>
      <w:r>
        <w:rPr>
          <w:rFonts w:ascii="Arial" w:hAnsi="Arial" w:eastAsia="Arial" w:cs="Arial"/>
        </w:rPr>
        <w:t xml:space="preserve">Uber, 2025. </w:t>
      </w:r>
      <w:r>
        <w:rPr>
          <w:rFonts w:ascii="Arial" w:hAnsi="Arial" w:eastAsia="Arial" w:cs="Arial"/>
          <w:i/>
        </w:rPr>
        <w:t>Together on the road to zero emissions</w:t>
      </w:r>
      <w:r>
        <w:rPr>
          <w:rFonts w:ascii="Arial" w:hAnsi="Arial" w:eastAsia="Arial" w:cs="Arial"/>
        </w:rPr>
        <w:t>. Available at: https://www.uber.com/gb/en/drive/services/electric/ (Accessed: 6 February 2025).</w:t>
      </w:r>
    </w:p>
    <w:p w14:paraId="57A6266A">
      <w:pPr>
        <w:rPr>
          <w:rFonts w:ascii="Arial" w:hAnsi="Arial" w:eastAsia="Arial" w:cs="Arial"/>
        </w:rPr>
      </w:pPr>
      <w:r>
        <w:rPr>
          <w:rFonts w:ascii="Arial" w:hAnsi="Arial" w:eastAsia="Arial" w:cs="Arial"/>
        </w:rPr>
        <w:t>UBER, 2025</w:t>
      </w:r>
      <w:r>
        <w:rPr>
          <w:rFonts w:ascii="Arial" w:hAnsi="Arial" w:eastAsia="Arial" w:cs="Arial"/>
          <w:i/>
        </w:rPr>
        <w:t>.</w:t>
      </w:r>
      <w:r>
        <w:rPr>
          <w:rFonts w:ascii="Arial" w:hAnsi="Arial" w:eastAsia="Arial" w:cs="Arial"/>
        </w:rPr>
        <w:t> </w:t>
      </w:r>
      <w:r>
        <w:rPr>
          <w:rFonts w:ascii="Arial" w:hAnsi="Arial" w:eastAsia="Arial" w:cs="Arial"/>
          <w:i/>
        </w:rPr>
        <w:t>Pavegen</w:t>
      </w:r>
      <w:r>
        <w:rPr>
          <w:rFonts w:ascii="Arial" w:hAnsi="Arial" w:eastAsia="Arial" w:cs="Arial"/>
        </w:rPr>
        <w:t>. Available at: https://www.pavegen.com/en/case-studies/uber-london-2024 (Accessed: 6 February 2025).</w:t>
      </w:r>
    </w:p>
    <w:p w14:paraId="1A8F938B">
      <w:pPr>
        <w:rPr>
          <w:rFonts w:ascii="Arial" w:hAnsi="Arial" w:eastAsia="Arial" w:cs="Arial"/>
        </w:rPr>
      </w:pPr>
      <w:r>
        <w:rPr>
          <w:rFonts w:ascii="Arial" w:hAnsi="Arial" w:eastAsia="Arial" w:cs="Arial"/>
        </w:rPr>
        <w:t xml:space="preserve">Unagi, 2024. </w:t>
      </w:r>
      <w:r>
        <w:rPr>
          <w:rFonts w:ascii="Arial" w:hAnsi="Arial" w:eastAsia="Arial" w:cs="Arial"/>
          <w:i/>
        </w:rPr>
        <w:t>Assessing the carbon footprint: scooter emissions vs car emissions</w:t>
      </w:r>
      <w:r>
        <w:rPr>
          <w:rFonts w:ascii="Arial" w:hAnsi="Arial" w:eastAsia="Arial" w:cs="Arial"/>
        </w:rPr>
        <w:t>, </w:t>
      </w:r>
      <w:r>
        <w:rPr>
          <w:rFonts w:ascii="Arial" w:hAnsi="Arial" w:eastAsia="Arial" w:cs="Arial"/>
          <w:i/>
        </w:rPr>
        <w:t>UNAGI</w:t>
      </w:r>
      <w:r>
        <w:rPr>
          <w:rFonts w:ascii="Arial" w:hAnsi="Arial" w:eastAsia="Arial" w:cs="Arial"/>
        </w:rPr>
        <w:t>. Available at: https://unagiscooters.com/scooter-articles/scooter-emissions-vs-car-emissions/ (Accessed: 6 February 2025).</w:t>
      </w:r>
    </w:p>
    <w:p w14:paraId="323EE74C">
      <w:pPr>
        <w:rPr>
          <w:rFonts w:ascii="Arial" w:hAnsi="Arial" w:eastAsia="Arial" w:cs="Arial"/>
        </w:rPr>
      </w:pPr>
      <w:r>
        <w:rPr>
          <w:rFonts w:ascii="Arial" w:hAnsi="Arial" w:eastAsia="Arial" w:cs="Arial"/>
        </w:rPr>
        <w:t>van Bueren, B.J., Leenders, M.A., Iyer-Raniga, U. and Argus, K., 2023. How eco-champions solve the triple-bottom-line challenge. </w:t>
      </w:r>
      <w:r>
        <w:rPr>
          <w:rFonts w:ascii="Arial" w:hAnsi="Arial" w:eastAsia="Arial" w:cs="Arial"/>
          <w:i/>
        </w:rPr>
        <w:t>Journal of Cleaner Production</w:t>
      </w:r>
      <w:r>
        <w:rPr>
          <w:rFonts w:ascii="Arial" w:hAnsi="Arial" w:eastAsia="Arial" w:cs="Arial"/>
        </w:rPr>
        <w:t>, </w:t>
      </w:r>
      <w:r>
        <w:rPr>
          <w:rFonts w:ascii="Arial" w:hAnsi="Arial" w:eastAsia="Arial" w:cs="Arial"/>
          <w:i/>
        </w:rPr>
        <w:t>427</w:t>
      </w:r>
      <w:r>
        <w:rPr>
          <w:rFonts w:ascii="Arial" w:hAnsi="Arial" w:eastAsia="Arial" w:cs="Arial"/>
        </w:rPr>
        <w:t>, p.139068.</w:t>
      </w:r>
    </w:p>
    <w:sectPr>
      <w:pgSz w:w="12240" w:h="15840"/>
      <w:pgMar w:top="1440" w:right="1440" w:bottom="1440" w:left="1440" w:header="720" w:footer="72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7D40"/>
    <w:rsid w:val="002A53B1"/>
    <w:rsid w:val="00366E76"/>
    <w:rsid w:val="0082189D"/>
    <w:rsid w:val="008A3388"/>
    <w:rsid w:val="00967B8A"/>
    <w:rsid w:val="00A57D40"/>
    <w:rsid w:val="00A90944"/>
    <w:rsid w:val="00C456EF"/>
    <w:rsid w:val="00D10131"/>
    <w:rsid w:val="00F24EC4"/>
    <w:rsid w:val="5A16334B"/>
    <w:rsid w:val="7AC75DE7"/>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jc w:val="both"/>
    </w:pPr>
    <w:rPr>
      <w:rFonts w:ascii="Times New Roman" w:hAnsi="Times New Roman" w:eastAsia="Times New Roman" w:cs="Times New Roman"/>
      <w:sz w:val="24"/>
      <w:szCs w:val="24"/>
      <w:lang w:val="en" w:eastAsia="en-IN" w:bidi="ar-SA"/>
    </w:rPr>
  </w:style>
  <w:style w:type="paragraph" w:styleId="2">
    <w:name w:val="heading 1"/>
    <w:basedOn w:val="1"/>
    <w:next w:val="1"/>
    <w:qFormat/>
    <w:uiPriority w:val="9"/>
    <w:pPr>
      <w:keepNext/>
      <w:keepLines/>
      <w:outlineLvl w:val="0"/>
    </w:pPr>
    <w:rPr>
      <w:b/>
      <w:sz w:val="28"/>
      <w:szCs w:val="28"/>
    </w:rPr>
  </w:style>
  <w:style w:type="paragraph" w:styleId="3">
    <w:name w:val="heading 2"/>
    <w:basedOn w:val="1"/>
    <w:next w:val="1"/>
    <w:unhideWhenUsed/>
    <w:qFormat/>
    <w:uiPriority w:val="9"/>
    <w:pPr>
      <w:keepNext/>
      <w:keepLines/>
      <w:outlineLvl w:val="1"/>
    </w:pPr>
    <w:rPr>
      <w:b/>
    </w:rPr>
  </w:style>
  <w:style w:type="paragraph" w:styleId="4">
    <w:name w:val="heading 3"/>
    <w:basedOn w:val="1"/>
    <w:next w:val="1"/>
    <w:unhideWhenUsed/>
    <w:qFormat/>
    <w:uiPriority w:val="9"/>
    <w:pPr>
      <w:keepNext/>
      <w:keepLines/>
      <w:outlineLvl w:val="2"/>
    </w:pPr>
    <w:rPr>
      <w:b/>
    </w:rPr>
  </w:style>
  <w:style w:type="paragraph" w:styleId="5">
    <w:name w:val="heading 4"/>
    <w:basedOn w:val="1"/>
    <w:next w:val="1"/>
    <w:semiHidden/>
    <w:unhideWhenUsed/>
    <w:qFormat/>
    <w:uiPriority w:val="9"/>
    <w:pPr>
      <w:keepNext/>
      <w:keepLines/>
      <w:spacing w:before="280" w:after="80"/>
      <w:outlineLvl w:val="3"/>
    </w:pPr>
    <w:rPr>
      <w:color w:val="666666"/>
    </w:rPr>
  </w:style>
  <w:style w:type="paragraph" w:styleId="6">
    <w:name w:val="heading 5"/>
    <w:basedOn w:val="1"/>
    <w:next w:val="1"/>
    <w:semiHidden/>
    <w:unhideWhenUsed/>
    <w:qFormat/>
    <w:uiPriority w:val="9"/>
    <w:pPr>
      <w:keepNext/>
      <w:keepLines/>
      <w:spacing w:before="240" w:after="80"/>
      <w:outlineLvl w:val="4"/>
    </w:pPr>
    <w:rPr>
      <w:color w:val="666666"/>
      <w:sz w:val="22"/>
      <w:szCs w:val="22"/>
    </w:rPr>
  </w:style>
  <w:style w:type="paragraph" w:styleId="7">
    <w:name w:val="heading 6"/>
    <w:basedOn w:val="1"/>
    <w:next w:val="1"/>
    <w:semiHidden/>
    <w:unhideWhenUsed/>
    <w:qFormat/>
    <w:uiPriority w:val="9"/>
    <w:pPr>
      <w:keepNext/>
      <w:keepLines/>
      <w:spacing w:before="240" w:after="80"/>
      <w:outlineLvl w:val="5"/>
    </w:pPr>
    <w:rPr>
      <w:i/>
      <w:color w:val="666666"/>
      <w:sz w:val="22"/>
      <w:szCs w:val="22"/>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character" w:styleId="10">
    <w:name w:val="annotation reference"/>
    <w:basedOn w:val="8"/>
    <w:semiHidden/>
    <w:unhideWhenUsed/>
    <w:qFormat/>
    <w:uiPriority w:val="99"/>
    <w:rPr>
      <w:sz w:val="16"/>
      <w:szCs w:val="16"/>
    </w:rPr>
  </w:style>
  <w:style w:type="paragraph" w:styleId="11">
    <w:name w:val="annotation text"/>
    <w:basedOn w:val="1"/>
    <w:link w:val="21"/>
    <w:semiHidden/>
    <w:unhideWhenUsed/>
    <w:qFormat/>
    <w:uiPriority w:val="99"/>
    <w:pPr>
      <w:spacing w:line="240" w:lineRule="auto"/>
    </w:pPr>
    <w:rPr>
      <w:sz w:val="20"/>
      <w:szCs w:val="20"/>
    </w:rPr>
  </w:style>
  <w:style w:type="paragraph" w:styleId="12">
    <w:name w:val="footer"/>
    <w:basedOn w:val="1"/>
    <w:link w:val="23"/>
    <w:unhideWhenUsed/>
    <w:qFormat/>
    <w:uiPriority w:val="99"/>
    <w:pPr>
      <w:tabs>
        <w:tab w:val="center" w:pos="4513"/>
        <w:tab w:val="right" w:pos="9026"/>
      </w:tabs>
      <w:spacing w:line="240" w:lineRule="auto"/>
    </w:pPr>
  </w:style>
  <w:style w:type="paragraph" w:styleId="13">
    <w:name w:val="header"/>
    <w:basedOn w:val="1"/>
    <w:link w:val="22"/>
    <w:unhideWhenUsed/>
    <w:qFormat/>
    <w:uiPriority w:val="99"/>
    <w:pPr>
      <w:tabs>
        <w:tab w:val="center" w:pos="4513"/>
        <w:tab w:val="right" w:pos="9026"/>
      </w:tabs>
      <w:spacing w:line="240" w:lineRule="auto"/>
    </w:pPr>
  </w:style>
  <w:style w:type="character" w:styleId="14">
    <w:name w:val="Hyperlink"/>
    <w:basedOn w:val="8"/>
    <w:unhideWhenUsed/>
    <w:qFormat/>
    <w:uiPriority w:val="99"/>
    <w:rPr>
      <w:color w:val="0000FF" w:themeColor="hyperlink"/>
      <w:u w:val="single"/>
      <w14:textFill>
        <w14:solidFill>
          <w14:schemeClr w14:val="hlink"/>
        </w14:solidFill>
      </w14:textFill>
    </w:rPr>
  </w:style>
  <w:style w:type="paragraph" w:styleId="15">
    <w:name w:val="Normal (Web)"/>
    <w:basedOn w:val="1"/>
    <w:semiHidden/>
    <w:unhideWhenUsed/>
    <w:qFormat/>
    <w:uiPriority w:val="99"/>
    <w:pPr>
      <w:spacing w:before="100" w:beforeAutospacing="1" w:after="100" w:afterAutospacing="1" w:line="240" w:lineRule="auto"/>
      <w:jc w:val="left"/>
    </w:pPr>
    <w:rPr>
      <w:lang w:val="en-IN"/>
    </w:rPr>
  </w:style>
  <w:style w:type="paragraph" w:styleId="16">
    <w:name w:val="Subtitle"/>
    <w:basedOn w:val="1"/>
    <w:next w:val="1"/>
    <w:qFormat/>
    <w:uiPriority w:val="11"/>
    <w:pPr>
      <w:keepNext/>
      <w:keepLines/>
      <w:spacing w:after="320"/>
    </w:pPr>
    <w:rPr>
      <w:rFonts w:ascii="Arial" w:hAnsi="Arial" w:eastAsia="Arial" w:cs="Arial"/>
      <w:color w:val="666666"/>
      <w:sz w:val="30"/>
      <w:szCs w:val="30"/>
    </w:rPr>
  </w:style>
  <w:style w:type="paragraph" w:styleId="17">
    <w:name w:val="Title"/>
    <w:basedOn w:val="1"/>
    <w:next w:val="1"/>
    <w:qFormat/>
    <w:uiPriority w:val="10"/>
    <w:pPr>
      <w:keepNext/>
      <w:keepLines/>
      <w:spacing w:after="60"/>
    </w:pPr>
    <w:rPr>
      <w:sz w:val="52"/>
      <w:szCs w:val="52"/>
    </w:rPr>
  </w:style>
  <w:style w:type="paragraph" w:styleId="18">
    <w:name w:val="toc 1"/>
    <w:basedOn w:val="1"/>
    <w:next w:val="1"/>
    <w:autoRedefine/>
    <w:unhideWhenUsed/>
    <w:qFormat/>
    <w:uiPriority w:val="39"/>
    <w:pPr>
      <w:spacing w:after="100"/>
    </w:pPr>
  </w:style>
  <w:style w:type="paragraph" w:styleId="19">
    <w:name w:val="toc 2"/>
    <w:basedOn w:val="1"/>
    <w:next w:val="1"/>
    <w:autoRedefine/>
    <w:unhideWhenUsed/>
    <w:qFormat/>
    <w:uiPriority w:val="39"/>
    <w:pPr>
      <w:spacing w:after="100"/>
      <w:ind w:left="240"/>
    </w:pPr>
  </w:style>
  <w:style w:type="paragraph" w:styleId="20">
    <w:name w:val="toc 3"/>
    <w:basedOn w:val="1"/>
    <w:next w:val="1"/>
    <w:autoRedefine/>
    <w:unhideWhenUsed/>
    <w:uiPriority w:val="39"/>
    <w:pPr>
      <w:spacing w:after="100"/>
      <w:ind w:left="480"/>
    </w:pPr>
  </w:style>
  <w:style w:type="character" w:customStyle="1" w:styleId="21">
    <w:name w:val="Comment Text Char"/>
    <w:basedOn w:val="8"/>
    <w:link w:val="11"/>
    <w:semiHidden/>
    <w:qFormat/>
    <w:uiPriority w:val="99"/>
    <w:rPr>
      <w:sz w:val="20"/>
      <w:szCs w:val="20"/>
    </w:rPr>
  </w:style>
  <w:style w:type="character" w:customStyle="1" w:styleId="22">
    <w:name w:val="Header Char"/>
    <w:basedOn w:val="8"/>
    <w:link w:val="13"/>
    <w:qFormat/>
    <w:uiPriority w:val="99"/>
  </w:style>
  <w:style w:type="character" w:customStyle="1" w:styleId="23">
    <w:name w:val="Footer Char"/>
    <w:basedOn w:val="8"/>
    <w:link w:val="12"/>
    <w:qFormat/>
    <w:uiPriority w:val="99"/>
  </w:style>
  <w:style w:type="character" w:customStyle="1" w:styleId="24">
    <w:name w:val="Unresolved Mention"/>
    <w:basedOn w:val="8"/>
    <w:semiHidden/>
    <w:unhideWhenUsed/>
    <w:qFormat/>
    <w:uiPriority w:val="99"/>
    <w:rPr>
      <w:color w:val="605E5C"/>
      <w:shd w:val="clear" w:color="auto" w:fill="E1DFDD"/>
    </w:rPr>
  </w:style>
  <w:style w:type="paragraph" w:styleId="25">
    <w:name w:val="List Paragraph"/>
    <w:basedOn w:val="1"/>
    <w:qFormat/>
    <w:uiPriority w:val="34"/>
    <w:pPr>
      <w:ind w:left="720"/>
      <w:contextualSpacing/>
    </w:pPr>
  </w:style>
  <w:style w:type="paragraph" w:customStyle="1" w:styleId="26">
    <w:name w:val="TOC Heading"/>
    <w:basedOn w:val="2"/>
    <w:next w:val="1"/>
    <w:unhideWhenUsed/>
    <w:qFormat/>
    <w:uiPriority w:val="39"/>
    <w:pPr>
      <w:spacing w:before="240" w:line="259" w:lineRule="auto"/>
      <w:jc w:val="left"/>
      <w:outlineLvl w:val="9"/>
    </w:pPr>
    <w:rPr>
      <w:rFonts w:asciiTheme="majorHAnsi" w:hAnsiTheme="majorHAnsi" w:eastAsiaTheme="majorEastAsia" w:cstheme="majorBidi"/>
      <w:b w:val="0"/>
      <w:color w:val="376092" w:themeColor="accent1" w:themeShade="BF"/>
      <w:sz w:val="32"/>
      <w:szCs w:val="32"/>
      <w:lang w:val="en-US" w:eastAsia="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uBFZbLYuyR8UhglUpwWfbzP+eg==">CgMxLjAyDmguNjB6N2lkcHV0b2poMg5oLnI5YjhoZzE1bGV2NzIOaC42ZXFndWt5bDE5ZXIyDmguYjVya2ZwcjhjNzBoMg5oLjVpdjQwZ3h0dmZoMTIIaC5namRneHMyCWguMzBqMHpsbDIJaC4xZm9iOXRlMgloLjN6bnlzaDcyCWguMmV0OTJwMDIIaC50eWpjd3QyCWguM2R5NnZrbTIJaC4xdDNoNXNmMgloLjRkMzRvZzgyCWguMnM4ZXlvMTIJaC4xN2RwOHZ1MgloLjNyZGNyam4yCWguMjZpbjFyZzIIaC5sbnhiejkyCWguMzVua3VuMjIJaC4xa3N2NHV2MgloLjQ0c2luaW84AHIhMUlSd2hycnVNT08xYktFREkwaURBc0x2RWE1dkMxTlo5</go:docsCustomData>
</go:gDocsCustomXmlDataStorage>
</file>

<file path=customXml/itemProps1.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Template>
  <Pages>13</Pages>
  <Words>5561</Words>
  <Characters>31704</Characters>
  <Lines>264</Lines>
  <Paragraphs>74</Paragraphs>
  <TotalTime>0</TotalTime>
  <ScaleCrop>false</ScaleCrop>
  <LinksUpToDate>false</LinksUpToDate>
  <CharactersWithSpaces>37191</CharactersWithSpaces>
  <Application>WPS Office_12.2.0.19805_F1E327BC-269C-435d-A152-05C5408002CA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2025-02-06T12:08:00Z</dcterms:created>
  <dc:creator>Alina</dc:creator>
  <cp:lastModifiedBy>i study</cp:lastModifiedBy>
  <dcterms:modified xsi:type="dcterms:W3CDTF">2025-02-06T18:30:57Z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a6df6f4cd816d3926f6cc68d0f158bf73c2d974d4f88eed4c573d27b76ea887d</vt:lpwstr>
  </property>
  <property fmtid="{D5CDD505-2E9C-101B-9397-08002B2CF9AE}" pid="3" name="KSOProductBuildVer">
    <vt:lpwstr>2057-12.2.0.19805</vt:lpwstr>
  </property>
  <property fmtid="{D5CDD505-2E9C-101B-9397-08002B2CF9AE}" pid="4" name="ICV">
    <vt:lpwstr>AF855BB7E8D64056B75398D8581052D8_12</vt:lpwstr>
  </property>
</Properties>
</file>