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12D0" w:rsidRPr="00F87A7E" w:rsidRDefault="008E12D0">
      <w:pPr>
        <w:rPr>
          <w:color w:val="auto"/>
        </w:rPr>
      </w:pPr>
    </w:p>
    <w:p w:rsidR="008E12D0" w:rsidRPr="00F87A7E" w:rsidRDefault="008E12D0">
      <w:pPr>
        <w:rPr>
          <w:color w:val="auto"/>
        </w:rPr>
      </w:pPr>
    </w:p>
    <w:p w:rsidR="008E12D0" w:rsidRPr="00F87A7E" w:rsidRDefault="00EB4573">
      <w:pPr>
        <w:spacing w:after="240"/>
        <w:jc w:val="center"/>
        <w:rPr>
          <w:color w:val="auto"/>
        </w:rPr>
      </w:pPr>
      <w:r w:rsidRPr="00F87A7E">
        <w:rPr>
          <w:rFonts w:eastAsia="Calibri"/>
          <w:b/>
          <w:color w:val="auto"/>
          <w:sz w:val="24"/>
        </w:rPr>
        <w:t>RESEARCH PROPOSAL</w:t>
      </w:r>
    </w:p>
    <w:p w:rsidR="008E12D0" w:rsidRPr="00F87A7E" w:rsidRDefault="00EB4573">
      <w:pPr>
        <w:spacing w:before="200" w:after="240"/>
        <w:jc w:val="center"/>
        <w:rPr>
          <w:color w:val="auto"/>
        </w:rPr>
      </w:pPr>
      <w:r w:rsidRPr="00F87A7E">
        <w:rPr>
          <w:rFonts w:eastAsia="Calibri"/>
          <w:b/>
          <w:color w:val="auto"/>
          <w:sz w:val="48"/>
        </w:rPr>
        <w:t>Correlation of Multi-Source Digital Evidence for Early Identification of Insider Threat Activities</w:t>
      </w:r>
    </w:p>
    <w:p w:rsidR="008E12D0" w:rsidRPr="00F87A7E" w:rsidRDefault="00EB4573">
      <w:pPr>
        <w:spacing w:after="600"/>
        <w:jc w:val="center"/>
        <w:rPr>
          <w:color w:val="auto"/>
        </w:rPr>
      </w:pPr>
      <w:r w:rsidRPr="00F87A7E">
        <w:rPr>
          <w:rFonts w:eastAsia="Calibri"/>
          <w:i/>
          <w:color w:val="auto"/>
          <w:sz w:val="26"/>
        </w:rPr>
        <w:t>A privacy-aware, explainable and time-sensitive evidence-correlation study</w:t>
      </w:r>
    </w:p>
    <w:tbl>
      <w:tblPr>
        <w:tblW w:w="9360" w:type="dxa"/>
        <w:tblBorders>
          <w:top w:val="nil"/>
          <w:left w:val="nil"/>
          <w:bottom w:val="nil"/>
          <w:right w:val="nil"/>
          <w:insideH w:val="nil"/>
          <w:insideV w:val="nil"/>
        </w:tblBorders>
        <w:tblLayout w:type="fixed"/>
        <w:tblCellMar>
          <w:top w:w="110" w:type="dxa"/>
          <w:left w:w="160" w:type="dxa"/>
          <w:bottom w:w="110" w:type="dxa"/>
          <w:right w:w="160" w:type="dxa"/>
        </w:tblCellMar>
        <w:tblLook w:val="04A0" w:firstRow="1" w:lastRow="0" w:firstColumn="1" w:lastColumn="0" w:noHBand="0" w:noVBand="1"/>
      </w:tblPr>
      <w:tblGrid>
        <w:gridCol w:w="2600"/>
        <w:gridCol w:w="6760"/>
      </w:tblGrid>
      <w:tr w:rsidR="00F87A7E" w:rsidRPr="00F87A7E">
        <w:tc>
          <w:tcPr>
            <w:tcW w:w="2600" w:type="dxa"/>
          </w:tcPr>
          <w:p w:rsidR="008E12D0" w:rsidRPr="00F87A7E" w:rsidRDefault="00EB4573">
            <w:pPr>
              <w:spacing w:after="40"/>
              <w:rPr>
                <w:color w:val="auto"/>
              </w:rPr>
            </w:pPr>
            <w:r w:rsidRPr="00F87A7E">
              <w:rPr>
                <w:rFonts w:eastAsia="Calibri"/>
                <w:b/>
                <w:color w:val="auto"/>
                <w:sz w:val="21"/>
              </w:rPr>
              <w:t>Student Name</w:t>
            </w:r>
          </w:p>
        </w:tc>
        <w:tc>
          <w:tcPr>
            <w:tcW w:w="6760" w:type="dxa"/>
          </w:tcPr>
          <w:p w:rsidR="008E12D0" w:rsidRPr="00F87A7E" w:rsidRDefault="00805573">
            <w:pPr>
              <w:spacing w:after="40"/>
              <w:rPr>
                <w:color w:val="auto"/>
              </w:rPr>
            </w:pPr>
            <w:r>
              <w:rPr>
                <w:rFonts w:eastAsia="Calibri"/>
                <w:color w:val="auto"/>
                <w:sz w:val="21"/>
              </w:rPr>
              <w:t xml:space="preserve">Tassavar Ahemad Kureshi </w:t>
            </w:r>
          </w:p>
        </w:tc>
      </w:tr>
      <w:tr w:rsidR="00F87A7E" w:rsidRPr="00F87A7E">
        <w:tc>
          <w:tcPr>
            <w:tcW w:w="2600" w:type="dxa"/>
          </w:tcPr>
          <w:p w:rsidR="008E12D0" w:rsidRPr="00F87A7E" w:rsidRDefault="00805573">
            <w:pPr>
              <w:spacing w:after="40"/>
              <w:rPr>
                <w:color w:val="auto"/>
              </w:rPr>
            </w:pPr>
            <w:r>
              <w:rPr>
                <w:rFonts w:eastAsia="Calibri"/>
                <w:b/>
                <w:color w:val="auto"/>
                <w:sz w:val="21"/>
              </w:rPr>
              <w:t>Student ID</w:t>
            </w:r>
          </w:p>
        </w:tc>
        <w:tc>
          <w:tcPr>
            <w:tcW w:w="6760" w:type="dxa"/>
          </w:tcPr>
          <w:p w:rsidR="008E12D0" w:rsidRPr="00F87A7E" w:rsidRDefault="00805573">
            <w:pPr>
              <w:spacing w:after="40"/>
              <w:rPr>
                <w:color w:val="auto"/>
              </w:rPr>
            </w:pPr>
            <w:r>
              <w:rPr>
                <w:color w:val="auto"/>
              </w:rPr>
              <w:t>2530068</w:t>
            </w:r>
          </w:p>
        </w:tc>
      </w:tr>
      <w:tr w:rsidR="00F87A7E" w:rsidRPr="00F87A7E">
        <w:tc>
          <w:tcPr>
            <w:tcW w:w="2600" w:type="dxa"/>
          </w:tcPr>
          <w:p w:rsidR="008E12D0" w:rsidRPr="00F87A7E" w:rsidRDefault="00EB4573">
            <w:pPr>
              <w:spacing w:after="40"/>
              <w:rPr>
                <w:color w:val="auto"/>
              </w:rPr>
            </w:pPr>
            <w:r w:rsidRPr="00F87A7E">
              <w:rPr>
                <w:rFonts w:eastAsia="Calibri"/>
                <w:b/>
                <w:color w:val="auto"/>
                <w:sz w:val="21"/>
              </w:rPr>
              <w:t>Module</w:t>
            </w:r>
          </w:p>
        </w:tc>
        <w:tc>
          <w:tcPr>
            <w:tcW w:w="6760" w:type="dxa"/>
          </w:tcPr>
          <w:p w:rsidR="008E12D0" w:rsidRPr="00F87A7E" w:rsidRDefault="00805573">
            <w:pPr>
              <w:spacing w:after="40"/>
              <w:rPr>
                <w:color w:val="auto"/>
              </w:rPr>
            </w:pPr>
            <w:r>
              <w:rPr>
                <w:rFonts w:eastAsia="Calibri"/>
                <w:color w:val="auto"/>
                <w:sz w:val="21"/>
              </w:rPr>
              <w:t xml:space="preserve"> Research Method  and Professional Development     </w:t>
            </w:r>
            <w:r w:rsidR="00EB4573" w:rsidRPr="00F87A7E">
              <w:rPr>
                <w:rFonts w:eastAsia="Calibri"/>
                <w:color w:val="auto"/>
                <w:sz w:val="21"/>
              </w:rPr>
              <w:t>ACFA7004</w:t>
            </w:r>
          </w:p>
        </w:tc>
      </w:tr>
      <w:tr w:rsidR="00F87A7E" w:rsidRPr="00F87A7E">
        <w:tc>
          <w:tcPr>
            <w:tcW w:w="2600" w:type="dxa"/>
          </w:tcPr>
          <w:p w:rsidR="008E12D0" w:rsidRPr="00F87A7E" w:rsidRDefault="00EB4573">
            <w:pPr>
              <w:spacing w:after="40"/>
              <w:rPr>
                <w:color w:val="auto"/>
              </w:rPr>
            </w:pPr>
            <w:r w:rsidRPr="00F87A7E">
              <w:rPr>
                <w:rFonts w:eastAsia="Calibri"/>
                <w:b/>
                <w:color w:val="auto"/>
                <w:sz w:val="21"/>
              </w:rPr>
              <w:t>Programme</w:t>
            </w:r>
          </w:p>
        </w:tc>
        <w:tc>
          <w:tcPr>
            <w:tcW w:w="6760" w:type="dxa"/>
          </w:tcPr>
          <w:p w:rsidR="008E12D0" w:rsidRPr="00F87A7E" w:rsidRDefault="00EB4573">
            <w:pPr>
              <w:spacing w:after="40"/>
              <w:rPr>
                <w:color w:val="auto"/>
              </w:rPr>
            </w:pPr>
            <w:r w:rsidRPr="00F87A7E">
              <w:rPr>
                <w:rFonts w:eastAsia="Calibri"/>
                <w:color w:val="auto"/>
                <w:sz w:val="21"/>
              </w:rPr>
              <w:t xml:space="preserve"> Cy</w:t>
            </w:r>
            <w:r w:rsidR="00805573">
              <w:rPr>
                <w:rFonts w:eastAsia="Calibri"/>
                <w:color w:val="auto"/>
                <w:sz w:val="21"/>
              </w:rPr>
              <w:t>ber Security and Digital Forensics</w:t>
            </w:r>
            <w:bookmarkStart w:id="0" w:name="_GoBack"/>
            <w:bookmarkEnd w:id="0"/>
          </w:p>
        </w:tc>
      </w:tr>
      <w:tr w:rsidR="00F87A7E" w:rsidRPr="00F87A7E">
        <w:tc>
          <w:tcPr>
            <w:tcW w:w="2600" w:type="dxa"/>
          </w:tcPr>
          <w:p w:rsidR="008E12D0" w:rsidRPr="00F87A7E" w:rsidRDefault="008E12D0">
            <w:pPr>
              <w:spacing w:after="40"/>
              <w:rPr>
                <w:color w:val="auto"/>
              </w:rPr>
            </w:pPr>
          </w:p>
        </w:tc>
        <w:tc>
          <w:tcPr>
            <w:tcW w:w="6760" w:type="dxa"/>
          </w:tcPr>
          <w:p w:rsidR="008E12D0" w:rsidRPr="00F87A7E" w:rsidRDefault="008E12D0">
            <w:pPr>
              <w:spacing w:after="40"/>
              <w:rPr>
                <w:color w:val="auto"/>
              </w:rPr>
            </w:pPr>
          </w:p>
        </w:tc>
      </w:tr>
    </w:tbl>
    <w:p w:rsidR="008E12D0" w:rsidRPr="00F87A7E" w:rsidRDefault="00EB4573">
      <w:pPr>
        <w:spacing w:before="200"/>
        <w:jc w:val="center"/>
        <w:rPr>
          <w:color w:val="auto"/>
        </w:rPr>
      </w:pPr>
      <w:r w:rsidRPr="00F87A7E">
        <w:rPr>
          <w:rFonts w:eastAsia="Calibri"/>
          <w:color w:val="auto"/>
          <w:sz w:val="21"/>
        </w:rPr>
        <w:t>Submission Date: August 2026</w:t>
      </w:r>
    </w:p>
    <w:p w:rsidR="008E12D0" w:rsidRPr="00F87A7E" w:rsidRDefault="008E12D0">
      <w:pPr>
        <w:rPr>
          <w:color w:val="auto"/>
        </w:rPr>
        <w:sectPr w:rsidR="008E12D0" w:rsidRPr="00F87A7E">
          <w:headerReference w:type="default" r:id="rId8"/>
          <w:footerReference w:type="default" r:id="rId9"/>
          <w:pgSz w:w="12240" w:h="15840"/>
          <w:pgMar w:top="1224" w:right="1440" w:bottom="1152" w:left="1440" w:header="708" w:footer="708" w:gutter="0"/>
          <w:cols w:space="720"/>
          <w:docGrid w:linePitch="360"/>
        </w:sectPr>
      </w:pPr>
    </w:p>
    <w:p w:rsidR="008E12D0" w:rsidRPr="00F87A7E" w:rsidRDefault="00EB4573">
      <w:pPr>
        <w:pStyle w:val="Heading1"/>
        <w:rPr>
          <w:color w:val="auto"/>
        </w:rPr>
      </w:pPr>
      <w:r w:rsidRPr="00F87A7E">
        <w:rPr>
          <w:color w:val="auto"/>
        </w:rPr>
        <w:lastRenderedPageBreak/>
        <w:t>Abstract</w:t>
      </w:r>
    </w:p>
    <w:p w:rsidR="008E12D0" w:rsidRPr="00F87A7E" w:rsidRDefault="00EB4573">
      <w:pPr>
        <w:rPr>
          <w:color w:val="auto"/>
        </w:rPr>
      </w:pPr>
      <w:r w:rsidRPr="00F87A7E">
        <w:rPr>
          <w:color w:val="auto"/>
        </w:rPr>
        <w:t xml:space="preserve">Insider threats are difficult to identify early because harmful actions are frequently performed with valid credentials and resemble ordinary work when each log source is reviewed alone. This proposal presents a quantitative design-science study to develop and evaluate a privacy-aware framework that correlates identity, endpoint, file-access, network, </w:t>
      </w:r>
      <w:r w:rsidR="00F87A7E" w:rsidRPr="00F87A7E">
        <w:rPr>
          <w:color w:val="auto"/>
        </w:rPr>
        <w:t>and communication</w:t>
      </w:r>
      <w:r w:rsidRPr="00F87A7E">
        <w:rPr>
          <w:color w:val="auto"/>
        </w:rPr>
        <w:t>-metadata and role-context evidence. Events will be normalized to a common schema and timeline, resolved to users, devices and resources, and represented through individual-baseline, peer, temporal and relational features. The proposed model will combine source-specific anomaly scores through a quality-aware fusion layer and produce an analyst evidence card showing the contributing sources, sequence, confidence and missing-data conditions. Evaluation on Carnegie Mellon CERT synthetic insider-threat releases will use leakage-resistant user-and-time splits, rules and machine-learning baselines, source ablations, missing-source stress tests and cross-release validation. Primary outcomes are precision-recall area under the curve, recall at a fixed investigation budget, false positives per 1,000 user-days, calibration and pre-incident lead time. The intended contribution is a reproducible early-warning pipeline that improves evidential context without treating an anomaly score as proof of malicious intent or enabling autonomous employment action.</w:t>
      </w:r>
    </w:p>
    <w:p w:rsidR="008E12D0" w:rsidRPr="00F87A7E" w:rsidRDefault="00EB4573" w:rsidP="00F87A7E">
      <w:pPr>
        <w:spacing w:before="100" w:after="200"/>
        <w:rPr>
          <w:color w:val="auto"/>
        </w:rPr>
      </w:pPr>
      <w:r w:rsidRPr="00F87A7E">
        <w:rPr>
          <w:rFonts w:eastAsia="Calibri"/>
          <w:b/>
          <w:color w:val="auto"/>
        </w:rPr>
        <w:t xml:space="preserve">Keywords: </w:t>
      </w:r>
      <w:r w:rsidRPr="00F87A7E">
        <w:rPr>
          <w:rFonts w:eastAsia="Calibri"/>
          <w:color w:val="auto"/>
        </w:rPr>
        <w:t>insider threat; digital evidence; evidence correlation; data fusion; anomaly detection; temporal graph; early warning; explainable AI</w:t>
      </w:r>
      <w:r w:rsidRPr="00F87A7E">
        <w:rPr>
          <w:color w:val="auto"/>
        </w:rPr>
        <w:br w:type="page"/>
      </w:r>
    </w:p>
    <w:p w:rsidR="008E12D0" w:rsidRPr="00F87A7E" w:rsidRDefault="00EB4573">
      <w:pPr>
        <w:pStyle w:val="Heading1"/>
        <w:rPr>
          <w:color w:val="auto"/>
        </w:rPr>
      </w:pPr>
      <w:r w:rsidRPr="00F87A7E">
        <w:rPr>
          <w:color w:val="auto"/>
        </w:rPr>
        <w:lastRenderedPageBreak/>
        <w:t>Table of Contents</w:t>
      </w:r>
    </w:p>
    <w:p w:rsidR="008E12D0" w:rsidRPr="00F87A7E" w:rsidRDefault="00EB4573">
      <w:pPr>
        <w:tabs>
          <w:tab w:val="right" w:leader="dot" w:pos="9000"/>
        </w:tabs>
        <w:spacing w:after="100" w:line="240" w:lineRule="auto"/>
        <w:rPr>
          <w:color w:val="auto"/>
        </w:rPr>
      </w:pPr>
      <w:r w:rsidRPr="00F87A7E">
        <w:rPr>
          <w:rFonts w:eastAsia="Calibri"/>
          <w:b/>
          <w:color w:val="auto"/>
          <w:sz w:val="20"/>
        </w:rPr>
        <w:t>Abstract</w:t>
      </w:r>
      <w:r w:rsidRPr="00F87A7E">
        <w:rPr>
          <w:rFonts w:eastAsia="Calibri"/>
          <w:color w:val="auto"/>
          <w:sz w:val="20"/>
        </w:rPr>
        <w:tab/>
        <w:t>1</w:t>
      </w:r>
    </w:p>
    <w:p w:rsidR="008E12D0" w:rsidRPr="00F87A7E" w:rsidRDefault="00EB4573">
      <w:pPr>
        <w:tabs>
          <w:tab w:val="right" w:leader="dot" w:pos="9000"/>
        </w:tabs>
        <w:spacing w:after="100" w:line="240" w:lineRule="auto"/>
        <w:rPr>
          <w:color w:val="auto"/>
        </w:rPr>
      </w:pPr>
      <w:r w:rsidRPr="00F87A7E">
        <w:rPr>
          <w:rFonts w:eastAsia="Calibri"/>
          <w:b/>
          <w:color w:val="auto"/>
          <w:sz w:val="20"/>
        </w:rPr>
        <w:t>List of Figures, Tables and Abbreviations</w:t>
      </w:r>
      <w:r w:rsidRPr="00F87A7E">
        <w:rPr>
          <w:rFonts w:eastAsia="Calibri"/>
          <w:color w:val="auto"/>
          <w:sz w:val="20"/>
        </w:rPr>
        <w:tab/>
        <w:t>3</w:t>
      </w:r>
    </w:p>
    <w:p w:rsidR="008E12D0" w:rsidRPr="00F87A7E" w:rsidRDefault="00EB4573">
      <w:pPr>
        <w:tabs>
          <w:tab w:val="right" w:leader="dot" w:pos="9000"/>
        </w:tabs>
        <w:spacing w:after="100" w:line="240" w:lineRule="auto"/>
        <w:rPr>
          <w:color w:val="auto"/>
        </w:rPr>
      </w:pPr>
      <w:r w:rsidRPr="00F87A7E">
        <w:rPr>
          <w:rFonts w:eastAsia="Calibri"/>
          <w:b/>
          <w:color w:val="auto"/>
          <w:sz w:val="20"/>
        </w:rPr>
        <w:t>1. Introduction</w:t>
      </w:r>
      <w:r w:rsidRPr="00F87A7E">
        <w:rPr>
          <w:rFonts w:eastAsia="Calibri"/>
          <w:color w:val="auto"/>
          <w:sz w:val="20"/>
        </w:rPr>
        <w:tab/>
        <w:t>4</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1.1 Context and Background</w:t>
      </w:r>
      <w:r w:rsidRPr="00F87A7E">
        <w:rPr>
          <w:rFonts w:eastAsia="Calibri"/>
          <w:color w:val="auto"/>
          <w:sz w:val="19"/>
        </w:rPr>
        <w:tab/>
        <w:t>4</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1.2 Research Problem</w:t>
      </w:r>
      <w:r w:rsidRPr="00F87A7E">
        <w:rPr>
          <w:rFonts w:eastAsia="Calibri"/>
          <w:color w:val="auto"/>
          <w:sz w:val="19"/>
        </w:rPr>
        <w:tab/>
        <w:t>4</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1.3 Research Aim, Objectives and Questions</w:t>
      </w:r>
      <w:r w:rsidRPr="00F87A7E">
        <w:rPr>
          <w:rFonts w:eastAsia="Calibri"/>
          <w:color w:val="auto"/>
          <w:sz w:val="19"/>
        </w:rPr>
        <w:tab/>
        <w:t>5</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1.4 Significance of the Study</w:t>
      </w:r>
      <w:r w:rsidRPr="00F87A7E">
        <w:rPr>
          <w:rFonts w:eastAsia="Calibri"/>
          <w:color w:val="auto"/>
          <w:sz w:val="19"/>
        </w:rPr>
        <w:tab/>
        <w:t>6</w:t>
      </w:r>
    </w:p>
    <w:p w:rsidR="008E12D0" w:rsidRPr="00F87A7E" w:rsidRDefault="00EB4573">
      <w:pPr>
        <w:tabs>
          <w:tab w:val="right" w:leader="dot" w:pos="9000"/>
        </w:tabs>
        <w:spacing w:after="100" w:line="240" w:lineRule="auto"/>
        <w:rPr>
          <w:color w:val="auto"/>
        </w:rPr>
      </w:pPr>
      <w:r w:rsidRPr="00F87A7E">
        <w:rPr>
          <w:rFonts w:eastAsia="Calibri"/>
          <w:b/>
          <w:color w:val="auto"/>
          <w:sz w:val="20"/>
        </w:rPr>
        <w:t>2. Literature Review</w:t>
      </w:r>
      <w:r w:rsidRPr="00F87A7E">
        <w:rPr>
          <w:rFonts w:eastAsia="Calibri"/>
          <w:color w:val="auto"/>
          <w:sz w:val="20"/>
        </w:rPr>
        <w:tab/>
        <w:t>7</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2.1 Purpose and Scope</w:t>
      </w:r>
      <w:r w:rsidRPr="00F87A7E">
        <w:rPr>
          <w:rFonts w:eastAsia="Calibri"/>
          <w:color w:val="auto"/>
          <w:sz w:val="19"/>
        </w:rPr>
        <w:tab/>
        <w:t>7</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2.2 Behavioural and Temporal Detection</w:t>
      </w:r>
      <w:r w:rsidRPr="00F87A7E">
        <w:rPr>
          <w:rFonts w:eastAsia="Calibri"/>
          <w:color w:val="auto"/>
          <w:sz w:val="19"/>
        </w:rPr>
        <w:tab/>
        <w:t>7</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2.3 Multi-Source and Graph Correlation</w:t>
      </w:r>
      <w:r w:rsidRPr="00F87A7E">
        <w:rPr>
          <w:rFonts w:eastAsia="Calibri"/>
          <w:color w:val="auto"/>
          <w:sz w:val="19"/>
        </w:rPr>
        <w:tab/>
        <w:t>8</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2.4 Imbalance, Evaluation and Explainability</w:t>
      </w:r>
      <w:r w:rsidRPr="00F87A7E">
        <w:rPr>
          <w:rFonts w:eastAsia="Calibri"/>
          <w:color w:val="auto"/>
          <w:sz w:val="19"/>
        </w:rPr>
        <w:tab/>
        <w:t>8</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2.5 Synthesis and Research Gap</w:t>
      </w:r>
      <w:r w:rsidRPr="00F87A7E">
        <w:rPr>
          <w:rFonts w:eastAsia="Calibri"/>
          <w:color w:val="auto"/>
          <w:sz w:val="19"/>
        </w:rPr>
        <w:tab/>
        <w:t>9</w:t>
      </w:r>
    </w:p>
    <w:p w:rsidR="008E12D0" w:rsidRPr="00F87A7E" w:rsidRDefault="00EB4573">
      <w:pPr>
        <w:tabs>
          <w:tab w:val="right" w:leader="dot" w:pos="9000"/>
        </w:tabs>
        <w:spacing w:after="100" w:line="240" w:lineRule="auto"/>
        <w:rPr>
          <w:color w:val="auto"/>
        </w:rPr>
      </w:pPr>
      <w:r w:rsidRPr="00F87A7E">
        <w:rPr>
          <w:rFonts w:eastAsia="Calibri"/>
          <w:b/>
          <w:color w:val="auto"/>
          <w:sz w:val="20"/>
        </w:rPr>
        <w:t>3. Research Design and Methodology</w:t>
      </w:r>
      <w:r w:rsidRPr="00F87A7E">
        <w:rPr>
          <w:rFonts w:eastAsia="Calibri"/>
          <w:color w:val="auto"/>
          <w:sz w:val="20"/>
        </w:rPr>
        <w:tab/>
        <w:t>10</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3.1 Research Design</w:t>
      </w:r>
      <w:r w:rsidRPr="00F87A7E">
        <w:rPr>
          <w:rFonts w:eastAsia="Calibri"/>
          <w:color w:val="auto"/>
          <w:sz w:val="19"/>
        </w:rPr>
        <w:tab/>
        <w:t>10</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3.2 Methods and Materials</w:t>
      </w:r>
      <w:r w:rsidRPr="00F87A7E">
        <w:rPr>
          <w:rFonts w:eastAsia="Calibri"/>
          <w:color w:val="auto"/>
          <w:sz w:val="19"/>
        </w:rPr>
        <w:tab/>
        <w:t>10</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3.3 Data Preparation and Evidence Correlation</w:t>
      </w:r>
      <w:r w:rsidRPr="00F87A7E">
        <w:rPr>
          <w:rFonts w:eastAsia="Calibri"/>
          <w:color w:val="auto"/>
          <w:sz w:val="19"/>
        </w:rPr>
        <w:tab/>
        <w:t>11</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3.4 Model Development and Baselines</w:t>
      </w:r>
      <w:r w:rsidRPr="00F87A7E">
        <w:rPr>
          <w:rFonts w:eastAsia="Calibri"/>
          <w:color w:val="auto"/>
          <w:sz w:val="19"/>
        </w:rPr>
        <w:tab/>
        <w:t>12</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3.5 Experimental Design and Evaluation</w:t>
      </w:r>
      <w:r w:rsidRPr="00F87A7E">
        <w:rPr>
          <w:rFonts w:eastAsia="Calibri"/>
          <w:color w:val="auto"/>
          <w:sz w:val="19"/>
        </w:rPr>
        <w:tab/>
        <w:t>12</w:t>
      </w:r>
    </w:p>
    <w:p w:rsidR="008E12D0" w:rsidRPr="00F87A7E" w:rsidRDefault="00EB4573">
      <w:pPr>
        <w:tabs>
          <w:tab w:val="right" w:leader="dot" w:pos="8597"/>
        </w:tabs>
        <w:spacing w:after="60" w:line="240" w:lineRule="auto"/>
        <w:ind w:left="403"/>
        <w:rPr>
          <w:color w:val="auto"/>
        </w:rPr>
      </w:pPr>
      <w:r w:rsidRPr="00F87A7E">
        <w:rPr>
          <w:rFonts w:eastAsia="Calibri"/>
          <w:color w:val="auto"/>
          <w:sz w:val="19"/>
        </w:rPr>
        <w:t>3.6 Ethics, Privacy and Data Governance</w:t>
      </w:r>
      <w:r w:rsidRPr="00F87A7E">
        <w:rPr>
          <w:rFonts w:eastAsia="Calibri"/>
          <w:color w:val="auto"/>
          <w:sz w:val="19"/>
        </w:rPr>
        <w:tab/>
        <w:t>13</w:t>
      </w:r>
    </w:p>
    <w:p w:rsidR="008E12D0" w:rsidRPr="00F87A7E" w:rsidRDefault="00EB4573">
      <w:pPr>
        <w:tabs>
          <w:tab w:val="right" w:leader="dot" w:pos="9000"/>
        </w:tabs>
        <w:spacing w:after="100" w:line="240" w:lineRule="auto"/>
        <w:rPr>
          <w:color w:val="auto"/>
        </w:rPr>
      </w:pPr>
      <w:r w:rsidRPr="00F87A7E">
        <w:rPr>
          <w:rFonts w:eastAsia="Calibri"/>
          <w:b/>
          <w:color w:val="auto"/>
          <w:sz w:val="20"/>
        </w:rPr>
        <w:t>4. Expected Outcomes and Limitations</w:t>
      </w:r>
      <w:r w:rsidRPr="00F87A7E">
        <w:rPr>
          <w:rFonts w:eastAsia="Calibri"/>
          <w:color w:val="auto"/>
          <w:sz w:val="20"/>
        </w:rPr>
        <w:tab/>
        <w:t>13</w:t>
      </w:r>
    </w:p>
    <w:p w:rsidR="008E12D0" w:rsidRPr="00F87A7E" w:rsidRDefault="00EB4573">
      <w:pPr>
        <w:tabs>
          <w:tab w:val="right" w:leader="dot" w:pos="9000"/>
        </w:tabs>
        <w:spacing w:after="100" w:line="240" w:lineRule="auto"/>
        <w:rPr>
          <w:color w:val="auto"/>
        </w:rPr>
      </w:pPr>
      <w:r w:rsidRPr="00F87A7E">
        <w:rPr>
          <w:rFonts w:eastAsia="Calibri"/>
          <w:b/>
          <w:color w:val="auto"/>
          <w:sz w:val="20"/>
        </w:rPr>
        <w:t>5. Timeline and Milestones</w:t>
      </w:r>
      <w:r w:rsidRPr="00F87A7E">
        <w:rPr>
          <w:rFonts w:eastAsia="Calibri"/>
          <w:color w:val="auto"/>
          <w:sz w:val="20"/>
        </w:rPr>
        <w:tab/>
        <w:t>14</w:t>
      </w:r>
    </w:p>
    <w:p w:rsidR="008E12D0" w:rsidRPr="00F87A7E" w:rsidRDefault="00EB4573">
      <w:pPr>
        <w:tabs>
          <w:tab w:val="right" w:leader="dot" w:pos="9000"/>
        </w:tabs>
        <w:spacing w:after="100" w:line="240" w:lineRule="auto"/>
        <w:rPr>
          <w:color w:val="auto"/>
        </w:rPr>
      </w:pPr>
      <w:r w:rsidRPr="00F87A7E">
        <w:rPr>
          <w:rFonts w:eastAsia="Calibri"/>
          <w:b/>
          <w:color w:val="auto"/>
          <w:sz w:val="20"/>
        </w:rPr>
        <w:t>References</w:t>
      </w:r>
      <w:r w:rsidRPr="00F87A7E">
        <w:rPr>
          <w:rFonts w:eastAsia="Calibri"/>
          <w:color w:val="auto"/>
          <w:sz w:val="20"/>
        </w:rPr>
        <w:tab/>
        <w:t>16</w:t>
      </w:r>
    </w:p>
    <w:p w:rsidR="008E12D0" w:rsidRPr="00F87A7E" w:rsidRDefault="00EB4573">
      <w:pPr>
        <w:tabs>
          <w:tab w:val="right" w:leader="dot" w:pos="9000"/>
        </w:tabs>
        <w:spacing w:after="100" w:line="240" w:lineRule="auto"/>
        <w:rPr>
          <w:color w:val="auto"/>
        </w:rPr>
      </w:pPr>
      <w:r w:rsidRPr="00F87A7E">
        <w:rPr>
          <w:rFonts w:eastAsia="Calibri"/>
          <w:b/>
          <w:color w:val="auto"/>
          <w:sz w:val="20"/>
        </w:rPr>
        <w:t>Appendix A. Data-Source and Feature Dictionary</w:t>
      </w:r>
      <w:r w:rsidRPr="00F87A7E">
        <w:rPr>
          <w:rFonts w:eastAsia="Calibri"/>
          <w:color w:val="auto"/>
          <w:sz w:val="20"/>
        </w:rPr>
        <w:tab/>
        <w:t>18</w:t>
      </w:r>
    </w:p>
    <w:p w:rsidR="008E12D0" w:rsidRPr="00F87A7E" w:rsidRDefault="00EB4573">
      <w:pPr>
        <w:tabs>
          <w:tab w:val="right" w:leader="dot" w:pos="9000"/>
        </w:tabs>
        <w:spacing w:after="100" w:line="240" w:lineRule="auto"/>
        <w:rPr>
          <w:color w:val="auto"/>
        </w:rPr>
      </w:pPr>
      <w:r w:rsidRPr="00F87A7E">
        <w:rPr>
          <w:rFonts w:eastAsia="Calibri"/>
          <w:b/>
          <w:color w:val="auto"/>
          <w:sz w:val="20"/>
        </w:rPr>
        <w:t>Appendix B. Experimental Matrix</w:t>
      </w:r>
      <w:r w:rsidRPr="00F87A7E">
        <w:rPr>
          <w:rFonts w:eastAsia="Calibri"/>
          <w:color w:val="auto"/>
          <w:sz w:val="20"/>
        </w:rPr>
        <w:tab/>
        <w:t>18</w:t>
      </w:r>
    </w:p>
    <w:p w:rsidR="008E12D0" w:rsidRPr="00F87A7E" w:rsidRDefault="00EB4573">
      <w:pPr>
        <w:tabs>
          <w:tab w:val="right" w:leader="dot" w:pos="9000"/>
        </w:tabs>
        <w:spacing w:after="100" w:line="240" w:lineRule="auto"/>
        <w:rPr>
          <w:color w:val="auto"/>
        </w:rPr>
      </w:pPr>
      <w:r w:rsidRPr="00F87A7E">
        <w:rPr>
          <w:rFonts w:eastAsia="Calibri"/>
          <w:b/>
          <w:color w:val="auto"/>
          <w:sz w:val="20"/>
        </w:rPr>
        <w:t>Appendix C. Data Management and Ethics Checklist</w:t>
      </w:r>
      <w:r w:rsidRPr="00F87A7E">
        <w:rPr>
          <w:rFonts w:eastAsia="Calibri"/>
          <w:color w:val="auto"/>
          <w:sz w:val="20"/>
        </w:rPr>
        <w:tab/>
        <w:t>18</w:t>
      </w:r>
    </w:p>
    <w:p w:rsidR="008E12D0" w:rsidRPr="00F87A7E" w:rsidRDefault="00EB4573">
      <w:pPr>
        <w:rPr>
          <w:color w:val="auto"/>
        </w:rPr>
      </w:pPr>
      <w:r w:rsidRPr="00F87A7E">
        <w:rPr>
          <w:color w:val="auto"/>
        </w:rPr>
        <w:br w:type="page"/>
      </w:r>
    </w:p>
    <w:p w:rsidR="008E12D0" w:rsidRPr="00F87A7E" w:rsidRDefault="00EB4573">
      <w:pPr>
        <w:pStyle w:val="Heading1"/>
        <w:rPr>
          <w:color w:val="auto"/>
        </w:rPr>
      </w:pPr>
      <w:r w:rsidRPr="00F87A7E">
        <w:rPr>
          <w:color w:val="auto"/>
        </w:rPr>
        <w:lastRenderedPageBreak/>
        <w:t>List of Figures, Tables and Abbreviations</w:t>
      </w:r>
    </w:p>
    <w:p w:rsidR="008E12D0" w:rsidRPr="00F87A7E" w:rsidRDefault="00EB4573">
      <w:pPr>
        <w:rPr>
          <w:color w:val="auto"/>
        </w:rPr>
      </w:pPr>
      <w:r w:rsidRPr="00F87A7E">
        <w:rPr>
          <w:rFonts w:eastAsia="Calibri"/>
          <w:b/>
          <w:color w:val="auto"/>
          <w:sz w:val="24"/>
        </w:rPr>
        <w:t>Figures</w:t>
      </w:r>
    </w:p>
    <w:p w:rsidR="008E12D0" w:rsidRPr="00F87A7E" w:rsidRDefault="00EB4573">
      <w:pPr>
        <w:tabs>
          <w:tab w:val="right" w:leader="dot" w:pos="9000"/>
        </w:tabs>
        <w:spacing w:after="100" w:line="240" w:lineRule="auto"/>
        <w:rPr>
          <w:color w:val="auto"/>
        </w:rPr>
      </w:pPr>
      <w:r w:rsidRPr="00F87A7E">
        <w:rPr>
          <w:rFonts w:eastAsia="Calibri"/>
          <w:b/>
          <w:color w:val="auto"/>
          <w:sz w:val="20"/>
        </w:rPr>
        <w:t>Figure 1. Proposed multi-source evidence-correlation framework.</w:t>
      </w:r>
      <w:r w:rsidRPr="00F87A7E">
        <w:rPr>
          <w:rFonts w:eastAsia="Calibri"/>
          <w:color w:val="auto"/>
          <w:sz w:val="20"/>
        </w:rPr>
        <w:tab/>
        <w:t>11</w:t>
      </w:r>
    </w:p>
    <w:p w:rsidR="008E12D0" w:rsidRPr="00F87A7E" w:rsidRDefault="00EB4573">
      <w:pPr>
        <w:tabs>
          <w:tab w:val="right" w:leader="dot" w:pos="9000"/>
        </w:tabs>
        <w:spacing w:after="100" w:line="240" w:lineRule="auto"/>
        <w:rPr>
          <w:color w:val="auto"/>
        </w:rPr>
      </w:pPr>
      <w:r w:rsidRPr="00F87A7E">
        <w:rPr>
          <w:rFonts w:eastAsia="Calibri"/>
          <w:b/>
          <w:color w:val="auto"/>
          <w:sz w:val="20"/>
        </w:rPr>
        <w:t>Figure 2. Twelve-month research schedule.</w:t>
      </w:r>
      <w:r w:rsidRPr="00F87A7E">
        <w:rPr>
          <w:rFonts w:eastAsia="Calibri"/>
          <w:color w:val="auto"/>
          <w:sz w:val="20"/>
        </w:rPr>
        <w:tab/>
        <w:t>15</w:t>
      </w:r>
    </w:p>
    <w:p w:rsidR="008E12D0" w:rsidRPr="00F87A7E" w:rsidRDefault="00EB4573">
      <w:pPr>
        <w:spacing w:before="160"/>
        <w:rPr>
          <w:color w:val="auto"/>
        </w:rPr>
      </w:pPr>
      <w:r w:rsidRPr="00F87A7E">
        <w:rPr>
          <w:rFonts w:eastAsia="Calibri"/>
          <w:b/>
          <w:color w:val="auto"/>
          <w:sz w:val="24"/>
        </w:rPr>
        <w:t>Tables</w:t>
      </w:r>
    </w:p>
    <w:p w:rsidR="008E12D0" w:rsidRPr="00F87A7E" w:rsidRDefault="00EB4573">
      <w:pPr>
        <w:tabs>
          <w:tab w:val="right" w:leader="dot" w:pos="9000"/>
        </w:tabs>
        <w:spacing w:after="100" w:line="240" w:lineRule="auto"/>
        <w:rPr>
          <w:color w:val="auto"/>
        </w:rPr>
      </w:pPr>
      <w:r w:rsidRPr="00F87A7E">
        <w:rPr>
          <w:rFonts w:eastAsia="Calibri"/>
          <w:b/>
          <w:color w:val="auto"/>
          <w:sz w:val="20"/>
        </w:rPr>
        <w:t>Table 1. Research questions and decision criteria.</w:t>
      </w:r>
      <w:r w:rsidRPr="00F87A7E">
        <w:rPr>
          <w:rFonts w:eastAsia="Calibri"/>
          <w:color w:val="auto"/>
          <w:sz w:val="20"/>
        </w:rPr>
        <w:tab/>
        <w:t>6</w:t>
      </w:r>
    </w:p>
    <w:p w:rsidR="008E12D0" w:rsidRPr="00F87A7E" w:rsidRDefault="00EB4573">
      <w:pPr>
        <w:tabs>
          <w:tab w:val="right" w:leader="dot" w:pos="9000"/>
        </w:tabs>
        <w:spacing w:after="100" w:line="240" w:lineRule="auto"/>
        <w:rPr>
          <w:color w:val="auto"/>
        </w:rPr>
      </w:pPr>
      <w:r w:rsidRPr="00F87A7E">
        <w:rPr>
          <w:rFonts w:eastAsia="Calibri"/>
          <w:b/>
          <w:color w:val="auto"/>
          <w:sz w:val="20"/>
        </w:rPr>
        <w:t>Table 2. Data sources and analytical roles.</w:t>
      </w:r>
      <w:r w:rsidRPr="00F87A7E">
        <w:rPr>
          <w:rFonts w:eastAsia="Calibri"/>
          <w:color w:val="auto"/>
          <w:sz w:val="20"/>
        </w:rPr>
        <w:tab/>
        <w:t>10</w:t>
      </w:r>
    </w:p>
    <w:p w:rsidR="008E12D0" w:rsidRPr="00F87A7E" w:rsidRDefault="00EB4573">
      <w:pPr>
        <w:tabs>
          <w:tab w:val="right" w:leader="dot" w:pos="9000"/>
        </w:tabs>
        <w:spacing w:after="100" w:line="240" w:lineRule="auto"/>
        <w:rPr>
          <w:color w:val="auto"/>
        </w:rPr>
      </w:pPr>
      <w:r w:rsidRPr="00F87A7E">
        <w:rPr>
          <w:rFonts w:eastAsia="Calibri"/>
          <w:b/>
          <w:color w:val="auto"/>
          <w:sz w:val="20"/>
        </w:rPr>
        <w:t>Table 3. Model comparison and ablation plan.</w:t>
      </w:r>
      <w:r w:rsidRPr="00F87A7E">
        <w:rPr>
          <w:rFonts w:eastAsia="Calibri"/>
          <w:color w:val="auto"/>
          <w:sz w:val="20"/>
        </w:rPr>
        <w:tab/>
        <w:t>12</w:t>
      </w:r>
    </w:p>
    <w:p w:rsidR="008E12D0" w:rsidRPr="00F87A7E" w:rsidRDefault="00EB4573">
      <w:pPr>
        <w:tabs>
          <w:tab w:val="right" w:leader="dot" w:pos="9000"/>
        </w:tabs>
        <w:spacing w:after="100" w:line="240" w:lineRule="auto"/>
        <w:rPr>
          <w:color w:val="auto"/>
        </w:rPr>
      </w:pPr>
      <w:r w:rsidRPr="00F87A7E">
        <w:rPr>
          <w:rFonts w:eastAsia="Calibri"/>
          <w:b/>
          <w:color w:val="auto"/>
          <w:sz w:val="20"/>
        </w:rPr>
        <w:t>Table 4. Evaluation measures.</w:t>
      </w:r>
      <w:r w:rsidRPr="00F87A7E">
        <w:rPr>
          <w:rFonts w:eastAsia="Calibri"/>
          <w:color w:val="auto"/>
          <w:sz w:val="20"/>
        </w:rPr>
        <w:tab/>
        <w:t>13</w:t>
      </w:r>
    </w:p>
    <w:p w:rsidR="008E12D0" w:rsidRPr="00F87A7E" w:rsidRDefault="00EB4573">
      <w:pPr>
        <w:tabs>
          <w:tab w:val="right" w:leader="dot" w:pos="9000"/>
        </w:tabs>
        <w:spacing w:after="100" w:line="240" w:lineRule="auto"/>
        <w:rPr>
          <w:color w:val="auto"/>
        </w:rPr>
      </w:pPr>
      <w:r w:rsidRPr="00F87A7E">
        <w:rPr>
          <w:rFonts w:eastAsia="Calibri"/>
          <w:b/>
          <w:color w:val="auto"/>
          <w:sz w:val="20"/>
        </w:rPr>
        <w:t>Table 5. Milestones and deliverables.</w:t>
      </w:r>
      <w:r w:rsidRPr="00F87A7E">
        <w:rPr>
          <w:rFonts w:eastAsia="Calibri"/>
          <w:color w:val="auto"/>
          <w:sz w:val="20"/>
        </w:rPr>
        <w:tab/>
        <w:t>14</w:t>
      </w:r>
    </w:p>
    <w:p w:rsidR="008E12D0" w:rsidRPr="00F87A7E" w:rsidRDefault="00EB4573">
      <w:pPr>
        <w:tabs>
          <w:tab w:val="right" w:leader="dot" w:pos="9000"/>
        </w:tabs>
        <w:spacing w:after="100" w:line="240" w:lineRule="auto"/>
        <w:rPr>
          <w:color w:val="auto"/>
        </w:rPr>
      </w:pPr>
      <w:r w:rsidRPr="00F87A7E">
        <w:rPr>
          <w:rFonts w:eastAsia="Calibri"/>
          <w:b/>
          <w:color w:val="auto"/>
          <w:sz w:val="20"/>
        </w:rPr>
        <w:t>Table A1. Data-source and feature dictionary.</w:t>
      </w:r>
      <w:r w:rsidRPr="00F87A7E">
        <w:rPr>
          <w:rFonts w:eastAsia="Calibri"/>
          <w:color w:val="auto"/>
          <w:sz w:val="20"/>
        </w:rPr>
        <w:tab/>
        <w:t>18</w:t>
      </w:r>
    </w:p>
    <w:p w:rsidR="008E12D0" w:rsidRPr="00F87A7E" w:rsidRDefault="00EB4573">
      <w:pPr>
        <w:tabs>
          <w:tab w:val="right" w:leader="dot" w:pos="9000"/>
        </w:tabs>
        <w:spacing w:after="100" w:line="240" w:lineRule="auto"/>
        <w:rPr>
          <w:color w:val="auto"/>
        </w:rPr>
      </w:pPr>
      <w:r w:rsidRPr="00F87A7E">
        <w:rPr>
          <w:rFonts w:eastAsia="Calibri"/>
          <w:b/>
          <w:color w:val="auto"/>
          <w:sz w:val="20"/>
        </w:rPr>
        <w:t>Table B1. Experimental matrix.</w:t>
      </w:r>
      <w:r w:rsidRPr="00F87A7E">
        <w:rPr>
          <w:rFonts w:eastAsia="Calibri"/>
          <w:color w:val="auto"/>
          <w:sz w:val="20"/>
        </w:rPr>
        <w:tab/>
        <w:t>18</w:t>
      </w:r>
    </w:p>
    <w:p w:rsidR="008E12D0" w:rsidRPr="00F87A7E" w:rsidRDefault="00EB4573">
      <w:pPr>
        <w:spacing w:before="160"/>
        <w:rPr>
          <w:color w:val="auto"/>
        </w:rPr>
      </w:pPr>
      <w:r w:rsidRPr="00F87A7E">
        <w:rPr>
          <w:rFonts w:eastAsia="Calibri"/>
          <w:b/>
          <w:color w:val="auto"/>
          <w:sz w:val="24"/>
        </w:rPr>
        <w:t>Abbreviations</w:t>
      </w:r>
    </w:p>
    <w:tbl>
      <w:tblPr>
        <w:tblW w:w="9360" w:type="dxa"/>
        <w:tblInd w:w="120" w:type="dxa"/>
        <w:tblBorders>
          <w:top w:val="single" w:sz="4" w:space="0" w:color="B8C2CC"/>
          <w:left w:val="single" w:sz="4" w:space="0" w:color="B8C2CC"/>
          <w:bottom w:val="single" w:sz="4" w:space="0" w:color="B8C2CC"/>
          <w:right w:val="single" w:sz="4" w:space="0" w:color="B8C2CC"/>
          <w:insideH w:val="single" w:sz="4" w:space="0" w:color="B8C2CC"/>
          <w:insideV w:val="single" w:sz="4" w:space="0" w:color="B8C2CC"/>
        </w:tblBorders>
        <w:tblLayout w:type="fixed"/>
        <w:tblCellMar>
          <w:top w:w="90" w:type="dxa"/>
          <w:left w:w="120" w:type="dxa"/>
          <w:bottom w:w="90" w:type="dxa"/>
          <w:right w:w="120" w:type="dxa"/>
        </w:tblCellMar>
        <w:tblLook w:val="04A0" w:firstRow="1" w:lastRow="0" w:firstColumn="1" w:lastColumn="0" w:noHBand="0" w:noVBand="1"/>
      </w:tblPr>
      <w:tblGrid>
        <w:gridCol w:w="2100"/>
        <w:gridCol w:w="7260"/>
      </w:tblGrid>
      <w:tr w:rsidR="00F87A7E" w:rsidRPr="00F87A7E">
        <w:trPr>
          <w:tblHeader/>
        </w:trPr>
        <w:tc>
          <w:tcPr>
            <w:tcW w:w="210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8"/>
              </w:rPr>
              <w:t>Abbreviation</w:t>
            </w:r>
          </w:p>
        </w:tc>
        <w:tc>
          <w:tcPr>
            <w:tcW w:w="726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8"/>
              </w:rPr>
              <w:t>Meaning</w:t>
            </w:r>
          </w:p>
        </w:tc>
      </w:tr>
      <w:tr w:rsidR="00F87A7E" w:rsidRPr="00F87A7E">
        <w:tc>
          <w:tcPr>
            <w:tcW w:w="2100" w:type="dxa"/>
            <w:vAlign w:val="center"/>
          </w:tcPr>
          <w:p w:rsidR="008E12D0" w:rsidRPr="00F87A7E" w:rsidRDefault="00EB4573">
            <w:pPr>
              <w:spacing w:after="40" w:line="259" w:lineRule="auto"/>
              <w:jc w:val="left"/>
              <w:rPr>
                <w:color w:val="auto"/>
              </w:rPr>
            </w:pPr>
            <w:r w:rsidRPr="00F87A7E">
              <w:rPr>
                <w:rFonts w:eastAsia="Calibri"/>
                <w:b/>
                <w:color w:val="auto"/>
                <w:sz w:val="18"/>
              </w:rPr>
              <w:t>AUPRC</w:t>
            </w:r>
          </w:p>
        </w:tc>
        <w:tc>
          <w:tcPr>
            <w:tcW w:w="7260" w:type="dxa"/>
            <w:vAlign w:val="center"/>
          </w:tcPr>
          <w:p w:rsidR="008E12D0" w:rsidRPr="00F87A7E" w:rsidRDefault="00EB4573">
            <w:pPr>
              <w:spacing w:after="40" w:line="259" w:lineRule="auto"/>
              <w:jc w:val="left"/>
              <w:rPr>
                <w:color w:val="auto"/>
              </w:rPr>
            </w:pPr>
            <w:r w:rsidRPr="00F87A7E">
              <w:rPr>
                <w:rFonts w:eastAsia="Calibri"/>
                <w:color w:val="auto"/>
                <w:sz w:val="18"/>
              </w:rPr>
              <w:t>Area under the precision-recall curve</w:t>
            </w:r>
          </w:p>
        </w:tc>
      </w:tr>
      <w:tr w:rsidR="00F87A7E" w:rsidRPr="00F87A7E">
        <w:tc>
          <w:tcPr>
            <w:tcW w:w="2100" w:type="dxa"/>
            <w:vAlign w:val="center"/>
          </w:tcPr>
          <w:p w:rsidR="008E12D0" w:rsidRPr="00F87A7E" w:rsidRDefault="00EB4573">
            <w:pPr>
              <w:spacing w:after="40" w:line="259" w:lineRule="auto"/>
              <w:jc w:val="left"/>
              <w:rPr>
                <w:color w:val="auto"/>
              </w:rPr>
            </w:pPr>
            <w:r w:rsidRPr="00F87A7E">
              <w:rPr>
                <w:rFonts w:eastAsia="Calibri"/>
                <w:b/>
                <w:color w:val="auto"/>
                <w:sz w:val="18"/>
              </w:rPr>
              <w:t>CERT</w:t>
            </w:r>
          </w:p>
        </w:tc>
        <w:tc>
          <w:tcPr>
            <w:tcW w:w="7260" w:type="dxa"/>
            <w:vAlign w:val="center"/>
          </w:tcPr>
          <w:p w:rsidR="008E12D0" w:rsidRPr="00F87A7E" w:rsidRDefault="00EB4573">
            <w:pPr>
              <w:spacing w:after="40" w:line="259" w:lineRule="auto"/>
              <w:jc w:val="left"/>
              <w:rPr>
                <w:color w:val="auto"/>
              </w:rPr>
            </w:pPr>
            <w:r w:rsidRPr="00F87A7E">
              <w:rPr>
                <w:rFonts w:eastAsia="Calibri"/>
                <w:color w:val="auto"/>
                <w:sz w:val="18"/>
              </w:rPr>
              <w:t>Carnegie Mellon Software Engineering Institute insider-threat benchmark</w:t>
            </w:r>
          </w:p>
        </w:tc>
      </w:tr>
      <w:tr w:rsidR="00F87A7E" w:rsidRPr="00F87A7E">
        <w:tc>
          <w:tcPr>
            <w:tcW w:w="2100" w:type="dxa"/>
            <w:vAlign w:val="center"/>
          </w:tcPr>
          <w:p w:rsidR="008E12D0" w:rsidRPr="00F87A7E" w:rsidRDefault="00EB4573">
            <w:pPr>
              <w:spacing w:after="40" w:line="259" w:lineRule="auto"/>
              <w:jc w:val="left"/>
              <w:rPr>
                <w:color w:val="auto"/>
              </w:rPr>
            </w:pPr>
            <w:r w:rsidRPr="00F87A7E">
              <w:rPr>
                <w:rFonts w:eastAsia="Calibri"/>
                <w:b/>
                <w:color w:val="auto"/>
                <w:sz w:val="18"/>
              </w:rPr>
              <w:t>DLP</w:t>
            </w:r>
          </w:p>
        </w:tc>
        <w:tc>
          <w:tcPr>
            <w:tcW w:w="7260" w:type="dxa"/>
            <w:vAlign w:val="center"/>
          </w:tcPr>
          <w:p w:rsidR="008E12D0" w:rsidRPr="00F87A7E" w:rsidRDefault="00EB4573">
            <w:pPr>
              <w:spacing w:after="40" w:line="259" w:lineRule="auto"/>
              <w:jc w:val="left"/>
              <w:rPr>
                <w:color w:val="auto"/>
              </w:rPr>
            </w:pPr>
            <w:r w:rsidRPr="00F87A7E">
              <w:rPr>
                <w:rFonts w:eastAsia="Calibri"/>
                <w:color w:val="auto"/>
                <w:sz w:val="18"/>
              </w:rPr>
              <w:t>Data loss prevention</w:t>
            </w:r>
          </w:p>
        </w:tc>
      </w:tr>
      <w:tr w:rsidR="00F87A7E" w:rsidRPr="00F87A7E">
        <w:tc>
          <w:tcPr>
            <w:tcW w:w="2100" w:type="dxa"/>
            <w:vAlign w:val="center"/>
          </w:tcPr>
          <w:p w:rsidR="008E12D0" w:rsidRPr="00F87A7E" w:rsidRDefault="00EB4573">
            <w:pPr>
              <w:spacing w:after="40" w:line="259" w:lineRule="auto"/>
              <w:jc w:val="left"/>
              <w:rPr>
                <w:color w:val="auto"/>
              </w:rPr>
            </w:pPr>
            <w:r w:rsidRPr="00F87A7E">
              <w:rPr>
                <w:rFonts w:eastAsia="Calibri"/>
                <w:b/>
                <w:color w:val="auto"/>
                <w:sz w:val="18"/>
              </w:rPr>
              <w:t>ECE</w:t>
            </w:r>
          </w:p>
        </w:tc>
        <w:tc>
          <w:tcPr>
            <w:tcW w:w="7260" w:type="dxa"/>
            <w:vAlign w:val="center"/>
          </w:tcPr>
          <w:p w:rsidR="008E12D0" w:rsidRPr="00F87A7E" w:rsidRDefault="00EB4573">
            <w:pPr>
              <w:spacing w:after="40" w:line="259" w:lineRule="auto"/>
              <w:jc w:val="left"/>
              <w:rPr>
                <w:color w:val="auto"/>
              </w:rPr>
            </w:pPr>
            <w:r w:rsidRPr="00F87A7E">
              <w:rPr>
                <w:rFonts w:eastAsia="Calibri"/>
                <w:color w:val="auto"/>
                <w:sz w:val="18"/>
              </w:rPr>
              <w:t>Expected calibration error</w:t>
            </w:r>
          </w:p>
        </w:tc>
      </w:tr>
      <w:tr w:rsidR="00F87A7E" w:rsidRPr="00F87A7E">
        <w:tc>
          <w:tcPr>
            <w:tcW w:w="2100" w:type="dxa"/>
            <w:vAlign w:val="center"/>
          </w:tcPr>
          <w:p w:rsidR="008E12D0" w:rsidRPr="00F87A7E" w:rsidRDefault="00EB4573">
            <w:pPr>
              <w:spacing w:after="40" w:line="259" w:lineRule="auto"/>
              <w:jc w:val="left"/>
              <w:rPr>
                <w:color w:val="auto"/>
              </w:rPr>
            </w:pPr>
            <w:r w:rsidRPr="00F87A7E">
              <w:rPr>
                <w:rFonts w:eastAsia="Calibri"/>
                <w:b/>
                <w:color w:val="auto"/>
                <w:sz w:val="18"/>
              </w:rPr>
              <w:t>EDR</w:t>
            </w:r>
          </w:p>
        </w:tc>
        <w:tc>
          <w:tcPr>
            <w:tcW w:w="7260" w:type="dxa"/>
            <w:vAlign w:val="center"/>
          </w:tcPr>
          <w:p w:rsidR="008E12D0" w:rsidRPr="00F87A7E" w:rsidRDefault="00EB4573">
            <w:pPr>
              <w:spacing w:after="40" w:line="259" w:lineRule="auto"/>
              <w:jc w:val="left"/>
              <w:rPr>
                <w:color w:val="auto"/>
              </w:rPr>
            </w:pPr>
            <w:r w:rsidRPr="00F87A7E">
              <w:rPr>
                <w:rFonts w:eastAsia="Calibri"/>
                <w:color w:val="auto"/>
                <w:sz w:val="18"/>
              </w:rPr>
              <w:t>Endpoint detection and response</w:t>
            </w:r>
          </w:p>
        </w:tc>
      </w:tr>
      <w:tr w:rsidR="00F87A7E" w:rsidRPr="00F87A7E">
        <w:tc>
          <w:tcPr>
            <w:tcW w:w="2100" w:type="dxa"/>
            <w:vAlign w:val="center"/>
          </w:tcPr>
          <w:p w:rsidR="008E12D0" w:rsidRPr="00F87A7E" w:rsidRDefault="00EB4573">
            <w:pPr>
              <w:spacing w:after="40" w:line="259" w:lineRule="auto"/>
              <w:jc w:val="left"/>
              <w:rPr>
                <w:color w:val="auto"/>
              </w:rPr>
            </w:pPr>
            <w:r w:rsidRPr="00F87A7E">
              <w:rPr>
                <w:rFonts w:eastAsia="Calibri"/>
                <w:b/>
                <w:color w:val="auto"/>
                <w:sz w:val="18"/>
              </w:rPr>
              <w:t>PR-AUC</w:t>
            </w:r>
          </w:p>
        </w:tc>
        <w:tc>
          <w:tcPr>
            <w:tcW w:w="7260" w:type="dxa"/>
            <w:vAlign w:val="center"/>
          </w:tcPr>
          <w:p w:rsidR="008E12D0" w:rsidRPr="00F87A7E" w:rsidRDefault="00EB4573">
            <w:pPr>
              <w:spacing w:after="40" w:line="259" w:lineRule="auto"/>
              <w:jc w:val="left"/>
              <w:rPr>
                <w:color w:val="auto"/>
              </w:rPr>
            </w:pPr>
            <w:r w:rsidRPr="00F87A7E">
              <w:rPr>
                <w:rFonts w:eastAsia="Calibri"/>
                <w:color w:val="auto"/>
                <w:sz w:val="18"/>
              </w:rPr>
              <w:t>Precision-recall area under the curve</w:t>
            </w:r>
          </w:p>
        </w:tc>
      </w:tr>
      <w:tr w:rsidR="00F87A7E" w:rsidRPr="00F87A7E">
        <w:tc>
          <w:tcPr>
            <w:tcW w:w="2100" w:type="dxa"/>
            <w:vAlign w:val="center"/>
          </w:tcPr>
          <w:p w:rsidR="008E12D0" w:rsidRPr="00F87A7E" w:rsidRDefault="00EB4573">
            <w:pPr>
              <w:spacing w:after="40" w:line="259" w:lineRule="auto"/>
              <w:jc w:val="left"/>
              <w:rPr>
                <w:color w:val="auto"/>
              </w:rPr>
            </w:pPr>
            <w:r w:rsidRPr="00F87A7E">
              <w:rPr>
                <w:rFonts w:eastAsia="Calibri"/>
                <w:b/>
                <w:color w:val="auto"/>
                <w:sz w:val="18"/>
              </w:rPr>
              <w:t>SHAP</w:t>
            </w:r>
          </w:p>
        </w:tc>
        <w:tc>
          <w:tcPr>
            <w:tcW w:w="7260" w:type="dxa"/>
            <w:vAlign w:val="center"/>
          </w:tcPr>
          <w:p w:rsidR="008E12D0" w:rsidRPr="00F87A7E" w:rsidRDefault="00EB4573">
            <w:pPr>
              <w:spacing w:after="40" w:line="259" w:lineRule="auto"/>
              <w:jc w:val="left"/>
              <w:rPr>
                <w:color w:val="auto"/>
              </w:rPr>
            </w:pPr>
            <w:r w:rsidRPr="00F87A7E">
              <w:rPr>
                <w:rFonts w:eastAsia="Calibri"/>
                <w:color w:val="auto"/>
                <w:sz w:val="18"/>
              </w:rPr>
              <w:t>SHapley Additive exPlanations</w:t>
            </w:r>
          </w:p>
        </w:tc>
      </w:tr>
      <w:tr w:rsidR="008E12D0" w:rsidRPr="00F87A7E">
        <w:tc>
          <w:tcPr>
            <w:tcW w:w="2100" w:type="dxa"/>
            <w:vAlign w:val="center"/>
          </w:tcPr>
          <w:p w:rsidR="008E12D0" w:rsidRPr="00F87A7E" w:rsidRDefault="00EB4573">
            <w:pPr>
              <w:spacing w:after="40" w:line="259" w:lineRule="auto"/>
              <w:jc w:val="left"/>
              <w:rPr>
                <w:color w:val="auto"/>
              </w:rPr>
            </w:pPr>
            <w:r w:rsidRPr="00F87A7E">
              <w:rPr>
                <w:rFonts w:eastAsia="Calibri"/>
                <w:b/>
                <w:color w:val="auto"/>
                <w:sz w:val="18"/>
              </w:rPr>
              <w:t>UEBA</w:t>
            </w:r>
          </w:p>
        </w:tc>
        <w:tc>
          <w:tcPr>
            <w:tcW w:w="7260" w:type="dxa"/>
            <w:vAlign w:val="center"/>
          </w:tcPr>
          <w:p w:rsidR="008E12D0" w:rsidRPr="00F87A7E" w:rsidRDefault="00EB4573">
            <w:pPr>
              <w:spacing w:after="40" w:line="259" w:lineRule="auto"/>
              <w:jc w:val="left"/>
              <w:rPr>
                <w:color w:val="auto"/>
              </w:rPr>
            </w:pPr>
            <w:r w:rsidRPr="00F87A7E">
              <w:rPr>
                <w:rFonts w:eastAsia="Calibri"/>
                <w:color w:val="auto"/>
                <w:sz w:val="18"/>
              </w:rPr>
              <w:t>User and entity behaviour analytics</w:t>
            </w:r>
          </w:p>
        </w:tc>
      </w:tr>
    </w:tbl>
    <w:p w:rsidR="008E12D0" w:rsidRPr="00F87A7E" w:rsidRDefault="008E12D0">
      <w:pPr>
        <w:spacing w:after="40"/>
        <w:rPr>
          <w:color w:val="auto"/>
        </w:rPr>
      </w:pPr>
    </w:p>
    <w:p w:rsidR="008E12D0" w:rsidRPr="00F87A7E" w:rsidRDefault="00EB4573">
      <w:pPr>
        <w:rPr>
          <w:color w:val="auto"/>
        </w:rPr>
      </w:pPr>
      <w:r w:rsidRPr="00F87A7E">
        <w:rPr>
          <w:color w:val="auto"/>
        </w:rPr>
        <w:br w:type="page"/>
      </w:r>
    </w:p>
    <w:p w:rsidR="008E12D0" w:rsidRPr="00F87A7E" w:rsidRDefault="00EB4573">
      <w:pPr>
        <w:pStyle w:val="Heading1"/>
        <w:rPr>
          <w:color w:val="auto"/>
        </w:rPr>
      </w:pPr>
      <w:r w:rsidRPr="00F87A7E">
        <w:rPr>
          <w:color w:val="auto"/>
        </w:rPr>
        <w:lastRenderedPageBreak/>
        <w:t>1. Introduction</w:t>
      </w:r>
    </w:p>
    <w:p w:rsidR="008E12D0" w:rsidRPr="00F87A7E" w:rsidRDefault="00EB4573">
      <w:pPr>
        <w:pStyle w:val="Heading2"/>
        <w:rPr>
          <w:color w:val="auto"/>
        </w:rPr>
      </w:pPr>
      <w:r w:rsidRPr="00F87A7E">
        <w:rPr>
          <w:color w:val="auto"/>
        </w:rPr>
        <w:t>1.1 Context and Background</w:t>
      </w:r>
    </w:p>
    <w:p w:rsidR="008E12D0" w:rsidRPr="00F87A7E" w:rsidRDefault="00EB4573">
      <w:pPr>
        <w:rPr>
          <w:color w:val="auto"/>
        </w:rPr>
      </w:pPr>
      <w:r w:rsidRPr="00F87A7E">
        <w:rPr>
          <w:color w:val="auto"/>
        </w:rPr>
        <w:t>Modern organisations distribute work across cloud applications, identity services, endpoints, collaboration platforms and shared repositories. Every service records only part of a user's activity. A successful insider episode may therefore appear as several low-severity events: unusual authentication, access to an atypical project folder, bulk copying, removable-media use and an external connection. Individually these events may be legitimate; their meaning changes when identity, timing, resource sensitivity and sequence are correlated. The Software Engineering Institute defines insider threat broadly enough to include malicious and unintentional misuse of current or former authorised access, and recommends a coordinated enterprise response rather than a purely technical control [1]. CISA similarly emphasises multidisciplinary participation because human-resources and security information can reveal patterns that a single function may miss [2].</w:t>
      </w:r>
    </w:p>
    <w:p w:rsidR="008E12D0" w:rsidRPr="00F87A7E" w:rsidRDefault="00EB4573">
      <w:pPr>
        <w:rPr>
          <w:color w:val="auto"/>
        </w:rPr>
      </w:pPr>
      <w:r w:rsidRPr="00F87A7E">
        <w:rPr>
          <w:color w:val="auto"/>
        </w:rPr>
        <w:t>Early identification is operationally different from retrospective incident reconstruction. A conventional rule often fires when a prohibited action has already occurred, whereas early warning asks whether a developing pattern can be surfaced before a terminal act such as exfiltration or sabotage. The proposed study treats an alert as a prioritisation signal for authorised human review, not as proof of intent. This distinction is necessary because legitimate employees may work irregular hours, travel, change roles or handle unusually large files, and because monitoring creates privacy and fairness risks.</w:t>
      </w:r>
    </w:p>
    <w:p w:rsidR="008E12D0" w:rsidRPr="00F87A7E" w:rsidRDefault="00EB4573">
      <w:pPr>
        <w:rPr>
          <w:color w:val="auto"/>
        </w:rPr>
      </w:pPr>
      <w:r w:rsidRPr="00F87A7E">
        <w:rPr>
          <w:color w:val="auto"/>
        </w:rPr>
        <w:t>Recent reviews describe insider-threat detection as a rare-event, context-dependent problem characterised by limited labelled data, behavioural drift and weak transfer from synthetic benchmarks to live organisations [3], [4]. These constraints motivate an evidence-correlation design that preserves source provenance, represents missing data explicitly and evaluates practical alert budgets and lead time rather than reporting accuracy alone.</w:t>
      </w:r>
    </w:p>
    <w:p w:rsidR="008E12D0" w:rsidRPr="00F87A7E" w:rsidRDefault="00EB4573">
      <w:pPr>
        <w:rPr>
          <w:color w:val="auto"/>
        </w:rPr>
      </w:pPr>
      <w:r w:rsidRPr="00F87A7E">
        <w:rPr>
          <w:color w:val="auto"/>
        </w:rPr>
        <w:t>Insider risk is also heterogeneous. Deliberate theft, sabotage, credential misuse and policy circumvention can generate different digital sequences, while negligence or a compromised account may resemble an intentional insider episode. The study will not infer motivation from telemetry. It will model observable, policy-relevant behaviour and the corroboration among sources. This narrower technical scope makes the outcome testable while remaining compatible with multidisciplinary programmes in which security, legal, privacy and human-resources teams determine the appropriate response.</w:t>
      </w:r>
    </w:p>
    <w:p w:rsidR="008E12D0" w:rsidRPr="00F87A7E" w:rsidRDefault="00EB4573">
      <w:pPr>
        <w:pStyle w:val="Heading2"/>
        <w:rPr>
          <w:color w:val="auto"/>
        </w:rPr>
      </w:pPr>
      <w:r w:rsidRPr="00F87A7E">
        <w:rPr>
          <w:color w:val="auto"/>
        </w:rPr>
        <w:t>1.2 Research Problem</w:t>
      </w:r>
    </w:p>
    <w:p w:rsidR="008E12D0" w:rsidRPr="00F87A7E" w:rsidRDefault="00EB4573">
      <w:pPr>
        <w:rPr>
          <w:color w:val="auto"/>
        </w:rPr>
      </w:pPr>
      <w:r w:rsidRPr="00F87A7E">
        <w:rPr>
          <w:color w:val="auto"/>
        </w:rPr>
        <w:t xml:space="preserve">The central research problem is that security telemetry is fragmented across systems with different identifiers, clocks, schemas, retention periods and reliability. Security tools commonly score events or users within one source, while analysts manually connect alerts after escalation. This produces three </w:t>
      </w:r>
      <w:r w:rsidRPr="00F87A7E">
        <w:rPr>
          <w:color w:val="auto"/>
        </w:rPr>
        <w:lastRenderedPageBreak/>
        <w:t>related weaknesses. First, a weak but meaningful cross-source sequence can remain below every local threshold. Second, a single noisy source can generate repeated false positives without corroboration. Third, an alert can lack the traceable evidence needed to judge whether the score reflects risky conduct, missing telemetry or normal role-specific work.</w:t>
      </w:r>
    </w:p>
    <w:p w:rsidR="008E12D0" w:rsidRPr="00F87A7E" w:rsidRDefault="00EB4573">
      <w:pPr>
        <w:rPr>
          <w:color w:val="auto"/>
        </w:rPr>
      </w:pPr>
      <w:r w:rsidRPr="00F87A7E">
        <w:rPr>
          <w:color w:val="auto"/>
        </w:rPr>
        <w:t>Existing studies demonstrate strong behavioural, sequential and graph-based models, but many evaluate a fixed set of engineered features on one CERT release. Reported results are difficult to compare when users or future information leak across training and test partitions, class imbalance is handled inconsistently, or performance is summarised by accuracy and receiver-operating-characteristic measures. The problem is therefore not simply to fit a more complex classifier. It is to determine whether explicit multi-source correlation provides earlier and more reliable detection than single-source and naive-fusion alternatives under realistic rarity, missing-data and investigation-capacity constraints.</w:t>
      </w:r>
    </w:p>
    <w:p w:rsidR="008E12D0" w:rsidRPr="00F87A7E" w:rsidRDefault="00EB4573">
      <w:pPr>
        <w:rPr>
          <w:color w:val="auto"/>
        </w:rPr>
      </w:pPr>
      <w:r w:rsidRPr="00F87A7E">
        <w:rPr>
          <w:color w:val="auto"/>
        </w:rPr>
        <w:t>For this proposal, early identification means assigning a reviewable risk score to a user-day before the scenario's defined terminal malicious event, where the benchmark contains a preceding behavioural sequence. Lead time will be measured in days and reported only for scenarios where such temporal ordering is meaningful. The unit of analysis will be the user-day, while the underlying event timeline will be retained for explanation and sequence features.</w:t>
      </w:r>
    </w:p>
    <w:p w:rsidR="008E12D0" w:rsidRPr="00F87A7E" w:rsidRDefault="00EB4573">
      <w:pPr>
        <w:rPr>
          <w:color w:val="auto"/>
        </w:rPr>
      </w:pPr>
      <w:r w:rsidRPr="00F87A7E">
        <w:rPr>
          <w:color w:val="auto"/>
        </w:rPr>
        <w:t>A defensible solution must satisfy more than predictive performance. It must align clocks, resolve identities across accounts and devices, distinguish absent telemetry from zero activity, prevent future information entering training features, and show which records support an alert. Without these controls, fusion can amplify noise and create a confident but untraceable score. The research problem therefore combines data engineering, machine learning, digital-evidence integrity and human decision support.</w:t>
      </w:r>
    </w:p>
    <w:p w:rsidR="008E12D0" w:rsidRPr="00F87A7E" w:rsidRDefault="00EB4573">
      <w:pPr>
        <w:pStyle w:val="Heading2"/>
        <w:rPr>
          <w:color w:val="auto"/>
        </w:rPr>
      </w:pPr>
      <w:r w:rsidRPr="00F87A7E">
        <w:rPr>
          <w:color w:val="auto"/>
        </w:rPr>
        <w:t>1.3 Research Aim, Objectives and Questions</w:t>
      </w:r>
    </w:p>
    <w:p w:rsidR="008E12D0" w:rsidRPr="00F87A7E" w:rsidRDefault="00EB4573">
      <w:pPr>
        <w:rPr>
          <w:color w:val="auto"/>
        </w:rPr>
      </w:pPr>
      <w:r w:rsidRPr="00F87A7E">
        <w:rPr>
          <w:color w:val="auto"/>
        </w:rPr>
        <w:t>The aim is to design and empirically evaluate a privacy-aware framework that correlates heterogeneous digital evidence to identify developing insider-threat activity earlier and with fewer unactionable alerts than single-source approaches.</w:t>
      </w:r>
    </w:p>
    <w:p w:rsidR="008E12D0" w:rsidRPr="00F87A7E" w:rsidRDefault="00EB4573">
      <w:pPr>
        <w:pStyle w:val="ListParagraph"/>
        <w:numPr>
          <w:ilvl w:val="0"/>
          <w:numId w:val="10"/>
        </w:numPr>
        <w:rPr>
          <w:color w:val="auto"/>
        </w:rPr>
      </w:pPr>
      <w:r w:rsidRPr="00F87A7E">
        <w:rPr>
          <w:color w:val="auto"/>
        </w:rPr>
        <w:t>Develop a canonical event schema and identity-time correlation pipeline for authentication, endpoint, file, network, communication-metadata and role-context evidence.</w:t>
      </w:r>
    </w:p>
    <w:p w:rsidR="008E12D0" w:rsidRPr="00F87A7E" w:rsidRDefault="00EB4573">
      <w:pPr>
        <w:pStyle w:val="ListParagraph"/>
        <w:numPr>
          <w:ilvl w:val="0"/>
          <w:numId w:val="10"/>
        </w:numPr>
        <w:rPr>
          <w:color w:val="auto"/>
        </w:rPr>
      </w:pPr>
      <w:r w:rsidRPr="00F87A7E">
        <w:rPr>
          <w:color w:val="auto"/>
        </w:rPr>
        <w:t>Construct individual, peer, temporal and relational features while retaining source provenance, quality indicators and missingness masks.</w:t>
      </w:r>
    </w:p>
    <w:p w:rsidR="008E12D0" w:rsidRPr="00F87A7E" w:rsidRDefault="00EB4573">
      <w:pPr>
        <w:pStyle w:val="ListParagraph"/>
        <w:numPr>
          <w:ilvl w:val="0"/>
          <w:numId w:val="10"/>
        </w:numPr>
        <w:rPr>
          <w:color w:val="auto"/>
        </w:rPr>
      </w:pPr>
      <w:r w:rsidRPr="00F87A7E">
        <w:rPr>
          <w:color w:val="auto"/>
        </w:rPr>
        <w:t>Implement transparent rules, single-source models, early fusion, late fusion and a proposed quality-aware hybrid fusion model.</w:t>
      </w:r>
    </w:p>
    <w:p w:rsidR="008E12D0" w:rsidRPr="00F87A7E" w:rsidRDefault="00EB4573">
      <w:pPr>
        <w:pStyle w:val="ListParagraph"/>
        <w:numPr>
          <w:ilvl w:val="0"/>
          <w:numId w:val="10"/>
        </w:numPr>
        <w:rPr>
          <w:color w:val="auto"/>
        </w:rPr>
      </w:pPr>
      <w:r w:rsidRPr="00F87A7E">
        <w:rPr>
          <w:color w:val="auto"/>
        </w:rPr>
        <w:t>Evaluate discrimination, alert burden, calibration, lead time, robustness and cross-release transfer with leakage-resistant experiments.</w:t>
      </w:r>
    </w:p>
    <w:p w:rsidR="008E12D0" w:rsidRPr="00F87A7E" w:rsidRDefault="00EB4573">
      <w:pPr>
        <w:pStyle w:val="ListParagraph"/>
        <w:numPr>
          <w:ilvl w:val="0"/>
          <w:numId w:val="10"/>
        </w:numPr>
        <w:rPr>
          <w:color w:val="auto"/>
        </w:rPr>
      </w:pPr>
      <w:r w:rsidRPr="00F87A7E">
        <w:rPr>
          <w:color w:val="auto"/>
        </w:rPr>
        <w:lastRenderedPageBreak/>
        <w:t>Produce analyst-facing evidence cards and define ethical safeguards for data minimisation, human review and prohibited uses.</w:t>
      </w:r>
    </w:p>
    <w:p w:rsidR="008E12D0" w:rsidRPr="00F87A7E" w:rsidRDefault="00EB4573">
      <w:pPr>
        <w:pStyle w:val="Caption"/>
        <w:jc w:val="center"/>
        <w:rPr>
          <w:color w:val="auto"/>
        </w:rPr>
      </w:pPr>
      <w:r w:rsidRPr="00F87A7E">
        <w:rPr>
          <w:rFonts w:eastAsia="Calibri"/>
          <w:color w:val="auto"/>
        </w:rPr>
        <w:t>Table 1. Research questions and decision criteria.</w:t>
      </w:r>
    </w:p>
    <w:tbl>
      <w:tblPr>
        <w:tblW w:w="9360" w:type="dxa"/>
        <w:tblInd w:w="120" w:type="dxa"/>
        <w:tblBorders>
          <w:top w:val="single" w:sz="4" w:space="0" w:color="B8C2CC"/>
          <w:left w:val="single" w:sz="4" w:space="0" w:color="B8C2CC"/>
          <w:bottom w:val="single" w:sz="4" w:space="0" w:color="B8C2CC"/>
          <w:right w:val="single" w:sz="4" w:space="0" w:color="B8C2CC"/>
          <w:insideH w:val="single" w:sz="4" w:space="0" w:color="B8C2CC"/>
          <w:insideV w:val="single" w:sz="4" w:space="0" w:color="B8C2CC"/>
        </w:tblBorders>
        <w:tblLayout w:type="fixed"/>
        <w:tblCellMar>
          <w:top w:w="90" w:type="dxa"/>
          <w:left w:w="120" w:type="dxa"/>
          <w:bottom w:w="90" w:type="dxa"/>
          <w:right w:w="120" w:type="dxa"/>
        </w:tblCellMar>
        <w:tblLook w:val="04A0" w:firstRow="1" w:lastRow="0" w:firstColumn="1" w:lastColumn="0" w:noHBand="0" w:noVBand="1"/>
      </w:tblPr>
      <w:tblGrid>
        <w:gridCol w:w="900"/>
        <w:gridCol w:w="4780"/>
        <w:gridCol w:w="3680"/>
      </w:tblGrid>
      <w:tr w:rsidR="00F87A7E" w:rsidRPr="00F87A7E">
        <w:trPr>
          <w:tblHeader/>
        </w:trPr>
        <w:tc>
          <w:tcPr>
            <w:tcW w:w="900" w:type="dxa"/>
            <w:shd w:val="clear" w:color="auto" w:fill="E8F0F7"/>
            <w:vAlign w:val="center"/>
          </w:tcPr>
          <w:p w:rsidR="008E12D0" w:rsidRPr="00F87A7E" w:rsidRDefault="00EB4573">
            <w:pPr>
              <w:spacing w:after="40" w:line="259" w:lineRule="auto"/>
              <w:jc w:val="center"/>
              <w:rPr>
                <w:color w:val="auto"/>
              </w:rPr>
            </w:pPr>
            <w:r w:rsidRPr="00F87A7E">
              <w:rPr>
                <w:rFonts w:eastAsia="Calibri"/>
                <w:b/>
                <w:color w:val="auto"/>
                <w:sz w:val="17"/>
              </w:rPr>
              <w:t>ID</w:t>
            </w:r>
          </w:p>
        </w:tc>
        <w:tc>
          <w:tcPr>
            <w:tcW w:w="478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7"/>
              </w:rPr>
              <w:t>Research question</w:t>
            </w:r>
          </w:p>
        </w:tc>
        <w:tc>
          <w:tcPr>
            <w:tcW w:w="368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7"/>
              </w:rPr>
              <w:t>Decision criterion</w:t>
            </w:r>
          </w:p>
        </w:tc>
      </w:tr>
      <w:tr w:rsidR="00F87A7E" w:rsidRPr="00F87A7E">
        <w:tc>
          <w:tcPr>
            <w:tcW w:w="900" w:type="dxa"/>
            <w:vAlign w:val="center"/>
          </w:tcPr>
          <w:p w:rsidR="008E12D0" w:rsidRPr="00F87A7E" w:rsidRDefault="00EB4573">
            <w:pPr>
              <w:spacing w:after="40" w:line="259" w:lineRule="auto"/>
              <w:jc w:val="center"/>
              <w:rPr>
                <w:color w:val="auto"/>
              </w:rPr>
            </w:pPr>
            <w:r w:rsidRPr="00F87A7E">
              <w:rPr>
                <w:rFonts w:eastAsia="Calibri"/>
                <w:b/>
                <w:color w:val="auto"/>
                <w:sz w:val="17"/>
              </w:rPr>
              <w:t>RQ1</w:t>
            </w:r>
          </w:p>
        </w:tc>
        <w:tc>
          <w:tcPr>
            <w:tcW w:w="4780" w:type="dxa"/>
            <w:vAlign w:val="center"/>
          </w:tcPr>
          <w:p w:rsidR="008E12D0" w:rsidRPr="00F87A7E" w:rsidRDefault="00EB4573">
            <w:pPr>
              <w:spacing w:after="40" w:line="259" w:lineRule="auto"/>
              <w:jc w:val="left"/>
              <w:rPr>
                <w:color w:val="auto"/>
              </w:rPr>
            </w:pPr>
            <w:r w:rsidRPr="00F87A7E">
              <w:rPr>
                <w:rFonts w:eastAsia="Calibri"/>
                <w:color w:val="auto"/>
                <w:sz w:val="17"/>
              </w:rPr>
              <w:t>Does multi-source fusion improve rare-event detection over rules and single-source models?</w:t>
            </w:r>
          </w:p>
        </w:tc>
        <w:tc>
          <w:tcPr>
            <w:tcW w:w="3680" w:type="dxa"/>
            <w:vAlign w:val="center"/>
          </w:tcPr>
          <w:p w:rsidR="008E12D0" w:rsidRPr="00F87A7E" w:rsidRDefault="00EB4573">
            <w:pPr>
              <w:spacing w:after="40" w:line="259" w:lineRule="auto"/>
              <w:jc w:val="left"/>
              <w:rPr>
                <w:color w:val="auto"/>
              </w:rPr>
            </w:pPr>
            <w:r w:rsidRPr="00F87A7E">
              <w:rPr>
                <w:rFonts w:eastAsia="Calibri"/>
                <w:color w:val="auto"/>
                <w:sz w:val="17"/>
              </w:rPr>
              <w:t>Higher PR-AUC and recall at the same alert budget.</w:t>
            </w:r>
          </w:p>
        </w:tc>
      </w:tr>
      <w:tr w:rsidR="00F87A7E" w:rsidRPr="00F87A7E">
        <w:tc>
          <w:tcPr>
            <w:tcW w:w="900" w:type="dxa"/>
            <w:vAlign w:val="center"/>
          </w:tcPr>
          <w:p w:rsidR="008E12D0" w:rsidRPr="00F87A7E" w:rsidRDefault="00EB4573">
            <w:pPr>
              <w:spacing w:after="40" w:line="259" w:lineRule="auto"/>
              <w:jc w:val="center"/>
              <w:rPr>
                <w:color w:val="auto"/>
              </w:rPr>
            </w:pPr>
            <w:r w:rsidRPr="00F87A7E">
              <w:rPr>
                <w:rFonts w:eastAsia="Calibri"/>
                <w:b/>
                <w:color w:val="auto"/>
                <w:sz w:val="17"/>
              </w:rPr>
              <w:t>RQ2</w:t>
            </w:r>
          </w:p>
        </w:tc>
        <w:tc>
          <w:tcPr>
            <w:tcW w:w="4780" w:type="dxa"/>
            <w:vAlign w:val="center"/>
          </w:tcPr>
          <w:p w:rsidR="008E12D0" w:rsidRPr="00F87A7E" w:rsidRDefault="00EB4573">
            <w:pPr>
              <w:spacing w:after="40" w:line="259" w:lineRule="auto"/>
              <w:jc w:val="left"/>
              <w:rPr>
                <w:color w:val="auto"/>
              </w:rPr>
            </w:pPr>
            <w:r w:rsidRPr="00F87A7E">
              <w:rPr>
                <w:rFonts w:eastAsia="Calibri"/>
                <w:color w:val="auto"/>
                <w:sz w:val="17"/>
              </w:rPr>
              <w:t>Do temporal and relational features increase useful lead time?</w:t>
            </w:r>
          </w:p>
        </w:tc>
        <w:tc>
          <w:tcPr>
            <w:tcW w:w="3680" w:type="dxa"/>
            <w:vAlign w:val="center"/>
          </w:tcPr>
          <w:p w:rsidR="008E12D0" w:rsidRPr="00F87A7E" w:rsidRDefault="00EB4573">
            <w:pPr>
              <w:spacing w:after="40" w:line="259" w:lineRule="auto"/>
              <w:jc w:val="left"/>
              <w:rPr>
                <w:color w:val="auto"/>
              </w:rPr>
            </w:pPr>
            <w:r w:rsidRPr="00F87A7E">
              <w:rPr>
                <w:rFonts w:eastAsia="Calibri"/>
                <w:color w:val="auto"/>
                <w:sz w:val="17"/>
              </w:rPr>
              <w:t>Earlier median alert without higher false-positive burden.</w:t>
            </w:r>
          </w:p>
        </w:tc>
      </w:tr>
      <w:tr w:rsidR="00F87A7E" w:rsidRPr="00F87A7E">
        <w:tc>
          <w:tcPr>
            <w:tcW w:w="900" w:type="dxa"/>
            <w:vAlign w:val="center"/>
          </w:tcPr>
          <w:p w:rsidR="008E12D0" w:rsidRPr="00F87A7E" w:rsidRDefault="00EB4573">
            <w:pPr>
              <w:spacing w:after="40" w:line="259" w:lineRule="auto"/>
              <w:jc w:val="center"/>
              <w:rPr>
                <w:color w:val="auto"/>
              </w:rPr>
            </w:pPr>
            <w:r w:rsidRPr="00F87A7E">
              <w:rPr>
                <w:rFonts w:eastAsia="Calibri"/>
                <w:b/>
                <w:color w:val="auto"/>
                <w:sz w:val="17"/>
              </w:rPr>
              <w:t>RQ3</w:t>
            </w:r>
          </w:p>
        </w:tc>
        <w:tc>
          <w:tcPr>
            <w:tcW w:w="4780" w:type="dxa"/>
            <w:vAlign w:val="center"/>
          </w:tcPr>
          <w:p w:rsidR="008E12D0" w:rsidRPr="00F87A7E" w:rsidRDefault="00EB4573">
            <w:pPr>
              <w:spacing w:after="40" w:line="259" w:lineRule="auto"/>
              <w:jc w:val="left"/>
              <w:rPr>
                <w:color w:val="auto"/>
              </w:rPr>
            </w:pPr>
            <w:r w:rsidRPr="00F87A7E">
              <w:rPr>
                <w:rFonts w:eastAsia="Calibri"/>
                <w:color w:val="auto"/>
                <w:sz w:val="17"/>
              </w:rPr>
              <w:t>Is quality-aware fusion robust to missing or delayed sources?</w:t>
            </w:r>
          </w:p>
        </w:tc>
        <w:tc>
          <w:tcPr>
            <w:tcW w:w="3680" w:type="dxa"/>
            <w:vAlign w:val="center"/>
          </w:tcPr>
          <w:p w:rsidR="008E12D0" w:rsidRPr="00F87A7E" w:rsidRDefault="00EB4573">
            <w:pPr>
              <w:spacing w:after="40" w:line="259" w:lineRule="auto"/>
              <w:jc w:val="left"/>
              <w:rPr>
                <w:color w:val="auto"/>
              </w:rPr>
            </w:pPr>
            <w:r w:rsidRPr="00F87A7E">
              <w:rPr>
                <w:rFonts w:eastAsia="Calibri"/>
                <w:color w:val="auto"/>
                <w:sz w:val="17"/>
              </w:rPr>
              <w:t>Smaller degradation than naive early or late fusion.</w:t>
            </w:r>
          </w:p>
        </w:tc>
      </w:tr>
      <w:tr w:rsidR="008E12D0" w:rsidRPr="00F87A7E">
        <w:tc>
          <w:tcPr>
            <w:tcW w:w="900" w:type="dxa"/>
            <w:vAlign w:val="center"/>
          </w:tcPr>
          <w:p w:rsidR="008E12D0" w:rsidRPr="00F87A7E" w:rsidRDefault="00EB4573">
            <w:pPr>
              <w:spacing w:after="40" w:line="259" w:lineRule="auto"/>
              <w:jc w:val="center"/>
              <w:rPr>
                <w:color w:val="auto"/>
              </w:rPr>
            </w:pPr>
            <w:r w:rsidRPr="00F87A7E">
              <w:rPr>
                <w:rFonts w:eastAsia="Calibri"/>
                <w:b/>
                <w:color w:val="auto"/>
                <w:sz w:val="17"/>
              </w:rPr>
              <w:t>RQ4</w:t>
            </w:r>
          </w:p>
        </w:tc>
        <w:tc>
          <w:tcPr>
            <w:tcW w:w="4780" w:type="dxa"/>
            <w:vAlign w:val="center"/>
          </w:tcPr>
          <w:p w:rsidR="008E12D0" w:rsidRPr="00F87A7E" w:rsidRDefault="00EB4573">
            <w:pPr>
              <w:spacing w:after="40" w:line="259" w:lineRule="auto"/>
              <w:jc w:val="left"/>
              <w:rPr>
                <w:color w:val="auto"/>
              </w:rPr>
            </w:pPr>
            <w:r w:rsidRPr="00F87A7E">
              <w:rPr>
                <w:rFonts w:eastAsia="Calibri"/>
                <w:color w:val="auto"/>
                <w:sz w:val="17"/>
              </w:rPr>
              <w:t>Are evidence cards sufficiently clear for analyst triage?</w:t>
            </w:r>
          </w:p>
        </w:tc>
        <w:tc>
          <w:tcPr>
            <w:tcW w:w="3680" w:type="dxa"/>
            <w:vAlign w:val="center"/>
          </w:tcPr>
          <w:p w:rsidR="008E12D0" w:rsidRPr="00F87A7E" w:rsidRDefault="00EB4573">
            <w:pPr>
              <w:spacing w:after="40" w:line="259" w:lineRule="auto"/>
              <w:jc w:val="left"/>
              <w:rPr>
                <w:color w:val="auto"/>
              </w:rPr>
            </w:pPr>
            <w:r w:rsidRPr="00F87A7E">
              <w:rPr>
                <w:rFonts w:eastAsia="Calibri"/>
                <w:color w:val="auto"/>
                <w:sz w:val="17"/>
              </w:rPr>
              <w:t>Higher usefulness and traceability ratings than score-only alerts.</w:t>
            </w:r>
          </w:p>
        </w:tc>
      </w:tr>
    </w:tbl>
    <w:p w:rsidR="008E12D0" w:rsidRPr="00F87A7E" w:rsidRDefault="008E12D0">
      <w:pPr>
        <w:spacing w:after="40"/>
        <w:rPr>
          <w:color w:val="auto"/>
        </w:rPr>
      </w:pPr>
    </w:p>
    <w:p w:rsidR="008E12D0" w:rsidRPr="00F87A7E" w:rsidRDefault="00EB4573">
      <w:pPr>
        <w:rPr>
          <w:color w:val="auto"/>
        </w:rPr>
      </w:pPr>
      <w:r w:rsidRPr="00F87A7E">
        <w:rPr>
          <w:color w:val="auto"/>
        </w:rPr>
        <w:t>The scope is limited to digital activity observable in authorised organisational telemetry and to early technical indicators that can be evaluated on labelled scenarios. Physical surveillance, private communication content, clinical or personality assessment, and autonomous employment decisions are excluded. The working hypotheses are that quality-aware fusion will increase PR-AUC and recall at a fixed alert budget; temporal-relational context will improve median lead time; and explicit source masks will reduce degradation when telemetry is unavailable. These hypotheses will be rejected if confidence intervals and paired comparisons do not show a reliable advantage over the strongest baseline.</w:t>
      </w:r>
    </w:p>
    <w:p w:rsidR="008E12D0" w:rsidRPr="00F87A7E" w:rsidRDefault="00EB4573">
      <w:pPr>
        <w:pStyle w:val="Heading2"/>
        <w:rPr>
          <w:color w:val="auto"/>
        </w:rPr>
      </w:pPr>
      <w:r w:rsidRPr="00F87A7E">
        <w:rPr>
          <w:color w:val="auto"/>
        </w:rPr>
        <w:t>1.4 Significance of the Study</w:t>
      </w:r>
    </w:p>
    <w:p w:rsidR="008E12D0" w:rsidRPr="00F87A7E" w:rsidRDefault="00EB4573">
      <w:pPr>
        <w:rPr>
          <w:color w:val="auto"/>
        </w:rPr>
      </w:pPr>
      <w:r w:rsidRPr="00F87A7E">
        <w:rPr>
          <w:color w:val="auto"/>
        </w:rPr>
        <w:t>The scientific value lies in isolating the contribution of correlation itself. Source ablations and controlled comparisons will show whether gains arise from additional evidence, temporal order, graph context or model complexity. A common split policy and rare-event metrics will make the results more reproducible and less vulnerable to optimistic leakage. The study also operationalises evidence quality: timestamps, source coverage and missingness will influence both fusion and uncertainty instead of being hidden during preprocessing.</w:t>
      </w:r>
    </w:p>
    <w:p w:rsidR="008E12D0" w:rsidRPr="00F87A7E" w:rsidRDefault="00EB4573">
      <w:pPr>
        <w:rPr>
          <w:color w:val="auto"/>
        </w:rPr>
      </w:pPr>
      <w:r w:rsidRPr="00F87A7E">
        <w:rPr>
          <w:color w:val="auto"/>
        </w:rPr>
        <w:t>The practical value is an analyst-centred output. Each alert will include the correlated events, affected resources, source contribution, comparison baseline and uncertainty. This can shorten triage while preserving a reviewable chain from score to evidence. The governance value is equally important: the framework will minimise personal data, avoid communication content, prohibit automatic disciplinary action and require independent approval before any organisational telemetry is used. The study therefore connects detection performance with evidential traceability, proportional monitoring and responsible decision support.</w:t>
      </w:r>
    </w:p>
    <w:p w:rsidR="008E12D0" w:rsidRPr="00F87A7E" w:rsidRDefault="00EB4573">
      <w:pPr>
        <w:rPr>
          <w:color w:val="auto"/>
        </w:rPr>
      </w:pPr>
      <w:r w:rsidRPr="00F87A7E">
        <w:rPr>
          <w:color w:val="auto"/>
        </w:rPr>
        <w:lastRenderedPageBreak/>
        <w:t>For researchers, the artefacts will provide a reusable schema, split policy and ablation matrix. For practitioners, the results will show the alert-volume and data-dependency consequences of adding each source. For governance stakeholders, the evidence card and prohibited-use rules will make analytical assumptions visible at the point of review. These contributions are designed to remain useful even if the proposed fusion model does not outperform a simpler comparator.</w:t>
      </w:r>
    </w:p>
    <w:p w:rsidR="008E12D0" w:rsidRPr="00F87A7E" w:rsidRDefault="00EB4573">
      <w:pPr>
        <w:rPr>
          <w:color w:val="auto"/>
        </w:rPr>
      </w:pPr>
      <w:r w:rsidRPr="00F87A7E">
        <w:rPr>
          <w:color w:val="auto"/>
        </w:rPr>
        <w:t>A further contribution is the connection between digital-evidence quality and predictive uncertainty. Most detection pipelines clean records before modelling but do not expose how ambiguous identities, delayed logs or partial coverage affect an alert. By carrying these conditions into the model and evidence card, the study can distinguish a genuinely corroborated pattern from a score built on incomplete observation. This is significant for early warning because precursor evidence is inherently sparse: a cautious, reviewable uncertainty statement is more valuable than an apparently precise score unsupported by traceable records.</w:t>
      </w:r>
    </w:p>
    <w:p w:rsidR="008E12D0" w:rsidRPr="00F87A7E" w:rsidRDefault="00EB4573">
      <w:pPr>
        <w:pStyle w:val="Heading1"/>
        <w:rPr>
          <w:color w:val="auto"/>
        </w:rPr>
      </w:pPr>
      <w:r w:rsidRPr="00F87A7E">
        <w:rPr>
          <w:color w:val="auto"/>
        </w:rPr>
        <w:t>2. Literature Review</w:t>
      </w:r>
    </w:p>
    <w:p w:rsidR="008E12D0" w:rsidRPr="00F87A7E" w:rsidRDefault="00EB4573">
      <w:pPr>
        <w:pStyle w:val="Heading2"/>
        <w:rPr>
          <w:color w:val="auto"/>
        </w:rPr>
      </w:pPr>
      <w:r w:rsidRPr="00F87A7E">
        <w:rPr>
          <w:color w:val="auto"/>
        </w:rPr>
        <w:t>2.1 Purpose and Scope</w:t>
      </w:r>
    </w:p>
    <w:p w:rsidR="008E12D0" w:rsidRPr="00F87A7E" w:rsidRDefault="00EB4573">
      <w:pPr>
        <w:rPr>
          <w:color w:val="auto"/>
        </w:rPr>
      </w:pPr>
      <w:r w:rsidRPr="00F87A7E">
        <w:rPr>
          <w:color w:val="auto"/>
        </w:rPr>
        <w:t>This review examines research published mainly from 2021 to 2026 on behavioural, temporal, graph-based and explainable insider-threat detection. Older sources are retained only where they establish the CERT synthetic benchmark or evidence-handling principles. The literature is organised thematically to compare what each analytical family observes, how it combines sources and how it evaluates rare events.</w:t>
      </w:r>
    </w:p>
    <w:p w:rsidR="008E12D0" w:rsidRPr="00F87A7E" w:rsidRDefault="00EB4573">
      <w:pPr>
        <w:rPr>
          <w:color w:val="auto"/>
        </w:rPr>
      </w:pPr>
      <w:r w:rsidRPr="00F87A7E">
        <w:rPr>
          <w:color w:val="auto"/>
        </w:rPr>
        <w:t>The review distinguishes event detection from risk assessment. Event detection identifies an unusual action, whereas risk assessment combines events and context over time to prioritise a user or entity for review. It also separates feature-level fusion, where attributes are concatenated before modelling, from score-level fusion, where independent detectors are combined. This distinction is important because the latter can preserve source provenance and continue operating when one stream is unavailable.</w:t>
      </w:r>
    </w:p>
    <w:p w:rsidR="008E12D0" w:rsidRPr="00F87A7E" w:rsidRDefault="00EB4573">
      <w:pPr>
        <w:pStyle w:val="Heading2"/>
        <w:rPr>
          <w:color w:val="auto"/>
        </w:rPr>
      </w:pPr>
      <w:r w:rsidRPr="00F87A7E">
        <w:rPr>
          <w:color w:val="auto"/>
        </w:rPr>
        <w:t>2.2 Behavioural and Temporal Detection</w:t>
      </w:r>
    </w:p>
    <w:p w:rsidR="008E12D0" w:rsidRPr="00F87A7E" w:rsidRDefault="00EB4573">
      <w:pPr>
        <w:rPr>
          <w:color w:val="auto"/>
        </w:rPr>
      </w:pPr>
      <w:r w:rsidRPr="00F87A7E">
        <w:rPr>
          <w:color w:val="auto"/>
        </w:rPr>
        <w:t>Behavioural approaches model deviation from a user's history or peer group. Yuan and Wu's review identifies deep learning as useful for complex patterns but highlights data scarcity, imbalance, interpretability and generalisation as persistent constraints [3]. Alzaabi and Mehmood reach a similar conclusion in a 2024 review: machine-learning performance is often promising, yet deployment requires better feature representation, realistic evaluation and protection against changing behaviour [4]. These findings support a semi-supervised design trained primarily on benign activity rather than assuming abundant malicious labels.</w:t>
      </w:r>
    </w:p>
    <w:p w:rsidR="008E12D0" w:rsidRPr="00F87A7E" w:rsidRDefault="00EB4573">
      <w:pPr>
        <w:rPr>
          <w:color w:val="auto"/>
        </w:rPr>
      </w:pPr>
      <w:r w:rsidRPr="00F87A7E">
        <w:rPr>
          <w:color w:val="auto"/>
        </w:rPr>
        <w:lastRenderedPageBreak/>
        <w:t>Recent sequence models demonstrate the value of time. Xiao et al. combine statistical and sequential analysis to capture complementary properties of user activity [5]. BRITD encodes absolute and relative time and learns user-specific behavioural rhythms [6], while the 2026 BTITD model separates behaviour and timestamp streams [7]. Manoharan et al. use BiLSTM-based sequential features to predict future malicious behaviour from preceding daily records [8]. Collectively, these studies show that ordering and rhythm can reveal gradual escalation. However, a sequence of aggregate daily vectors may still hide which systems supplied the evidence and whether a missing source produced the deviation.</w:t>
      </w:r>
    </w:p>
    <w:p w:rsidR="008E12D0" w:rsidRPr="00F87A7E" w:rsidRDefault="00EB4573">
      <w:pPr>
        <w:pStyle w:val="Heading2"/>
        <w:rPr>
          <w:color w:val="auto"/>
        </w:rPr>
      </w:pPr>
      <w:r w:rsidRPr="00F87A7E">
        <w:rPr>
          <w:color w:val="auto"/>
        </w:rPr>
        <w:t>2.3 Multi-Source and Graph Correlation</w:t>
      </w:r>
    </w:p>
    <w:p w:rsidR="008E12D0" w:rsidRPr="00F87A7E" w:rsidRDefault="00EB4573">
      <w:pPr>
        <w:rPr>
          <w:color w:val="auto"/>
        </w:rPr>
      </w:pPr>
      <w:r w:rsidRPr="00F87A7E">
        <w:rPr>
          <w:color w:val="auto"/>
        </w:rPr>
        <w:t>Graph methods represent users, devices, resources and events as connected entities. Gong et al.'s 2024 survey classifies graph-based insider detection by data collection, graph construction and anomaly detection, and identifies scalability and real-world feasibility as open issues [9]. Hong et al. construct daily-activity graphs to capture relations that flat vectors overlook [10]. GraphCH extends the representation toward cyber-human factors, showing the potential value of heterogeneous context [11]. These methods provide a natural structure for linking evidence, but they can become difficult to audit if entity resolution and edge semantics are not explicit.</w:t>
      </w:r>
    </w:p>
    <w:p w:rsidR="008E12D0" w:rsidRPr="00F87A7E" w:rsidRDefault="00EB4573">
      <w:pPr>
        <w:rPr>
          <w:color w:val="auto"/>
        </w:rPr>
      </w:pPr>
      <w:r w:rsidRPr="00F87A7E">
        <w:rPr>
          <w:color w:val="auto"/>
        </w:rPr>
        <w:t>Other work broadens the evidence types or fusion mechanism. Fei et al. analyse log text to derive semantic evidence that fixed counters may miss [12]. DTITD combines a digital-twin concept with self-attention to model multiple behavioural dimensions [13]. Unsupervised ensembles can reduce dependence on a single detector by combining diverse anomaly views [14]. These studies justify hybrid fusion, but more inputs do not automatically create stronger evidence. Correlation must account for clock alignment, duplicated events, role context, source reliability and unavailable telemetry. The proposed framework therefore keeps a provenance record for every feature and passes a source-availability mask into the fusion stage.</w:t>
      </w:r>
    </w:p>
    <w:p w:rsidR="008E12D0" w:rsidRPr="00F87A7E" w:rsidRDefault="00EB4573">
      <w:pPr>
        <w:pStyle w:val="Heading2"/>
        <w:rPr>
          <w:color w:val="auto"/>
        </w:rPr>
      </w:pPr>
      <w:r w:rsidRPr="00F87A7E">
        <w:rPr>
          <w:color w:val="auto"/>
        </w:rPr>
        <w:t>2.4 Imbalance, Evaluation and Explainability</w:t>
      </w:r>
    </w:p>
    <w:p w:rsidR="008E12D0" w:rsidRPr="00F87A7E" w:rsidRDefault="00EB4573">
      <w:pPr>
        <w:rPr>
          <w:color w:val="auto"/>
        </w:rPr>
      </w:pPr>
      <w:r w:rsidRPr="00F87A7E">
        <w:rPr>
          <w:color w:val="auto"/>
        </w:rPr>
        <w:t>Insider incidents are far rarer than normal user-days, so accuracy can remain high when a model misses the events of interest. Jaiswal et al. specifically examine imbalance handling and demonstrate that sampling and modelling choices materially affect results [15]. LSTM anomaly detection has also been evaluated as a way to learn normal sequential behaviour and rank deviations [16]. For operational comparison, PR-AUC, recall at a fixed alert budget and false positives per 1,000 user-days are more informative than accuracy alone. Calibration is required because an analyst must distinguish a relative ranking from a probability-like score, and cross-release validation is needed to expose overfitting to one synthetic population.</w:t>
      </w:r>
    </w:p>
    <w:p w:rsidR="008E12D0" w:rsidRPr="00F87A7E" w:rsidRDefault="00EB4573">
      <w:pPr>
        <w:rPr>
          <w:color w:val="auto"/>
        </w:rPr>
      </w:pPr>
      <w:r w:rsidRPr="00F87A7E">
        <w:rPr>
          <w:color w:val="auto"/>
        </w:rPr>
        <w:lastRenderedPageBreak/>
        <w:t>Explainability is not an optional visual layer. Alketbi and Mehmood's 2025 survey shows growing use of feature attribution and local explanations in malicious-insider detection, but also identifies unresolved questions about fidelity, stability and human usefulness [17]. A feature-importance chart can be misleading if it omits the event sequence or source coverage. The proposed evidence card will therefore combine ranked feature contributions with the underlying timeline, resource sensitivity, peer comparison, source availability and explicit uncertainty. A small expert review will evaluate traceability and triage usefulness, not whether an explanation merely looks plausible.</w:t>
      </w:r>
    </w:p>
    <w:p w:rsidR="008E12D0" w:rsidRPr="00F87A7E" w:rsidRDefault="00EB4573">
      <w:pPr>
        <w:rPr>
          <w:color w:val="auto"/>
        </w:rPr>
      </w:pPr>
      <w:r w:rsidRPr="00F87A7E">
        <w:rPr>
          <w:color w:val="auto"/>
        </w:rPr>
        <w:t>Evaluation design is therefore part of the research contribution. Random event splits can place the same user's adjacent days in training and test data, allowing the model to learn a personal signature rather than a transferable threat pattern. Oversampling before the split can create similar contamination. Chronological grouping, training-only preprocessing and an untouched test period are necessary to estimate deployment performance. Reporting the full threshold-to-workload relationship also prevents a favourable metric from hiding an impractical number of investigations.</w:t>
      </w:r>
    </w:p>
    <w:p w:rsidR="008E12D0" w:rsidRPr="00F87A7E" w:rsidRDefault="00EB4573">
      <w:pPr>
        <w:pStyle w:val="Heading2"/>
        <w:rPr>
          <w:color w:val="auto"/>
        </w:rPr>
      </w:pPr>
      <w:r w:rsidRPr="00F87A7E">
        <w:rPr>
          <w:color w:val="auto"/>
        </w:rPr>
        <w:t>2.5 Synthesis and Research Gap</w:t>
      </w:r>
    </w:p>
    <w:p w:rsidR="008E12D0" w:rsidRPr="00F87A7E" w:rsidRDefault="00EB4573">
      <w:pPr>
        <w:rPr>
          <w:color w:val="auto"/>
        </w:rPr>
      </w:pPr>
      <w:r w:rsidRPr="00F87A7E">
        <w:rPr>
          <w:color w:val="auto"/>
        </w:rPr>
        <w:t>The literature establishes four points: temporal behaviour matters; graph relations add context; rare-event evaluation requires more than accuracy; and explanations must support accountable human review. Scenario-specific research also indicates that performance varies with the type and stage of insider activity [18]. Yet these strands are commonly evaluated in isolation. Few studies compare single-source, naive fusion and quality-aware correlation with identical splits, alert budgets and lead-time definitions while retaining source-level provenance.</w:t>
      </w:r>
    </w:p>
    <w:p w:rsidR="008E12D0" w:rsidRPr="00F87A7E" w:rsidRDefault="00EB4573">
      <w:pPr>
        <w:rPr>
          <w:color w:val="auto"/>
        </w:rPr>
      </w:pPr>
      <w:r w:rsidRPr="00F87A7E">
        <w:rPr>
          <w:color w:val="auto"/>
        </w:rPr>
        <w:t>This proposal addresses that gap through a common evidence pipeline and controlled ablation design. It does not assume that the most complex architecture will win. Instead, it tests when correlation helps, how it fails when sources disappear, whether a detected pattern precedes a terminal act, and whether analysts can trace the result back to evidence.</w:t>
      </w:r>
    </w:p>
    <w:p w:rsidR="008E12D0" w:rsidRPr="00F87A7E" w:rsidRDefault="00EB4573">
      <w:pPr>
        <w:rPr>
          <w:color w:val="auto"/>
        </w:rPr>
      </w:pPr>
      <w:r w:rsidRPr="00F87A7E">
        <w:rPr>
          <w:color w:val="auto"/>
        </w:rPr>
        <w:t>The resulting conceptual position is that insider risk is not a property of one event. It is a time-bounded inference supported by converging observations, conditioned on expected role behaviour and limited by evidence quality. This position directly informs the proposed architecture: source-specific representations preserve local meaning, temporal and graph features encode relationships, and a calibrated fusion stage combines only the evidence available at the decision time.</w:t>
      </w:r>
    </w:p>
    <w:p w:rsidR="008E12D0" w:rsidRPr="00F87A7E" w:rsidRDefault="00EB4573">
      <w:pPr>
        <w:pStyle w:val="Heading1"/>
        <w:rPr>
          <w:color w:val="auto"/>
        </w:rPr>
      </w:pPr>
      <w:r w:rsidRPr="00F87A7E">
        <w:rPr>
          <w:color w:val="auto"/>
        </w:rPr>
        <w:lastRenderedPageBreak/>
        <w:t>3. Research Design and Methodology</w:t>
      </w:r>
    </w:p>
    <w:p w:rsidR="008E12D0" w:rsidRPr="00F87A7E" w:rsidRDefault="00EB4573">
      <w:pPr>
        <w:pStyle w:val="Heading2"/>
        <w:rPr>
          <w:color w:val="auto"/>
        </w:rPr>
      </w:pPr>
      <w:r w:rsidRPr="00F87A7E">
        <w:rPr>
          <w:color w:val="auto"/>
        </w:rPr>
        <w:t>3.1 Research Design</w:t>
      </w:r>
    </w:p>
    <w:p w:rsidR="008E12D0" w:rsidRPr="00F87A7E" w:rsidRDefault="00EB4573">
      <w:pPr>
        <w:rPr>
          <w:color w:val="auto"/>
        </w:rPr>
      </w:pPr>
      <w:r w:rsidRPr="00F87A7E">
        <w:rPr>
          <w:color w:val="auto"/>
        </w:rPr>
        <w:t>The study will use a quantitative design-science strategy. Design science is appropriate because the research produces and evaluates an artefact: a canonical evidence model, correlation pipeline, fusion method and analyst evidence card. Controlled experiments will answer RQ1-RQ3, while a structured expert review will address RQ4. The primary unit of analysis is a user-day because CERT scenarios and prior sequence studies support daily behavioural aggregation; event-level timestamps remain available for ordering and explanation.</w:t>
      </w:r>
    </w:p>
    <w:p w:rsidR="008E12D0" w:rsidRPr="00F87A7E" w:rsidRDefault="00EB4573">
      <w:pPr>
        <w:rPr>
          <w:color w:val="auto"/>
        </w:rPr>
      </w:pPr>
      <w:r w:rsidRPr="00F87A7E">
        <w:rPr>
          <w:color w:val="auto"/>
        </w:rPr>
        <w:t>The primary benchmark will be at least two Carnegie Mellon CERT synthetic insider-threat releases. The dataset was created to address the scarcity and sensitivity of real insider data and contains coordinated logon, device, file, web, email and organisational context [19]. One release will support development and internal testing; a second will provide cross-release transfer. Any real or laboratory trace will be optional and used only after ethics approval, data-owner permission and documented de-identification.</w:t>
      </w:r>
    </w:p>
    <w:p w:rsidR="008E12D0" w:rsidRPr="00F87A7E" w:rsidRDefault="00EB4573">
      <w:pPr>
        <w:pStyle w:val="Heading2"/>
        <w:rPr>
          <w:color w:val="auto"/>
        </w:rPr>
      </w:pPr>
      <w:r w:rsidRPr="00F87A7E">
        <w:rPr>
          <w:color w:val="auto"/>
        </w:rPr>
        <w:t>3.2 Methods and Materials</w:t>
      </w:r>
    </w:p>
    <w:p w:rsidR="008E12D0" w:rsidRPr="00F87A7E" w:rsidRDefault="00EB4573">
      <w:pPr>
        <w:pStyle w:val="Caption"/>
        <w:jc w:val="center"/>
        <w:rPr>
          <w:color w:val="auto"/>
        </w:rPr>
      </w:pPr>
      <w:r w:rsidRPr="00F87A7E">
        <w:rPr>
          <w:rFonts w:eastAsia="Calibri"/>
          <w:color w:val="auto"/>
        </w:rPr>
        <w:t>Table 2. Data sources and analytical roles.</w:t>
      </w:r>
    </w:p>
    <w:tbl>
      <w:tblPr>
        <w:tblW w:w="9360" w:type="dxa"/>
        <w:tblInd w:w="120" w:type="dxa"/>
        <w:tblBorders>
          <w:top w:val="single" w:sz="4" w:space="0" w:color="B8C2CC"/>
          <w:left w:val="single" w:sz="4" w:space="0" w:color="B8C2CC"/>
          <w:bottom w:val="single" w:sz="4" w:space="0" w:color="B8C2CC"/>
          <w:right w:val="single" w:sz="4" w:space="0" w:color="B8C2CC"/>
          <w:insideH w:val="single" w:sz="4" w:space="0" w:color="B8C2CC"/>
          <w:insideV w:val="single" w:sz="4" w:space="0" w:color="B8C2CC"/>
        </w:tblBorders>
        <w:tblLayout w:type="fixed"/>
        <w:tblCellMar>
          <w:top w:w="90" w:type="dxa"/>
          <w:left w:w="120" w:type="dxa"/>
          <w:bottom w:w="90" w:type="dxa"/>
          <w:right w:w="120" w:type="dxa"/>
        </w:tblCellMar>
        <w:tblLook w:val="04A0" w:firstRow="1" w:lastRow="0" w:firstColumn="1" w:lastColumn="0" w:noHBand="0" w:noVBand="1"/>
      </w:tblPr>
      <w:tblGrid>
        <w:gridCol w:w="2250"/>
        <w:gridCol w:w="3700"/>
        <w:gridCol w:w="3410"/>
      </w:tblGrid>
      <w:tr w:rsidR="00F87A7E" w:rsidRPr="00F87A7E">
        <w:trPr>
          <w:tblHeader/>
        </w:trPr>
        <w:tc>
          <w:tcPr>
            <w:tcW w:w="225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7"/>
              </w:rPr>
              <w:t>Source</w:t>
            </w:r>
          </w:p>
        </w:tc>
        <w:tc>
          <w:tcPr>
            <w:tcW w:w="370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7"/>
              </w:rPr>
              <w:t>Representative fields</w:t>
            </w:r>
          </w:p>
        </w:tc>
        <w:tc>
          <w:tcPr>
            <w:tcW w:w="341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7"/>
              </w:rPr>
              <w:t>Analytical role</w:t>
            </w:r>
          </w:p>
        </w:tc>
      </w:tr>
      <w:tr w:rsidR="00F87A7E" w:rsidRPr="00F87A7E">
        <w:tc>
          <w:tcPr>
            <w:tcW w:w="2250" w:type="dxa"/>
            <w:vAlign w:val="center"/>
          </w:tcPr>
          <w:p w:rsidR="008E12D0" w:rsidRPr="00F87A7E" w:rsidRDefault="00EB4573">
            <w:pPr>
              <w:spacing w:after="40" w:line="259" w:lineRule="auto"/>
              <w:jc w:val="left"/>
              <w:rPr>
                <w:color w:val="auto"/>
              </w:rPr>
            </w:pPr>
            <w:r w:rsidRPr="00F87A7E">
              <w:rPr>
                <w:rFonts w:eastAsia="Calibri"/>
                <w:b/>
                <w:color w:val="auto"/>
                <w:sz w:val="17"/>
              </w:rPr>
              <w:t>Identity/authentication</w:t>
            </w:r>
          </w:p>
        </w:tc>
        <w:tc>
          <w:tcPr>
            <w:tcW w:w="3700" w:type="dxa"/>
            <w:vAlign w:val="center"/>
          </w:tcPr>
          <w:p w:rsidR="008E12D0" w:rsidRPr="00F87A7E" w:rsidRDefault="00EB4573">
            <w:pPr>
              <w:spacing w:after="40" w:line="259" w:lineRule="auto"/>
              <w:jc w:val="left"/>
              <w:rPr>
                <w:color w:val="auto"/>
              </w:rPr>
            </w:pPr>
            <w:r w:rsidRPr="00F87A7E">
              <w:rPr>
                <w:rFonts w:eastAsia="Calibri"/>
                <w:color w:val="auto"/>
                <w:sz w:val="17"/>
              </w:rPr>
              <w:t>user, device, time, success, remote/local</w:t>
            </w:r>
          </w:p>
        </w:tc>
        <w:tc>
          <w:tcPr>
            <w:tcW w:w="3410" w:type="dxa"/>
            <w:vAlign w:val="center"/>
          </w:tcPr>
          <w:p w:rsidR="008E12D0" w:rsidRPr="00F87A7E" w:rsidRDefault="00EB4573">
            <w:pPr>
              <w:spacing w:after="40" w:line="259" w:lineRule="auto"/>
              <w:jc w:val="left"/>
              <w:rPr>
                <w:color w:val="auto"/>
              </w:rPr>
            </w:pPr>
            <w:r w:rsidRPr="00F87A7E">
              <w:rPr>
                <w:rFonts w:eastAsia="Calibri"/>
                <w:color w:val="auto"/>
                <w:sz w:val="17"/>
              </w:rPr>
              <w:t>Session boundaries; unusual access time or host</w:t>
            </w:r>
          </w:p>
        </w:tc>
      </w:tr>
      <w:tr w:rsidR="00F87A7E" w:rsidRPr="00F87A7E">
        <w:tc>
          <w:tcPr>
            <w:tcW w:w="2250" w:type="dxa"/>
            <w:vAlign w:val="center"/>
          </w:tcPr>
          <w:p w:rsidR="008E12D0" w:rsidRPr="00F87A7E" w:rsidRDefault="00EB4573">
            <w:pPr>
              <w:spacing w:after="40" w:line="259" w:lineRule="auto"/>
              <w:jc w:val="left"/>
              <w:rPr>
                <w:color w:val="auto"/>
              </w:rPr>
            </w:pPr>
            <w:r w:rsidRPr="00F87A7E">
              <w:rPr>
                <w:rFonts w:eastAsia="Calibri"/>
                <w:b/>
                <w:color w:val="auto"/>
                <w:sz w:val="17"/>
              </w:rPr>
              <w:t>Endpoint/device</w:t>
            </w:r>
          </w:p>
        </w:tc>
        <w:tc>
          <w:tcPr>
            <w:tcW w:w="3700" w:type="dxa"/>
            <w:vAlign w:val="center"/>
          </w:tcPr>
          <w:p w:rsidR="008E12D0" w:rsidRPr="00F87A7E" w:rsidRDefault="00EB4573">
            <w:pPr>
              <w:spacing w:after="40" w:line="259" w:lineRule="auto"/>
              <w:jc w:val="left"/>
              <w:rPr>
                <w:color w:val="auto"/>
              </w:rPr>
            </w:pPr>
            <w:r w:rsidRPr="00F87A7E">
              <w:rPr>
                <w:rFonts w:eastAsia="Calibri"/>
                <w:color w:val="auto"/>
                <w:sz w:val="17"/>
              </w:rPr>
              <w:t>USB/removable media, process or endpoint event</w:t>
            </w:r>
          </w:p>
        </w:tc>
        <w:tc>
          <w:tcPr>
            <w:tcW w:w="3410" w:type="dxa"/>
            <w:vAlign w:val="center"/>
          </w:tcPr>
          <w:p w:rsidR="008E12D0" w:rsidRPr="00F87A7E" w:rsidRDefault="00EB4573">
            <w:pPr>
              <w:spacing w:after="40" w:line="259" w:lineRule="auto"/>
              <w:jc w:val="left"/>
              <w:rPr>
                <w:color w:val="auto"/>
              </w:rPr>
            </w:pPr>
            <w:r w:rsidRPr="00F87A7E">
              <w:rPr>
                <w:rFonts w:eastAsia="Calibri"/>
                <w:color w:val="auto"/>
                <w:sz w:val="17"/>
              </w:rPr>
              <w:t>Transfer opportunity; endpoint deviation</w:t>
            </w:r>
          </w:p>
        </w:tc>
      </w:tr>
      <w:tr w:rsidR="00F87A7E" w:rsidRPr="00F87A7E">
        <w:tc>
          <w:tcPr>
            <w:tcW w:w="2250" w:type="dxa"/>
            <w:vAlign w:val="center"/>
          </w:tcPr>
          <w:p w:rsidR="008E12D0" w:rsidRPr="00F87A7E" w:rsidRDefault="00EB4573">
            <w:pPr>
              <w:spacing w:after="40" w:line="259" w:lineRule="auto"/>
              <w:jc w:val="left"/>
              <w:rPr>
                <w:color w:val="auto"/>
              </w:rPr>
            </w:pPr>
            <w:r w:rsidRPr="00F87A7E">
              <w:rPr>
                <w:rFonts w:eastAsia="Calibri"/>
                <w:b/>
                <w:color w:val="auto"/>
                <w:sz w:val="17"/>
              </w:rPr>
              <w:t>File/data access</w:t>
            </w:r>
          </w:p>
        </w:tc>
        <w:tc>
          <w:tcPr>
            <w:tcW w:w="3700" w:type="dxa"/>
            <w:vAlign w:val="center"/>
          </w:tcPr>
          <w:p w:rsidR="008E12D0" w:rsidRPr="00F87A7E" w:rsidRDefault="00EB4573">
            <w:pPr>
              <w:spacing w:after="40" w:line="259" w:lineRule="auto"/>
              <w:jc w:val="left"/>
              <w:rPr>
                <w:color w:val="auto"/>
              </w:rPr>
            </w:pPr>
            <w:r w:rsidRPr="00F87A7E">
              <w:rPr>
                <w:rFonts w:eastAsia="Calibri"/>
                <w:color w:val="auto"/>
                <w:sz w:val="17"/>
              </w:rPr>
              <w:t>resource, action, count/volume, sensitivity proxy</w:t>
            </w:r>
          </w:p>
        </w:tc>
        <w:tc>
          <w:tcPr>
            <w:tcW w:w="3410" w:type="dxa"/>
            <w:vAlign w:val="center"/>
          </w:tcPr>
          <w:p w:rsidR="008E12D0" w:rsidRPr="00F87A7E" w:rsidRDefault="00EB4573">
            <w:pPr>
              <w:spacing w:after="40" w:line="259" w:lineRule="auto"/>
              <w:jc w:val="left"/>
              <w:rPr>
                <w:color w:val="auto"/>
              </w:rPr>
            </w:pPr>
            <w:r w:rsidRPr="00F87A7E">
              <w:rPr>
                <w:rFonts w:eastAsia="Calibri"/>
                <w:color w:val="auto"/>
                <w:sz w:val="17"/>
              </w:rPr>
              <w:t>Bulk or atypical access; resource sequence</w:t>
            </w:r>
          </w:p>
        </w:tc>
      </w:tr>
      <w:tr w:rsidR="00F87A7E" w:rsidRPr="00F87A7E">
        <w:tc>
          <w:tcPr>
            <w:tcW w:w="2250" w:type="dxa"/>
            <w:vAlign w:val="center"/>
          </w:tcPr>
          <w:p w:rsidR="008E12D0" w:rsidRPr="00F87A7E" w:rsidRDefault="00EB4573">
            <w:pPr>
              <w:spacing w:after="40" w:line="259" w:lineRule="auto"/>
              <w:jc w:val="left"/>
              <w:rPr>
                <w:color w:val="auto"/>
              </w:rPr>
            </w:pPr>
            <w:r w:rsidRPr="00F87A7E">
              <w:rPr>
                <w:rFonts w:eastAsia="Calibri"/>
                <w:b/>
                <w:color w:val="auto"/>
                <w:sz w:val="17"/>
              </w:rPr>
              <w:t>Network/web</w:t>
            </w:r>
          </w:p>
        </w:tc>
        <w:tc>
          <w:tcPr>
            <w:tcW w:w="3700" w:type="dxa"/>
            <w:vAlign w:val="center"/>
          </w:tcPr>
          <w:p w:rsidR="008E12D0" w:rsidRPr="00F87A7E" w:rsidRDefault="00EB4573">
            <w:pPr>
              <w:spacing w:after="40" w:line="259" w:lineRule="auto"/>
              <w:jc w:val="left"/>
              <w:rPr>
                <w:color w:val="auto"/>
              </w:rPr>
            </w:pPr>
            <w:r w:rsidRPr="00F87A7E">
              <w:rPr>
                <w:rFonts w:eastAsia="Calibri"/>
                <w:color w:val="auto"/>
                <w:sz w:val="17"/>
              </w:rPr>
              <w:t>destination category, upload/download, time</w:t>
            </w:r>
          </w:p>
        </w:tc>
        <w:tc>
          <w:tcPr>
            <w:tcW w:w="3410" w:type="dxa"/>
            <w:vAlign w:val="center"/>
          </w:tcPr>
          <w:p w:rsidR="008E12D0" w:rsidRPr="00F87A7E" w:rsidRDefault="00EB4573">
            <w:pPr>
              <w:spacing w:after="40" w:line="259" w:lineRule="auto"/>
              <w:jc w:val="left"/>
              <w:rPr>
                <w:color w:val="auto"/>
              </w:rPr>
            </w:pPr>
            <w:r w:rsidRPr="00F87A7E">
              <w:rPr>
                <w:rFonts w:eastAsia="Calibri"/>
                <w:color w:val="auto"/>
                <w:sz w:val="17"/>
              </w:rPr>
              <w:t>External interaction and volume deviation</w:t>
            </w:r>
          </w:p>
        </w:tc>
      </w:tr>
      <w:tr w:rsidR="00F87A7E" w:rsidRPr="00F87A7E">
        <w:tc>
          <w:tcPr>
            <w:tcW w:w="2250" w:type="dxa"/>
            <w:vAlign w:val="center"/>
          </w:tcPr>
          <w:p w:rsidR="008E12D0" w:rsidRPr="00F87A7E" w:rsidRDefault="00EB4573">
            <w:pPr>
              <w:spacing w:after="40" w:line="259" w:lineRule="auto"/>
              <w:jc w:val="left"/>
              <w:rPr>
                <w:color w:val="auto"/>
              </w:rPr>
            </w:pPr>
            <w:r w:rsidRPr="00F87A7E">
              <w:rPr>
                <w:rFonts w:eastAsia="Calibri"/>
                <w:b/>
                <w:color w:val="auto"/>
                <w:sz w:val="17"/>
              </w:rPr>
              <w:t>Communication metadata</w:t>
            </w:r>
          </w:p>
        </w:tc>
        <w:tc>
          <w:tcPr>
            <w:tcW w:w="3700" w:type="dxa"/>
            <w:vAlign w:val="center"/>
          </w:tcPr>
          <w:p w:rsidR="008E12D0" w:rsidRPr="00F87A7E" w:rsidRDefault="00EB4573">
            <w:pPr>
              <w:spacing w:after="40" w:line="259" w:lineRule="auto"/>
              <w:jc w:val="left"/>
              <w:rPr>
                <w:color w:val="auto"/>
              </w:rPr>
            </w:pPr>
            <w:r w:rsidRPr="00F87A7E">
              <w:rPr>
                <w:rFonts w:eastAsia="Calibri"/>
                <w:color w:val="auto"/>
                <w:sz w:val="17"/>
              </w:rPr>
              <w:t>sender/recipient domain, time, attachment indicator</w:t>
            </w:r>
          </w:p>
        </w:tc>
        <w:tc>
          <w:tcPr>
            <w:tcW w:w="3410" w:type="dxa"/>
            <w:vAlign w:val="center"/>
          </w:tcPr>
          <w:p w:rsidR="008E12D0" w:rsidRPr="00F87A7E" w:rsidRDefault="00EB4573">
            <w:pPr>
              <w:spacing w:after="40" w:line="259" w:lineRule="auto"/>
              <w:jc w:val="left"/>
              <w:rPr>
                <w:color w:val="auto"/>
              </w:rPr>
            </w:pPr>
            <w:r w:rsidRPr="00F87A7E">
              <w:rPr>
                <w:rFonts w:eastAsia="Calibri"/>
                <w:color w:val="auto"/>
                <w:sz w:val="17"/>
              </w:rPr>
              <w:t>Contact pattern; externalisation signal</w:t>
            </w:r>
          </w:p>
        </w:tc>
      </w:tr>
      <w:tr w:rsidR="008E12D0" w:rsidRPr="00F87A7E">
        <w:tc>
          <w:tcPr>
            <w:tcW w:w="2250" w:type="dxa"/>
            <w:vAlign w:val="center"/>
          </w:tcPr>
          <w:p w:rsidR="008E12D0" w:rsidRPr="00F87A7E" w:rsidRDefault="00EB4573">
            <w:pPr>
              <w:spacing w:after="40" w:line="259" w:lineRule="auto"/>
              <w:jc w:val="left"/>
              <w:rPr>
                <w:color w:val="auto"/>
              </w:rPr>
            </w:pPr>
            <w:r w:rsidRPr="00F87A7E">
              <w:rPr>
                <w:rFonts w:eastAsia="Calibri"/>
                <w:b/>
                <w:color w:val="auto"/>
                <w:sz w:val="17"/>
              </w:rPr>
              <w:t>Role/peer context</w:t>
            </w:r>
          </w:p>
        </w:tc>
        <w:tc>
          <w:tcPr>
            <w:tcW w:w="3700" w:type="dxa"/>
            <w:vAlign w:val="center"/>
          </w:tcPr>
          <w:p w:rsidR="008E12D0" w:rsidRPr="00F87A7E" w:rsidRDefault="00EB4573">
            <w:pPr>
              <w:spacing w:after="40" w:line="259" w:lineRule="auto"/>
              <w:jc w:val="left"/>
              <w:rPr>
                <w:color w:val="auto"/>
              </w:rPr>
            </w:pPr>
            <w:r w:rsidRPr="00F87A7E">
              <w:rPr>
                <w:rFonts w:eastAsia="Calibri"/>
                <w:color w:val="auto"/>
                <w:sz w:val="17"/>
              </w:rPr>
              <w:t>role, team, employment status, peer group</w:t>
            </w:r>
          </w:p>
        </w:tc>
        <w:tc>
          <w:tcPr>
            <w:tcW w:w="3410" w:type="dxa"/>
            <w:vAlign w:val="center"/>
          </w:tcPr>
          <w:p w:rsidR="008E12D0" w:rsidRPr="00F87A7E" w:rsidRDefault="00EB4573">
            <w:pPr>
              <w:spacing w:after="40" w:line="259" w:lineRule="auto"/>
              <w:jc w:val="left"/>
              <w:rPr>
                <w:color w:val="auto"/>
              </w:rPr>
            </w:pPr>
            <w:r w:rsidRPr="00F87A7E">
              <w:rPr>
                <w:rFonts w:eastAsia="Calibri"/>
                <w:color w:val="auto"/>
                <w:sz w:val="17"/>
              </w:rPr>
              <w:t>Expected access; peer baseline; change context</w:t>
            </w:r>
          </w:p>
        </w:tc>
      </w:tr>
    </w:tbl>
    <w:p w:rsidR="008E12D0" w:rsidRPr="00F87A7E" w:rsidRDefault="008E12D0">
      <w:pPr>
        <w:spacing w:after="40"/>
        <w:rPr>
          <w:color w:val="auto"/>
        </w:rPr>
      </w:pPr>
    </w:p>
    <w:p w:rsidR="008E12D0" w:rsidRPr="00F87A7E" w:rsidRDefault="00EB4573">
      <w:pPr>
        <w:rPr>
          <w:color w:val="auto"/>
        </w:rPr>
      </w:pPr>
      <w:r w:rsidRPr="00F87A7E">
        <w:rPr>
          <w:color w:val="auto"/>
        </w:rPr>
        <w:t>Software will include Python, pandas, scikit-learn, PyTorch or PyTorch Geometric, SHAP, MLflow and Git. Experiments will run on a workstation with at least 16 GB RAM; a CUDA-capable GPU is desirable for sequence or graph models but is not essential for tree and ensemble baselines. All environments, random seeds, configurations and data hashes will be recorded. No proprietary platform is required.</w:t>
      </w:r>
    </w:p>
    <w:p w:rsidR="008E12D0" w:rsidRPr="00F87A7E" w:rsidRDefault="00EB4573">
      <w:pPr>
        <w:pStyle w:val="Heading2"/>
        <w:rPr>
          <w:color w:val="auto"/>
        </w:rPr>
      </w:pPr>
      <w:r w:rsidRPr="00F87A7E">
        <w:rPr>
          <w:color w:val="auto"/>
        </w:rPr>
        <w:lastRenderedPageBreak/>
        <w:t>3.3 Data Preparation and Evidence Correlation</w:t>
      </w:r>
    </w:p>
    <w:p w:rsidR="008E12D0" w:rsidRPr="00F87A7E" w:rsidRDefault="00EB4573">
      <w:pPr>
        <w:pStyle w:val="ListParagraph"/>
        <w:numPr>
          <w:ilvl w:val="0"/>
          <w:numId w:val="11"/>
        </w:numPr>
        <w:rPr>
          <w:color w:val="auto"/>
        </w:rPr>
      </w:pPr>
      <w:r w:rsidRPr="00F87A7E">
        <w:rPr>
          <w:color w:val="auto"/>
        </w:rPr>
        <w:t>Acquire approved CERT releases, verify file hashes, document licensing and create an immutable raw-data manifest.</w:t>
      </w:r>
    </w:p>
    <w:p w:rsidR="008E12D0" w:rsidRPr="00F87A7E" w:rsidRDefault="00EB4573">
      <w:pPr>
        <w:pStyle w:val="ListParagraph"/>
        <w:numPr>
          <w:ilvl w:val="0"/>
          <w:numId w:val="11"/>
        </w:numPr>
        <w:rPr>
          <w:color w:val="auto"/>
        </w:rPr>
      </w:pPr>
      <w:r w:rsidRPr="00F87A7E">
        <w:rPr>
          <w:color w:val="auto"/>
        </w:rPr>
        <w:t>Parse timestamps to a common time zone, remove exact duplicates, validate ranges and record clock or source-quality flags.</w:t>
      </w:r>
    </w:p>
    <w:p w:rsidR="008E12D0" w:rsidRPr="00F87A7E" w:rsidRDefault="00EB4573">
      <w:pPr>
        <w:pStyle w:val="ListParagraph"/>
        <w:numPr>
          <w:ilvl w:val="0"/>
          <w:numId w:val="11"/>
        </w:numPr>
        <w:rPr>
          <w:color w:val="auto"/>
        </w:rPr>
      </w:pPr>
      <w:r w:rsidRPr="00F87A7E">
        <w:rPr>
          <w:color w:val="auto"/>
        </w:rPr>
        <w:t>Resolve pseudonymous users, devices and resources through deterministic keys; quarantine ambiguous mappings instead of forcing a match.</w:t>
      </w:r>
    </w:p>
    <w:p w:rsidR="008E12D0" w:rsidRPr="00F87A7E" w:rsidRDefault="00EB4573">
      <w:pPr>
        <w:pStyle w:val="ListParagraph"/>
        <w:numPr>
          <w:ilvl w:val="0"/>
          <w:numId w:val="11"/>
        </w:numPr>
        <w:rPr>
          <w:color w:val="auto"/>
        </w:rPr>
      </w:pPr>
      <w:r w:rsidRPr="00F87A7E">
        <w:rPr>
          <w:color w:val="auto"/>
        </w:rPr>
        <w:t>Aggregate events into user-days while preserving an ordered event timeline and provenance links to source records.</w:t>
      </w:r>
    </w:p>
    <w:p w:rsidR="008E12D0" w:rsidRPr="00F87A7E" w:rsidRDefault="00EB4573">
      <w:pPr>
        <w:pStyle w:val="ListParagraph"/>
        <w:numPr>
          <w:ilvl w:val="0"/>
          <w:numId w:val="11"/>
        </w:numPr>
        <w:rPr>
          <w:color w:val="auto"/>
        </w:rPr>
      </w:pPr>
      <w:r w:rsidRPr="00F87A7E">
        <w:rPr>
          <w:color w:val="auto"/>
        </w:rPr>
        <w:t>Create individual-history, peer-group, temporal, interaction and resource-sensitivity features; fit all normalisers and encoders on training data only.</w:t>
      </w:r>
    </w:p>
    <w:p w:rsidR="008E12D0" w:rsidRPr="00F87A7E" w:rsidRDefault="00EB4573">
      <w:pPr>
        <w:pStyle w:val="ListParagraph"/>
        <w:numPr>
          <w:ilvl w:val="0"/>
          <w:numId w:val="11"/>
        </w:numPr>
        <w:rPr>
          <w:color w:val="auto"/>
        </w:rPr>
      </w:pPr>
      <w:r w:rsidRPr="00F87A7E">
        <w:rPr>
          <w:color w:val="auto"/>
        </w:rPr>
        <w:t>Generate a source-availability mask and evidence-quality vector for the fusion model and analyst evidence card.</w:t>
      </w:r>
    </w:p>
    <w:p w:rsidR="008E12D0" w:rsidRPr="00F87A7E" w:rsidRDefault="00EB4573">
      <w:pPr>
        <w:rPr>
          <w:color w:val="auto"/>
        </w:rPr>
      </w:pPr>
      <w:r w:rsidRPr="00F87A7E">
        <w:rPr>
          <w:color w:val="auto"/>
        </w:rPr>
        <w:t>Individual features will include deviations in logon time, event counts, data volume and resource diversity. Peer features will compare a user with a role or team cohort derived only from training data. Temporal features will represent recent change, event order, recurrence and time since prior activity. Relational features will describe user-device-resource edges, unusual new links and neighbourhood deviation. Highly identifying content will not be used; communication will be limited to metadata needed for timing and relationship structure.</w:t>
      </w:r>
    </w:p>
    <w:p w:rsidR="008E12D0" w:rsidRPr="00F87A7E" w:rsidRDefault="00EB4573">
      <w:pPr>
        <w:keepNext/>
        <w:jc w:val="center"/>
        <w:rPr>
          <w:color w:val="auto"/>
        </w:rPr>
      </w:pPr>
      <w:r w:rsidRPr="00F87A7E">
        <w:rPr>
          <w:noProof/>
          <w:color w:val="auto"/>
          <w:lang w:val="en-IN" w:eastAsia="en-IN"/>
        </w:rPr>
        <w:drawing>
          <wp:inline distT="0" distB="0" distL="0" distR="0">
            <wp:extent cx="5897245" cy="3048000"/>
            <wp:effectExtent l="0" t="0" r="8255" b="0"/>
            <wp:docPr id="1" name="Picture 1" descr="Six telemetry sources pass through assurance, entity resolution, temporal and per-source analytics, quality-aware fusion, and an analyst evidence card." title="Multi-source evidence-correlation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uideline_architecture.png"/>
                    <pic:cNvPicPr/>
                  </pic:nvPicPr>
                  <pic:blipFill rotWithShape="1">
                    <a:blip r:embed="rId10"/>
                    <a:srcRect t="12984" b="2787"/>
                    <a:stretch/>
                  </pic:blipFill>
                  <pic:spPr bwMode="auto">
                    <a:xfrm>
                      <a:off x="0" y="0"/>
                      <a:ext cx="5897880" cy="3048328"/>
                    </a:xfrm>
                    <a:prstGeom prst="rect">
                      <a:avLst/>
                    </a:prstGeom>
                    <a:ln>
                      <a:noFill/>
                    </a:ln>
                    <a:extLst>
                      <a:ext uri="{53640926-AAD7-44D8-BBD7-CCE9431645EC}">
                        <a14:shadowObscured xmlns:a14="http://schemas.microsoft.com/office/drawing/2010/main"/>
                      </a:ext>
                    </a:extLst>
                  </pic:spPr>
                </pic:pic>
              </a:graphicData>
            </a:graphic>
          </wp:inline>
        </w:drawing>
      </w:r>
    </w:p>
    <w:p w:rsidR="008E12D0" w:rsidRPr="00F87A7E" w:rsidRDefault="00EB4573">
      <w:pPr>
        <w:pStyle w:val="Caption"/>
        <w:keepNext w:val="0"/>
        <w:jc w:val="center"/>
        <w:rPr>
          <w:color w:val="auto"/>
        </w:rPr>
      </w:pPr>
      <w:r w:rsidRPr="00F87A7E">
        <w:rPr>
          <w:rFonts w:eastAsia="Calibri"/>
          <w:color w:val="auto"/>
        </w:rPr>
        <w:t>Figure 1. Proposed multi-source evidence-correlation framework.</w:t>
      </w:r>
    </w:p>
    <w:p w:rsidR="008E12D0" w:rsidRPr="00F87A7E" w:rsidRDefault="00EB4573">
      <w:pPr>
        <w:pStyle w:val="Heading2"/>
        <w:rPr>
          <w:color w:val="auto"/>
        </w:rPr>
      </w:pPr>
      <w:r w:rsidRPr="00F87A7E">
        <w:rPr>
          <w:color w:val="auto"/>
        </w:rPr>
        <w:lastRenderedPageBreak/>
        <w:t>3.4 Model Development and Baselines</w:t>
      </w:r>
    </w:p>
    <w:p w:rsidR="008E12D0" w:rsidRPr="00F87A7E" w:rsidRDefault="00EB4573">
      <w:pPr>
        <w:rPr>
          <w:color w:val="auto"/>
        </w:rPr>
      </w:pPr>
      <w:r w:rsidRPr="00F87A7E">
        <w:rPr>
          <w:color w:val="auto"/>
        </w:rPr>
        <w:t>The proposed model will calculate anomaly or risk representations per source, combine temporal and relational features, and use a gated meta-learner conditioned on evidence quality and source availability. The initial implementation will favour an auditable gradient-boosted or regularised logistic meta-learner; a temporal encoder or graph model will be retained only if it yields repeatable benefit over simpler features. Scores will be calibrated on a validation period and accompanied by source contributions and uncertainty.</w:t>
      </w:r>
    </w:p>
    <w:p w:rsidR="008E12D0" w:rsidRPr="00F87A7E" w:rsidRDefault="00EB4573">
      <w:pPr>
        <w:pStyle w:val="Caption"/>
        <w:jc w:val="center"/>
        <w:rPr>
          <w:color w:val="auto"/>
        </w:rPr>
      </w:pPr>
      <w:r w:rsidRPr="00F87A7E">
        <w:rPr>
          <w:rFonts w:eastAsia="Calibri"/>
          <w:color w:val="auto"/>
        </w:rPr>
        <w:t>Table 3. Model comparison and ablation plan.</w:t>
      </w:r>
    </w:p>
    <w:tbl>
      <w:tblPr>
        <w:tblW w:w="9360" w:type="dxa"/>
        <w:tblInd w:w="120" w:type="dxa"/>
        <w:tblBorders>
          <w:top w:val="single" w:sz="4" w:space="0" w:color="B8C2CC"/>
          <w:left w:val="single" w:sz="4" w:space="0" w:color="B8C2CC"/>
          <w:bottom w:val="single" w:sz="4" w:space="0" w:color="B8C2CC"/>
          <w:right w:val="single" w:sz="4" w:space="0" w:color="B8C2CC"/>
          <w:insideH w:val="single" w:sz="4" w:space="0" w:color="B8C2CC"/>
          <w:insideV w:val="single" w:sz="4" w:space="0" w:color="B8C2CC"/>
        </w:tblBorders>
        <w:tblLayout w:type="fixed"/>
        <w:tblCellMar>
          <w:top w:w="90" w:type="dxa"/>
          <w:left w:w="120" w:type="dxa"/>
          <w:bottom w:w="90" w:type="dxa"/>
          <w:right w:w="120" w:type="dxa"/>
        </w:tblCellMar>
        <w:tblLook w:val="04A0" w:firstRow="1" w:lastRow="0" w:firstColumn="1" w:lastColumn="0" w:noHBand="0" w:noVBand="1"/>
      </w:tblPr>
      <w:tblGrid>
        <w:gridCol w:w="1000"/>
        <w:gridCol w:w="4650"/>
        <w:gridCol w:w="3710"/>
      </w:tblGrid>
      <w:tr w:rsidR="00F87A7E" w:rsidRPr="00F87A7E">
        <w:trPr>
          <w:tblHeader/>
        </w:trPr>
        <w:tc>
          <w:tcPr>
            <w:tcW w:w="1000" w:type="dxa"/>
            <w:shd w:val="clear" w:color="auto" w:fill="E8F0F7"/>
            <w:vAlign w:val="center"/>
          </w:tcPr>
          <w:p w:rsidR="008E12D0" w:rsidRPr="00F87A7E" w:rsidRDefault="00EB4573">
            <w:pPr>
              <w:spacing w:after="40" w:line="259" w:lineRule="auto"/>
              <w:jc w:val="center"/>
              <w:rPr>
                <w:color w:val="auto"/>
              </w:rPr>
            </w:pPr>
            <w:r w:rsidRPr="00F87A7E">
              <w:rPr>
                <w:rFonts w:eastAsia="Calibri"/>
                <w:b/>
                <w:color w:val="auto"/>
                <w:sz w:val="17"/>
              </w:rPr>
              <w:t>ID</w:t>
            </w:r>
          </w:p>
        </w:tc>
        <w:tc>
          <w:tcPr>
            <w:tcW w:w="465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7"/>
              </w:rPr>
              <w:t>Model or test</w:t>
            </w:r>
          </w:p>
        </w:tc>
        <w:tc>
          <w:tcPr>
            <w:tcW w:w="371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7"/>
              </w:rPr>
              <w:t>Purpose</w:t>
            </w:r>
          </w:p>
        </w:tc>
      </w:tr>
      <w:tr w:rsidR="00F87A7E" w:rsidRPr="00F87A7E">
        <w:tc>
          <w:tcPr>
            <w:tcW w:w="1000" w:type="dxa"/>
            <w:vAlign w:val="center"/>
          </w:tcPr>
          <w:p w:rsidR="008E12D0" w:rsidRPr="00F87A7E" w:rsidRDefault="00EB4573">
            <w:pPr>
              <w:spacing w:after="40" w:line="259" w:lineRule="auto"/>
              <w:jc w:val="center"/>
              <w:rPr>
                <w:color w:val="auto"/>
              </w:rPr>
            </w:pPr>
            <w:r w:rsidRPr="00F87A7E">
              <w:rPr>
                <w:rFonts w:eastAsia="Calibri"/>
                <w:b/>
                <w:color w:val="auto"/>
                <w:sz w:val="17"/>
              </w:rPr>
              <w:t>B0</w:t>
            </w:r>
          </w:p>
        </w:tc>
        <w:tc>
          <w:tcPr>
            <w:tcW w:w="4650" w:type="dxa"/>
            <w:vAlign w:val="center"/>
          </w:tcPr>
          <w:p w:rsidR="008E12D0" w:rsidRPr="00F87A7E" w:rsidRDefault="00EB4573">
            <w:pPr>
              <w:spacing w:after="40" w:line="259" w:lineRule="auto"/>
              <w:jc w:val="left"/>
              <w:rPr>
                <w:color w:val="auto"/>
              </w:rPr>
            </w:pPr>
            <w:r w:rsidRPr="00F87A7E">
              <w:rPr>
                <w:rFonts w:eastAsia="Calibri"/>
                <w:color w:val="auto"/>
                <w:sz w:val="17"/>
              </w:rPr>
              <w:t>Transparent scenario rules</w:t>
            </w:r>
          </w:p>
        </w:tc>
        <w:tc>
          <w:tcPr>
            <w:tcW w:w="3710" w:type="dxa"/>
            <w:vAlign w:val="center"/>
          </w:tcPr>
          <w:p w:rsidR="008E12D0" w:rsidRPr="00F87A7E" w:rsidRDefault="00EB4573">
            <w:pPr>
              <w:spacing w:after="40" w:line="259" w:lineRule="auto"/>
              <w:jc w:val="left"/>
              <w:rPr>
                <w:color w:val="auto"/>
              </w:rPr>
            </w:pPr>
            <w:r w:rsidRPr="00F87A7E">
              <w:rPr>
                <w:rFonts w:eastAsia="Calibri"/>
                <w:color w:val="auto"/>
                <w:sz w:val="17"/>
              </w:rPr>
              <w:t>Operational reference; no learned fusion</w:t>
            </w:r>
          </w:p>
        </w:tc>
      </w:tr>
      <w:tr w:rsidR="00F87A7E" w:rsidRPr="00F87A7E">
        <w:tc>
          <w:tcPr>
            <w:tcW w:w="1000" w:type="dxa"/>
            <w:vAlign w:val="center"/>
          </w:tcPr>
          <w:p w:rsidR="008E12D0" w:rsidRPr="00F87A7E" w:rsidRDefault="00EB4573">
            <w:pPr>
              <w:spacing w:after="40" w:line="259" w:lineRule="auto"/>
              <w:jc w:val="center"/>
              <w:rPr>
                <w:color w:val="auto"/>
              </w:rPr>
            </w:pPr>
            <w:r w:rsidRPr="00F87A7E">
              <w:rPr>
                <w:rFonts w:eastAsia="Calibri"/>
                <w:b/>
                <w:color w:val="auto"/>
                <w:sz w:val="17"/>
              </w:rPr>
              <w:t>B1</w:t>
            </w:r>
          </w:p>
        </w:tc>
        <w:tc>
          <w:tcPr>
            <w:tcW w:w="4650" w:type="dxa"/>
            <w:vAlign w:val="center"/>
          </w:tcPr>
          <w:p w:rsidR="008E12D0" w:rsidRPr="00F87A7E" w:rsidRDefault="00EB4573">
            <w:pPr>
              <w:spacing w:after="40" w:line="259" w:lineRule="auto"/>
              <w:jc w:val="left"/>
              <w:rPr>
                <w:color w:val="auto"/>
              </w:rPr>
            </w:pPr>
            <w:r w:rsidRPr="00F87A7E">
              <w:rPr>
                <w:rFonts w:eastAsia="Calibri"/>
                <w:color w:val="auto"/>
                <w:sz w:val="17"/>
              </w:rPr>
              <w:t>Single-source Isolation Forest / autoencoder</w:t>
            </w:r>
          </w:p>
        </w:tc>
        <w:tc>
          <w:tcPr>
            <w:tcW w:w="3710" w:type="dxa"/>
            <w:vAlign w:val="center"/>
          </w:tcPr>
          <w:p w:rsidR="008E12D0" w:rsidRPr="00F87A7E" w:rsidRDefault="00EB4573">
            <w:pPr>
              <w:spacing w:after="40" w:line="259" w:lineRule="auto"/>
              <w:jc w:val="left"/>
              <w:rPr>
                <w:color w:val="auto"/>
              </w:rPr>
            </w:pPr>
            <w:r w:rsidRPr="00F87A7E">
              <w:rPr>
                <w:rFonts w:eastAsia="Calibri"/>
                <w:color w:val="auto"/>
                <w:sz w:val="17"/>
              </w:rPr>
              <w:t>Value and noise of each source</w:t>
            </w:r>
          </w:p>
        </w:tc>
      </w:tr>
      <w:tr w:rsidR="00F87A7E" w:rsidRPr="00F87A7E">
        <w:tc>
          <w:tcPr>
            <w:tcW w:w="1000" w:type="dxa"/>
            <w:vAlign w:val="center"/>
          </w:tcPr>
          <w:p w:rsidR="008E12D0" w:rsidRPr="00F87A7E" w:rsidRDefault="00EB4573">
            <w:pPr>
              <w:spacing w:after="40" w:line="259" w:lineRule="auto"/>
              <w:jc w:val="center"/>
              <w:rPr>
                <w:color w:val="auto"/>
              </w:rPr>
            </w:pPr>
            <w:r w:rsidRPr="00F87A7E">
              <w:rPr>
                <w:rFonts w:eastAsia="Calibri"/>
                <w:b/>
                <w:color w:val="auto"/>
                <w:sz w:val="17"/>
              </w:rPr>
              <w:t>B2</w:t>
            </w:r>
          </w:p>
        </w:tc>
        <w:tc>
          <w:tcPr>
            <w:tcW w:w="4650" w:type="dxa"/>
            <w:vAlign w:val="center"/>
          </w:tcPr>
          <w:p w:rsidR="008E12D0" w:rsidRPr="00F87A7E" w:rsidRDefault="00EB4573">
            <w:pPr>
              <w:spacing w:after="40" w:line="259" w:lineRule="auto"/>
              <w:jc w:val="left"/>
              <w:rPr>
                <w:color w:val="auto"/>
              </w:rPr>
            </w:pPr>
            <w:r w:rsidRPr="00F87A7E">
              <w:rPr>
                <w:rFonts w:eastAsia="Calibri"/>
                <w:color w:val="auto"/>
                <w:sz w:val="17"/>
              </w:rPr>
              <w:t>Early feature concatenation</w:t>
            </w:r>
          </w:p>
        </w:tc>
        <w:tc>
          <w:tcPr>
            <w:tcW w:w="3710" w:type="dxa"/>
            <w:vAlign w:val="center"/>
          </w:tcPr>
          <w:p w:rsidR="008E12D0" w:rsidRPr="00F87A7E" w:rsidRDefault="00EB4573">
            <w:pPr>
              <w:spacing w:after="40" w:line="259" w:lineRule="auto"/>
              <w:jc w:val="left"/>
              <w:rPr>
                <w:color w:val="auto"/>
              </w:rPr>
            </w:pPr>
            <w:r w:rsidRPr="00F87A7E">
              <w:rPr>
                <w:rFonts w:eastAsia="Calibri"/>
                <w:color w:val="auto"/>
                <w:sz w:val="17"/>
              </w:rPr>
              <w:t>Naive feature-level fusion</w:t>
            </w:r>
          </w:p>
        </w:tc>
      </w:tr>
      <w:tr w:rsidR="00F87A7E" w:rsidRPr="00F87A7E">
        <w:tc>
          <w:tcPr>
            <w:tcW w:w="1000" w:type="dxa"/>
            <w:vAlign w:val="center"/>
          </w:tcPr>
          <w:p w:rsidR="008E12D0" w:rsidRPr="00F87A7E" w:rsidRDefault="00EB4573">
            <w:pPr>
              <w:spacing w:after="40" w:line="259" w:lineRule="auto"/>
              <w:jc w:val="center"/>
              <w:rPr>
                <w:color w:val="auto"/>
              </w:rPr>
            </w:pPr>
            <w:r w:rsidRPr="00F87A7E">
              <w:rPr>
                <w:rFonts w:eastAsia="Calibri"/>
                <w:b/>
                <w:color w:val="auto"/>
                <w:sz w:val="17"/>
              </w:rPr>
              <w:t>B3</w:t>
            </w:r>
          </w:p>
        </w:tc>
        <w:tc>
          <w:tcPr>
            <w:tcW w:w="4650" w:type="dxa"/>
            <w:vAlign w:val="center"/>
          </w:tcPr>
          <w:p w:rsidR="008E12D0" w:rsidRPr="00F87A7E" w:rsidRDefault="00EB4573">
            <w:pPr>
              <w:spacing w:after="40" w:line="259" w:lineRule="auto"/>
              <w:jc w:val="left"/>
              <w:rPr>
                <w:color w:val="auto"/>
              </w:rPr>
            </w:pPr>
            <w:r w:rsidRPr="00F87A7E">
              <w:rPr>
                <w:rFonts w:eastAsia="Calibri"/>
                <w:color w:val="auto"/>
                <w:sz w:val="17"/>
              </w:rPr>
              <w:t>Fixed weighted score fusion</w:t>
            </w:r>
          </w:p>
        </w:tc>
        <w:tc>
          <w:tcPr>
            <w:tcW w:w="3710" w:type="dxa"/>
            <w:vAlign w:val="center"/>
          </w:tcPr>
          <w:p w:rsidR="008E12D0" w:rsidRPr="00F87A7E" w:rsidRDefault="00EB4573">
            <w:pPr>
              <w:spacing w:after="40" w:line="259" w:lineRule="auto"/>
              <w:jc w:val="left"/>
              <w:rPr>
                <w:color w:val="auto"/>
              </w:rPr>
            </w:pPr>
            <w:r w:rsidRPr="00F87A7E">
              <w:rPr>
                <w:rFonts w:eastAsia="Calibri"/>
                <w:color w:val="auto"/>
                <w:sz w:val="17"/>
              </w:rPr>
              <w:t>Naive decision-level fusion</w:t>
            </w:r>
          </w:p>
        </w:tc>
      </w:tr>
      <w:tr w:rsidR="00F87A7E" w:rsidRPr="00F87A7E">
        <w:tc>
          <w:tcPr>
            <w:tcW w:w="1000" w:type="dxa"/>
            <w:vAlign w:val="center"/>
          </w:tcPr>
          <w:p w:rsidR="008E12D0" w:rsidRPr="00F87A7E" w:rsidRDefault="00EB4573">
            <w:pPr>
              <w:spacing w:after="40" w:line="259" w:lineRule="auto"/>
              <w:jc w:val="center"/>
              <w:rPr>
                <w:color w:val="auto"/>
              </w:rPr>
            </w:pPr>
            <w:r w:rsidRPr="00F87A7E">
              <w:rPr>
                <w:rFonts w:eastAsia="Calibri"/>
                <w:b/>
                <w:color w:val="auto"/>
                <w:sz w:val="17"/>
              </w:rPr>
              <w:t>P</w:t>
            </w:r>
          </w:p>
        </w:tc>
        <w:tc>
          <w:tcPr>
            <w:tcW w:w="4650" w:type="dxa"/>
            <w:vAlign w:val="center"/>
          </w:tcPr>
          <w:p w:rsidR="008E12D0" w:rsidRPr="00F87A7E" w:rsidRDefault="00EB4573">
            <w:pPr>
              <w:spacing w:after="40" w:line="259" w:lineRule="auto"/>
              <w:jc w:val="left"/>
              <w:rPr>
                <w:color w:val="auto"/>
              </w:rPr>
            </w:pPr>
            <w:r w:rsidRPr="00F87A7E">
              <w:rPr>
                <w:rFonts w:eastAsia="Calibri"/>
                <w:color w:val="auto"/>
                <w:sz w:val="17"/>
              </w:rPr>
              <w:t>Quality-aware temporal-relational fusion</w:t>
            </w:r>
          </w:p>
        </w:tc>
        <w:tc>
          <w:tcPr>
            <w:tcW w:w="3710" w:type="dxa"/>
            <w:vAlign w:val="center"/>
          </w:tcPr>
          <w:p w:rsidR="008E12D0" w:rsidRPr="00F87A7E" w:rsidRDefault="00EB4573">
            <w:pPr>
              <w:spacing w:after="40" w:line="259" w:lineRule="auto"/>
              <w:jc w:val="left"/>
              <w:rPr>
                <w:color w:val="auto"/>
              </w:rPr>
            </w:pPr>
            <w:r w:rsidRPr="00F87A7E">
              <w:rPr>
                <w:rFonts w:eastAsia="Calibri"/>
                <w:color w:val="auto"/>
                <w:sz w:val="17"/>
              </w:rPr>
              <w:t>Proposed method</w:t>
            </w:r>
          </w:p>
        </w:tc>
      </w:tr>
      <w:tr w:rsidR="008E12D0" w:rsidRPr="00F87A7E">
        <w:tc>
          <w:tcPr>
            <w:tcW w:w="1000" w:type="dxa"/>
            <w:vAlign w:val="center"/>
          </w:tcPr>
          <w:p w:rsidR="008E12D0" w:rsidRPr="00F87A7E" w:rsidRDefault="00EB4573">
            <w:pPr>
              <w:spacing w:after="40" w:line="259" w:lineRule="auto"/>
              <w:jc w:val="center"/>
              <w:rPr>
                <w:color w:val="auto"/>
              </w:rPr>
            </w:pPr>
            <w:r w:rsidRPr="00F87A7E">
              <w:rPr>
                <w:rFonts w:eastAsia="Calibri"/>
                <w:b/>
                <w:color w:val="auto"/>
                <w:sz w:val="17"/>
              </w:rPr>
              <w:t>Ablations</w:t>
            </w:r>
          </w:p>
        </w:tc>
        <w:tc>
          <w:tcPr>
            <w:tcW w:w="4650" w:type="dxa"/>
            <w:vAlign w:val="center"/>
          </w:tcPr>
          <w:p w:rsidR="008E12D0" w:rsidRPr="00F87A7E" w:rsidRDefault="00EB4573">
            <w:pPr>
              <w:spacing w:after="40" w:line="259" w:lineRule="auto"/>
              <w:jc w:val="left"/>
              <w:rPr>
                <w:color w:val="auto"/>
              </w:rPr>
            </w:pPr>
            <w:r w:rsidRPr="00F87A7E">
              <w:rPr>
                <w:rFonts w:eastAsia="Calibri"/>
                <w:color w:val="auto"/>
                <w:sz w:val="17"/>
              </w:rPr>
              <w:t>Remove one source, time, graph or quality mask</w:t>
            </w:r>
          </w:p>
        </w:tc>
        <w:tc>
          <w:tcPr>
            <w:tcW w:w="3710" w:type="dxa"/>
            <w:vAlign w:val="center"/>
          </w:tcPr>
          <w:p w:rsidR="008E12D0" w:rsidRPr="00F87A7E" w:rsidRDefault="00EB4573">
            <w:pPr>
              <w:spacing w:after="40" w:line="259" w:lineRule="auto"/>
              <w:jc w:val="left"/>
              <w:rPr>
                <w:color w:val="auto"/>
              </w:rPr>
            </w:pPr>
            <w:r w:rsidRPr="00F87A7E">
              <w:rPr>
                <w:rFonts w:eastAsia="Calibri"/>
                <w:color w:val="auto"/>
                <w:sz w:val="17"/>
              </w:rPr>
              <w:t>Marginal contribution and failure mode</w:t>
            </w:r>
          </w:p>
        </w:tc>
      </w:tr>
    </w:tbl>
    <w:p w:rsidR="008E12D0" w:rsidRPr="00F87A7E" w:rsidRDefault="008E12D0">
      <w:pPr>
        <w:spacing w:after="40"/>
        <w:rPr>
          <w:color w:val="auto"/>
        </w:rPr>
      </w:pPr>
    </w:p>
    <w:p w:rsidR="008E12D0" w:rsidRPr="00F87A7E" w:rsidRDefault="00EB4573">
      <w:pPr>
        <w:pStyle w:val="Heading2"/>
        <w:rPr>
          <w:color w:val="auto"/>
        </w:rPr>
      </w:pPr>
      <w:r w:rsidRPr="00F87A7E">
        <w:rPr>
          <w:color w:val="auto"/>
        </w:rPr>
        <w:t>3.5 Experimental Design and Evaluation</w:t>
      </w:r>
    </w:p>
    <w:p w:rsidR="008E12D0" w:rsidRPr="00F87A7E" w:rsidRDefault="00EB4573">
      <w:pPr>
        <w:rPr>
          <w:color w:val="auto"/>
        </w:rPr>
      </w:pPr>
      <w:r w:rsidRPr="00F87A7E">
        <w:rPr>
          <w:color w:val="auto"/>
        </w:rPr>
        <w:t>Data will be divided chronologically, with user grouping applied where feasible so that the same user does not create an optimistic train-test match. Hyperparameters and thresholds will be selected only on validation data. The primary test set will remain untouched until the pipeline is frozen. Cross-release evaluation will train on one CERT release and test on another after aligning only the shared schema. Negative instances will not be randomly discarded in the final test because the natural alert burden must be preserved.</w:t>
      </w:r>
    </w:p>
    <w:p w:rsidR="008E12D0" w:rsidRPr="00F87A7E" w:rsidRDefault="00EB4573">
      <w:pPr>
        <w:rPr>
          <w:color w:val="auto"/>
        </w:rPr>
      </w:pPr>
      <w:r w:rsidRPr="00F87A7E">
        <w:rPr>
          <w:color w:val="auto"/>
        </w:rPr>
        <w:t>Thresholds will be compared at the same daily investigation budget, for example the top 0.5% or 1% of user-days, with the final percentage set from training prevalence and supervisor agreement. For scenarios with a documented sequence, lead time will be the interval from the first qualifying alert to the terminal malicious act. A bootstrap with at least 1,000 resamples will estimate 95% confidence intervals for PR-AUC and budgeted recall. Paired threshold errors will be examined with McNemar's test, and paired lead-time differences with a Wilcoxon signed-rank test when assumptions are satisfied. Holm correction will control multiple ablation comparisons.</w:t>
      </w:r>
    </w:p>
    <w:p w:rsidR="008E12D0" w:rsidRPr="00F87A7E" w:rsidRDefault="00EB4573">
      <w:pPr>
        <w:pStyle w:val="Caption"/>
        <w:jc w:val="center"/>
        <w:rPr>
          <w:color w:val="auto"/>
        </w:rPr>
      </w:pPr>
      <w:r w:rsidRPr="00F87A7E">
        <w:rPr>
          <w:rFonts w:eastAsia="Calibri"/>
          <w:color w:val="auto"/>
        </w:rPr>
        <w:lastRenderedPageBreak/>
        <w:t>Table 4. Evaluation measures.</w:t>
      </w:r>
    </w:p>
    <w:tbl>
      <w:tblPr>
        <w:tblW w:w="9360" w:type="dxa"/>
        <w:tblInd w:w="120" w:type="dxa"/>
        <w:tblBorders>
          <w:top w:val="single" w:sz="4" w:space="0" w:color="B8C2CC"/>
          <w:left w:val="single" w:sz="4" w:space="0" w:color="B8C2CC"/>
          <w:bottom w:val="single" w:sz="4" w:space="0" w:color="B8C2CC"/>
          <w:right w:val="single" w:sz="4" w:space="0" w:color="B8C2CC"/>
          <w:insideH w:val="single" w:sz="4" w:space="0" w:color="B8C2CC"/>
          <w:insideV w:val="single" w:sz="4" w:space="0" w:color="B8C2CC"/>
        </w:tblBorders>
        <w:tblLayout w:type="fixed"/>
        <w:tblCellMar>
          <w:top w:w="90" w:type="dxa"/>
          <w:left w:w="120" w:type="dxa"/>
          <w:bottom w:w="90" w:type="dxa"/>
          <w:right w:w="120" w:type="dxa"/>
        </w:tblCellMar>
        <w:tblLook w:val="04A0" w:firstRow="1" w:lastRow="0" w:firstColumn="1" w:lastColumn="0" w:noHBand="0" w:noVBand="1"/>
      </w:tblPr>
      <w:tblGrid>
        <w:gridCol w:w="2100"/>
        <w:gridCol w:w="4200"/>
        <w:gridCol w:w="3060"/>
      </w:tblGrid>
      <w:tr w:rsidR="00F87A7E" w:rsidRPr="00F87A7E">
        <w:trPr>
          <w:tblHeader/>
        </w:trPr>
        <w:tc>
          <w:tcPr>
            <w:tcW w:w="210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7"/>
              </w:rPr>
              <w:t>Measure</w:t>
            </w:r>
          </w:p>
        </w:tc>
        <w:tc>
          <w:tcPr>
            <w:tcW w:w="420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7"/>
              </w:rPr>
              <w:t>Definition</w:t>
            </w:r>
          </w:p>
        </w:tc>
        <w:tc>
          <w:tcPr>
            <w:tcW w:w="306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7"/>
              </w:rPr>
              <w:t>Use</w:t>
            </w:r>
          </w:p>
        </w:tc>
      </w:tr>
      <w:tr w:rsidR="00F87A7E" w:rsidRPr="00F87A7E">
        <w:tc>
          <w:tcPr>
            <w:tcW w:w="2100" w:type="dxa"/>
            <w:vAlign w:val="center"/>
          </w:tcPr>
          <w:p w:rsidR="008E12D0" w:rsidRPr="00F87A7E" w:rsidRDefault="00EB4573">
            <w:pPr>
              <w:spacing w:after="40" w:line="259" w:lineRule="auto"/>
              <w:jc w:val="left"/>
              <w:rPr>
                <w:color w:val="auto"/>
              </w:rPr>
            </w:pPr>
            <w:r w:rsidRPr="00F87A7E">
              <w:rPr>
                <w:rFonts w:eastAsia="Calibri"/>
                <w:b/>
                <w:color w:val="auto"/>
                <w:sz w:val="17"/>
              </w:rPr>
              <w:t>PR-AUC</w:t>
            </w:r>
          </w:p>
        </w:tc>
        <w:tc>
          <w:tcPr>
            <w:tcW w:w="4200" w:type="dxa"/>
            <w:vAlign w:val="center"/>
          </w:tcPr>
          <w:p w:rsidR="008E12D0" w:rsidRPr="00F87A7E" w:rsidRDefault="00EB4573">
            <w:pPr>
              <w:spacing w:after="40" w:line="259" w:lineRule="auto"/>
              <w:jc w:val="left"/>
              <w:rPr>
                <w:color w:val="auto"/>
              </w:rPr>
            </w:pPr>
            <w:r w:rsidRPr="00F87A7E">
              <w:rPr>
                <w:rFonts w:eastAsia="Calibri"/>
                <w:color w:val="auto"/>
                <w:sz w:val="17"/>
              </w:rPr>
              <w:t>Ranking under severe class imbalance</w:t>
            </w:r>
          </w:p>
        </w:tc>
        <w:tc>
          <w:tcPr>
            <w:tcW w:w="3060" w:type="dxa"/>
            <w:vAlign w:val="center"/>
          </w:tcPr>
          <w:p w:rsidR="008E12D0" w:rsidRPr="00F87A7E" w:rsidRDefault="00EB4573">
            <w:pPr>
              <w:spacing w:after="40" w:line="259" w:lineRule="auto"/>
              <w:jc w:val="left"/>
              <w:rPr>
                <w:color w:val="auto"/>
              </w:rPr>
            </w:pPr>
            <w:r w:rsidRPr="00F87A7E">
              <w:rPr>
                <w:rFonts w:eastAsia="Calibri"/>
                <w:color w:val="auto"/>
                <w:sz w:val="17"/>
              </w:rPr>
              <w:t>Primary discrimination measure</w:t>
            </w:r>
          </w:p>
        </w:tc>
      </w:tr>
      <w:tr w:rsidR="00F87A7E" w:rsidRPr="00F87A7E">
        <w:tc>
          <w:tcPr>
            <w:tcW w:w="2100" w:type="dxa"/>
            <w:vAlign w:val="center"/>
          </w:tcPr>
          <w:p w:rsidR="008E12D0" w:rsidRPr="00F87A7E" w:rsidRDefault="00EB4573">
            <w:pPr>
              <w:spacing w:after="40" w:line="259" w:lineRule="auto"/>
              <w:jc w:val="left"/>
              <w:rPr>
                <w:color w:val="auto"/>
              </w:rPr>
            </w:pPr>
            <w:r w:rsidRPr="00F87A7E">
              <w:rPr>
                <w:rFonts w:eastAsia="Calibri"/>
                <w:b/>
                <w:color w:val="auto"/>
                <w:sz w:val="17"/>
              </w:rPr>
              <w:t>Recall at budget</w:t>
            </w:r>
          </w:p>
        </w:tc>
        <w:tc>
          <w:tcPr>
            <w:tcW w:w="4200" w:type="dxa"/>
            <w:vAlign w:val="center"/>
          </w:tcPr>
          <w:p w:rsidR="008E12D0" w:rsidRPr="00F87A7E" w:rsidRDefault="00EB4573">
            <w:pPr>
              <w:spacing w:after="40" w:line="259" w:lineRule="auto"/>
              <w:jc w:val="left"/>
              <w:rPr>
                <w:color w:val="auto"/>
              </w:rPr>
            </w:pPr>
            <w:r w:rsidRPr="00F87A7E">
              <w:rPr>
                <w:rFonts w:eastAsia="Calibri"/>
                <w:color w:val="auto"/>
                <w:sz w:val="17"/>
              </w:rPr>
              <w:t>Detected malicious user-days within fixed alerts</w:t>
            </w:r>
          </w:p>
        </w:tc>
        <w:tc>
          <w:tcPr>
            <w:tcW w:w="3060" w:type="dxa"/>
            <w:vAlign w:val="center"/>
          </w:tcPr>
          <w:p w:rsidR="008E12D0" w:rsidRPr="00F87A7E" w:rsidRDefault="00EB4573">
            <w:pPr>
              <w:spacing w:after="40" w:line="259" w:lineRule="auto"/>
              <w:jc w:val="left"/>
              <w:rPr>
                <w:color w:val="auto"/>
              </w:rPr>
            </w:pPr>
            <w:r w:rsidRPr="00F87A7E">
              <w:rPr>
                <w:rFonts w:eastAsia="Calibri"/>
                <w:color w:val="auto"/>
                <w:sz w:val="17"/>
              </w:rPr>
              <w:t>Operational sensitivity</w:t>
            </w:r>
          </w:p>
        </w:tc>
      </w:tr>
      <w:tr w:rsidR="00F87A7E" w:rsidRPr="00F87A7E">
        <w:tc>
          <w:tcPr>
            <w:tcW w:w="2100" w:type="dxa"/>
            <w:vAlign w:val="center"/>
          </w:tcPr>
          <w:p w:rsidR="008E12D0" w:rsidRPr="00F87A7E" w:rsidRDefault="00EB4573">
            <w:pPr>
              <w:spacing w:after="40" w:line="259" w:lineRule="auto"/>
              <w:jc w:val="left"/>
              <w:rPr>
                <w:color w:val="auto"/>
              </w:rPr>
            </w:pPr>
            <w:r w:rsidRPr="00F87A7E">
              <w:rPr>
                <w:rFonts w:eastAsia="Calibri"/>
                <w:b/>
                <w:color w:val="auto"/>
                <w:sz w:val="17"/>
              </w:rPr>
              <w:t>False positives/1,000</w:t>
            </w:r>
          </w:p>
        </w:tc>
        <w:tc>
          <w:tcPr>
            <w:tcW w:w="4200" w:type="dxa"/>
            <w:vAlign w:val="center"/>
          </w:tcPr>
          <w:p w:rsidR="008E12D0" w:rsidRPr="00F87A7E" w:rsidRDefault="00EB4573">
            <w:pPr>
              <w:spacing w:after="40" w:line="259" w:lineRule="auto"/>
              <w:jc w:val="left"/>
              <w:rPr>
                <w:color w:val="auto"/>
              </w:rPr>
            </w:pPr>
            <w:r w:rsidRPr="00F87A7E">
              <w:rPr>
                <w:rFonts w:eastAsia="Calibri"/>
                <w:color w:val="auto"/>
                <w:sz w:val="17"/>
              </w:rPr>
              <w:t>Unactionable burden over exposure</w:t>
            </w:r>
          </w:p>
        </w:tc>
        <w:tc>
          <w:tcPr>
            <w:tcW w:w="3060" w:type="dxa"/>
            <w:vAlign w:val="center"/>
          </w:tcPr>
          <w:p w:rsidR="008E12D0" w:rsidRPr="00F87A7E" w:rsidRDefault="00EB4573">
            <w:pPr>
              <w:spacing w:after="40" w:line="259" w:lineRule="auto"/>
              <w:jc w:val="left"/>
              <w:rPr>
                <w:color w:val="auto"/>
              </w:rPr>
            </w:pPr>
            <w:r w:rsidRPr="00F87A7E">
              <w:rPr>
                <w:rFonts w:eastAsia="Calibri"/>
                <w:color w:val="auto"/>
                <w:sz w:val="17"/>
              </w:rPr>
              <w:t>Workload comparison</w:t>
            </w:r>
          </w:p>
        </w:tc>
      </w:tr>
      <w:tr w:rsidR="00F87A7E" w:rsidRPr="00F87A7E">
        <w:tc>
          <w:tcPr>
            <w:tcW w:w="2100" w:type="dxa"/>
            <w:vAlign w:val="center"/>
          </w:tcPr>
          <w:p w:rsidR="008E12D0" w:rsidRPr="00F87A7E" w:rsidRDefault="00EB4573">
            <w:pPr>
              <w:spacing w:after="40" w:line="259" w:lineRule="auto"/>
              <w:jc w:val="left"/>
              <w:rPr>
                <w:color w:val="auto"/>
              </w:rPr>
            </w:pPr>
            <w:r w:rsidRPr="00F87A7E">
              <w:rPr>
                <w:rFonts w:eastAsia="Calibri"/>
                <w:b/>
                <w:color w:val="auto"/>
                <w:sz w:val="17"/>
              </w:rPr>
              <w:t>Lead time</w:t>
            </w:r>
          </w:p>
        </w:tc>
        <w:tc>
          <w:tcPr>
            <w:tcW w:w="4200" w:type="dxa"/>
            <w:vAlign w:val="center"/>
          </w:tcPr>
          <w:p w:rsidR="008E12D0" w:rsidRPr="00F87A7E" w:rsidRDefault="00EB4573">
            <w:pPr>
              <w:spacing w:after="40" w:line="259" w:lineRule="auto"/>
              <w:jc w:val="left"/>
              <w:rPr>
                <w:color w:val="auto"/>
              </w:rPr>
            </w:pPr>
            <w:r w:rsidRPr="00F87A7E">
              <w:rPr>
                <w:rFonts w:eastAsia="Calibri"/>
                <w:color w:val="auto"/>
                <w:sz w:val="17"/>
              </w:rPr>
              <w:t>Days before terminal scenario event</w:t>
            </w:r>
          </w:p>
        </w:tc>
        <w:tc>
          <w:tcPr>
            <w:tcW w:w="3060" w:type="dxa"/>
            <w:vAlign w:val="center"/>
          </w:tcPr>
          <w:p w:rsidR="008E12D0" w:rsidRPr="00F87A7E" w:rsidRDefault="00EB4573">
            <w:pPr>
              <w:spacing w:after="40" w:line="259" w:lineRule="auto"/>
              <w:jc w:val="left"/>
              <w:rPr>
                <w:color w:val="auto"/>
              </w:rPr>
            </w:pPr>
            <w:r w:rsidRPr="00F87A7E">
              <w:rPr>
                <w:rFonts w:eastAsia="Calibri"/>
                <w:color w:val="auto"/>
                <w:sz w:val="17"/>
              </w:rPr>
              <w:t>Early-identification value</w:t>
            </w:r>
          </w:p>
        </w:tc>
      </w:tr>
      <w:tr w:rsidR="00F87A7E" w:rsidRPr="00F87A7E">
        <w:tc>
          <w:tcPr>
            <w:tcW w:w="2100" w:type="dxa"/>
            <w:vAlign w:val="center"/>
          </w:tcPr>
          <w:p w:rsidR="008E12D0" w:rsidRPr="00F87A7E" w:rsidRDefault="00EB4573">
            <w:pPr>
              <w:spacing w:after="40" w:line="259" w:lineRule="auto"/>
              <w:jc w:val="left"/>
              <w:rPr>
                <w:color w:val="auto"/>
              </w:rPr>
            </w:pPr>
            <w:r w:rsidRPr="00F87A7E">
              <w:rPr>
                <w:rFonts w:eastAsia="Calibri"/>
                <w:b/>
                <w:color w:val="auto"/>
                <w:sz w:val="17"/>
              </w:rPr>
              <w:t>Brier score / ECE</w:t>
            </w:r>
          </w:p>
        </w:tc>
        <w:tc>
          <w:tcPr>
            <w:tcW w:w="4200" w:type="dxa"/>
            <w:vAlign w:val="center"/>
          </w:tcPr>
          <w:p w:rsidR="008E12D0" w:rsidRPr="00F87A7E" w:rsidRDefault="00EB4573">
            <w:pPr>
              <w:spacing w:after="40" w:line="259" w:lineRule="auto"/>
              <w:jc w:val="left"/>
              <w:rPr>
                <w:color w:val="auto"/>
              </w:rPr>
            </w:pPr>
            <w:r w:rsidRPr="00F87A7E">
              <w:rPr>
                <w:rFonts w:eastAsia="Calibri"/>
                <w:color w:val="auto"/>
                <w:sz w:val="17"/>
              </w:rPr>
              <w:t>Agreement between score and observed frequency</w:t>
            </w:r>
          </w:p>
        </w:tc>
        <w:tc>
          <w:tcPr>
            <w:tcW w:w="3060" w:type="dxa"/>
            <w:vAlign w:val="center"/>
          </w:tcPr>
          <w:p w:rsidR="008E12D0" w:rsidRPr="00F87A7E" w:rsidRDefault="00EB4573">
            <w:pPr>
              <w:spacing w:after="40" w:line="259" w:lineRule="auto"/>
              <w:jc w:val="left"/>
              <w:rPr>
                <w:color w:val="auto"/>
              </w:rPr>
            </w:pPr>
            <w:r w:rsidRPr="00F87A7E">
              <w:rPr>
                <w:rFonts w:eastAsia="Calibri"/>
                <w:color w:val="auto"/>
                <w:sz w:val="17"/>
              </w:rPr>
              <w:t>Calibration</w:t>
            </w:r>
          </w:p>
        </w:tc>
      </w:tr>
      <w:tr w:rsidR="008E12D0" w:rsidRPr="00F87A7E">
        <w:tc>
          <w:tcPr>
            <w:tcW w:w="2100" w:type="dxa"/>
            <w:vAlign w:val="center"/>
          </w:tcPr>
          <w:p w:rsidR="008E12D0" w:rsidRPr="00F87A7E" w:rsidRDefault="00EB4573">
            <w:pPr>
              <w:spacing w:after="40" w:line="259" w:lineRule="auto"/>
              <w:jc w:val="left"/>
              <w:rPr>
                <w:color w:val="auto"/>
              </w:rPr>
            </w:pPr>
            <w:r w:rsidRPr="00F87A7E">
              <w:rPr>
                <w:rFonts w:eastAsia="Calibri"/>
                <w:b/>
                <w:color w:val="auto"/>
                <w:sz w:val="17"/>
              </w:rPr>
              <w:t>Robustness delta</w:t>
            </w:r>
          </w:p>
        </w:tc>
        <w:tc>
          <w:tcPr>
            <w:tcW w:w="4200" w:type="dxa"/>
            <w:vAlign w:val="center"/>
          </w:tcPr>
          <w:p w:rsidR="008E12D0" w:rsidRPr="00F87A7E" w:rsidRDefault="00EB4573">
            <w:pPr>
              <w:spacing w:after="40" w:line="259" w:lineRule="auto"/>
              <w:jc w:val="left"/>
              <w:rPr>
                <w:color w:val="auto"/>
              </w:rPr>
            </w:pPr>
            <w:r w:rsidRPr="00F87A7E">
              <w:rPr>
                <w:rFonts w:eastAsia="Calibri"/>
                <w:color w:val="auto"/>
                <w:sz w:val="17"/>
              </w:rPr>
              <w:t>Performance change after source loss or drift</w:t>
            </w:r>
          </w:p>
        </w:tc>
        <w:tc>
          <w:tcPr>
            <w:tcW w:w="3060" w:type="dxa"/>
            <w:vAlign w:val="center"/>
          </w:tcPr>
          <w:p w:rsidR="008E12D0" w:rsidRPr="00F87A7E" w:rsidRDefault="00EB4573">
            <w:pPr>
              <w:spacing w:after="40" w:line="259" w:lineRule="auto"/>
              <w:jc w:val="left"/>
              <w:rPr>
                <w:color w:val="auto"/>
              </w:rPr>
            </w:pPr>
            <w:r w:rsidRPr="00F87A7E">
              <w:rPr>
                <w:rFonts w:eastAsia="Calibri"/>
                <w:color w:val="auto"/>
                <w:sz w:val="17"/>
              </w:rPr>
              <w:t>Resilience</w:t>
            </w:r>
          </w:p>
        </w:tc>
      </w:tr>
    </w:tbl>
    <w:p w:rsidR="008E12D0" w:rsidRPr="00F87A7E" w:rsidRDefault="008E12D0">
      <w:pPr>
        <w:spacing w:after="40"/>
        <w:rPr>
          <w:color w:val="auto"/>
        </w:rPr>
      </w:pPr>
    </w:p>
    <w:p w:rsidR="008E12D0" w:rsidRPr="00F87A7E" w:rsidRDefault="00EB4573">
      <w:pPr>
        <w:rPr>
          <w:color w:val="auto"/>
        </w:rPr>
      </w:pPr>
      <w:r w:rsidRPr="00F87A7E">
        <w:rPr>
          <w:color w:val="auto"/>
        </w:rPr>
        <w:t>For RQ4, approximately six to ten security practitioners or postgraduate reviewers will compare de-identified score-only alerts with evidence cards. They will rate traceability, clarity, triage usefulness and perceived overreach on five-point scales and record short comments. This evaluation assesses presentation and decision support, not diagnostic accuracy or employee intent.</w:t>
      </w:r>
    </w:p>
    <w:p w:rsidR="008E12D0" w:rsidRPr="00F87A7E" w:rsidRDefault="00EB4573">
      <w:pPr>
        <w:pStyle w:val="Heading2"/>
        <w:rPr>
          <w:color w:val="auto"/>
        </w:rPr>
      </w:pPr>
      <w:r w:rsidRPr="00F87A7E">
        <w:rPr>
          <w:color w:val="auto"/>
        </w:rPr>
        <w:t>3.6 Ethics, Privacy and Data Governance</w:t>
      </w:r>
    </w:p>
    <w:p w:rsidR="008E12D0" w:rsidRPr="00F87A7E" w:rsidRDefault="00EB4573">
      <w:pPr>
        <w:rPr>
          <w:color w:val="auto"/>
        </w:rPr>
      </w:pPr>
      <w:r w:rsidRPr="00F87A7E">
        <w:rPr>
          <w:color w:val="auto"/>
        </w:rPr>
        <w:t>The synthetic CERT benchmark will be the default because it contains no real employees. Before any organisational data is accessed, the separate School of Architecture, Computing and Engineering ethics form must be approved and the data owner must authorise the exact fields, purpose, retention and users. The design follows data minimisation and privacy-risk management principles in the NIST Privacy Framework [20]. Direct identifiers will be replaced with study IDs; message bodies, keystrokes and personal content will be excluded; data will be encrypted at rest and access logged.</w:t>
      </w:r>
    </w:p>
    <w:p w:rsidR="008E12D0" w:rsidRPr="00F87A7E" w:rsidRDefault="00EB4573">
      <w:pPr>
        <w:rPr>
          <w:color w:val="auto"/>
        </w:rPr>
      </w:pPr>
      <w:r w:rsidRPr="00F87A7E">
        <w:rPr>
          <w:color w:val="auto"/>
        </w:rPr>
        <w:t>Evidence integrity will follow documented acquisition, hashing, provenance and controlled transformation practices consistent with NIST forensic guidance [21]. Results will be reported in aggregate, and small subgroups will not be compared. The system is research decision support only: no score may trigger automatic discipline, termination, surveillance expansion or accusation. Expert participants will receive an information sheet, provide consent and may withdraw before anonymised aggregation. Data will be retained only for the approved period and securely deleted according to the data-management plan.</w:t>
      </w:r>
    </w:p>
    <w:p w:rsidR="008E12D0" w:rsidRPr="00F87A7E" w:rsidRDefault="00EB4573">
      <w:pPr>
        <w:pStyle w:val="Heading1"/>
        <w:rPr>
          <w:color w:val="auto"/>
        </w:rPr>
      </w:pPr>
      <w:r w:rsidRPr="00F87A7E">
        <w:rPr>
          <w:color w:val="auto"/>
        </w:rPr>
        <w:t>4. Expected Outcomes and Limitations</w:t>
      </w:r>
    </w:p>
    <w:p w:rsidR="008E12D0" w:rsidRPr="00F87A7E" w:rsidRDefault="00EB4573">
      <w:pPr>
        <w:rPr>
          <w:color w:val="auto"/>
        </w:rPr>
      </w:pPr>
      <w:r w:rsidRPr="00F87A7E">
        <w:rPr>
          <w:color w:val="auto"/>
        </w:rPr>
        <w:t xml:space="preserve">The study is expected to produce: (1) a documented canonical schema and identity-time correlation pipeline; (2) an empirical comparison of rules, single-source, early-fusion, late-fusion and quality-aware fusion models; (3) quantified evidence about the value of temporal, relational and source-quality features; </w:t>
      </w:r>
      <w:r w:rsidRPr="00F87A7E">
        <w:rPr>
          <w:color w:val="auto"/>
        </w:rPr>
        <w:lastRenderedPageBreak/>
        <w:t>(4) a lead-time and alert-budget evaluation protocol; and (5) an analyst evidence card with governance controls. The anticipated result is not guaranteed superiority. A defensible negative finding—such as simple late fusion matching a graph model—would still identify where complexity is unnecessary.</w:t>
      </w:r>
    </w:p>
    <w:p w:rsidR="008E12D0" w:rsidRPr="00F87A7E" w:rsidRDefault="00EB4573">
      <w:pPr>
        <w:pStyle w:val="ListParagraph"/>
        <w:numPr>
          <w:ilvl w:val="0"/>
          <w:numId w:val="12"/>
        </w:numPr>
        <w:rPr>
          <w:color w:val="auto"/>
        </w:rPr>
      </w:pPr>
      <w:r w:rsidRPr="00F87A7E">
        <w:rPr>
          <w:color w:val="auto"/>
        </w:rPr>
        <w:t>Synthetic behaviour may not reproduce the organisational culture, tool diversity or adaptive adversaries found in deployment.</w:t>
      </w:r>
    </w:p>
    <w:p w:rsidR="008E12D0" w:rsidRPr="00F87A7E" w:rsidRDefault="00EB4573">
      <w:pPr>
        <w:pStyle w:val="ListParagraph"/>
        <w:numPr>
          <w:ilvl w:val="0"/>
          <w:numId w:val="12"/>
        </w:numPr>
        <w:rPr>
          <w:color w:val="auto"/>
        </w:rPr>
      </w:pPr>
      <w:r w:rsidRPr="00F87A7E">
        <w:rPr>
          <w:color w:val="auto"/>
        </w:rPr>
        <w:t>Labels identify scripted scenarios and cannot establish a person's intent; early-warning analysis is possible only where a scenario contains meaningful precursors.</w:t>
      </w:r>
    </w:p>
    <w:p w:rsidR="008E12D0" w:rsidRPr="00F87A7E" w:rsidRDefault="00EB4573">
      <w:pPr>
        <w:pStyle w:val="ListParagraph"/>
        <w:numPr>
          <w:ilvl w:val="0"/>
          <w:numId w:val="12"/>
        </w:numPr>
        <w:rPr>
          <w:color w:val="auto"/>
        </w:rPr>
      </w:pPr>
      <w:r w:rsidRPr="00F87A7E">
        <w:rPr>
          <w:color w:val="auto"/>
        </w:rPr>
        <w:t>Cross-release transfer improves external validity but does not substitute for authorised real-world validation.</w:t>
      </w:r>
    </w:p>
    <w:p w:rsidR="008E12D0" w:rsidRPr="00F87A7E" w:rsidRDefault="00EB4573">
      <w:pPr>
        <w:pStyle w:val="ListParagraph"/>
        <w:numPr>
          <w:ilvl w:val="0"/>
          <w:numId w:val="12"/>
        </w:numPr>
        <w:rPr>
          <w:color w:val="auto"/>
        </w:rPr>
      </w:pPr>
      <w:r w:rsidRPr="00F87A7E">
        <w:rPr>
          <w:color w:val="auto"/>
        </w:rPr>
        <w:t>Peer baselines can reproduce structural bias if roles are poorly defined or groups are small; subgroup outputs will therefore be audited and suppressed where unreliable.</w:t>
      </w:r>
    </w:p>
    <w:p w:rsidR="008E12D0" w:rsidRPr="00F87A7E" w:rsidRDefault="00EB4573">
      <w:pPr>
        <w:pStyle w:val="ListParagraph"/>
        <w:numPr>
          <w:ilvl w:val="0"/>
          <w:numId w:val="12"/>
        </w:numPr>
        <w:rPr>
          <w:color w:val="auto"/>
        </w:rPr>
      </w:pPr>
      <w:r w:rsidRPr="00F87A7E">
        <w:rPr>
          <w:color w:val="auto"/>
        </w:rPr>
        <w:t>Missing telemetry and clock error may limit correlation; robustness tests will measure rather than conceal this dependence.</w:t>
      </w:r>
    </w:p>
    <w:p w:rsidR="008E12D0" w:rsidRPr="00F87A7E" w:rsidRDefault="00EB4573">
      <w:pPr>
        <w:rPr>
          <w:color w:val="auto"/>
        </w:rPr>
      </w:pPr>
      <w:r w:rsidRPr="00F87A7E">
        <w:rPr>
          <w:color w:val="auto"/>
        </w:rPr>
        <w:t>These limitations will be managed through conservative claims, reproducible splits, ablations, confidence intervals, transparent failure reporting and a clear separation between anomalous evidence and conclusions about culpability.</w:t>
      </w:r>
    </w:p>
    <w:p w:rsidR="008E12D0" w:rsidRPr="00F87A7E" w:rsidRDefault="00EB4573">
      <w:pPr>
        <w:pStyle w:val="Heading1"/>
        <w:rPr>
          <w:color w:val="auto"/>
        </w:rPr>
      </w:pPr>
      <w:r w:rsidRPr="00F87A7E">
        <w:rPr>
          <w:color w:val="auto"/>
        </w:rPr>
        <w:t>References</w:t>
      </w:r>
    </w:p>
    <w:p w:rsidR="008E12D0" w:rsidRPr="00F87A7E" w:rsidRDefault="00EB4573">
      <w:pPr>
        <w:pStyle w:val="Reference"/>
      </w:pPr>
      <w:r w:rsidRPr="00F87A7E">
        <w:t>[1] Software Engineering Institute, "Common Sense Guide to Mitigating Insider Threats, Seventh Edition," Carnegie Mellon University, Pittsburgh, PA, USA, Sep. 2022. [Online]. Available: https://sei.cmu.edu/library/common-sense-guide-to-mitigating-insider-threats-seventh-edition/</w:t>
      </w:r>
    </w:p>
    <w:p w:rsidR="008E12D0" w:rsidRPr="00F87A7E" w:rsidRDefault="00EB4573">
      <w:pPr>
        <w:pStyle w:val="Reference"/>
      </w:pPr>
      <w:r w:rsidRPr="00F87A7E">
        <w:t>[2] Cybersecurity and Infrastructure Security Agency, "HR's Role in Preventing Insider Threats Fact Sheet," Jul. 29, 2024. [Online]. Available: https://www.cisa.gov/resources-tools/resources/hrs-role-preventing-insider-threats-fact-sheet</w:t>
      </w:r>
    </w:p>
    <w:p w:rsidR="008E12D0" w:rsidRPr="00F87A7E" w:rsidRDefault="00EB4573">
      <w:pPr>
        <w:pStyle w:val="Reference"/>
      </w:pPr>
      <w:r w:rsidRPr="00F87A7E">
        <w:t>[3] S. Yuan and X. Wu, "Deep learning for insider threat detection: Review, challenges and opportunities," Computers &amp; Security, vol. 104, art. no. 102221, 2021, doi: 10.1016/j.cose.2021.102221.</w:t>
      </w:r>
    </w:p>
    <w:p w:rsidR="008E12D0" w:rsidRPr="00F87A7E" w:rsidRDefault="00EB4573">
      <w:pPr>
        <w:pStyle w:val="Reference"/>
      </w:pPr>
      <w:r w:rsidRPr="00F87A7E">
        <w:t>[4] F. R. Alzaabi and A. Mehmood, "A review of recent advances, challenges, and opportunities in malicious insider threat detection using machine learning methods," IEEE Access, vol. 12, pp. 30907-30927, 2024, doi: 10.1109/ACCESS.2024.3369906.</w:t>
      </w:r>
    </w:p>
    <w:p w:rsidR="008E12D0" w:rsidRPr="00F87A7E" w:rsidRDefault="00EB4573">
      <w:pPr>
        <w:pStyle w:val="Reference"/>
      </w:pPr>
      <w:r w:rsidRPr="00F87A7E">
        <w:t>[5] H. Xiao, Y. Zhu, B. Zhang, Z. Lu, D. Du, and Y. Liu, "Unveiling shadows: A comprehensive framework for insider threat detection based on statistical and sequential analysis," Computers &amp; Security, vol. 138, art. no. 103665, 2024, doi: 10.1016/j.cose.2023.103665.</w:t>
      </w:r>
    </w:p>
    <w:p w:rsidR="008E12D0" w:rsidRPr="00F87A7E" w:rsidRDefault="00EB4573">
      <w:pPr>
        <w:pStyle w:val="Reference"/>
      </w:pPr>
      <w:r w:rsidRPr="00F87A7E">
        <w:t>[6] S. Song, N. Gao, Y. Zhang, and C. Ma, "BRITD: Behavior rhythm insider threat detection with time awareness and user adaptation," Cybersecurity, vol. 7, art. no. 2, 2024, doi: 10.1186/s42400-023-00190-9.</w:t>
      </w:r>
    </w:p>
    <w:p w:rsidR="008E12D0" w:rsidRPr="00F87A7E" w:rsidRDefault="00EB4573">
      <w:pPr>
        <w:pStyle w:val="Reference"/>
      </w:pPr>
      <w:r w:rsidRPr="00F87A7E">
        <w:t>[7] C. Zhang, G. Yang, T. Tian, B. Jiang, Z. Lu, and T. Guo, "BTITD: An insider threat detection method based on behavior-timestamp dual-stream network," Cybersecurity, vol. 9, art. no. 179, 2026, doi: 10.1186/s42400-026-00591-6.</w:t>
      </w:r>
    </w:p>
    <w:p w:rsidR="008E12D0" w:rsidRPr="00F87A7E" w:rsidRDefault="00EB4573">
      <w:pPr>
        <w:pStyle w:val="Reference"/>
      </w:pPr>
      <w:r w:rsidRPr="00F87A7E">
        <w:lastRenderedPageBreak/>
        <w:t>[8] P. Manoharan, W. Hong, J. Yin, H. Wang, Y. Zhang, and W. Ye, "Optimising insider threat prediction: Exploring BiLSTM networks and sequential features," Data Science and Engineering, vol. 9, no. 4, pp. 393-408, 2024, doi: 10.1007/s41019-024-00260-z.</w:t>
      </w:r>
    </w:p>
    <w:p w:rsidR="008E12D0" w:rsidRPr="00F87A7E" w:rsidRDefault="00EB4573">
      <w:pPr>
        <w:pStyle w:val="Reference"/>
      </w:pPr>
      <w:r w:rsidRPr="00F87A7E">
        <w:t>[9] Y. Gong, S. Cui, S. Liu, B. Jiang, C. Dong, and Z. Lu, "Graph-based insider threat detection: A survey," Computer Networks, vol. 254, art. no. 110757, 2024, doi: 10.1016/j.comnet.2024.110757.</w:t>
      </w:r>
    </w:p>
    <w:p w:rsidR="008E12D0" w:rsidRPr="00F87A7E" w:rsidRDefault="00EB4573">
      <w:pPr>
        <w:pStyle w:val="Reference"/>
      </w:pPr>
      <w:r w:rsidRPr="00F87A7E">
        <w:t>[10] W. Hong, J. Yin, M. You, H. Wang, J. Cao, J. Li, M. Liu, and C. Man, "A graph empowered insider threat detection framework based on daily activities," ISA Transactions, vol. 141, pp. 84-92, 2023, doi: 10.1016/j.isatra.2023.06.030.</w:t>
      </w:r>
    </w:p>
    <w:p w:rsidR="008E12D0" w:rsidRPr="00F87A7E" w:rsidRDefault="00EB4573">
      <w:pPr>
        <w:pStyle w:val="Reference"/>
      </w:pPr>
      <w:r w:rsidRPr="00F87A7E">
        <w:t>[11] K. C. Roy and G. Chen, "GraphCH: A deep framework for assessing cyber-human aspects in insider threat detection," IEEE Transactions on Dependable and Secure Computing, vol. 21, no. 5, pp. 4495-4509, 2024, doi: 10.1109/TDSC.2024.3353929.</w:t>
      </w:r>
    </w:p>
    <w:p w:rsidR="008E12D0" w:rsidRPr="00F87A7E" w:rsidRDefault="00EB4573">
      <w:pPr>
        <w:pStyle w:val="Reference"/>
      </w:pPr>
      <w:r w:rsidRPr="00F87A7E">
        <w:t>[12] K. Fei, J. Zhou, Y. Zhou, X. Gu, H. Fan, B. Li, W. Wang, and Y. Chen, "LaAeb: A comprehensive log-text analysis based approach for insider threat detection," Computers &amp; Security, vol. 148, art. no. 104126, 2025, doi: 10.1016/j.cose.2024.104126.</w:t>
      </w:r>
    </w:p>
    <w:p w:rsidR="008E12D0" w:rsidRPr="00F87A7E" w:rsidRDefault="00EB4573">
      <w:pPr>
        <w:pStyle w:val="Reference"/>
      </w:pPr>
      <w:r w:rsidRPr="00F87A7E">
        <w:t>[13] Z. Q. Wang and A. El Saddik, "DTITD: An intelligent insider threat detection framework based on digital twin and self-attention based deep learning models," IEEE Access, vol. 11, pp. 114013-114030, 2023, doi: 10.1109/ACCESS.2023.3324371.</w:t>
      </w:r>
    </w:p>
    <w:p w:rsidR="008E12D0" w:rsidRPr="00F87A7E" w:rsidRDefault="00EB4573">
      <w:pPr>
        <w:pStyle w:val="Reference"/>
      </w:pPr>
      <w:r w:rsidRPr="00F87A7E">
        <w:t>[14] D. C. Le and N. Zincir-Heywood, "Anomaly detection for insider threats using unsupervised ensembles," IEEE Transactions on Network and Service Management, vol. 18, no. 2, pp. 1152-1164, Jun. 2021, doi: 10.1109/TNSM.2021.3071928.</w:t>
      </w:r>
    </w:p>
    <w:p w:rsidR="008E12D0" w:rsidRPr="00F87A7E" w:rsidRDefault="00EB4573">
      <w:pPr>
        <w:pStyle w:val="Reference"/>
      </w:pPr>
      <w:r w:rsidRPr="00F87A7E">
        <w:t>[15] A. Jaiswal, P. Dwivedi, and R. K. Dewang, "Handling imbalance dataset issue in insider threat detection using machine learning methods," Computers and Electrical Engineering, vol. 120, art. no. 109726, 2024, doi: 10.1016/j.compeleceng.2024.109726.</w:t>
      </w:r>
    </w:p>
    <w:p w:rsidR="008E12D0" w:rsidRPr="00F87A7E" w:rsidRDefault="00EB4573">
      <w:pPr>
        <w:pStyle w:val="Reference"/>
      </w:pPr>
      <w:r w:rsidRPr="00F87A7E">
        <w:t>[16] M. Villarreal-Vasquez, G. Modelo-Howard, S. Dube, and B. Bhargava, "Hunting for insider threats using LSTM-based anomaly detection," IEEE Transactions on Dependable and Secure Computing, vol. 20, no. 1, pp. 451-462, Jan.-Feb. 2023, doi: 10.1109/TDSC.2021.3135639.</w:t>
      </w:r>
    </w:p>
    <w:p w:rsidR="008E12D0" w:rsidRPr="00F87A7E" w:rsidRDefault="00EB4573">
      <w:pPr>
        <w:pStyle w:val="Reference"/>
      </w:pPr>
      <w:r w:rsidRPr="00F87A7E">
        <w:t>[17] K. S. Alketbi and A. Mehmood, "A comprehensive survey of explainable artificial intelligence techniques for malicious insider threat detection," IEEE Access, vol. 13, pp. 121772-121798, 2025, doi: 10.1109/ACCESS.2025.3587114.</w:t>
      </w:r>
    </w:p>
    <w:p w:rsidR="008E12D0" w:rsidRPr="00F87A7E" w:rsidRDefault="00EB4573">
      <w:pPr>
        <w:pStyle w:val="Reference"/>
      </w:pPr>
      <w:r w:rsidRPr="00F87A7E">
        <w:t>[18] T. Tian, C. Zhang, B. Jiang, H. Feng, and Z. Lu, "Insider threat detection for specific threat scenarios," Cybersecurity, vol. 8, art. no. 17, 2025, doi: 10.1186/s42400-024-00321-w.</w:t>
      </w:r>
    </w:p>
    <w:p w:rsidR="008E12D0" w:rsidRPr="00F87A7E" w:rsidRDefault="00EB4573">
      <w:pPr>
        <w:pStyle w:val="Reference"/>
      </w:pPr>
      <w:r w:rsidRPr="00F87A7E">
        <w:t>[19] J. Glasser and B. Lindauer, "Bridging the gap: A pragmatic approach to generating insider threat data," in Proc. IEEE Security and Privacy Workshops, San Francisco, CA, USA, 2013, pp. 98-104, doi: 10.1109/SPW.2013.37.</w:t>
      </w:r>
    </w:p>
    <w:p w:rsidR="008E12D0" w:rsidRPr="00F87A7E" w:rsidRDefault="00EB4573">
      <w:pPr>
        <w:pStyle w:val="Reference"/>
      </w:pPr>
      <w:r w:rsidRPr="00F87A7E">
        <w:t>[20] K. Boeckl and N. Lefkovitz, "NIST Privacy Framework: A tool for improving privacy through enterprise risk management, Version 1.0," National Institute of Standards and Technology, Gaithersburg, MD, USA, NIST CSWP 01162020, 2020, doi: 10.6028/NIST.CSWP.01162020.</w:t>
      </w:r>
    </w:p>
    <w:p w:rsidR="008E12D0" w:rsidRPr="00F87A7E" w:rsidRDefault="00EB4573">
      <w:pPr>
        <w:pStyle w:val="Reference"/>
      </w:pPr>
      <w:r w:rsidRPr="00F87A7E">
        <w:t>[21] K. Kent, S. Chevalier, T. Grance, and H. Dang, "Guide to integrating forensic techniques into incident response," National Institute of Standards and Technology, Gaithersburg, MD, USA, NIST SP 800-86, 2006, doi: 10.6028/NIST.SP.800-86.</w:t>
      </w:r>
    </w:p>
    <w:p w:rsidR="008E12D0" w:rsidRPr="00F87A7E" w:rsidRDefault="00EB4573">
      <w:pPr>
        <w:rPr>
          <w:color w:val="auto"/>
        </w:rPr>
      </w:pPr>
      <w:r w:rsidRPr="00F87A7E">
        <w:rPr>
          <w:color w:val="auto"/>
        </w:rPr>
        <w:lastRenderedPageBreak/>
        <w:br w:type="page"/>
      </w:r>
    </w:p>
    <w:p w:rsidR="008E12D0" w:rsidRPr="00F87A7E" w:rsidRDefault="00EB4573">
      <w:pPr>
        <w:pStyle w:val="Heading1"/>
        <w:rPr>
          <w:color w:val="auto"/>
        </w:rPr>
      </w:pPr>
      <w:r w:rsidRPr="00F87A7E">
        <w:rPr>
          <w:color w:val="auto"/>
        </w:rPr>
        <w:lastRenderedPageBreak/>
        <w:t>Appendix A. Data-Source and Feature Dictionary</w:t>
      </w:r>
    </w:p>
    <w:p w:rsidR="008E12D0" w:rsidRPr="00F87A7E" w:rsidRDefault="00EB4573">
      <w:pPr>
        <w:pStyle w:val="Caption"/>
        <w:jc w:val="center"/>
        <w:rPr>
          <w:color w:val="auto"/>
        </w:rPr>
      </w:pPr>
      <w:r w:rsidRPr="00F87A7E">
        <w:rPr>
          <w:rFonts w:eastAsia="Calibri"/>
          <w:color w:val="auto"/>
        </w:rPr>
        <w:t>Table A1. Data-source and feature dictionary.</w:t>
      </w:r>
    </w:p>
    <w:tbl>
      <w:tblPr>
        <w:tblW w:w="9360" w:type="dxa"/>
        <w:tblInd w:w="120" w:type="dxa"/>
        <w:tblBorders>
          <w:top w:val="single" w:sz="4" w:space="0" w:color="B8C2CC"/>
          <w:left w:val="single" w:sz="4" w:space="0" w:color="B8C2CC"/>
          <w:bottom w:val="single" w:sz="4" w:space="0" w:color="B8C2CC"/>
          <w:right w:val="single" w:sz="4" w:space="0" w:color="B8C2CC"/>
          <w:insideH w:val="single" w:sz="4" w:space="0" w:color="B8C2CC"/>
          <w:insideV w:val="single" w:sz="4" w:space="0" w:color="B8C2CC"/>
        </w:tblBorders>
        <w:tblLayout w:type="fixed"/>
        <w:tblCellMar>
          <w:top w:w="90" w:type="dxa"/>
          <w:left w:w="120" w:type="dxa"/>
          <w:bottom w:w="90" w:type="dxa"/>
          <w:right w:w="120" w:type="dxa"/>
        </w:tblCellMar>
        <w:tblLook w:val="04A0" w:firstRow="1" w:lastRow="0" w:firstColumn="1" w:lastColumn="0" w:noHBand="0" w:noVBand="1"/>
      </w:tblPr>
      <w:tblGrid>
        <w:gridCol w:w="1900"/>
        <w:gridCol w:w="3490"/>
        <w:gridCol w:w="1760"/>
        <w:gridCol w:w="2210"/>
      </w:tblGrid>
      <w:tr w:rsidR="00F87A7E" w:rsidRPr="00F87A7E">
        <w:trPr>
          <w:tblHeader/>
        </w:trPr>
        <w:tc>
          <w:tcPr>
            <w:tcW w:w="190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6"/>
              </w:rPr>
              <w:t>Source</w:t>
            </w:r>
          </w:p>
        </w:tc>
        <w:tc>
          <w:tcPr>
            <w:tcW w:w="349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6"/>
              </w:rPr>
              <w:t>Candidate features</w:t>
            </w:r>
          </w:p>
        </w:tc>
        <w:tc>
          <w:tcPr>
            <w:tcW w:w="176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6"/>
              </w:rPr>
              <w:t>Join key</w:t>
            </w:r>
          </w:p>
        </w:tc>
        <w:tc>
          <w:tcPr>
            <w:tcW w:w="221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6"/>
              </w:rPr>
              <w:t>Control</w:t>
            </w:r>
          </w:p>
        </w:tc>
      </w:tr>
      <w:tr w:rsidR="00F87A7E" w:rsidRPr="00F87A7E">
        <w:tc>
          <w:tcPr>
            <w:tcW w:w="1900" w:type="dxa"/>
            <w:vAlign w:val="center"/>
          </w:tcPr>
          <w:p w:rsidR="008E12D0" w:rsidRPr="00F87A7E" w:rsidRDefault="00EB4573">
            <w:pPr>
              <w:spacing w:after="40" w:line="259" w:lineRule="auto"/>
              <w:jc w:val="left"/>
              <w:rPr>
                <w:color w:val="auto"/>
              </w:rPr>
            </w:pPr>
            <w:r w:rsidRPr="00F87A7E">
              <w:rPr>
                <w:rFonts w:eastAsia="Calibri"/>
                <w:b/>
                <w:color w:val="auto"/>
                <w:sz w:val="16"/>
              </w:rPr>
              <w:t>Authentication</w:t>
            </w:r>
          </w:p>
        </w:tc>
        <w:tc>
          <w:tcPr>
            <w:tcW w:w="3490" w:type="dxa"/>
            <w:vAlign w:val="center"/>
          </w:tcPr>
          <w:p w:rsidR="008E12D0" w:rsidRPr="00F87A7E" w:rsidRDefault="00EB4573">
            <w:pPr>
              <w:spacing w:after="40" w:line="259" w:lineRule="auto"/>
              <w:jc w:val="left"/>
              <w:rPr>
                <w:color w:val="auto"/>
              </w:rPr>
            </w:pPr>
            <w:r w:rsidRPr="00F87A7E">
              <w:rPr>
                <w:rFonts w:eastAsia="Calibri"/>
                <w:color w:val="auto"/>
                <w:sz w:val="16"/>
              </w:rPr>
              <w:t>logon count, failure ratio, remote flag, unusual hour</w:t>
            </w:r>
          </w:p>
        </w:tc>
        <w:tc>
          <w:tcPr>
            <w:tcW w:w="1760" w:type="dxa"/>
            <w:vAlign w:val="center"/>
          </w:tcPr>
          <w:p w:rsidR="008E12D0" w:rsidRPr="00F87A7E" w:rsidRDefault="00EB4573">
            <w:pPr>
              <w:spacing w:after="40" w:line="259" w:lineRule="auto"/>
              <w:jc w:val="left"/>
              <w:rPr>
                <w:color w:val="auto"/>
              </w:rPr>
            </w:pPr>
            <w:r w:rsidRPr="00F87A7E">
              <w:rPr>
                <w:rFonts w:eastAsia="Calibri"/>
                <w:color w:val="auto"/>
                <w:sz w:val="16"/>
              </w:rPr>
              <w:t>User/device/time</w:t>
            </w:r>
          </w:p>
        </w:tc>
        <w:tc>
          <w:tcPr>
            <w:tcW w:w="2210" w:type="dxa"/>
            <w:vAlign w:val="center"/>
          </w:tcPr>
          <w:p w:rsidR="008E12D0" w:rsidRPr="00F87A7E" w:rsidRDefault="00EB4573">
            <w:pPr>
              <w:spacing w:after="40" w:line="259" w:lineRule="auto"/>
              <w:jc w:val="left"/>
              <w:rPr>
                <w:color w:val="auto"/>
              </w:rPr>
            </w:pPr>
            <w:r w:rsidRPr="00F87A7E">
              <w:rPr>
                <w:rFonts w:eastAsia="Calibri"/>
                <w:color w:val="auto"/>
                <w:sz w:val="16"/>
              </w:rPr>
              <w:t>Clock normalised; missingness retained</w:t>
            </w:r>
          </w:p>
        </w:tc>
      </w:tr>
      <w:tr w:rsidR="00F87A7E" w:rsidRPr="00F87A7E">
        <w:tc>
          <w:tcPr>
            <w:tcW w:w="1900" w:type="dxa"/>
            <w:vAlign w:val="center"/>
          </w:tcPr>
          <w:p w:rsidR="008E12D0" w:rsidRPr="00F87A7E" w:rsidRDefault="00EB4573">
            <w:pPr>
              <w:spacing w:after="40" w:line="259" w:lineRule="auto"/>
              <w:jc w:val="left"/>
              <w:rPr>
                <w:color w:val="auto"/>
              </w:rPr>
            </w:pPr>
            <w:r w:rsidRPr="00F87A7E">
              <w:rPr>
                <w:rFonts w:eastAsia="Calibri"/>
                <w:b/>
                <w:color w:val="auto"/>
                <w:sz w:val="16"/>
              </w:rPr>
              <w:t>Endpoint/device</w:t>
            </w:r>
          </w:p>
        </w:tc>
        <w:tc>
          <w:tcPr>
            <w:tcW w:w="3490" w:type="dxa"/>
            <w:vAlign w:val="center"/>
          </w:tcPr>
          <w:p w:rsidR="008E12D0" w:rsidRPr="00F87A7E" w:rsidRDefault="00EB4573">
            <w:pPr>
              <w:spacing w:after="40" w:line="259" w:lineRule="auto"/>
              <w:jc w:val="left"/>
              <w:rPr>
                <w:color w:val="auto"/>
              </w:rPr>
            </w:pPr>
            <w:r w:rsidRPr="00F87A7E">
              <w:rPr>
                <w:rFonts w:eastAsia="Calibri"/>
                <w:color w:val="auto"/>
                <w:sz w:val="16"/>
              </w:rPr>
              <w:t>USB events, new device, endpoint anomaly count</w:t>
            </w:r>
          </w:p>
        </w:tc>
        <w:tc>
          <w:tcPr>
            <w:tcW w:w="1760" w:type="dxa"/>
            <w:vAlign w:val="center"/>
          </w:tcPr>
          <w:p w:rsidR="008E12D0" w:rsidRPr="00F87A7E" w:rsidRDefault="00EB4573">
            <w:pPr>
              <w:spacing w:after="40" w:line="259" w:lineRule="auto"/>
              <w:jc w:val="left"/>
              <w:rPr>
                <w:color w:val="auto"/>
              </w:rPr>
            </w:pPr>
            <w:r w:rsidRPr="00F87A7E">
              <w:rPr>
                <w:rFonts w:eastAsia="Calibri"/>
                <w:color w:val="auto"/>
                <w:sz w:val="16"/>
              </w:rPr>
              <w:t>User/device/time</w:t>
            </w:r>
          </w:p>
        </w:tc>
        <w:tc>
          <w:tcPr>
            <w:tcW w:w="2210" w:type="dxa"/>
            <w:vAlign w:val="center"/>
          </w:tcPr>
          <w:p w:rsidR="008E12D0" w:rsidRPr="00F87A7E" w:rsidRDefault="00EB4573">
            <w:pPr>
              <w:spacing w:after="40" w:line="259" w:lineRule="auto"/>
              <w:jc w:val="left"/>
              <w:rPr>
                <w:color w:val="auto"/>
              </w:rPr>
            </w:pPr>
            <w:r w:rsidRPr="00F87A7E">
              <w:rPr>
                <w:rFonts w:eastAsia="Calibri"/>
                <w:color w:val="auto"/>
                <w:sz w:val="16"/>
              </w:rPr>
              <w:t>No file content collected</w:t>
            </w:r>
          </w:p>
        </w:tc>
      </w:tr>
      <w:tr w:rsidR="00F87A7E" w:rsidRPr="00F87A7E">
        <w:tc>
          <w:tcPr>
            <w:tcW w:w="1900" w:type="dxa"/>
            <w:vAlign w:val="center"/>
          </w:tcPr>
          <w:p w:rsidR="008E12D0" w:rsidRPr="00F87A7E" w:rsidRDefault="00EB4573">
            <w:pPr>
              <w:spacing w:after="40" w:line="259" w:lineRule="auto"/>
              <w:jc w:val="left"/>
              <w:rPr>
                <w:color w:val="auto"/>
              </w:rPr>
            </w:pPr>
            <w:r w:rsidRPr="00F87A7E">
              <w:rPr>
                <w:rFonts w:eastAsia="Calibri"/>
                <w:b/>
                <w:color w:val="auto"/>
                <w:sz w:val="16"/>
              </w:rPr>
              <w:t>File/data</w:t>
            </w:r>
          </w:p>
        </w:tc>
        <w:tc>
          <w:tcPr>
            <w:tcW w:w="3490" w:type="dxa"/>
            <w:vAlign w:val="center"/>
          </w:tcPr>
          <w:p w:rsidR="008E12D0" w:rsidRPr="00F87A7E" w:rsidRDefault="00EB4573">
            <w:pPr>
              <w:spacing w:after="40" w:line="259" w:lineRule="auto"/>
              <w:jc w:val="left"/>
              <w:rPr>
                <w:color w:val="auto"/>
              </w:rPr>
            </w:pPr>
            <w:r w:rsidRPr="00F87A7E">
              <w:rPr>
                <w:rFonts w:eastAsia="Calibri"/>
                <w:color w:val="auto"/>
                <w:sz w:val="16"/>
              </w:rPr>
              <w:t>read/write count, volume, resource novelty/diversity</w:t>
            </w:r>
          </w:p>
        </w:tc>
        <w:tc>
          <w:tcPr>
            <w:tcW w:w="1760" w:type="dxa"/>
            <w:vAlign w:val="center"/>
          </w:tcPr>
          <w:p w:rsidR="008E12D0" w:rsidRPr="00F87A7E" w:rsidRDefault="00EB4573">
            <w:pPr>
              <w:spacing w:after="40" w:line="259" w:lineRule="auto"/>
              <w:jc w:val="left"/>
              <w:rPr>
                <w:color w:val="auto"/>
              </w:rPr>
            </w:pPr>
            <w:r w:rsidRPr="00F87A7E">
              <w:rPr>
                <w:rFonts w:eastAsia="Calibri"/>
                <w:color w:val="auto"/>
                <w:sz w:val="16"/>
              </w:rPr>
              <w:t>User/resource/time</w:t>
            </w:r>
          </w:p>
        </w:tc>
        <w:tc>
          <w:tcPr>
            <w:tcW w:w="2210" w:type="dxa"/>
            <w:vAlign w:val="center"/>
          </w:tcPr>
          <w:p w:rsidR="008E12D0" w:rsidRPr="00F87A7E" w:rsidRDefault="00EB4573">
            <w:pPr>
              <w:spacing w:after="40" w:line="259" w:lineRule="auto"/>
              <w:jc w:val="left"/>
              <w:rPr>
                <w:color w:val="auto"/>
              </w:rPr>
            </w:pPr>
            <w:r w:rsidRPr="00F87A7E">
              <w:rPr>
                <w:rFonts w:eastAsia="Calibri"/>
                <w:color w:val="auto"/>
                <w:sz w:val="16"/>
              </w:rPr>
              <w:t>Sensitivity proxy documented</w:t>
            </w:r>
          </w:p>
        </w:tc>
      </w:tr>
      <w:tr w:rsidR="00F87A7E" w:rsidRPr="00F87A7E">
        <w:tc>
          <w:tcPr>
            <w:tcW w:w="1900" w:type="dxa"/>
            <w:vAlign w:val="center"/>
          </w:tcPr>
          <w:p w:rsidR="008E12D0" w:rsidRPr="00F87A7E" w:rsidRDefault="00EB4573">
            <w:pPr>
              <w:spacing w:after="40" w:line="259" w:lineRule="auto"/>
              <w:jc w:val="left"/>
              <w:rPr>
                <w:color w:val="auto"/>
              </w:rPr>
            </w:pPr>
            <w:r w:rsidRPr="00F87A7E">
              <w:rPr>
                <w:rFonts w:eastAsia="Calibri"/>
                <w:b/>
                <w:color w:val="auto"/>
                <w:sz w:val="16"/>
              </w:rPr>
              <w:t>Network/web</w:t>
            </w:r>
          </w:p>
        </w:tc>
        <w:tc>
          <w:tcPr>
            <w:tcW w:w="3490" w:type="dxa"/>
            <w:vAlign w:val="center"/>
          </w:tcPr>
          <w:p w:rsidR="008E12D0" w:rsidRPr="00F87A7E" w:rsidRDefault="00EB4573">
            <w:pPr>
              <w:spacing w:after="40" w:line="259" w:lineRule="auto"/>
              <w:jc w:val="left"/>
              <w:rPr>
                <w:color w:val="auto"/>
              </w:rPr>
            </w:pPr>
            <w:r w:rsidRPr="00F87A7E">
              <w:rPr>
                <w:rFonts w:eastAsia="Calibri"/>
                <w:color w:val="auto"/>
                <w:sz w:val="16"/>
              </w:rPr>
              <w:t>destination novelty, upload volume, category</w:t>
            </w:r>
          </w:p>
        </w:tc>
        <w:tc>
          <w:tcPr>
            <w:tcW w:w="1760" w:type="dxa"/>
            <w:vAlign w:val="center"/>
          </w:tcPr>
          <w:p w:rsidR="008E12D0" w:rsidRPr="00F87A7E" w:rsidRDefault="00EB4573">
            <w:pPr>
              <w:spacing w:after="40" w:line="259" w:lineRule="auto"/>
              <w:jc w:val="left"/>
              <w:rPr>
                <w:color w:val="auto"/>
              </w:rPr>
            </w:pPr>
            <w:r w:rsidRPr="00F87A7E">
              <w:rPr>
                <w:rFonts w:eastAsia="Calibri"/>
                <w:color w:val="auto"/>
                <w:sz w:val="16"/>
              </w:rPr>
              <w:t>User/device/time</w:t>
            </w:r>
          </w:p>
        </w:tc>
        <w:tc>
          <w:tcPr>
            <w:tcW w:w="2210" w:type="dxa"/>
            <w:vAlign w:val="center"/>
          </w:tcPr>
          <w:p w:rsidR="008E12D0" w:rsidRPr="00F87A7E" w:rsidRDefault="00EB4573">
            <w:pPr>
              <w:spacing w:after="40" w:line="259" w:lineRule="auto"/>
              <w:jc w:val="left"/>
              <w:rPr>
                <w:color w:val="auto"/>
              </w:rPr>
            </w:pPr>
            <w:r w:rsidRPr="00F87A7E">
              <w:rPr>
                <w:rFonts w:eastAsia="Calibri"/>
                <w:color w:val="auto"/>
                <w:sz w:val="16"/>
              </w:rPr>
              <w:t>No payload inspection</w:t>
            </w:r>
          </w:p>
        </w:tc>
      </w:tr>
      <w:tr w:rsidR="00F87A7E" w:rsidRPr="00F87A7E">
        <w:tc>
          <w:tcPr>
            <w:tcW w:w="1900" w:type="dxa"/>
            <w:vAlign w:val="center"/>
          </w:tcPr>
          <w:p w:rsidR="008E12D0" w:rsidRPr="00F87A7E" w:rsidRDefault="00EB4573">
            <w:pPr>
              <w:spacing w:after="40" w:line="259" w:lineRule="auto"/>
              <w:jc w:val="left"/>
              <w:rPr>
                <w:color w:val="auto"/>
              </w:rPr>
            </w:pPr>
            <w:r w:rsidRPr="00F87A7E">
              <w:rPr>
                <w:rFonts w:eastAsia="Calibri"/>
                <w:b/>
                <w:color w:val="auto"/>
                <w:sz w:val="16"/>
              </w:rPr>
              <w:t>Communication</w:t>
            </w:r>
          </w:p>
        </w:tc>
        <w:tc>
          <w:tcPr>
            <w:tcW w:w="3490" w:type="dxa"/>
            <w:vAlign w:val="center"/>
          </w:tcPr>
          <w:p w:rsidR="008E12D0" w:rsidRPr="00F87A7E" w:rsidRDefault="00EB4573">
            <w:pPr>
              <w:spacing w:after="40" w:line="259" w:lineRule="auto"/>
              <w:jc w:val="left"/>
              <w:rPr>
                <w:color w:val="auto"/>
              </w:rPr>
            </w:pPr>
            <w:r w:rsidRPr="00F87A7E">
              <w:rPr>
                <w:rFonts w:eastAsia="Calibri"/>
                <w:color w:val="auto"/>
                <w:sz w:val="16"/>
              </w:rPr>
              <w:t>external-domain count, attachment indicator, new contact</w:t>
            </w:r>
          </w:p>
        </w:tc>
        <w:tc>
          <w:tcPr>
            <w:tcW w:w="1760" w:type="dxa"/>
            <w:vAlign w:val="center"/>
          </w:tcPr>
          <w:p w:rsidR="008E12D0" w:rsidRPr="00F87A7E" w:rsidRDefault="00EB4573">
            <w:pPr>
              <w:spacing w:after="40" w:line="259" w:lineRule="auto"/>
              <w:jc w:val="left"/>
              <w:rPr>
                <w:color w:val="auto"/>
              </w:rPr>
            </w:pPr>
            <w:r w:rsidRPr="00F87A7E">
              <w:rPr>
                <w:rFonts w:eastAsia="Calibri"/>
                <w:color w:val="auto"/>
                <w:sz w:val="16"/>
              </w:rPr>
              <w:t>User/contact/time</w:t>
            </w:r>
          </w:p>
        </w:tc>
        <w:tc>
          <w:tcPr>
            <w:tcW w:w="2210" w:type="dxa"/>
            <w:vAlign w:val="center"/>
          </w:tcPr>
          <w:p w:rsidR="008E12D0" w:rsidRPr="00F87A7E" w:rsidRDefault="00EB4573">
            <w:pPr>
              <w:spacing w:after="40" w:line="259" w:lineRule="auto"/>
              <w:jc w:val="left"/>
              <w:rPr>
                <w:color w:val="auto"/>
              </w:rPr>
            </w:pPr>
            <w:r w:rsidRPr="00F87A7E">
              <w:rPr>
                <w:rFonts w:eastAsia="Calibri"/>
                <w:color w:val="auto"/>
                <w:sz w:val="16"/>
              </w:rPr>
              <w:t>Metadata only; no message body</w:t>
            </w:r>
          </w:p>
        </w:tc>
      </w:tr>
      <w:tr w:rsidR="00F87A7E" w:rsidRPr="00F87A7E">
        <w:tc>
          <w:tcPr>
            <w:tcW w:w="1900" w:type="dxa"/>
            <w:vAlign w:val="center"/>
          </w:tcPr>
          <w:p w:rsidR="008E12D0" w:rsidRPr="00F87A7E" w:rsidRDefault="00EB4573">
            <w:pPr>
              <w:spacing w:after="40" w:line="259" w:lineRule="auto"/>
              <w:jc w:val="left"/>
              <w:rPr>
                <w:color w:val="auto"/>
              </w:rPr>
            </w:pPr>
            <w:r w:rsidRPr="00F87A7E">
              <w:rPr>
                <w:rFonts w:eastAsia="Calibri"/>
                <w:b/>
                <w:color w:val="auto"/>
                <w:sz w:val="16"/>
              </w:rPr>
              <w:t>Role/peer</w:t>
            </w:r>
          </w:p>
        </w:tc>
        <w:tc>
          <w:tcPr>
            <w:tcW w:w="3490" w:type="dxa"/>
            <w:vAlign w:val="center"/>
          </w:tcPr>
          <w:p w:rsidR="008E12D0" w:rsidRPr="00F87A7E" w:rsidRDefault="00EB4573">
            <w:pPr>
              <w:spacing w:after="40" w:line="259" w:lineRule="auto"/>
              <w:jc w:val="left"/>
              <w:rPr>
                <w:color w:val="auto"/>
              </w:rPr>
            </w:pPr>
            <w:r w:rsidRPr="00F87A7E">
              <w:rPr>
                <w:rFonts w:eastAsia="Calibri"/>
                <w:color w:val="auto"/>
                <w:sz w:val="16"/>
              </w:rPr>
              <w:t>role, team, employment change, peer cohort</w:t>
            </w:r>
          </w:p>
        </w:tc>
        <w:tc>
          <w:tcPr>
            <w:tcW w:w="1760" w:type="dxa"/>
            <w:vAlign w:val="center"/>
          </w:tcPr>
          <w:p w:rsidR="008E12D0" w:rsidRPr="00F87A7E" w:rsidRDefault="00EB4573">
            <w:pPr>
              <w:spacing w:after="40" w:line="259" w:lineRule="auto"/>
              <w:jc w:val="left"/>
              <w:rPr>
                <w:color w:val="auto"/>
              </w:rPr>
            </w:pPr>
            <w:r w:rsidRPr="00F87A7E">
              <w:rPr>
                <w:rFonts w:eastAsia="Calibri"/>
                <w:color w:val="auto"/>
                <w:sz w:val="16"/>
              </w:rPr>
              <w:t>Pseudonymous user</w:t>
            </w:r>
          </w:p>
        </w:tc>
        <w:tc>
          <w:tcPr>
            <w:tcW w:w="2210" w:type="dxa"/>
            <w:vAlign w:val="center"/>
          </w:tcPr>
          <w:p w:rsidR="008E12D0" w:rsidRPr="00F87A7E" w:rsidRDefault="00EB4573">
            <w:pPr>
              <w:spacing w:after="40" w:line="259" w:lineRule="auto"/>
              <w:jc w:val="left"/>
              <w:rPr>
                <w:color w:val="auto"/>
              </w:rPr>
            </w:pPr>
            <w:r w:rsidRPr="00F87A7E">
              <w:rPr>
                <w:rFonts w:eastAsia="Calibri"/>
                <w:color w:val="auto"/>
                <w:sz w:val="16"/>
              </w:rPr>
              <w:t>Minimum group-size rule</w:t>
            </w:r>
          </w:p>
        </w:tc>
      </w:tr>
      <w:tr w:rsidR="008E12D0" w:rsidRPr="00F87A7E">
        <w:tc>
          <w:tcPr>
            <w:tcW w:w="1900" w:type="dxa"/>
            <w:vAlign w:val="center"/>
          </w:tcPr>
          <w:p w:rsidR="008E12D0" w:rsidRPr="00F87A7E" w:rsidRDefault="00EB4573">
            <w:pPr>
              <w:spacing w:after="40" w:line="259" w:lineRule="auto"/>
              <w:jc w:val="left"/>
              <w:rPr>
                <w:color w:val="auto"/>
              </w:rPr>
            </w:pPr>
            <w:r w:rsidRPr="00F87A7E">
              <w:rPr>
                <w:rFonts w:eastAsia="Calibri"/>
                <w:b/>
                <w:color w:val="auto"/>
                <w:sz w:val="16"/>
              </w:rPr>
              <w:t>Quality</w:t>
            </w:r>
          </w:p>
        </w:tc>
        <w:tc>
          <w:tcPr>
            <w:tcW w:w="3490" w:type="dxa"/>
            <w:vAlign w:val="center"/>
          </w:tcPr>
          <w:p w:rsidR="008E12D0" w:rsidRPr="00F87A7E" w:rsidRDefault="00EB4573">
            <w:pPr>
              <w:spacing w:after="40" w:line="259" w:lineRule="auto"/>
              <w:jc w:val="left"/>
              <w:rPr>
                <w:color w:val="auto"/>
              </w:rPr>
            </w:pPr>
            <w:r w:rsidRPr="00F87A7E">
              <w:rPr>
                <w:rFonts w:eastAsia="Calibri"/>
                <w:color w:val="auto"/>
                <w:sz w:val="16"/>
              </w:rPr>
              <w:t>source present, delay, parse error, ambiguous identity</w:t>
            </w:r>
          </w:p>
        </w:tc>
        <w:tc>
          <w:tcPr>
            <w:tcW w:w="1760" w:type="dxa"/>
            <w:vAlign w:val="center"/>
          </w:tcPr>
          <w:p w:rsidR="008E12D0" w:rsidRPr="00F87A7E" w:rsidRDefault="00EB4573">
            <w:pPr>
              <w:spacing w:after="40" w:line="259" w:lineRule="auto"/>
              <w:jc w:val="left"/>
              <w:rPr>
                <w:color w:val="auto"/>
              </w:rPr>
            </w:pPr>
            <w:r w:rsidRPr="00F87A7E">
              <w:rPr>
                <w:rFonts w:eastAsia="Calibri"/>
                <w:color w:val="auto"/>
                <w:sz w:val="16"/>
              </w:rPr>
              <w:t>Source/user-day</w:t>
            </w:r>
          </w:p>
        </w:tc>
        <w:tc>
          <w:tcPr>
            <w:tcW w:w="2210" w:type="dxa"/>
            <w:vAlign w:val="center"/>
          </w:tcPr>
          <w:p w:rsidR="008E12D0" w:rsidRPr="00F87A7E" w:rsidRDefault="00EB4573">
            <w:pPr>
              <w:spacing w:after="40" w:line="259" w:lineRule="auto"/>
              <w:jc w:val="left"/>
              <w:rPr>
                <w:color w:val="auto"/>
              </w:rPr>
            </w:pPr>
            <w:r w:rsidRPr="00F87A7E">
              <w:rPr>
                <w:rFonts w:eastAsia="Calibri"/>
                <w:color w:val="auto"/>
                <w:sz w:val="16"/>
              </w:rPr>
              <w:t>Used by fusion and uncertainty</w:t>
            </w:r>
          </w:p>
        </w:tc>
      </w:tr>
    </w:tbl>
    <w:p w:rsidR="008E12D0" w:rsidRPr="00F87A7E" w:rsidRDefault="008E12D0">
      <w:pPr>
        <w:spacing w:after="40"/>
        <w:rPr>
          <w:color w:val="auto"/>
        </w:rPr>
      </w:pPr>
    </w:p>
    <w:p w:rsidR="008E12D0" w:rsidRPr="00F87A7E" w:rsidRDefault="00EB4573">
      <w:pPr>
        <w:pStyle w:val="Heading1"/>
        <w:rPr>
          <w:color w:val="auto"/>
        </w:rPr>
      </w:pPr>
      <w:r w:rsidRPr="00F87A7E">
        <w:rPr>
          <w:color w:val="auto"/>
        </w:rPr>
        <w:t>Appendix B. Experimental Matrix</w:t>
      </w:r>
    </w:p>
    <w:p w:rsidR="008E12D0" w:rsidRPr="00F87A7E" w:rsidRDefault="00EB4573">
      <w:pPr>
        <w:pStyle w:val="Caption"/>
        <w:jc w:val="center"/>
        <w:rPr>
          <w:color w:val="auto"/>
        </w:rPr>
      </w:pPr>
      <w:r w:rsidRPr="00F87A7E">
        <w:rPr>
          <w:rFonts w:eastAsia="Calibri"/>
          <w:color w:val="auto"/>
        </w:rPr>
        <w:t>Table B1. Experimental matrix.</w:t>
      </w:r>
    </w:p>
    <w:tbl>
      <w:tblPr>
        <w:tblW w:w="9360" w:type="dxa"/>
        <w:tblInd w:w="120" w:type="dxa"/>
        <w:tblBorders>
          <w:top w:val="single" w:sz="4" w:space="0" w:color="B8C2CC"/>
          <w:left w:val="single" w:sz="4" w:space="0" w:color="B8C2CC"/>
          <w:bottom w:val="single" w:sz="4" w:space="0" w:color="B8C2CC"/>
          <w:right w:val="single" w:sz="4" w:space="0" w:color="B8C2CC"/>
          <w:insideH w:val="single" w:sz="4" w:space="0" w:color="B8C2CC"/>
          <w:insideV w:val="single" w:sz="4" w:space="0" w:color="B8C2CC"/>
        </w:tblBorders>
        <w:tblLayout w:type="fixed"/>
        <w:tblCellMar>
          <w:top w:w="90" w:type="dxa"/>
          <w:left w:w="120" w:type="dxa"/>
          <w:bottom w:w="90" w:type="dxa"/>
          <w:right w:w="120" w:type="dxa"/>
        </w:tblCellMar>
        <w:tblLook w:val="04A0" w:firstRow="1" w:lastRow="0" w:firstColumn="1" w:lastColumn="0" w:noHBand="0" w:noVBand="1"/>
      </w:tblPr>
      <w:tblGrid>
        <w:gridCol w:w="1600"/>
        <w:gridCol w:w="2600"/>
        <w:gridCol w:w="2440"/>
        <w:gridCol w:w="2720"/>
      </w:tblGrid>
      <w:tr w:rsidR="00F87A7E" w:rsidRPr="00F87A7E">
        <w:trPr>
          <w:tblHeader/>
        </w:trPr>
        <w:tc>
          <w:tcPr>
            <w:tcW w:w="160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6"/>
              </w:rPr>
              <w:t>Experiment</w:t>
            </w:r>
          </w:p>
        </w:tc>
        <w:tc>
          <w:tcPr>
            <w:tcW w:w="260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6"/>
              </w:rPr>
              <w:t>Test condition</w:t>
            </w:r>
          </w:p>
        </w:tc>
        <w:tc>
          <w:tcPr>
            <w:tcW w:w="244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6"/>
              </w:rPr>
              <w:t>Comparison</w:t>
            </w:r>
          </w:p>
        </w:tc>
        <w:tc>
          <w:tcPr>
            <w:tcW w:w="2720" w:type="dxa"/>
            <w:shd w:val="clear" w:color="auto" w:fill="E8F0F7"/>
            <w:vAlign w:val="center"/>
          </w:tcPr>
          <w:p w:rsidR="008E12D0" w:rsidRPr="00F87A7E" w:rsidRDefault="00EB4573">
            <w:pPr>
              <w:spacing w:after="40" w:line="259" w:lineRule="auto"/>
              <w:jc w:val="left"/>
              <w:rPr>
                <w:color w:val="auto"/>
              </w:rPr>
            </w:pPr>
            <w:r w:rsidRPr="00F87A7E">
              <w:rPr>
                <w:rFonts w:eastAsia="Calibri"/>
                <w:b/>
                <w:color w:val="auto"/>
                <w:sz w:val="16"/>
              </w:rPr>
              <w:t>Reported outcome</w:t>
            </w:r>
          </w:p>
        </w:tc>
      </w:tr>
      <w:tr w:rsidR="00F87A7E" w:rsidRPr="00F87A7E">
        <w:tc>
          <w:tcPr>
            <w:tcW w:w="1600" w:type="dxa"/>
            <w:vAlign w:val="center"/>
          </w:tcPr>
          <w:p w:rsidR="008E12D0" w:rsidRPr="00F87A7E" w:rsidRDefault="00EB4573">
            <w:pPr>
              <w:spacing w:after="40" w:line="259" w:lineRule="auto"/>
              <w:jc w:val="left"/>
              <w:rPr>
                <w:color w:val="auto"/>
              </w:rPr>
            </w:pPr>
            <w:r w:rsidRPr="00F87A7E">
              <w:rPr>
                <w:rFonts w:eastAsia="Calibri"/>
                <w:b/>
                <w:color w:val="auto"/>
                <w:sz w:val="16"/>
              </w:rPr>
              <w:t>Primary</w:t>
            </w:r>
          </w:p>
        </w:tc>
        <w:tc>
          <w:tcPr>
            <w:tcW w:w="2600" w:type="dxa"/>
            <w:vAlign w:val="center"/>
          </w:tcPr>
          <w:p w:rsidR="008E12D0" w:rsidRPr="00F87A7E" w:rsidRDefault="00EB4573">
            <w:pPr>
              <w:spacing w:after="40" w:line="259" w:lineRule="auto"/>
              <w:jc w:val="left"/>
              <w:rPr>
                <w:color w:val="auto"/>
              </w:rPr>
            </w:pPr>
            <w:r w:rsidRPr="00F87A7E">
              <w:rPr>
                <w:rFonts w:eastAsia="Calibri"/>
                <w:color w:val="auto"/>
                <w:sz w:val="16"/>
              </w:rPr>
              <w:t>Frozen within-release test</w:t>
            </w:r>
          </w:p>
        </w:tc>
        <w:tc>
          <w:tcPr>
            <w:tcW w:w="2440" w:type="dxa"/>
            <w:vAlign w:val="center"/>
          </w:tcPr>
          <w:p w:rsidR="008E12D0" w:rsidRPr="00F87A7E" w:rsidRDefault="00EB4573">
            <w:pPr>
              <w:spacing w:after="40" w:line="259" w:lineRule="auto"/>
              <w:jc w:val="left"/>
              <w:rPr>
                <w:color w:val="auto"/>
              </w:rPr>
            </w:pPr>
            <w:r w:rsidRPr="00F87A7E">
              <w:rPr>
                <w:rFonts w:eastAsia="Calibri"/>
                <w:color w:val="auto"/>
                <w:sz w:val="16"/>
              </w:rPr>
              <w:t>All models</w:t>
            </w:r>
          </w:p>
        </w:tc>
        <w:tc>
          <w:tcPr>
            <w:tcW w:w="2720" w:type="dxa"/>
            <w:vAlign w:val="center"/>
          </w:tcPr>
          <w:p w:rsidR="008E12D0" w:rsidRPr="00F87A7E" w:rsidRDefault="00EB4573">
            <w:pPr>
              <w:spacing w:after="40" w:line="259" w:lineRule="auto"/>
              <w:jc w:val="left"/>
              <w:rPr>
                <w:color w:val="auto"/>
              </w:rPr>
            </w:pPr>
            <w:r w:rsidRPr="00F87A7E">
              <w:rPr>
                <w:rFonts w:eastAsia="Calibri"/>
                <w:color w:val="auto"/>
                <w:sz w:val="16"/>
              </w:rPr>
              <w:t>PR-AUC, recall at budget, FP/1,000, ECE</w:t>
            </w:r>
          </w:p>
        </w:tc>
      </w:tr>
      <w:tr w:rsidR="00F87A7E" w:rsidRPr="00F87A7E">
        <w:tc>
          <w:tcPr>
            <w:tcW w:w="1600" w:type="dxa"/>
            <w:vAlign w:val="center"/>
          </w:tcPr>
          <w:p w:rsidR="008E12D0" w:rsidRPr="00F87A7E" w:rsidRDefault="00EB4573">
            <w:pPr>
              <w:spacing w:after="40" w:line="259" w:lineRule="auto"/>
              <w:jc w:val="left"/>
              <w:rPr>
                <w:color w:val="auto"/>
              </w:rPr>
            </w:pPr>
            <w:r w:rsidRPr="00F87A7E">
              <w:rPr>
                <w:rFonts w:eastAsia="Calibri"/>
                <w:b/>
                <w:color w:val="auto"/>
                <w:sz w:val="16"/>
              </w:rPr>
              <w:t>Temporal</w:t>
            </w:r>
          </w:p>
        </w:tc>
        <w:tc>
          <w:tcPr>
            <w:tcW w:w="2600" w:type="dxa"/>
            <w:vAlign w:val="center"/>
          </w:tcPr>
          <w:p w:rsidR="008E12D0" w:rsidRPr="00F87A7E" w:rsidRDefault="00EB4573">
            <w:pPr>
              <w:spacing w:after="40" w:line="259" w:lineRule="auto"/>
              <w:jc w:val="left"/>
              <w:rPr>
                <w:color w:val="auto"/>
              </w:rPr>
            </w:pPr>
            <w:r w:rsidRPr="00F87A7E">
              <w:rPr>
                <w:rFonts w:eastAsia="Calibri"/>
                <w:color w:val="auto"/>
                <w:sz w:val="16"/>
              </w:rPr>
              <w:t>Pre-terminal scenario windows</w:t>
            </w:r>
          </w:p>
        </w:tc>
        <w:tc>
          <w:tcPr>
            <w:tcW w:w="2440" w:type="dxa"/>
            <w:vAlign w:val="center"/>
          </w:tcPr>
          <w:p w:rsidR="008E12D0" w:rsidRPr="00F87A7E" w:rsidRDefault="00EB4573">
            <w:pPr>
              <w:spacing w:after="40" w:line="259" w:lineRule="auto"/>
              <w:jc w:val="left"/>
              <w:rPr>
                <w:color w:val="auto"/>
              </w:rPr>
            </w:pPr>
            <w:r w:rsidRPr="00F87A7E">
              <w:rPr>
                <w:rFonts w:eastAsia="Calibri"/>
                <w:color w:val="auto"/>
                <w:sz w:val="16"/>
              </w:rPr>
              <w:t>B0-B3 and P</w:t>
            </w:r>
          </w:p>
        </w:tc>
        <w:tc>
          <w:tcPr>
            <w:tcW w:w="2720" w:type="dxa"/>
            <w:vAlign w:val="center"/>
          </w:tcPr>
          <w:p w:rsidR="008E12D0" w:rsidRPr="00F87A7E" w:rsidRDefault="00EB4573">
            <w:pPr>
              <w:spacing w:after="40" w:line="259" w:lineRule="auto"/>
              <w:jc w:val="left"/>
              <w:rPr>
                <w:color w:val="auto"/>
              </w:rPr>
            </w:pPr>
            <w:r w:rsidRPr="00F87A7E">
              <w:rPr>
                <w:rFonts w:eastAsia="Calibri"/>
                <w:color w:val="auto"/>
                <w:sz w:val="16"/>
              </w:rPr>
              <w:t>Lead time and alerted-scenario count</w:t>
            </w:r>
          </w:p>
        </w:tc>
      </w:tr>
      <w:tr w:rsidR="00F87A7E" w:rsidRPr="00F87A7E">
        <w:tc>
          <w:tcPr>
            <w:tcW w:w="1600" w:type="dxa"/>
            <w:vAlign w:val="center"/>
          </w:tcPr>
          <w:p w:rsidR="008E12D0" w:rsidRPr="00F87A7E" w:rsidRDefault="00EB4573">
            <w:pPr>
              <w:spacing w:after="40" w:line="259" w:lineRule="auto"/>
              <w:jc w:val="left"/>
              <w:rPr>
                <w:color w:val="auto"/>
              </w:rPr>
            </w:pPr>
            <w:r w:rsidRPr="00F87A7E">
              <w:rPr>
                <w:rFonts w:eastAsia="Calibri"/>
                <w:b/>
                <w:color w:val="auto"/>
                <w:sz w:val="16"/>
              </w:rPr>
              <w:t>Ablation</w:t>
            </w:r>
          </w:p>
        </w:tc>
        <w:tc>
          <w:tcPr>
            <w:tcW w:w="2600" w:type="dxa"/>
            <w:vAlign w:val="center"/>
          </w:tcPr>
          <w:p w:rsidR="008E12D0" w:rsidRPr="00F87A7E" w:rsidRDefault="00EB4573">
            <w:pPr>
              <w:spacing w:after="40" w:line="259" w:lineRule="auto"/>
              <w:jc w:val="left"/>
              <w:rPr>
                <w:color w:val="auto"/>
              </w:rPr>
            </w:pPr>
            <w:r w:rsidRPr="00F87A7E">
              <w:rPr>
                <w:rFonts w:eastAsia="Calibri"/>
                <w:color w:val="auto"/>
                <w:sz w:val="16"/>
              </w:rPr>
              <w:t>Remove source/feature family</w:t>
            </w:r>
          </w:p>
        </w:tc>
        <w:tc>
          <w:tcPr>
            <w:tcW w:w="2440" w:type="dxa"/>
            <w:vAlign w:val="center"/>
          </w:tcPr>
          <w:p w:rsidR="008E12D0" w:rsidRPr="00F87A7E" w:rsidRDefault="00EB4573">
            <w:pPr>
              <w:spacing w:after="40" w:line="259" w:lineRule="auto"/>
              <w:jc w:val="left"/>
              <w:rPr>
                <w:color w:val="auto"/>
              </w:rPr>
            </w:pPr>
            <w:r w:rsidRPr="00F87A7E">
              <w:rPr>
                <w:rFonts w:eastAsia="Calibri"/>
                <w:color w:val="auto"/>
                <w:sz w:val="16"/>
              </w:rPr>
              <w:t>P minus component</w:t>
            </w:r>
          </w:p>
        </w:tc>
        <w:tc>
          <w:tcPr>
            <w:tcW w:w="2720" w:type="dxa"/>
            <w:vAlign w:val="center"/>
          </w:tcPr>
          <w:p w:rsidR="008E12D0" w:rsidRPr="00F87A7E" w:rsidRDefault="00EB4573">
            <w:pPr>
              <w:spacing w:after="40" w:line="259" w:lineRule="auto"/>
              <w:jc w:val="left"/>
              <w:rPr>
                <w:color w:val="auto"/>
              </w:rPr>
            </w:pPr>
            <w:r w:rsidRPr="00F87A7E">
              <w:rPr>
                <w:rFonts w:eastAsia="Calibri"/>
                <w:color w:val="auto"/>
                <w:sz w:val="16"/>
              </w:rPr>
              <w:t>Metric delta with bootstrap CI</w:t>
            </w:r>
          </w:p>
        </w:tc>
      </w:tr>
      <w:tr w:rsidR="00F87A7E" w:rsidRPr="00F87A7E">
        <w:tc>
          <w:tcPr>
            <w:tcW w:w="1600" w:type="dxa"/>
            <w:vAlign w:val="center"/>
          </w:tcPr>
          <w:p w:rsidR="008E12D0" w:rsidRPr="00F87A7E" w:rsidRDefault="00EB4573">
            <w:pPr>
              <w:spacing w:after="40" w:line="259" w:lineRule="auto"/>
              <w:jc w:val="left"/>
              <w:rPr>
                <w:color w:val="auto"/>
              </w:rPr>
            </w:pPr>
            <w:r w:rsidRPr="00F87A7E">
              <w:rPr>
                <w:rFonts w:eastAsia="Calibri"/>
                <w:b/>
                <w:color w:val="auto"/>
                <w:sz w:val="16"/>
              </w:rPr>
              <w:t>Missing source</w:t>
            </w:r>
          </w:p>
        </w:tc>
        <w:tc>
          <w:tcPr>
            <w:tcW w:w="2600" w:type="dxa"/>
            <w:vAlign w:val="center"/>
          </w:tcPr>
          <w:p w:rsidR="008E12D0" w:rsidRPr="00F87A7E" w:rsidRDefault="00EB4573">
            <w:pPr>
              <w:spacing w:after="40" w:line="259" w:lineRule="auto"/>
              <w:jc w:val="left"/>
              <w:rPr>
                <w:color w:val="auto"/>
              </w:rPr>
            </w:pPr>
            <w:r w:rsidRPr="00F87A7E">
              <w:rPr>
                <w:rFonts w:eastAsia="Calibri"/>
                <w:color w:val="auto"/>
                <w:sz w:val="16"/>
              </w:rPr>
              <w:t>Drop or delay each stream</w:t>
            </w:r>
          </w:p>
        </w:tc>
        <w:tc>
          <w:tcPr>
            <w:tcW w:w="2440" w:type="dxa"/>
            <w:vAlign w:val="center"/>
          </w:tcPr>
          <w:p w:rsidR="008E12D0" w:rsidRPr="00F87A7E" w:rsidRDefault="00EB4573">
            <w:pPr>
              <w:spacing w:after="40" w:line="259" w:lineRule="auto"/>
              <w:jc w:val="left"/>
              <w:rPr>
                <w:color w:val="auto"/>
              </w:rPr>
            </w:pPr>
            <w:r w:rsidRPr="00F87A7E">
              <w:rPr>
                <w:rFonts w:eastAsia="Calibri"/>
                <w:color w:val="auto"/>
                <w:sz w:val="16"/>
              </w:rPr>
              <w:t>B2, B3 and P</w:t>
            </w:r>
          </w:p>
        </w:tc>
        <w:tc>
          <w:tcPr>
            <w:tcW w:w="2720" w:type="dxa"/>
            <w:vAlign w:val="center"/>
          </w:tcPr>
          <w:p w:rsidR="008E12D0" w:rsidRPr="00F87A7E" w:rsidRDefault="00EB4573">
            <w:pPr>
              <w:spacing w:after="40" w:line="259" w:lineRule="auto"/>
              <w:jc w:val="left"/>
              <w:rPr>
                <w:color w:val="auto"/>
              </w:rPr>
            </w:pPr>
            <w:r w:rsidRPr="00F87A7E">
              <w:rPr>
                <w:rFonts w:eastAsia="Calibri"/>
                <w:color w:val="auto"/>
                <w:sz w:val="16"/>
              </w:rPr>
              <w:t>Robustness delta and calibration</w:t>
            </w:r>
          </w:p>
        </w:tc>
      </w:tr>
      <w:tr w:rsidR="00F87A7E" w:rsidRPr="00F87A7E">
        <w:tc>
          <w:tcPr>
            <w:tcW w:w="1600" w:type="dxa"/>
            <w:vAlign w:val="center"/>
          </w:tcPr>
          <w:p w:rsidR="008E12D0" w:rsidRPr="00F87A7E" w:rsidRDefault="00EB4573">
            <w:pPr>
              <w:spacing w:after="40" w:line="259" w:lineRule="auto"/>
              <w:jc w:val="left"/>
              <w:rPr>
                <w:color w:val="auto"/>
              </w:rPr>
            </w:pPr>
            <w:r w:rsidRPr="00F87A7E">
              <w:rPr>
                <w:rFonts w:eastAsia="Calibri"/>
                <w:b/>
                <w:color w:val="auto"/>
                <w:sz w:val="16"/>
              </w:rPr>
              <w:t>Transfer</w:t>
            </w:r>
          </w:p>
        </w:tc>
        <w:tc>
          <w:tcPr>
            <w:tcW w:w="2600" w:type="dxa"/>
            <w:vAlign w:val="center"/>
          </w:tcPr>
          <w:p w:rsidR="008E12D0" w:rsidRPr="00F87A7E" w:rsidRDefault="00EB4573">
            <w:pPr>
              <w:spacing w:after="40" w:line="259" w:lineRule="auto"/>
              <w:jc w:val="left"/>
              <w:rPr>
                <w:color w:val="auto"/>
              </w:rPr>
            </w:pPr>
            <w:r w:rsidRPr="00F87A7E">
              <w:rPr>
                <w:rFonts w:eastAsia="Calibri"/>
                <w:color w:val="auto"/>
                <w:sz w:val="16"/>
              </w:rPr>
              <w:t>Train release A; test release B</w:t>
            </w:r>
          </w:p>
        </w:tc>
        <w:tc>
          <w:tcPr>
            <w:tcW w:w="2440" w:type="dxa"/>
            <w:vAlign w:val="center"/>
          </w:tcPr>
          <w:p w:rsidR="008E12D0" w:rsidRPr="00F87A7E" w:rsidRDefault="00EB4573">
            <w:pPr>
              <w:spacing w:after="40" w:line="259" w:lineRule="auto"/>
              <w:jc w:val="left"/>
              <w:rPr>
                <w:color w:val="auto"/>
              </w:rPr>
            </w:pPr>
            <w:r w:rsidRPr="00F87A7E">
              <w:rPr>
                <w:rFonts w:eastAsia="Calibri"/>
                <w:color w:val="auto"/>
                <w:sz w:val="16"/>
              </w:rPr>
              <w:t>Best baseline and P</w:t>
            </w:r>
          </w:p>
        </w:tc>
        <w:tc>
          <w:tcPr>
            <w:tcW w:w="2720" w:type="dxa"/>
            <w:vAlign w:val="center"/>
          </w:tcPr>
          <w:p w:rsidR="008E12D0" w:rsidRPr="00F87A7E" w:rsidRDefault="00EB4573">
            <w:pPr>
              <w:spacing w:after="40" w:line="259" w:lineRule="auto"/>
              <w:jc w:val="left"/>
              <w:rPr>
                <w:color w:val="auto"/>
              </w:rPr>
            </w:pPr>
            <w:r w:rsidRPr="00F87A7E">
              <w:rPr>
                <w:rFonts w:eastAsia="Calibri"/>
                <w:color w:val="auto"/>
                <w:sz w:val="16"/>
              </w:rPr>
              <w:t>PR-AUC, budgeted recall, workload</w:t>
            </w:r>
          </w:p>
        </w:tc>
      </w:tr>
      <w:tr w:rsidR="008E12D0" w:rsidRPr="00F87A7E">
        <w:tc>
          <w:tcPr>
            <w:tcW w:w="1600" w:type="dxa"/>
            <w:vAlign w:val="center"/>
          </w:tcPr>
          <w:p w:rsidR="008E12D0" w:rsidRPr="00F87A7E" w:rsidRDefault="00EB4573">
            <w:pPr>
              <w:spacing w:after="40" w:line="259" w:lineRule="auto"/>
              <w:jc w:val="left"/>
              <w:rPr>
                <w:color w:val="auto"/>
              </w:rPr>
            </w:pPr>
            <w:r w:rsidRPr="00F87A7E">
              <w:rPr>
                <w:rFonts w:eastAsia="Calibri"/>
                <w:b/>
                <w:color w:val="auto"/>
                <w:sz w:val="16"/>
              </w:rPr>
              <w:t>Explanation</w:t>
            </w:r>
          </w:p>
        </w:tc>
        <w:tc>
          <w:tcPr>
            <w:tcW w:w="2600" w:type="dxa"/>
            <w:vAlign w:val="center"/>
          </w:tcPr>
          <w:p w:rsidR="008E12D0" w:rsidRPr="00F87A7E" w:rsidRDefault="00EB4573">
            <w:pPr>
              <w:spacing w:after="40" w:line="259" w:lineRule="auto"/>
              <w:jc w:val="left"/>
              <w:rPr>
                <w:color w:val="auto"/>
              </w:rPr>
            </w:pPr>
            <w:r w:rsidRPr="00F87A7E">
              <w:rPr>
                <w:rFonts w:eastAsia="Calibri"/>
                <w:color w:val="auto"/>
                <w:sz w:val="16"/>
              </w:rPr>
              <w:t>Score-only vs. evidence card</w:t>
            </w:r>
          </w:p>
        </w:tc>
        <w:tc>
          <w:tcPr>
            <w:tcW w:w="2440" w:type="dxa"/>
            <w:vAlign w:val="center"/>
          </w:tcPr>
          <w:p w:rsidR="008E12D0" w:rsidRPr="00F87A7E" w:rsidRDefault="00EB4573">
            <w:pPr>
              <w:spacing w:after="40" w:line="259" w:lineRule="auto"/>
              <w:jc w:val="left"/>
              <w:rPr>
                <w:color w:val="auto"/>
              </w:rPr>
            </w:pPr>
            <w:r w:rsidRPr="00F87A7E">
              <w:rPr>
                <w:rFonts w:eastAsia="Calibri"/>
                <w:color w:val="auto"/>
                <w:sz w:val="16"/>
              </w:rPr>
              <w:t>Paired expert review</w:t>
            </w:r>
          </w:p>
        </w:tc>
        <w:tc>
          <w:tcPr>
            <w:tcW w:w="2720" w:type="dxa"/>
            <w:vAlign w:val="center"/>
          </w:tcPr>
          <w:p w:rsidR="008E12D0" w:rsidRPr="00F87A7E" w:rsidRDefault="00EB4573">
            <w:pPr>
              <w:spacing w:after="40" w:line="259" w:lineRule="auto"/>
              <w:jc w:val="left"/>
              <w:rPr>
                <w:color w:val="auto"/>
              </w:rPr>
            </w:pPr>
            <w:r w:rsidRPr="00F87A7E">
              <w:rPr>
                <w:rFonts w:eastAsia="Calibri"/>
                <w:color w:val="auto"/>
                <w:sz w:val="16"/>
              </w:rPr>
              <w:t>Clarity, traceability, usefulness, overreach</w:t>
            </w:r>
          </w:p>
        </w:tc>
      </w:tr>
    </w:tbl>
    <w:p w:rsidR="008E12D0" w:rsidRPr="00F87A7E" w:rsidRDefault="008E12D0">
      <w:pPr>
        <w:spacing w:after="40"/>
        <w:rPr>
          <w:color w:val="auto"/>
        </w:rPr>
      </w:pPr>
    </w:p>
    <w:p w:rsidR="008E12D0" w:rsidRPr="00F87A7E" w:rsidRDefault="00EB4573">
      <w:pPr>
        <w:pStyle w:val="Heading1"/>
        <w:rPr>
          <w:color w:val="auto"/>
        </w:rPr>
      </w:pPr>
      <w:r w:rsidRPr="00F87A7E">
        <w:rPr>
          <w:color w:val="auto"/>
        </w:rPr>
        <w:t>Appendix C. Data Management and Ethics Checklist</w:t>
      </w:r>
    </w:p>
    <w:p w:rsidR="008E12D0" w:rsidRPr="00F87A7E" w:rsidRDefault="00EB4573">
      <w:pPr>
        <w:pStyle w:val="ListParagraph"/>
        <w:numPr>
          <w:ilvl w:val="0"/>
          <w:numId w:val="13"/>
        </w:numPr>
        <w:rPr>
          <w:color w:val="auto"/>
        </w:rPr>
      </w:pPr>
      <w:r w:rsidRPr="00F87A7E">
        <w:rPr>
          <w:color w:val="auto"/>
        </w:rPr>
        <w:t>Separate ethics approval completed before access to any non-synthetic data or expert recruitment.</w:t>
      </w:r>
    </w:p>
    <w:p w:rsidR="008E12D0" w:rsidRPr="00F87A7E" w:rsidRDefault="00EB4573">
      <w:pPr>
        <w:pStyle w:val="ListParagraph"/>
        <w:numPr>
          <w:ilvl w:val="0"/>
          <w:numId w:val="13"/>
        </w:numPr>
        <w:rPr>
          <w:color w:val="auto"/>
        </w:rPr>
      </w:pPr>
      <w:r w:rsidRPr="00F87A7E">
        <w:rPr>
          <w:color w:val="auto"/>
        </w:rPr>
        <w:t>Purpose, lawful basis, data owner, fields, retention period and authorised users documented.</w:t>
      </w:r>
    </w:p>
    <w:p w:rsidR="008E12D0" w:rsidRPr="00F87A7E" w:rsidRDefault="00EB4573">
      <w:pPr>
        <w:pStyle w:val="ListParagraph"/>
        <w:numPr>
          <w:ilvl w:val="0"/>
          <w:numId w:val="13"/>
        </w:numPr>
        <w:rPr>
          <w:color w:val="auto"/>
        </w:rPr>
      </w:pPr>
      <w:r w:rsidRPr="00F87A7E">
        <w:rPr>
          <w:color w:val="auto"/>
        </w:rPr>
        <w:t>Raw files hashed and write-protected; transformations, code version and random seeds logged.</w:t>
      </w:r>
    </w:p>
    <w:p w:rsidR="008E12D0" w:rsidRPr="00F87A7E" w:rsidRDefault="00EB4573">
      <w:pPr>
        <w:pStyle w:val="ListParagraph"/>
        <w:numPr>
          <w:ilvl w:val="0"/>
          <w:numId w:val="13"/>
        </w:numPr>
        <w:rPr>
          <w:color w:val="auto"/>
        </w:rPr>
      </w:pPr>
      <w:r w:rsidRPr="00F87A7E">
        <w:rPr>
          <w:color w:val="auto"/>
        </w:rPr>
        <w:lastRenderedPageBreak/>
        <w:t>Direct identifiers pseudonymised; communication content and unnecessary personal data excluded.</w:t>
      </w:r>
    </w:p>
    <w:p w:rsidR="008E12D0" w:rsidRPr="00F87A7E" w:rsidRDefault="00EB4573">
      <w:pPr>
        <w:pStyle w:val="ListParagraph"/>
        <w:numPr>
          <w:ilvl w:val="0"/>
          <w:numId w:val="13"/>
        </w:numPr>
        <w:rPr>
          <w:color w:val="auto"/>
        </w:rPr>
      </w:pPr>
      <w:r w:rsidRPr="00F87A7E">
        <w:rPr>
          <w:color w:val="auto"/>
        </w:rPr>
        <w:t>Encrypted storage, least-privilege access and an access log enabled; no data placed in public repositories.</w:t>
      </w:r>
    </w:p>
    <w:p w:rsidR="008E12D0" w:rsidRPr="00F87A7E" w:rsidRDefault="00EB4573">
      <w:pPr>
        <w:pStyle w:val="ListParagraph"/>
        <w:numPr>
          <w:ilvl w:val="0"/>
          <w:numId w:val="13"/>
        </w:numPr>
        <w:rPr>
          <w:color w:val="auto"/>
        </w:rPr>
      </w:pPr>
      <w:r w:rsidRPr="00F87A7E">
        <w:rPr>
          <w:color w:val="auto"/>
        </w:rPr>
        <w:t>Subgroup results suppressed where sample size is inadequate; peer groups reviewed for structural bias.</w:t>
      </w:r>
    </w:p>
    <w:p w:rsidR="008E12D0" w:rsidRPr="00F87A7E" w:rsidRDefault="00EB4573">
      <w:pPr>
        <w:pStyle w:val="ListParagraph"/>
        <w:numPr>
          <w:ilvl w:val="0"/>
          <w:numId w:val="13"/>
        </w:numPr>
        <w:rPr>
          <w:color w:val="auto"/>
        </w:rPr>
      </w:pPr>
      <w:r w:rsidRPr="00F87A7E">
        <w:rPr>
          <w:color w:val="auto"/>
        </w:rPr>
        <w:t>Evidence cards state uncertainty and missing sources; no autonomous disciplinary or employment decision permitted.</w:t>
      </w:r>
    </w:p>
    <w:p w:rsidR="008E12D0" w:rsidRPr="00F87A7E" w:rsidRDefault="00EB4573">
      <w:pPr>
        <w:pStyle w:val="ListParagraph"/>
        <w:numPr>
          <w:ilvl w:val="0"/>
          <w:numId w:val="13"/>
        </w:numPr>
        <w:rPr>
          <w:color w:val="auto"/>
        </w:rPr>
      </w:pPr>
      <w:r w:rsidRPr="00F87A7E">
        <w:rPr>
          <w:color w:val="auto"/>
        </w:rPr>
        <w:t>Participants receive information and consent materials; withdrawal and complaint routes are documented.</w:t>
      </w:r>
    </w:p>
    <w:p w:rsidR="008E12D0" w:rsidRPr="00F87A7E" w:rsidRDefault="00EB4573">
      <w:pPr>
        <w:pStyle w:val="ListParagraph"/>
        <w:numPr>
          <w:ilvl w:val="0"/>
          <w:numId w:val="13"/>
        </w:numPr>
        <w:rPr>
          <w:color w:val="auto"/>
        </w:rPr>
      </w:pPr>
      <w:r w:rsidRPr="00F87A7E">
        <w:rPr>
          <w:color w:val="auto"/>
        </w:rPr>
        <w:t>Approved deletion and archive actions verified at project close; only non-identifying code and documentation retained.</w:t>
      </w:r>
    </w:p>
    <w:sectPr w:rsidR="008E12D0" w:rsidRPr="00F87A7E" w:rsidSect="00034616">
      <w:headerReference w:type="default" r:id="rId11"/>
      <w:footerReference w:type="default" r:id="rId12"/>
      <w:pgSz w:w="12240" w:h="15840"/>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A5BBD" w:rsidRDefault="003A5BBD">
      <w:pPr>
        <w:spacing w:after="0" w:line="240" w:lineRule="auto"/>
      </w:pPr>
      <w:r>
        <w:separator/>
      </w:r>
    </w:p>
  </w:endnote>
  <w:endnote w:type="continuationSeparator" w:id="0">
    <w:p w:rsidR="003A5BBD" w:rsidRDefault="003A5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12D0" w:rsidRDefault="008E12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12D0" w:rsidRDefault="00EB4573">
    <w:pPr>
      <w:pStyle w:val="Footer"/>
      <w:jc w:val="center"/>
    </w:pPr>
    <w:r>
      <w:rPr>
        <w:rFonts w:eastAsia="Calibri"/>
        <w:color w:val="5F6B76"/>
        <w:sz w:val="18"/>
      </w:rPr>
      <w:t xml:space="preserve">Page </w:t>
    </w:r>
    <w:r>
      <w:rPr>
        <w:rFonts w:eastAsia="Calibri"/>
        <w:color w:val="5F6B76"/>
        <w:sz w:val="18"/>
      </w:rPr>
      <w:fldChar w:fldCharType="begin"/>
    </w:r>
    <w:r>
      <w:rPr>
        <w:rFonts w:eastAsia="Calibri"/>
        <w:color w:val="5F6B76"/>
        <w:sz w:val="18"/>
      </w:rPr>
      <w:instrText>PAGE</w:instrText>
    </w:r>
    <w:r>
      <w:rPr>
        <w:rFonts w:eastAsia="Calibri"/>
        <w:color w:val="5F6B76"/>
        <w:sz w:val="18"/>
      </w:rPr>
      <w:fldChar w:fldCharType="separate"/>
    </w:r>
    <w:r w:rsidR="00576C75">
      <w:rPr>
        <w:rFonts w:eastAsia="Calibri"/>
        <w:noProof/>
        <w:color w:val="5F6B76"/>
        <w:sz w:val="18"/>
      </w:rPr>
      <w:t>18</w:t>
    </w:r>
    <w:r>
      <w:rPr>
        <w:rFonts w:eastAsia="Calibri"/>
        <w:color w:val="5F6B76"/>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A5BBD" w:rsidRDefault="003A5BBD">
      <w:pPr>
        <w:spacing w:after="0" w:line="240" w:lineRule="auto"/>
      </w:pPr>
      <w:r>
        <w:separator/>
      </w:r>
    </w:p>
  </w:footnote>
  <w:footnote w:type="continuationSeparator" w:id="0">
    <w:p w:rsidR="003A5BBD" w:rsidRDefault="003A5B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12D0" w:rsidRDefault="008E12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12D0" w:rsidRDefault="00EB4573">
    <w:pPr>
      <w:pStyle w:val="Header"/>
      <w:tabs>
        <w:tab w:val="right" w:pos="9288"/>
      </w:tabs>
    </w:pPr>
    <w:r>
      <w:rPr>
        <w:rFonts w:eastAsia="Calibri"/>
        <w:b/>
        <w:color w:val="5F6B76"/>
        <w:sz w:val="17"/>
      </w:rPr>
      <w:t>MULTI-SOURCE DIGITAL EVIDENCE CORRELATION</w:t>
    </w:r>
    <w:r>
      <w:rPr>
        <w:rFonts w:eastAsia="Calibri"/>
        <w:color w:val="5F6B76"/>
        <w:sz w:val="17"/>
      </w:rPr>
      <w:tab/>
      <w:t>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3A008CA"/>
    <w:multiLevelType w:val="singleLevel"/>
    <w:tmpl w:val="BB763DE2"/>
    <w:lvl w:ilvl="0">
      <w:start w:val="1"/>
      <w:numFmt w:val="decimal"/>
      <w:lvlText w:val="[%1]"/>
      <w:lvlJc w:val="left"/>
      <w:pPr>
        <w:spacing w:after="100" w:line="276" w:lineRule="auto"/>
        <w:ind w:left="720" w:hanging="540"/>
      </w:pPr>
    </w:lvl>
  </w:abstractNum>
  <w:abstractNum w:abstractNumId="10" w15:restartNumberingAfterBreak="0">
    <w:nsid w:val="511D122D"/>
    <w:multiLevelType w:val="singleLevel"/>
    <w:tmpl w:val="DE3C5C50"/>
    <w:lvl w:ilvl="0">
      <w:start w:val="1"/>
      <w:numFmt w:val="bullet"/>
      <w:lvlText w:val="•"/>
      <w:lvlJc w:val="left"/>
      <w:pPr>
        <w:tabs>
          <w:tab w:val="num" w:pos="540"/>
        </w:tabs>
        <w:spacing w:after="80" w:line="290" w:lineRule="auto"/>
        <w:ind w:left="540" w:hanging="280"/>
      </w:pPr>
      <w:rPr>
        <w:rFonts w:ascii="Calibri" w:hAnsi="Calibri"/>
      </w:rPr>
    </w:lvl>
  </w:abstractNum>
  <w:abstractNum w:abstractNumId="11" w15:restartNumberingAfterBreak="0">
    <w:nsid w:val="73C113FF"/>
    <w:multiLevelType w:val="singleLevel"/>
    <w:tmpl w:val="AB3E04C4"/>
    <w:lvl w:ilvl="0">
      <w:start w:val="1"/>
      <w:numFmt w:val="decimal"/>
      <w:lvlText w:val="%1."/>
      <w:lvlJc w:val="left"/>
      <w:pPr>
        <w:tabs>
          <w:tab w:val="num" w:pos="540"/>
        </w:tabs>
        <w:spacing w:after="80" w:line="290" w:lineRule="auto"/>
        <w:ind w:left="540" w:hanging="280"/>
      </w:pPr>
      <w:rPr>
        <w:rFonts w:ascii="Calibri" w:hAnsi="Calibri"/>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0"/>
  </w:num>
  <w:num w:numId="11">
    <w:abstractNumId w:val="11"/>
  </w:num>
  <w:num w:numId="12">
    <w:abstractNumId w:val="10"/>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6063C"/>
    <w:rsid w:val="0015074B"/>
    <w:rsid w:val="0029639D"/>
    <w:rsid w:val="00326F90"/>
    <w:rsid w:val="003A5BBD"/>
    <w:rsid w:val="00576C75"/>
    <w:rsid w:val="006B70DA"/>
    <w:rsid w:val="00805573"/>
    <w:rsid w:val="0089122A"/>
    <w:rsid w:val="008E12D0"/>
    <w:rsid w:val="00AA1D8D"/>
    <w:rsid w:val="00B47730"/>
    <w:rsid w:val="00CB0664"/>
    <w:rsid w:val="00EB4573"/>
    <w:rsid w:val="00F87A7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AD116F"/>
  <w14:defaultImageDpi w14:val="300"/>
  <w15:docId w15:val="{F97561F1-2730-4C3C-A2FE-89BF0F67F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60" w:line="320" w:lineRule="auto"/>
      <w:jc w:val="both"/>
    </w:pPr>
    <w:rPr>
      <w:rFonts w:ascii="Calibri" w:hAnsi="Calibri"/>
      <w:color w:val="222222"/>
    </w:rPr>
  </w:style>
  <w:style w:type="paragraph" w:styleId="Heading1">
    <w:name w:val="heading 1"/>
    <w:basedOn w:val="Normal"/>
    <w:next w:val="Normal"/>
    <w:link w:val="Heading1Char"/>
    <w:uiPriority w:val="9"/>
    <w:qFormat/>
    <w:rsid w:val="00FC693F"/>
    <w:pPr>
      <w:keepNext/>
      <w:keepLines/>
      <w:spacing w:before="360" w:after="200" w:line="240" w:lineRule="auto"/>
      <w:outlineLvl w:val="0"/>
    </w:pPr>
    <w:rPr>
      <w:rFonts w:asciiTheme="majorHAnsi" w:eastAsiaTheme="majorEastAsia" w:hAnsiTheme="majorHAnsi" w:cstheme="majorBidi"/>
      <w:b/>
      <w:bCs/>
      <w:color w:val="2E74B5"/>
      <w:sz w:val="32"/>
      <w:szCs w:val="28"/>
    </w:rPr>
  </w:style>
  <w:style w:type="paragraph" w:styleId="Heading2">
    <w:name w:val="heading 2"/>
    <w:basedOn w:val="Normal"/>
    <w:next w:val="Normal"/>
    <w:link w:val="Heading2Char"/>
    <w:uiPriority w:val="9"/>
    <w:unhideWhenUsed/>
    <w:qFormat/>
    <w:rsid w:val="00FC693F"/>
    <w:pPr>
      <w:keepNext/>
      <w:keepLines/>
      <w:spacing w:before="240" w:after="120" w:line="240" w:lineRule="auto"/>
      <w:outlineLvl w:val="1"/>
    </w:pPr>
    <w:rPr>
      <w:rFonts w:asciiTheme="majorHAnsi" w:eastAsiaTheme="majorEastAsia" w:hAnsiTheme="majorHAnsi" w:cstheme="majorBidi"/>
      <w:b/>
      <w:bCs/>
      <w:color w:val="2E74B5"/>
      <w:sz w:val="26"/>
      <w:szCs w:val="26"/>
    </w:rPr>
  </w:style>
  <w:style w:type="paragraph" w:styleId="Heading3">
    <w:name w:val="heading 3"/>
    <w:basedOn w:val="Normal"/>
    <w:next w:val="Normal"/>
    <w:link w:val="Heading3Char"/>
    <w:uiPriority w:val="9"/>
    <w:unhideWhenUsed/>
    <w:qFormat/>
    <w:rsid w:val="00FC693F"/>
    <w:pPr>
      <w:keepNext/>
      <w:keepLines/>
      <w:spacing w:before="160" w:after="80" w:line="240" w:lineRule="auto"/>
      <w:outlineLvl w:val="2"/>
    </w:pPr>
    <w:rPr>
      <w:rFonts w:asciiTheme="majorHAnsi" w:eastAsiaTheme="majorEastAsia" w:hAnsiTheme="majorHAnsi" w:cstheme="majorBidi"/>
      <w:b/>
      <w:bCs/>
      <w:color w:val="1F4D78"/>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keepNext/>
      <w:spacing w:before="80" w:after="120" w:line="240" w:lineRule="auto"/>
    </w:pPr>
    <w:rPr>
      <w:b/>
      <w:bCs/>
      <w:i/>
      <w:color w:val="5F6B76"/>
      <w:sz w:val="19"/>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allout">
    <w:name w:val="Callout"/>
    <w:rPr>
      <w:rFonts w:ascii="Calibri" w:hAnsi="Calibri"/>
      <w:sz w:val="20"/>
    </w:rPr>
  </w:style>
  <w:style w:type="paragraph" w:customStyle="1" w:styleId="Reference">
    <w:name w:val="Reference"/>
    <w:pPr>
      <w:spacing w:after="120"/>
      <w:ind w:left="720" w:hanging="720"/>
    </w:pPr>
    <w:rPr>
      <w:rFonts w:ascii="Calibri" w:hAnsi="Calibr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9E60B8-48F5-4ACF-B207-BEF71A4B0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5653</Words>
  <Characters>32223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Correlation of Multi-Source Digital Evidence for Early Identification of Insider Threat Activities</vt:lpstr>
    </vt:vector>
  </TitlesOfParts>
  <Manager/>
  <Company/>
  <LinksUpToDate>false</LinksUpToDate>
  <CharactersWithSpaces>37801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Correlation of Multi-Source Digital Evidence for Early Identification of Insider Threat Activities</dc:title>
  <dc:subject>ACFA7004 research proposal revised to the 4,000-word guideline and IEEE referencing</dc:subject>
  <dc:creator>Student</dc:creator>
  <cp:keywords>insider threat, digital evidence, IEEE, research proposal, data fusion, early warning</cp:keywords>
  <dc:description>generated by python-docx</dc:description>
  <cp:lastModifiedBy>DELL</cp:lastModifiedBy>
  <cp:revision>2</cp:revision>
  <dcterms:created xsi:type="dcterms:W3CDTF">2026-08-12T22:45:00Z</dcterms:created>
  <dcterms:modified xsi:type="dcterms:W3CDTF">2026-08-12T22:45:00Z</dcterms:modified>
  <cp:category/>
</cp:coreProperties>
</file>