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pPr>
      <w:r>
        <w:drawing>
          <wp:inline distT="0" distB="0" distL="0" distR="0">
            <wp:extent cx="1333500" cy="1447800"/>
            <wp:effectExtent t="0" r="0" b="0" l="0"/>
            <wp:docPr id="1" name="University Logo" descr="University of Wales Trinity Saint David logo" title="University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333500" cy="1447800"/>
                    </a:xfrm>
                    <a:prstGeom prst="rect">
                      <a:avLst/>
                    </a:prstGeom>
                  </pic:spPr>
                </pic:pic>
              </a:graphicData>
            </a:graphic>
          </wp:inline>
        </w:drawing>
      </w:r>
    </w:p>
    <w:p>
      <w:pPr>
        <w:spacing w:after="80" w:before="200"/>
        <w:jc w:val="center"/>
      </w:pPr>
      <w:r>
        <w:rPr>
          <w:rFonts w:ascii="Arial" w:cs="Arial" w:eastAsia="Arial" w:hAnsi="Arial"/>
          <w:b/>
          <w:bCs/>
          <w:color w:val="1F4E79"/>
          <w:sz w:val="36"/>
          <w:szCs w:val="36"/>
        </w:rPr>
        <w:t xml:space="preserve">University of Wales Trinity Saint David</w:t>
      </w:r>
    </w:p>
    <w:p>
      <w:pPr>
        <w:spacing w:after="300"/>
        <w:jc w:val="center"/>
      </w:pPr>
      <w:r>
        <w:rPr>
          <w:rFonts w:ascii="Arial" w:cs="Arial" w:eastAsia="Arial" w:hAnsi="Arial"/>
          <w:i/>
          <w:iCs/>
          <w:color w:val="555555"/>
          <w:sz w:val="20"/>
          <w:szCs w:val="20"/>
        </w:rPr>
        <w:t xml:space="preserve">Prifysgol Cymru Y Drindod Dewi Sant</w:t>
      </w:r>
    </w:p>
    <w:p>
      <w:pPr>
        <w:pBdr>
          <w:bottom w:val="single" w:color="1F4E79" w:sz="18" w:space="1"/>
        </w:pBdr>
        <w:spacing w:after="400"/>
        <w:jc w:val="center"/>
      </w:pPr>
      <w:r>
        <w:rPr>
          <w:sz w:val="20"/>
          <w:szCs w:val="20"/>
        </w:rPr>
        <w:t xml:space="preserve"> </w:t>
      </w:r>
    </w:p>
    <w:p>
      <w:pPr>
        <w:spacing w:after="200" w:before="200"/>
        <w:jc w:val="center"/>
      </w:pPr>
      <w:r>
        <w:rPr>
          <w:rFonts w:ascii="Arial" w:cs="Arial" w:eastAsia="Arial" w:hAnsi="Arial"/>
          <w:b/>
          <w:bCs/>
          <w:color w:val="2E75B6"/>
          <w:sz w:val="26"/>
          <w:szCs w:val="26"/>
        </w:rPr>
        <w:t xml:space="preserve">Component 2 – Written Report (50% weighting)</w:t>
      </w:r>
    </w:p>
    <w:p>
      <w:pPr>
        <w:spacing w:after="300"/>
        <w:jc w:val="center"/>
      </w:pPr>
      <w:r>
        <w:rPr>
          <w:rFonts w:ascii="Arial" w:cs="Arial" w:eastAsia="Arial" w:hAnsi="Arial"/>
          <w:b/>
          <w:bCs/>
          <w:sz w:val="30"/>
          <w:szCs w:val="30"/>
        </w:rPr>
        <w:t xml:space="preserve">An examination and analysis of how the ‘Early Help’ system is signposted to UK families by their local authority website</w:t>
      </w:r>
    </w:p>
    <w:p>
      <w:pPr>
        <w:spacing w:after="100"/>
        <w:jc w:val="center"/>
      </w:pPr>
      <w:r>
        <w:rPr>
          <w:rFonts w:ascii="Arial" w:cs="Arial" w:eastAsia="Arial" w:hAnsi="Arial"/>
          <w:i/>
          <w:iCs/>
          <w:sz w:val="20"/>
          <w:szCs w:val="20"/>
        </w:rPr>
        <w:t xml:space="preserve">Word Count: approximately 2,000 words</w:t>
      </w:r>
    </w:p>
    <w:p>
      <w:pPr>
        <w:spacing w:after="400"/>
        <w:jc w:val="center"/>
      </w:pPr>
      <w:r>
        <w:rPr>
          <w:rFonts w:ascii="Arial" w:cs="Arial" w:eastAsia="Arial" w:hAnsi="Arial"/>
          <w:i/>
          <w:iCs/>
          <w:color w:val="666666"/>
          <w:sz w:val="18"/>
          <w:szCs w:val="18"/>
        </w:rPr>
        <w:t xml:space="preserve">(excluding cover page and reference list)</w:t>
      </w:r>
    </w:p>
    <w:p>
      <w:pPr>
        <w:spacing w:before="200"/>
      </w:pPr>
    </w:p>
    <w:p>
      <w:pPr>
        <w:spacing w:after="100"/>
        <w:jc w:val="center"/>
      </w:pPr>
      <w:r>
        <w:rPr>
          <w:rFonts w:ascii="Arial" w:cs="Arial" w:eastAsia="Arial" w:hAnsi="Arial"/>
          <w:sz w:val="24"/>
          <w:szCs w:val="24"/>
        </w:rPr>
        <w:t xml:space="preserve">Student Name: Khatera Omari</w:t>
      </w:r>
    </w:p>
    <w:p>
      <w:pPr>
        <w:spacing w:after="100"/>
        <w:jc w:val="center"/>
      </w:pPr>
      <w:r>
        <w:rPr>
          <w:rFonts w:ascii="Arial" w:cs="Arial" w:eastAsia="Arial" w:hAnsi="Arial"/>
          <w:sz w:val="24"/>
          <w:szCs w:val="24"/>
        </w:rPr>
        <w:t xml:space="preserve">Student ID: 2428550</w:t>
      </w:r>
    </w:p>
    <w:p>
      <w:pPr>
        <w:spacing w:after="100"/>
        <w:jc w:val="center"/>
      </w:pPr>
      <w:r>
        <w:rPr>
          <w:rFonts w:ascii="Arial" w:cs="Arial" w:eastAsia="Arial" w:hAnsi="Arial"/>
          <w:sz w:val="24"/>
          <w:szCs w:val="24"/>
        </w:rPr>
        <w:t xml:space="preserve">Module: Protecting and Supporting Families in Health and Care</w:t>
      </w:r>
    </w:p>
    <w:p>
      <w:pPr>
        <w:spacing w:after="100"/>
        <w:jc w:val="center"/>
      </w:pPr>
      <w:r>
        <w:rPr>
          <w:rFonts w:ascii="Arial" w:cs="Arial" w:eastAsia="Arial" w:hAnsi="Arial"/>
          <w:sz w:val="24"/>
          <w:szCs w:val="24"/>
        </w:rPr>
        <w:t xml:space="preserve">Tutor: Umma Suleiman</w:t>
      </w:r>
    </w:p>
    <w:p>
      <w:pPr>
        <w:spacing w:after="300"/>
        <w:jc w:val="center"/>
      </w:pPr>
      <w:r>
        <w:rPr>
          <w:rFonts w:ascii="Arial" w:cs="Arial" w:eastAsia="Arial" w:hAnsi="Arial"/>
          <w:sz w:val="24"/>
          <w:szCs w:val="24"/>
        </w:rPr>
        <w:t xml:space="preserve">Date of Submission: 14th August 2026</w:t>
      </w:r>
    </w:p>
    <w:p>
      <w:pPr>
        <w:pBdr>
          <w:top w:val="single" w:color="1F4E79" w:sz="6" w:space="8"/>
        </w:pBdr>
        <w:spacing w:before="400"/>
        <w:jc w:val="center"/>
      </w:pPr>
      <w:r>
        <w:rPr>
          <w:rFonts w:ascii="Arial" w:cs="Arial" w:eastAsia="Arial" w:hAnsi="Arial"/>
          <w:i/>
          <w:iCs/>
          <w:color w:val="555555"/>
          <w:sz w:val="18"/>
          <w:szCs w:val="18"/>
        </w:rPr>
        <w:t xml:space="preserve">Local authorities examined: Norfolk County Council, Leeds City Council and Tower Hamlets Council</w:t>
      </w:r>
    </w:p>
    <w:p>
      <w:r>
        <w:br w:type="page"/>
      </w:r>
    </w:p>
    <w:p>
      <w:pPr>
        <w:sectPr>
          <w:pgSz w:w="11906" w:h="16838" w:orient="portrait"/>
          <w:pgMar w:top="720" w:right="1440" w:bottom="1440" w:left="1440" w:header="708" w:footer="708" w:gutter="0"/>
          <w:pgNumType/>
          <w:docGrid w:linePitch="360"/>
        </w:sectPr>
      </w:pPr>
    </w:p>
    <w:p>
      <w:pPr>
        <w:pStyle w:val="Heading1"/>
      </w:pPr>
      <w:r>
        <w:t xml:space="preserve">An examination and analysis of how the ‘Early Help’ system is signposted to UK families by their local authority website</w:t>
      </w:r>
    </w:p>
    <w:p>
      <w:pPr>
        <w:pStyle w:val="Heading2"/>
      </w:pPr>
      <w:r>
        <w:t xml:space="preserve">1. Introduction</w:t>
      </w:r>
    </w:p>
    <w:p>
      <w:pPr>
        <w:spacing w:after="200"/>
      </w:pPr>
      <w:r>
        <w:t xml:space="preserve">The Early Help system is a fundamental component of the work undertaken by strategic safeguarding partnerships in England. It aims to provide timely, coordinated support to children, young people and their families as soon as difficulties emerge, thereby preventing escalation into statutory child protection processes. Local authority websites represent one of the most important public-facing channels through which families first encounter information about available help. The clarity, accessibility and family-centred nature of this digital signposting can significantly influence whether families recognise that support exists and feel able to take the first step towards accessing it.</w:t>
      </w:r>
    </w:p>
    <w:p>
      <w:pPr>
        <w:spacing w:after="200"/>
      </w:pPr>
      <w:r>
        <w:t xml:space="preserve">This report examines how three local authorities – Norfolk County Council, Leeds City Council and Tower Hamlets Council – present information about Early Help and related family support services on their official websites. The analysis is framed by two key national documents that must be used: the </w:t>
      </w:r>
      <w:r>
        <w:rPr>
          <w:i/>
          <w:iCs/>
        </w:rPr>
        <w:t xml:space="preserve">Early Help System Guide</w:t>
      </w:r>
      <w:r>
        <w:t xml:space="preserve"> (Department for Levelling Up, Housing and Communities &amp; Department for Education, 2022) and </w:t>
      </w:r>
      <w:r>
        <w:rPr>
          <w:i/>
          <w:iCs/>
        </w:rPr>
        <w:t xml:space="preserve">Working Together to Safeguard Children 2026</w:t>
      </w:r>
      <w:r>
        <w:t xml:space="preserve"> (Department for Education, 2026). After explaining the Early Help System and the principles of multi-agency working, the report evaluates each website in turn, compares their main strengths and weaknesses, and concludes with a judgement on which authority currently offers the most effective and accessible information, together with recommendations for improvement.</w:t>
      </w:r>
    </w:p>
    <w:p>
      <w:pPr>
        <w:pStyle w:val="Heading2"/>
      </w:pPr>
      <w:r>
        <w:t xml:space="preserve">2. Explanation of the Early Help System</w:t>
      </w:r>
    </w:p>
    <w:p>
      <w:pPr>
        <w:spacing w:after="200"/>
      </w:pPr>
      <w:r>
        <w:t xml:space="preserve">The </w:t>
      </w:r>
      <w:r>
        <w:rPr>
          <w:i/>
          <w:iCs/>
        </w:rPr>
        <w:t xml:space="preserve">Early Help System Guide</w:t>
      </w:r>
      <w:r>
        <w:t xml:space="preserve"> (2022) is clear that Early Help is not a single service or team. It is defined as “a network of services, processes and interactions that aim to help children, young people and families at the earliest opportunity.” The system is made up of three interlocking types of provision that combine in different ways in each local area: universal services (including schools, early years settings, health visiting, GPs and Family Hubs), community support (family, friends, voluntary and community organisations), and targeted or acute services (family support, specialist mental health, housing advice and, where necessary, children’s social care).</w:t>
      </w:r>
    </w:p>
    <w:p>
      <w:pPr>
        <w:spacing w:after="200"/>
      </w:pPr>
      <w:r>
        <w:t xml:space="preserve">The Guide sets out a national vision: “Early Help is the total support that improves a family’s resilience and outcomes or reduces the chance of a problem getting worse.” A mature Early Help System is assessed against five key domains: family voice and experience; workforce; communities; leaders; and data. In a mature system, families know how to navigate services, tell their story only once, and have one lead practitioner coordinating a single family plan. Whole-family working becomes the norm across all people-facing public services through a shared practice framework. Community assets are mapped, valued and connected, and senior leaders hold collective accountability for balancing the system so that more families receive appropriate support earlier, reducing demand on statutory services.</w:t>
      </w:r>
    </w:p>
    <w:p>
      <w:pPr>
        <w:spacing w:after="200"/>
      </w:pPr>
      <w:r>
        <w:t xml:space="preserve">Importantly, the Guide emphasises that Early Help is “everyone’s responsibility.” Practitioners in universal services are expected to identify emerging needs and offer support or make appropriate connections. Family Hubs are positioned as a practical “front door,” offering a single point of access to a range of universal and targeted help from pregnancy through to age 19 (or 25 for young people with special educational needs and disabilities). The Guide provides a self-assessment tool rather than a rigid blueprint, enabling local strategic partnerships to reflect on their current maturity and plan improvement. Effective public signposting on local authority websites is therefore an essential practical expression of a mature system: it helps families understand what is available and how to access it without unnecessary barriers.</w:t>
      </w:r>
    </w:p>
    <w:p>
      <w:pPr>
        <w:pStyle w:val="Heading2"/>
      </w:pPr>
      <w:r>
        <w:t xml:space="preserve">3. Explanation of multi-agency working</w:t>
      </w:r>
    </w:p>
    <w:p>
      <w:pPr>
        <w:spacing w:after="200"/>
      </w:pPr>
      <w:r>
        <w:rPr>
          <w:i/>
          <w:iCs/>
        </w:rPr>
        <w:t xml:space="preserve">Working Together to Safeguard Children 2026</w:t>
      </w:r>
      <w:r>
        <w:t xml:space="preserve"> is the statutory guidance that sets out how organisations and agencies must work together to help, protect and promote the welfare of children. Safeguarding and promoting the welfare of children is defined as: providing help and support to meet the needs of children as soon as problems emerge; protecting children from maltreatment (including online and outside the home); preventing impairment of children’s mental and physical health or development; ensuring that children grow up in circumstances consistent with the provision of safe and effective care; promoting the upbringing of children with their birth parents or through kinship care arrangements wherever possible and in their best interests; and taking action to enable all children to have the best outcomes in line with the Children’s Social Care National Framework.</w:t>
      </w:r>
    </w:p>
    <w:p>
      <w:pPr>
        <w:spacing w:after="200"/>
      </w:pPr>
      <w:r>
        <w:t xml:space="preserve">The three local safeguarding partners – the local authority, the integrated care board and the chief officer of police – have a joint duty to make arrangements to work together and with relevant agencies, including education settings, to safeguard and promote the welfare of all children in their area. Chapter 1 of the guidance reinforces a shared responsibility and a child-centred approach within a whole-family focus. Practitioners are expected to build trusting relationships with parents and carers, challenge racism and discrimination, and share information early and lawfully.</w:t>
      </w:r>
    </w:p>
    <w:p>
      <w:pPr>
        <w:spacing w:after="200"/>
      </w:pPr>
      <w:r>
        <w:t xml:space="preserve">Chapter 3 introduces the concept of “Family Help” as a combined offer of targeted early help and support under section 17 of the Children Act 1989. This creates a more seamless continuum of help with consistent practitioner relationships and a multi-disciplinary family help plan. Universal and community-based early help form the foundation of the system. Local criteria and thresholds for different levels of need must be published, transparent and easily understood by families and practitioners. Arrangements must be published and made widely available, and annual reports should evidence the impact of multi-agency working on children and families. Clear, accessible digital information on local authority websites is therefore not merely good practice; it supports the statutory expectation that families can find and access help as soon as problems emerge.</w:t>
      </w:r>
    </w:p>
    <w:p>
      <w:pPr>
        <w:pStyle w:val="Heading2"/>
      </w:pPr>
      <w:r>
        <w:t xml:space="preserve">4. Evaluation of local authority websites</w:t>
      </w:r>
    </w:p>
    <w:p>
      <w:pPr>
        <w:pStyle w:val="Heading3"/>
      </w:pPr>
      <w:r>
        <w:t xml:space="preserve">4.1 Norfolk County Council</w:t>
      </w:r>
    </w:p>
    <w:p>
      <w:pPr>
        <w:spacing w:after="200"/>
      </w:pPr>
      <w:r>
        <w:t xml:space="preserve">Norfolk County Council presents Early Help information through a dedicated “Early help for children and families” page and a well-developed Best Start Family Hubs section. The language is deliberately plain and welcoming: families are told that if they have difficulties or are worried about their children, there are people who can support them, and that Early Help is about giving information, advice and guidance as soon as difficulties start in order to prevent worries growing into bigger issues. Support is available for families with children and young people up to the age of 18 (or 25 for those with special educational needs and/or disabilities) and explicitly includes help with adult issues such as finances or mental health that may affect the children.</w:t>
      </w:r>
    </w:p>
    <w:p>
      <w:pPr>
        <w:spacing w:after="200"/>
      </w:pPr>
      <w:r>
        <w:t xml:space="preserve">The Best Start Family Hubs approach is central. Families can access support online, in community venues they already use, by dropping into a local hub without an appointment, or through peer support from another experienced parent or carer. Named hubs with addresses, telephone numbers and social media links are listed for areas including Great Yarmouth, King’s Lynn, Norwich, Thetford and Hellesdon. An online request-for-support form is available for both families and professionals, with clear emphasis on obtaining consent. Separate pages for professionals explain Early Help Assessments and Plans, but the family-facing material remains accessible and practical.</w:t>
      </w:r>
    </w:p>
    <w:p>
      <w:pPr>
        <w:spacing w:after="200"/>
      </w:pPr>
      <w:r>
        <w:t xml:space="preserve">Strengths include the concrete local detail of the hubs, multiple low-barrier contact routes (online form, telephone, drop-in), the explicit inclusion of adult needs that impact children, and alignment with Norfolk’s Prevention and Early Help Strategy 2026–2030 and the national Families First direction. Weaknesses are relatively minor: navigation can feel slightly fragmented because professional and family content sit in related but separate areas, and there is limited interactive functionality such as live chat. Overall, Norfolk offers a coherent, place-based and family-friendly presentation of its Early Help offer.</w:t>
      </w:r>
    </w:p>
    <w:p>
      <w:pPr>
        <w:pStyle w:val="Heading3"/>
      </w:pPr>
      <w:r>
        <w:t xml:space="preserve">4.2 Leeds City Council</w:t>
      </w:r>
    </w:p>
    <w:p>
      <w:pPr>
        <w:spacing w:after="200"/>
      </w:pPr>
      <w:r>
        <w:t xml:space="preserve">Leeds City Council frames Early Help through a series of clear “One minute guides” and dedicated Family Hubs pages. Early Help is described as support provided as soon as problems emerge or re-emerge, always voluntary, and based on the principle of “right conversations, right people, right time.” A graduated Thrive model is explained in accessible language: most needs are met through universal or targeted services; when more help is required, Family Hubs provide advice or direct support; and higher levels of risk are met by specialist services. Family Hubs are presented as the primary access point for families with dependent children up to 18 (and for young people aged 18–25 with SEND who are still in education).</w:t>
      </w:r>
    </w:p>
    <w:p>
      <w:pPr>
        <w:spacing w:after="200"/>
      </w:pPr>
      <w:r>
        <w:t xml:space="preserve">Seven multi-disciplinary Family Hubs operate across the city (Horsforth, Armley, Chapeltown, Deacon House, Compton Centre, Rothwell and Dewsbury Road). Each brings together early help practitioners, social workers and specialist coordinators for domestic abuse, substance use, mental health, SEND and police. A central telephone number (0113 535 0185) and email address are prominently displayed. The Early Help Front Door team works closely with the Social Work Duty and Advice team and encourages conversation rather than requiring a form for initial contact. Families are also directed to the Family Information Service and local clusters.</w:t>
      </w:r>
    </w:p>
    <w:p>
      <w:pPr>
        <w:spacing w:after="200"/>
      </w:pPr>
      <w:r>
        <w:t xml:space="preserve">Leeds’ particular strengths are the clarity of its graduated model, the practical one-stop-shop nature of the multi-disciplinary hubs, the low-formality contact methods, and the consistent restorative and family-led language. The site integrates Early Help effectively into the wider children and families section. Minor weaknesses include the need to navigate several related pages to build a complete picture and the relative lack of detailed public-facing online self-help tools. Overall, Leeds presents a coherent, multi-agency-oriented and family-centred offer.</w:t>
      </w:r>
    </w:p>
    <w:p>
      <w:pPr>
        <w:pStyle w:val="Heading3"/>
      </w:pPr>
      <w:r>
        <w:t xml:space="preserve">4.3 Tower Hamlets Council</w:t>
      </w:r>
    </w:p>
    <w:p>
      <w:pPr>
        <w:spacing w:after="200"/>
      </w:pPr>
      <w:r>
        <w:t xml:space="preserve">Tower Hamlets Council provides a dedicated “About Early Help” page that defines Early Help as an approach to providing children, young people and families with support to thrive and reach their full potential, offered at the earliest point when challenges first appear so that problems do not escalate. It is available to all families in the borough from pregnancy through to age 19 (or 25 with SEND). The page distinguishes clearly between universal services (available to everyone, such as schools, health services and baby feeding support) and targeted services (for additional needs, including parenting groups, debt and budgeting sessions, and support with school attendance or parental mental health).</w:t>
      </w:r>
    </w:p>
    <w:p>
      <w:pPr>
        <w:spacing w:after="200"/>
      </w:pPr>
      <w:r>
        <w:t xml:space="preserve">Both universal and targeted support are delivered through the Best Start Family Hub approach and Children and Family Centres. Contact details for the Early Help Hub / Multi-Agency Support Team (MAST) are clearly stated (020 7364 5006, options 2 or 3), together with an online request-for-support form and out-of-hours arrangements. The Early Help Assessment is explained in family-friendly language as a voluntary process that identifies what is going well, what the worries are, and what needs to happen, reducing the need for families to repeat their story. The Local Offer directory provides additional signposting, and the council has published an Early Help Strategy 2025–2028.</w:t>
      </w:r>
    </w:p>
    <w:p>
      <w:pPr>
        <w:spacing w:after="200"/>
      </w:pPr>
      <w:r>
        <w:t xml:space="preserve">Strengths include straightforward definitions, clear age ranges, explicit distinction between universal and targeted help, and multiple access routes. The site links Early Help to wider anti-poverty and community priorities that are highly relevant to the borough. Weaknesses relative to the other two authorities are a slightly more formal tone in places and less detailed public information about specific physical hub locations and drop-in arrangements. Navigation from the main homepage to Early Help content is functional but not always immediately obvious.</w:t>
      </w:r>
    </w:p>
    <w:p>
      <w:pPr>
        <w:pStyle w:val="Heading2"/>
      </w:pPr>
      <w:r>
        <w:t xml:space="preserve">5. Comparative analysis of strengths and weaknesses</w:t>
      </w:r>
    </w:p>
    <w:p>
      <w:pPr>
        <w:spacing w:after="200"/>
      </w:pPr>
      <w:r>
        <w:t xml:space="preserve">All three local authorities demonstrate alignment with the core principles of the </w:t>
      </w:r>
      <w:r>
        <w:rPr>
          <w:i/>
          <w:iCs/>
        </w:rPr>
        <w:t xml:space="preserve">Early Help System Guide</w:t>
      </w:r>
      <w:r>
        <w:t xml:space="preserve"> and </w:t>
      </w:r>
      <w:r>
        <w:rPr>
          <w:i/>
          <w:iCs/>
        </w:rPr>
        <w:t xml:space="preserve">Working Together to Safeguard Children 2026</w:t>
      </w:r>
      <w:r>
        <w:t xml:space="preserve">. Each presents Early Help as a network of support rather than a single service, positions Family Hubs (or Best Start Family Hubs) as a practical front door, emphasises voluntary engagement and consent, and provides telephone and online contact routes. Each also reflects the national expectation that Early Help is everybody’s business and that families should be able to access help as soon as problems emerge.</w:t>
      </w:r>
    </w:p>
    <w:p>
      <w:pPr>
        <w:spacing w:after="200"/>
      </w:pPr>
      <w:r>
        <w:t xml:space="preserve">Norfolk’s distinctive strength is the geographic specificity of its Best Start Family Hubs. Named sites with full addresses, telephone numbers and social media links make the offer tangible and reduce the risk that families feel they are contacting an anonymous bureaucracy. The language is consistently warm and practical, and adult issues that affect children are explicitly included. Leeds’ distinctive strength lies in conceptual clarity. The Thrive graduated model and the series of One-minute guides give families and practitioners a shared language for understanding levels of need and appropriate responses. The multi-disciplinary composition of the hubs and the conversation-first contact culture further lower barriers. Tower Hamlets offers strong definitional clarity and a clear universal/targeted distinction, together with useful links to the Local Offer, but provides less concrete public detail about physical access points than the other two.</w:t>
      </w:r>
    </w:p>
    <w:p>
      <w:pPr>
        <w:spacing w:after="200"/>
      </w:pPr>
      <w:r>
        <w:t xml:space="preserve">Common areas for improvement across all three sites include the prominence of Early Help content from the main homepage (families may need to search or click through several layers), limited interactive tools that could help families identify relevant support, and the absence of consistently foregrounded accessibility options (easy-read versions, translation, or clear statements about telephone alternatives for those with digital exclusion). Professional guidance sometimes sits close to family-facing material, which can create cognitive load for parents seeking simple next steps. None of the sites yet fully exploits the </w:t>
      </w:r>
      <w:r>
        <w:rPr>
          <w:i/>
          <w:iCs/>
        </w:rPr>
        <w:t xml:space="preserve">Early Help System Guide</w:t>
      </w:r>
      <w:r>
        <w:t xml:space="preserve">’s emphasis on community assets by providing a comprehensive, searchable directory of voluntary-sector provision alongside the statutory offer.</w:t>
      </w:r>
    </w:p>
    <w:p>
      <w:pPr>
        <w:pStyle w:val="Heading2"/>
      </w:pPr>
      <w:r>
        <w:t xml:space="preserve">6. Conclusion and recommendations</w:t>
      </w:r>
    </w:p>
    <w:p>
      <w:pPr>
        <w:spacing w:after="200"/>
      </w:pPr>
      <w:r>
        <w:t xml:space="preserve">Of the three local authorities examined, Leeds City Council currently appears to offer the most effective and accessible information relating to Early Help and other family support services. Its combination of plain-language explanatory guides, a clear graduated model of need, multi-disciplinary Family Hubs as a visible and practical front door, and conversation-first contact routes most closely realises the family-centred, “no wrong door” principles set out in the </w:t>
      </w:r>
      <w:r>
        <w:rPr>
          <w:i/>
          <w:iCs/>
        </w:rPr>
        <w:t xml:space="preserve">Early Help System Guide</w:t>
      </w:r>
      <w:r>
        <w:t xml:space="preserve"> and the multi-agency expectations of </w:t>
      </w:r>
      <w:r>
        <w:rPr>
          <w:i/>
          <w:iCs/>
        </w:rPr>
        <w:t xml:space="preserve">Working Together to Safeguard Children 2026</w:t>
      </w:r>
      <w:r>
        <w:t xml:space="preserve">. Norfolk is a close second, particularly strong on concrete local access points and warm, practical language. Tower Hamlets provides solid definitional and strategic content that would benefit from greater public detail about physical hubs and drop-in arrangements.</w:t>
      </w:r>
    </w:p>
    <w:p>
      <w:pPr>
        <w:spacing w:after="200"/>
      </w:pPr>
      <w:r>
        <w:t xml:space="preserve">The following recommendations are offered for all three authorities (and by extension for other local areas seeking to strengthen digital signposting):</w:t>
      </w:r>
    </w:p>
    <w:p>
      <w:pPr>
        <w:pStyle w:val="ListParagraph"/>
        <w:numPr>
          <w:ilvl w:val="0"/>
          <w:numId w:val="2"/>
        </w:numPr>
        <w:spacing w:after="120"/>
      </w:pPr>
      <w:r>
        <w:rPr>
          <w:b/>
          <w:bCs/>
        </w:rPr>
        <w:t xml:space="preserve">Homepage prominence: </w:t>
      </w:r>
      <w:r>
        <w:t xml:space="preserve">Ensure that Early Help and Family Hubs content is reachable within a maximum of two clicks from the main homepage and is presented on a single, clearly labelled family-facing landing page that separates professional guidance.</w:t>
      </w:r>
    </w:p>
    <w:p>
      <w:pPr>
        <w:pStyle w:val="ListParagraph"/>
        <w:numPr>
          <w:ilvl w:val="0"/>
          <w:numId w:val="2"/>
        </w:numPr>
        <w:spacing w:after="120"/>
      </w:pPr>
      <w:r>
        <w:rPr>
          <w:b/>
          <w:bCs/>
        </w:rPr>
        <w:t xml:space="preserve">Simple decision support: </w:t>
      </w:r>
      <w:r>
        <w:t xml:space="preserve">Introduce a short online tool or decision tree that helps families identify the most relevant type of support and generates a personalised contact pathway.</w:t>
      </w:r>
    </w:p>
    <w:p>
      <w:pPr>
        <w:pStyle w:val="ListParagraph"/>
        <w:numPr>
          <w:ilvl w:val="0"/>
          <w:numId w:val="2"/>
        </w:numPr>
        <w:spacing w:after="120"/>
      </w:pPr>
      <w:r>
        <w:rPr>
          <w:b/>
          <w:bCs/>
        </w:rPr>
        <w:t xml:space="preserve">Transparent thresholds and community assets: </w:t>
      </w:r>
      <w:r>
        <w:t xml:space="preserve">Publish clear, accessible threshold documents and a regularly updated map or directory of both statutory and voluntary/community provision.</w:t>
      </w:r>
    </w:p>
    <w:p>
      <w:pPr>
        <w:pStyle w:val="ListParagraph"/>
        <w:numPr>
          <w:ilvl w:val="0"/>
          <w:numId w:val="2"/>
        </w:numPr>
        <w:spacing w:after="120"/>
      </w:pPr>
      <w:r>
        <w:rPr>
          <w:b/>
          <w:bCs/>
        </w:rPr>
        <w:t xml:space="preserve">Accessibility by default: </w:t>
      </w:r>
      <w:r>
        <w:t xml:space="preserve">Foreground statements about translation, easy-read formats, telephone alternatives and drop-in options on every Early Help page.</w:t>
      </w:r>
    </w:p>
    <w:p>
      <w:pPr>
        <w:pStyle w:val="ListParagraph"/>
        <w:numPr>
          <w:ilvl w:val="0"/>
          <w:numId w:val="2"/>
        </w:numPr>
        <w:spacing w:after="200"/>
      </w:pPr>
      <w:r>
        <w:rPr>
          <w:b/>
          <w:bCs/>
        </w:rPr>
        <w:t xml:space="preserve">Family feedback loops: </w:t>
      </w:r>
      <w:r>
        <w:t xml:space="preserve">Embed simple feedback mechanisms so that families can rate the usefulness of the information and suggest improvements, feeding directly into the continuous development expected by both national documents.</w:t>
      </w:r>
    </w:p>
    <w:p>
      <w:pPr>
        <w:spacing w:after="200"/>
      </w:pPr>
      <w:r>
        <w:t xml:space="preserve">By strengthening digital signposting in these ways, local authorities can better enable families to recognise that Early Help exists and to take the first step towards support at the earliest opportunity. This supports the shared national ambition of improving outcomes for children and families while reducing the need for statutory intervention.</w:t>
      </w:r>
    </w:p>
    <w:p>
      <w:pPr>
        <w:pStyle w:val="Heading2"/>
      </w:pPr>
      <w:r>
        <w:t xml:space="preserve">References</w:t>
      </w:r>
    </w:p>
    <w:p>
      <w:pPr>
        <w:spacing w:after="160"/>
        <w:ind w:left="720" w:hanging="720"/>
      </w:pPr>
      <w:r>
        <w:t xml:space="preserve">Department for Education (2026) </w:t>
      </w:r>
      <w:r>
        <w:rPr>
          <w:i/>
          <w:iCs/>
        </w:rPr>
        <w:t xml:space="preserve">Working Together to Safeguard Children 2026: A guide to multi-agency working to help, protect and promote the welfare of children</w:t>
      </w:r>
      <w:r>
        <w:t xml:space="preserve">. London: Department for Education. Available at: https://www.gov.uk/government/publications/working-together-to-safeguard-children--2 (Accessed: 14 August 2026).</w:t>
      </w:r>
    </w:p>
    <w:p>
      <w:pPr>
        <w:spacing w:after="160"/>
        <w:ind w:left="720" w:hanging="720"/>
      </w:pPr>
      <w:r>
        <w:t xml:space="preserve">Department for Levelling Up, Housing and Communities &amp; Department for Education (2022) </w:t>
      </w:r>
      <w:r>
        <w:rPr>
          <w:i/>
          <w:iCs/>
        </w:rPr>
        <w:t xml:space="preserve">Early Help System Guide: A toolkit to assist local strategic partnerships responsible for their Early Help System</w:t>
      </w:r>
      <w:r>
        <w:t xml:space="preserve">. London: DLUHC &amp; DfE. Available at: https://www.gov.uk/government/publications/supporting-families-early-help-system-guide (Accessed: 14 August 2026).</w:t>
      </w:r>
    </w:p>
    <w:p>
      <w:pPr>
        <w:spacing w:after="160"/>
        <w:ind w:left="720" w:hanging="720"/>
      </w:pPr>
      <w:r>
        <w:t xml:space="preserve">Leeds City Council (2026) </w:t>
      </w:r>
      <w:r>
        <w:rPr>
          <w:i/>
          <w:iCs/>
        </w:rPr>
        <w:t xml:space="preserve">One minute guide: Early help</w:t>
      </w:r>
      <w:r>
        <w:t xml:space="preserve"> and </w:t>
      </w:r>
      <w:r>
        <w:rPr>
          <w:i/>
          <w:iCs/>
        </w:rPr>
        <w:t xml:space="preserve">One minute guide: Family Hubs and the Early Help Front Door team</w:t>
      </w:r>
      <w:r>
        <w:t xml:space="preserve">. Available at: https://www.leeds.gov.uk/ (Accessed: 14 August 2026).</w:t>
      </w:r>
    </w:p>
    <w:p>
      <w:pPr>
        <w:spacing w:after="160"/>
        <w:ind w:left="720" w:hanging="720"/>
      </w:pPr>
      <w:r>
        <w:t xml:space="preserve">Norfolk County Council (2026) </w:t>
      </w:r>
      <w:r>
        <w:rPr>
          <w:i/>
          <w:iCs/>
        </w:rPr>
        <w:t xml:space="preserve">Early help for children and families</w:t>
      </w:r>
      <w:r>
        <w:t xml:space="preserve"> and </w:t>
      </w:r>
      <w:r>
        <w:rPr>
          <w:i/>
          <w:iCs/>
        </w:rPr>
        <w:t xml:space="preserve">Best Start Family Hubs</w:t>
      </w:r>
      <w:r>
        <w:t xml:space="preserve">. Available at: https://www.norfolk.gov.uk/ (Accessed: 14 August 2026).</w:t>
      </w:r>
    </w:p>
    <w:p>
      <w:pPr>
        <w:spacing w:after="160"/>
        <w:ind w:left="720" w:hanging="720"/>
      </w:pPr>
      <w:r>
        <w:t xml:space="preserve">Tower Hamlets Council (2026) </w:t>
      </w:r>
      <w:r>
        <w:rPr>
          <w:i/>
          <w:iCs/>
        </w:rPr>
        <w:t xml:space="preserve">About Early Help</w:t>
      </w:r>
      <w:r>
        <w:t xml:space="preserve"> and related Family Hub pages. Available at: https://www.towerhamlets.gov.uk/ (Accessed: 14 August 2026).</w:t>
      </w:r>
    </w:p>
    <w:sectPr>
      <w:headerReference w:type="default" r:id="rId7"/>
      <w:footerReference w:type="default" r:id="rId8"/>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1F4E79" w:sz="6" w:space="4"/>
      </w:pBdr>
      <w:spacing w:before="60"/>
      <w:jc w:val="center"/>
    </w:pPr>
    <w:r>
      <w:rPr>
        <w:rFonts w:ascii="Arial" w:cs="Arial" w:eastAsia="Arial" w:hAnsi="Arial"/>
        <w:sz w:val="16"/>
        <w:szCs w:val="16"/>
      </w:rPr>
      <w:t xml:space="preserve">Page </w:t>
    </w:r>
    <w:r>
      <w:rPr>
        <w:rFonts w:ascii="Arial" w:cs="Arial" w:eastAsia="Arial" w:hAnsi="Arial"/>
        <w:sz w:val="16"/>
        <w:szCs w:val="16"/>
      </w:rPr>
      <w:fldChar w:fldCharType="begin"/>
      <w:instrText xml:space="preserve">PAGE</w:instrText>
      <w:fldChar w:fldCharType="separate"/>
      <w:fldChar w:fldCharType="end"/>
    </w:r>
    <w:r>
      <w:rPr>
        <w:rFonts w:ascii="Arial" w:cs="Arial" w:eastAsia="Arial" w:hAnsi="Arial"/>
        <w:sz w:val="16"/>
        <w:szCs w:val="16"/>
      </w:rPr>
      <w:t xml:space="preserve"> of </w:t>
    </w:r>
    <w:r>
      <w:rPr>
        <w:rFonts w:ascii="Arial" w:cs="Arial" w:eastAsia="Arial" w:hAnsi="Arial"/>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F4E79" w:sz="6" w:space="4"/>
      </w:pBdr>
      <w:spacing w:after="80"/>
    </w:pPr>
    <w:r>
      <w:rPr>
        <w:rFonts w:ascii="Arial" w:cs="Arial" w:eastAsia="Arial" w:hAnsi="Arial"/>
        <w:i/>
        <w:iCs/>
        <w:color w:val="666666"/>
        <w:sz w:val="16"/>
        <w:szCs w:val="16"/>
      </w:rPr>
      <w:t xml:space="preserve">Khatera Omari (2428550)  |  Early Help Signposting Report  |  University of Wales Trinity Saint David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00" w:before="360"/>
      <w:outlineLvl w:val="0"/>
    </w:pPr>
    <w:rPr>
      <w:rFonts w:ascii="Arial" w:cs="Arial" w:eastAsia="Arial" w:hAnsi="Arial"/>
      <w:b/>
      <w:bCs/>
      <w:color w:val="1F4E79"/>
      <w:sz w:val="32"/>
      <w:szCs w:val="32"/>
    </w:rPr>
  </w:style>
  <w:style w:type="paragraph" w:styleId="Heading2">
    <w:name w:val="Heading 2"/>
    <w:basedOn w:val="Normal"/>
    <w:next w:val="Normal"/>
    <w:qFormat/>
    <w:pPr>
      <w:spacing w:after="160" w:before="280"/>
      <w:outlineLvl w:val="1"/>
    </w:pPr>
    <w:rPr>
      <w:rFonts w:ascii="Arial" w:cs="Arial" w:eastAsia="Arial" w:hAnsi="Arial"/>
      <w:b/>
      <w:bCs/>
      <w:color w:val="2E75B6"/>
      <w:sz w:val="28"/>
      <w:szCs w:val="28"/>
    </w:rPr>
  </w:style>
  <w:style w:type="paragraph" w:styleId="Heading3">
    <w:name w:val="Heading 3"/>
    <w:basedOn w:val="Normal"/>
    <w:next w:val="Normal"/>
    <w:qFormat/>
    <w:pPr>
      <w:spacing w:after="120" w:before="200"/>
      <w:outlineLvl w:val="2"/>
    </w:pPr>
    <w:rPr>
      <w:rFonts w:ascii="Arial" w:cs="Arial" w:eastAsia="Arial" w:hAnsi="Arial"/>
      <w:b/>
      <w:bCs/>
      <w:color w:val="404040"/>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ca7c5c9a04dfedc4cac19bbb3c8a56e1e8d6123b.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2026-08-15T15:05:06.892Z</dcterms:created>
  <dcterms:modified xsi:type="dcterms:W3CDTF">2026-08-15T15:05:06.892Z</dcterms:modified>
</cp:coreProperties>
</file>

<file path=docProps/custom.xml><?xml version="1.0" encoding="utf-8"?>
<Properties xmlns="http://schemas.openxmlformats.org/officeDocument/2006/custom-properties" xmlns:vt="http://schemas.openxmlformats.org/officeDocument/2006/docPropsVTypes"/>
</file>