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263664" w:rsidRPr="001B7C3E" w:rsidRDefault="00263664">
      <w:pPr>
        <w:rPr>
          <w:color w:val="auto"/>
        </w:rPr>
      </w:pPr>
    </w:p>
    <w:p w:rsidR="00263664" w:rsidRDefault="00E80545" w:rsidP="001B7C3E">
      <w:pPr>
        <w:jc w:val="center"/>
        <w:rPr>
          <w:rFonts w:ascii="Algerian" w:eastAsia="Algerian" w:hAnsi="Algerian" w:cs="Algerian"/>
          <w:b/>
          <w:color w:val="auto"/>
          <w:sz w:val="46"/>
          <w:szCs w:val="46"/>
          <w:u w:val="single"/>
        </w:rPr>
      </w:pPr>
      <w:r w:rsidRPr="001B7C3E">
        <w:rPr>
          <w:rFonts w:ascii="Algerian" w:eastAsia="Algerian" w:hAnsi="Algerian" w:cs="Algerian"/>
          <w:b/>
          <w:color w:val="auto"/>
          <w:sz w:val="46"/>
          <w:szCs w:val="46"/>
          <w:u w:val="single"/>
        </w:rPr>
        <w:t>Stone tools and what they could be telling us</w:t>
      </w:r>
    </w:p>
    <w:p w:rsidR="001B7C3E" w:rsidRDefault="001B7C3E">
      <w:pPr>
        <w:rPr>
          <w:rFonts w:ascii="Algerian" w:eastAsia="Algerian" w:hAnsi="Algerian" w:cs="Algerian"/>
          <w:b/>
          <w:color w:val="auto"/>
          <w:sz w:val="46"/>
          <w:szCs w:val="46"/>
          <w:u w:val="single"/>
        </w:rPr>
      </w:pPr>
    </w:p>
    <w:p w:rsidR="001B7C3E" w:rsidRPr="001B7C3E" w:rsidRDefault="001B7C3E" w:rsidP="001B7C3E">
      <w:pPr>
        <w:jc w:val="center"/>
        <w:rPr>
          <w:rFonts w:ascii="Algerian" w:eastAsia="Algerian" w:hAnsi="Algerian" w:cs="Algerian"/>
          <w:b/>
          <w:color w:val="auto"/>
          <w:sz w:val="46"/>
          <w:szCs w:val="46"/>
          <w:u w:val="single"/>
        </w:rPr>
      </w:pPr>
    </w:p>
    <w:p w:rsidR="00263664" w:rsidRPr="001B7C3E" w:rsidRDefault="00263664">
      <w:pPr>
        <w:rPr>
          <w:b/>
          <w:color w:val="auto"/>
          <w:sz w:val="32"/>
          <w:szCs w:val="32"/>
          <w:u w:val="single"/>
        </w:rPr>
      </w:pPr>
    </w:p>
    <w:p w:rsidR="00263664" w:rsidRPr="001B7C3E" w:rsidRDefault="00E80545">
      <w:pPr>
        <w:rPr>
          <w:color w:val="auto"/>
          <w:sz w:val="32"/>
          <w:szCs w:val="32"/>
        </w:rPr>
      </w:pPr>
      <w:r w:rsidRPr="001B7C3E">
        <w:rPr>
          <w:color w:val="auto"/>
          <w:sz w:val="32"/>
          <w:szCs w:val="32"/>
        </w:rPr>
        <w:t>For this piece of work I will be outlining a few of the methods paleoanthropologists use to better understand the social behaviours of early hominids and how effective these methods are at doing so with particular focus on stone tools and the manufacturing</w:t>
      </w:r>
      <w:r w:rsidRPr="001B7C3E">
        <w:rPr>
          <w:color w:val="auto"/>
          <w:sz w:val="32"/>
          <w:szCs w:val="32"/>
        </w:rPr>
        <w:t xml:space="preserve"> of stone tools.  </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Our understanding of what stone tools can tell us about early hominids has broadened significantly over the last decade. Stone tools were initially seen as the result of changes in the human brain, and as an “indicator of cultural achie</w:t>
      </w:r>
      <w:r w:rsidRPr="001B7C3E">
        <w:rPr>
          <w:color w:val="auto"/>
          <w:sz w:val="32"/>
          <w:szCs w:val="32"/>
        </w:rPr>
        <w:t>vement”</w:t>
      </w:r>
      <w:r w:rsidRPr="001B7C3E">
        <w:rPr>
          <w:color w:val="auto"/>
          <w:sz w:val="32"/>
          <w:szCs w:val="32"/>
          <w:vertAlign w:val="superscript"/>
        </w:rPr>
        <w:footnoteReference w:id="1"/>
      </w:r>
      <w:r w:rsidRPr="001B7C3E">
        <w:rPr>
          <w:color w:val="auto"/>
          <w:sz w:val="32"/>
          <w:szCs w:val="32"/>
        </w:rPr>
        <w:t xml:space="preserve">. These days the ways that paleoanthropological studies look at stone tools has changed. </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Over the last ten years a wide variety of studies have taken place involving stone tools and questions have risen from such studies, questions such as these:</w:t>
      </w:r>
      <w:r w:rsidRPr="001B7C3E">
        <w:rPr>
          <w:color w:val="auto"/>
          <w:sz w:val="32"/>
          <w:szCs w:val="32"/>
        </w:rPr>
        <w:t xml:space="preserve"> how did early hominids use tools to adapt to their environment?</w:t>
      </w:r>
      <w:r w:rsidRPr="001B7C3E">
        <w:rPr>
          <w:color w:val="auto"/>
          <w:sz w:val="32"/>
          <w:szCs w:val="32"/>
          <w:vertAlign w:val="superscript"/>
        </w:rPr>
        <w:footnoteReference w:id="2"/>
      </w:r>
      <w:r w:rsidRPr="001B7C3E">
        <w:rPr>
          <w:color w:val="auto"/>
          <w:sz w:val="32"/>
          <w:szCs w:val="32"/>
        </w:rPr>
        <w:t xml:space="preserve"> Can you make and further develop tools without verbal communication? Can you tell whether a hominid was right or left handed by studying the tools?</w:t>
      </w:r>
      <w:r w:rsidRPr="001B7C3E">
        <w:rPr>
          <w:color w:val="auto"/>
          <w:sz w:val="32"/>
          <w:szCs w:val="32"/>
          <w:vertAlign w:val="superscript"/>
        </w:rPr>
        <w:footnoteReference w:id="3"/>
      </w:r>
      <w:r w:rsidRPr="001B7C3E">
        <w:rPr>
          <w:color w:val="auto"/>
          <w:sz w:val="32"/>
          <w:szCs w:val="32"/>
        </w:rPr>
        <w:t xml:space="preserve"> What does this tell us about the developm</w:t>
      </w:r>
      <w:r w:rsidRPr="001B7C3E">
        <w:rPr>
          <w:color w:val="auto"/>
          <w:sz w:val="32"/>
          <w:szCs w:val="32"/>
        </w:rPr>
        <w:t>ent of the human brain?</w:t>
      </w:r>
      <w:r w:rsidRPr="001B7C3E">
        <w:rPr>
          <w:color w:val="auto"/>
          <w:sz w:val="32"/>
          <w:szCs w:val="32"/>
          <w:vertAlign w:val="superscript"/>
        </w:rPr>
        <w:footnoteReference w:id="4"/>
      </w:r>
      <w:r w:rsidRPr="001B7C3E">
        <w:rPr>
          <w:color w:val="auto"/>
          <w:sz w:val="32"/>
          <w:szCs w:val="32"/>
        </w:rPr>
        <w:t xml:space="preserve"> Is there a link between language and tool-</w:t>
      </w:r>
      <w:r w:rsidRPr="001B7C3E">
        <w:rPr>
          <w:color w:val="auto"/>
          <w:sz w:val="32"/>
          <w:szCs w:val="32"/>
        </w:rPr>
        <w:lastRenderedPageBreak/>
        <w:t>making?</w:t>
      </w:r>
      <w:r w:rsidRPr="001B7C3E">
        <w:rPr>
          <w:color w:val="auto"/>
          <w:sz w:val="32"/>
          <w:szCs w:val="32"/>
          <w:vertAlign w:val="superscript"/>
        </w:rPr>
        <w:footnoteReference w:id="5"/>
      </w:r>
      <w:r w:rsidRPr="001B7C3E">
        <w:rPr>
          <w:color w:val="auto"/>
          <w:sz w:val="32"/>
          <w:szCs w:val="32"/>
        </w:rPr>
        <w:t xml:space="preserve"> Paleoanthropologists have been attempting to answer these questions and many more, and in this essay I will be examining how successful they have been at doing so with current pale</w:t>
      </w:r>
      <w:r w:rsidRPr="001B7C3E">
        <w:rPr>
          <w:color w:val="auto"/>
          <w:sz w:val="32"/>
          <w:szCs w:val="32"/>
        </w:rPr>
        <w:t>oanthropological methodology.</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 xml:space="preserve">Once early hominids moved past wood and bone tools and begin developing stone tools they began moving out of trees into the plains and savannas, as they could now protect themselves better against predators. </w:t>
      </w:r>
      <w:r w:rsidRPr="001B7C3E">
        <w:rPr>
          <w:color w:val="auto"/>
          <w:sz w:val="32"/>
          <w:szCs w:val="32"/>
        </w:rPr>
        <w:t>Paleoanthropologi</w:t>
      </w:r>
      <w:r w:rsidRPr="001B7C3E">
        <w:rPr>
          <w:color w:val="auto"/>
          <w:sz w:val="32"/>
          <w:szCs w:val="32"/>
        </w:rPr>
        <w:t>sts such as Harris and Capaldo can tell that early hominids had adapted to a life out of the trees by examining leg bone/joint changes and by the fact that hominids began walking upright.</w:t>
      </w:r>
      <w:r w:rsidRPr="001B7C3E">
        <w:rPr>
          <w:color w:val="auto"/>
          <w:sz w:val="32"/>
          <w:szCs w:val="32"/>
          <w:vertAlign w:val="superscript"/>
        </w:rPr>
        <w:footnoteReference w:id="6"/>
      </w:r>
    </w:p>
    <w:p w:rsidR="00263664" w:rsidRPr="001B7C3E" w:rsidRDefault="00E80545">
      <w:pPr>
        <w:rPr>
          <w:color w:val="auto"/>
          <w:sz w:val="32"/>
          <w:szCs w:val="32"/>
        </w:rPr>
      </w:pPr>
      <w:r w:rsidRPr="001B7C3E">
        <w:rPr>
          <w:color w:val="auto"/>
          <w:sz w:val="32"/>
          <w:szCs w:val="32"/>
        </w:rPr>
        <w:t>Evidence from Koobi Fora in Kenya and Olduvai Gorge in Tanzania sho</w:t>
      </w:r>
      <w:r w:rsidRPr="001B7C3E">
        <w:rPr>
          <w:color w:val="auto"/>
          <w:sz w:val="32"/>
          <w:szCs w:val="32"/>
        </w:rPr>
        <w:t>w that the hominids there were ranging outside of the protection of the trees.</w:t>
      </w:r>
      <w:r w:rsidRPr="001B7C3E">
        <w:rPr>
          <w:color w:val="auto"/>
          <w:sz w:val="32"/>
          <w:szCs w:val="32"/>
          <w:vertAlign w:val="superscript"/>
        </w:rPr>
        <w:footnoteReference w:id="7"/>
      </w:r>
      <w:r w:rsidRPr="001B7C3E">
        <w:rPr>
          <w:color w:val="auto"/>
          <w:sz w:val="32"/>
          <w:szCs w:val="32"/>
        </w:rPr>
        <w:t xml:space="preserve"> By examining and comparing assemblages of tools, paleoanthropologists have been moderately successful in attempting to determine how far the early hominids ranged, and discover</w:t>
      </w:r>
      <w:r w:rsidRPr="001B7C3E">
        <w:rPr>
          <w:color w:val="auto"/>
          <w:sz w:val="32"/>
          <w:szCs w:val="32"/>
        </w:rPr>
        <w:t xml:space="preserve"> the territorial boundaries of different groups.</w:t>
      </w:r>
      <w:r w:rsidRPr="001B7C3E">
        <w:rPr>
          <w:color w:val="auto"/>
          <w:sz w:val="32"/>
          <w:szCs w:val="32"/>
          <w:vertAlign w:val="superscript"/>
        </w:rPr>
        <w:footnoteReference w:id="8"/>
      </w:r>
      <w:r w:rsidRPr="001B7C3E">
        <w:rPr>
          <w:color w:val="auto"/>
          <w:sz w:val="32"/>
          <w:szCs w:val="32"/>
        </w:rPr>
        <w:t xml:space="preserve"> However it is not always easy to determine whether tool assemblages in an area belong to more than one group and there can therefore be complications in establishing ownership of said tools and territories.</w:t>
      </w:r>
    </w:p>
    <w:p w:rsidR="00263664" w:rsidRPr="001B7C3E" w:rsidRDefault="00E80545">
      <w:pPr>
        <w:rPr>
          <w:color w:val="auto"/>
          <w:sz w:val="32"/>
          <w:szCs w:val="32"/>
        </w:rPr>
      </w:pPr>
      <w:r w:rsidRPr="001B7C3E">
        <w:rPr>
          <w:color w:val="auto"/>
          <w:sz w:val="32"/>
          <w:szCs w:val="32"/>
        </w:rPr>
        <w:br/>
        <w:t>Materials used to make tools can be examined to tell if the users were nomadic or not dependent on if the stone used in the creation of the tool was readily available where the tools were uncovered. One of the more successful theories put forwards by pal</w:t>
      </w:r>
      <w:r w:rsidRPr="001B7C3E">
        <w:rPr>
          <w:color w:val="auto"/>
          <w:sz w:val="32"/>
          <w:szCs w:val="32"/>
        </w:rPr>
        <w:t>eoanthropologists has been to make</w:t>
      </w:r>
      <w:r w:rsidRPr="001B7C3E">
        <w:rPr>
          <w:color w:val="auto"/>
          <w:sz w:val="32"/>
          <w:szCs w:val="32"/>
        </w:rPr>
        <w:t xml:space="preserve"> a clear distinction between nomadic “foragers”, who used 'curated’ tools that they would carry for long distances and showed </w:t>
      </w:r>
      <w:r w:rsidRPr="001B7C3E">
        <w:rPr>
          <w:color w:val="auto"/>
          <w:sz w:val="32"/>
          <w:szCs w:val="32"/>
        </w:rPr>
        <w:lastRenderedPageBreak/>
        <w:t>extensive reworking as the use changed, and sedentary “collectors” who would use 'expedient’ too</w:t>
      </w:r>
      <w:r w:rsidRPr="001B7C3E">
        <w:rPr>
          <w:color w:val="auto"/>
          <w:sz w:val="32"/>
          <w:szCs w:val="32"/>
        </w:rPr>
        <w:t>ls that were usually only for a single purpose and were not adapted or reworked.</w:t>
      </w:r>
      <w:r w:rsidRPr="001B7C3E">
        <w:rPr>
          <w:color w:val="auto"/>
          <w:sz w:val="32"/>
          <w:szCs w:val="32"/>
          <w:vertAlign w:val="superscript"/>
        </w:rPr>
        <w:footnoteReference w:id="9"/>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An example of this was found at Bouri in Ethiopia, where archaeologists found non-native stones, suggesting the inhabitants fell into the “nomadic forager” category.</w:t>
      </w:r>
      <w:r w:rsidRPr="001B7C3E">
        <w:rPr>
          <w:color w:val="auto"/>
          <w:sz w:val="32"/>
          <w:szCs w:val="32"/>
          <w:vertAlign w:val="superscript"/>
        </w:rPr>
        <w:footnoteReference w:id="10"/>
      </w:r>
      <w:r w:rsidRPr="001B7C3E">
        <w:rPr>
          <w:color w:val="auto"/>
          <w:sz w:val="32"/>
          <w:szCs w:val="32"/>
        </w:rPr>
        <w:t xml:space="preserve"> Settle</w:t>
      </w:r>
      <w:r w:rsidRPr="001B7C3E">
        <w:rPr>
          <w:color w:val="auto"/>
          <w:sz w:val="32"/>
          <w:szCs w:val="32"/>
        </w:rPr>
        <w:t xml:space="preserve">ment patterns can also be determined with limited success, as there are several paleolithic sites across Africa that had periods of occupation during certain months of the year, and were uninhabited during others until the return of the same hominid group </w:t>
      </w:r>
      <w:r w:rsidRPr="001B7C3E">
        <w:rPr>
          <w:color w:val="auto"/>
          <w:sz w:val="32"/>
          <w:szCs w:val="32"/>
        </w:rPr>
        <w:t>the next season.</w:t>
      </w:r>
      <w:r w:rsidRPr="001B7C3E">
        <w:rPr>
          <w:color w:val="auto"/>
          <w:sz w:val="32"/>
          <w:szCs w:val="32"/>
          <w:vertAlign w:val="superscript"/>
        </w:rPr>
        <w:footnoteReference w:id="11"/>
      </w:r>
      <w:r w:rsidRPr="001B7C3E">
        <w:rPr>
          <w:color w:val="auto"/>
          <w:sz w:val="32"/>
          <w:szCs w:val="32"/>
        </w:rPr>
        <w:t xml:space="preserve"> This shows that different group types such as nomadic and sedentary groups can be identified using the stone tools as identifiers of whether or not the group moved around through its life or stayed in one place.</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 xml:space="preserve">A </w:t>
      </w:r>
      <w:r w:rsidRPr="001B7C3E">
        <w:rPr>
          <w:color w:val="auto"/>
          <w:sz w:val="32"/>
          <w:szCs w:val="32"/>
        </w:rPr>
        <w:t>symbiotic relationship</w:t>
      </w:r>
      <w:r w:rsidRPr="001B7C3E">
        <w:rPr>
          <w:color w:val="auto"/>
          <w:sz w:val="32"/>
          <w:szCs w:val="32"/>
        </w:rPr>
        <w:t xml:space="preserve"> has been identified between advances in tools and changes in behaviour. Changes in tools lead to more advanced behaviour, and similarly changes</w:t>
      </w:r>
      <w:r w:rsidRPr="001B7C3E">
        <w:rPr>
          <w:color w:val="auto"/>
          <w:sz w:val="32"/>
          <w:szCs w:val="32"/>
        </w:rPr>
        <w:t xml:space="preserve"> </w:t>
      </w:r>
      <w:r w:rsidRPr="001B7C3E">
        <w:rPr>
          <w:color w:val="auto"/>
          <w:sz w:val="32"/>
          <w:szCs w:val="32"/>
        </w:rPr>
        <w:t>in behaviour lead to more advanced tools.</w:t>
      </w:r>
      <w:r w:rsidRPr="001B7C3E">
        <w:rPr>
          <w:color w:val="auto"/>
          <w:sz w:val="32"/>
          <w:szCs w:val="32"/>
          <w:vertAlign w:val="superscript"/>
        </w:rPr>
        <w:footnoteReference w:id="12"/>
      </w:r>
      <w:r w:rsidRPr="001B7C3E">
        <w:rPr>
          <w:color w:val="auto"/>
          <w:sz w:val="32"/>
          <w:szCs w:val="32"/>
        </w:rPr>
        <w:t xml:space="preserve"> For example, the transitions between the different ‘industries’ iden</w:t>
      </w:r>
      <w:r w:rsidRPr="001B7C3E">
        <w:rPr>
          <w:color w:val="auto"/>
          <w:sz w:val="32"/>
          <w:szCs w:val="32"/>
        </w:rPr>
        <w:t>tified by paleoanthropologists was accompanied by other changes, such as different social actions, and the slow invention of rudimentary language forms.</w:t>
      </w:r>
      <w:r w:rsidRPr="001B7C3E">
        <w:rPr>
          <w:color w:val="auto"/>
          <w:sz w:val="32"/>
          <w:szCs w:val="32"/>
          <w:vertAlign w:val="superscript"/>
        </w:rPr>
        <w:footnoteReference w:id="13"/>
      </w:r>
      <w:r w:rsidRPr="001B7C3E">
        <w:rPr>
          <w:color w:val="auto"/>
          <w:sz w:val="32"/>
          <w:szCs w:val="32"/>
        </w:rPr>
        <w:t xml:space="preserve"> </w:t>
      </w:r>
    </w:p>
    <w:p w:rsidR="00263664" w:rsidRPr="001B7C3E" w:rsidRDefault="00E80545">
      <w:pPr>
        <w:rPr>
          <w:color w:val="auto"/>
          <w:sz w:val="32"/>
          <w:szCs w:val="32"/>
        </w:rPr>
      </w:pPr>
      <w:r w:rsidRPr="001B7C3E">
        <w:rPr>
          <w:color w:val="auto"/>
          <w:sz w:val="32"/>
          <w:szCs w:val="32"/>
        </w:rPr>
        <w:t>In the same way, changes in behaviour and culture may have led to new innovative ways of tool design.</w:t>
      </w:r>
      <w:r w:rsidRPr="001B7C3E">
        <w:rPr>
          <w:color w:val="auto"/>
          <w:sz w:val="32"/>
          <w:szCs w:val="32"/>
          <w:vertAlign w:val="superscript"/>
        </w:rPr>
        <w:footnoteReference w:id="14"/>
      </w:r>
      <w:r w:rsidRPr="001B7C3E">
        <w:rPr>
          <w:color w:val="auto"/>
          <w:sz w:val="32"/>
          <w:szCs w:val="32"/>
        </w:rPr>
        <w:t xml:space="preserve"> One key method paleoanthropologists use to identify groups and the ‘level’ they have reached in ‘societal and brain evolution’ is how each </w:t>
      </w:r>
      <w:r w:rsidRPr="001B7C3E">
        <w:rPr>
          <w:color w:val="auto"/>
          <w:sz w:val="32"/>
          <w:szCs w:val="32"/>
        </w:rPr>
        <w:lastRenderedPageBreak/>
        <w:t xml:space="preserve">group or ‘industry’ has certain tools that are typical to them and tend to represent them. </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The five most well-kno</w:t>
      </w:r>
      <w:r w:rsidRPr="001B7C3E">
        <w:rPr>
          <w:color w:val="auto"/>
          <w:sz w:val="32"/>
          <w:szCs w:val="32"/>
        </w:rPr>
        <w:t>wn industries cover the majority of stone tool types: “</w:t>
      </w:r>
      <w:r w:rsidRPr="001B7C3E">
        <w:rPr>
          <w:i/>
          <w:color w:val="auto"/>
          <w:sz w:val="32"/>
          <w:szCs w:val="32"/>
        </w:rPr>
        <w:t>Oldowan choppers and chopping tools, Acheulian handaxes and cleavers, Levallois pared cores and flakes, Mousterian scrapers, and Upper Paleolithic blade-based end scrapers, burins and projectile points</w:t>
      </w:r>
      <w:r w:rsidRPr="001B7C3E">
        <w:rPr>
          <w:color w:val="auto"/>
          <w:sz w:val="32"/>
          <w:szCs w:val="32"/>
        </w:rPr>
        <w:t>”.</w:t>
      </w:r>
      <w:r w:rsidRPr="001B7C3E">
        <w:rPr>
          <w:color w:val="auto"/>
          <w:sz w:val="32"/>
          <w:szCs w:val="32"/>
          <w:vertAlign w:val="superscript"/>
        </w:rPr>
        <w:footnoteReference w:id="15"/>
      </w:r>
      <w:r w:rsidRPr="001B7C3E">
        <w:rPr>
          <w:color w:val="auto"/>
          <w:sz w:val="32"/>
          <w:szCs w:val="32"/>
        </w:rPr>
        <w:t xml:space="preserve"> Overall, paleoanthropologists have been successful in identifying the different ‘industries’ and how they came about. However, some tools cross over and appear in more than one ‘industry’, which can lead to difficulties in identification. It is also po</w:t>
      </w:r>
      <w:r w:rsidRPr="001B7C3E">
        <w:rPr>
          <w:color w:val="auto"/>
          <w:sz w:val="32"/>
          <w:szCs w:val="32"/>
        </w:rPr>
        <w:t>ssible that members from these overlapping groups may have interacted, and so new innovations were passed from one group to the previous, allowing them to advance technologically but not necessarily adopt the societal changes that were brought about by the</w:t>
      </w:r>
      <w:r w:rsidRPr="001B7C3E">
        <w:rPr>
          <w:color w:val="auto"/>
          <w:sz w:val="32"/>
          <w:szCs w:val="32"/>
        </w:rPr>
        <w:t xml:space="preserve"> tools adoption in its original group. Thus there can be some problems with identifying progression in each industry based on stone tools alone as groups can sometime overlap and and change information and tools which increases the difficulty in identifyin</w:t>
      </w:r>
      <w:r w:rsidRPr="001B7C3E">
        <w:rPr>
          <w:color w:val="auto"/>
          <w:sz w:val="32"/>
          <w:szCs w:val="32"/>
        </w:rPr>
        <w:t>g the original creators of certain tools from one industry that are sometimes found in another and can cause the misidentification of an industry based on the discovery of a tool from a different industry.</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As whole groups use the same technology, paleoant</w:t>
      </w:r>
      <w:r w:rsidRPr="001B7C3E">
        <w:rPr>
          <w:color w:val="auto"/>
          <w:sz w:val="32"/>
          <w:szCs w:val="32"/>
        </w:rPr>
        <w:t xml:space="preserve">hropologists have interpreted this as indicating that they were </w:t>
      </w:r>
      <w:r w:rsidRPr="001B7C3E">
        <w:rPr>
          <w:color w:val="auto"/>
          <w:sz w:val="32"/>
          <w:szCs w:val="32"/>
        </w:rPr>
        <w:t>capable of communication and teaching, or perhaps simply copying</w:t>
      </w:r>
      <w:r w:rsidRPr="001B7C3E">
        <w:rPr>
          <w:color w:val="auto"/>
          <w:sz w:val="32"/>
          <w:szCs w:val="32"/>
        </w:rPr>
        <w:t>.</w:t>
      </w:r>
      <w:r w:rsidRPr="001B7C3E">
        <w:rPr>
          <w:color w:val="auto"/>
          <w:sz w:val="32"/>
          <w:szCs w:val="32"/>
          <w:vertAlign w:val="superscript"/>
        </w:rPr>
        <w:footnoteReference w:id="16"/>
      </w:r>
      <w:r w:rsidRPr="001B7C3E">
        <w:rPr>
          <w:color w:val="auto"/>
          <w:sz w:val="32"/>
          <w:szCs w:val="32"/>
        </w:rPr>
        <w:t xml:space="preserve"> When an individual found a better way of doing something, this was spread through the group. This is </w:t>
      </w:r>
      <w:r w:rsidRPr="001B7C3E">
        <w:rPr>
          <w:color w:val="auto"/>
          <w:sz w:val="32"/>
          <w:szCs w:val="32"/>
        </w:rPr>
        <w:lastRenderedPageBreak/>
        <w:t>called “socially support</w:t>
      </w:r>
      <w:r w:rsidRPr="001B7C3E">
        <w:rPr>
          <w:color w:val="auto"/>
          <w:sz w:val="32"/>
          <w:szCs w:val="32"/>
        </w:rPr>
        <w:t>ed skill acquisition”.</w:t>
      </w:r>
      <w:r w:rsidRPr="001B7C3E">
        <w:rPr>
          <w:color w:val="auto"/>
          <w:sz w:val="32"/>
          <w:szCs w:val="32"/>
          <w:vertAlign w:val="superscript"/>
        </w:rPr>
        <w:footnoteReference w:id="17"/>
      </w:r>
      <w:r w:rsidRPr="001B7C3E">
        <w:rPr>
          <w:color w:val="auto"/>
          <w:sz w:val="32"/>
          <w:szCs w:val="32"/>
        </w:rPr>
        <w:t xml:space="preserve"> This concept can even be extended further, to observe whether there was cultural interaction and sharing of technologies between different groups,</w:t>
      </w:r>
      <w:r w:rsidRPr="001B7C3E">
        <w:rPr>
          <w:color w:val="auto"/>
          <w:sz w:val="32"/>
          <w:szCs w:val="32"/>
          <w:vertAlign w:val="superscript"/>
        </w:rPr>
        <w:footnoteReference w:id="18"/>
      </w:r>
      <w:r w:rsidRPr="001B7C3E">
        <w:rPr>
          <w:color w:val="auto"/>
          <w:sz w:val="32"/>
          <w:szCs w:val="32"/>
        </w:rPr>
        <w:t xml:space="preserve"> or even to determine whether the sharing of technologies can be counted as a very ea</w:t>
      </w:r>
      <w:r w:rsidRPr="001B7C3E">
        <w:rPr>
          <w:color w:val="auto"/>
          <w:sz w:val="32"/>
          <w:szCs w:val="32"/>
        </w:rPr>
        <w:t>rly form of trade.</w:t>
      </w:r>
      <w:r w:rsidRPr="001B7C3E">
        <w:rPr>
          <w:color w:val="auto"/>
          <w:sz w:val="32"/>
          <w:szCs w:val="32"/>
          <w:vertAlign w:val="superscript"/>
        </w:rPr>
        <w:footnoteReference w:id="19"/>
      </w:r>
      <w:r w:rsidRPr="001B7C3E">
        <w:rPr>
          <w:color w:val="auto"/>
          <w:sz w:val="32"/>
          <w:szCs w:val="32"/>
        </w:rPr>
        <w:t xml:space="preserve"> The successful analysis and identification of regional differences in tool making led to the identification of an established exchange system in Early Neolithic Britain, as tools from the chalklands of Southern Britain have been found f</w:t>
      </w:r>
      <w:r w:rsidRPr="001B7C3E">
        <w:rPr>
          <w:color w:val="auto"/>
          <w:sz w:val="32"/>
          <w:szCs w:val="32"/>
        </w:rPr>
        <w:t>ar outside the surrounding area</w:t>
      </w:r>
      <w:r w:rsidRPr="001B7C3E">
        <w:rPr>
          <w:color w:val="auto"/>
          <w:sz w:val="32"/>
          <w:szCs w:val="32"/>
          <w:vertAlign w:val="superscript"/>
        </w:rPr>
        <w:footnoteReference w:id="20"/>
      </w:r>
      <w:r w:rsidRPr="001B7C3E">
        <w:rPr>
          <w:color w:val="auto"/>
          <w:sz w:val="32"/>
          <w:szCs w:val="32"/>
        </w:rPr>
        <w:t>, as well as sandstone ‘maceheads’ from the Isle of Rhum in Scotland being found further afield.</w:t>
      </w:r>
      <w:r w:rsidRPr="001B7C3E">
        <w:rPr>
          <w:color w:val="auto"/>
          <w:sz w:val="32"/>
          <w:szCs w:val="32"/>
          <w:vertAlign w:val="superscript"/>
        </w:rPr>
        <w:footnoteReference w:id="21"/>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 xml:space="preserve">Paleoanthropologists have been able to identify that certain activities took place at specific sites through the analysis of </w:t>
      </w:r>
      <w:r w:rsidRPr="001B7C3E">
        <w:rPr>
          <w:color w:val="auto"/>
          <w:sz w:val="32"/>
          <w:szCs w:val="32"/>
        </w:rPr>
        <w:t>tool types found there.</w:t>
      </w:r>
      <w:r w:rsidRPr="001B7C3E">
        <w:rPr>
          <w:color w:val="auto"/>
          <w:sz w:val="32"/>
          <w:szCs w:val="32"/>
          <w:vertAlign w:val="superscript"/>
        </w:rPr>
        <w:footnoteReference w:id="22"/>
      </w:r>
      <w:r w:rsidRPr="001B7C3E">
        <w:rPr>
          <w:color w:val="auto"/>
          <w:sz w:val="32"/>
          <w:szCs w:val="32"/>
        </w:rPr>
        <w:t xml:space="preserve"> </w:t>
      </w:r>
      <w:r w:rsidRPr="001B7C3E">
        <w:rPr>
          <w:color w:val="auto"/>
          <w:sz w:val="32"/>
          <w:szCs w:val="32"/>
        </w:rPr>
        <w:t>For example, by looking at the debris left behind, we can tell that the Agate Basin in Wyoming was used for the production of “Folsom points” which were used as projectiles, and could be attached to spears, or fired from a bow as a</w:t>
      </w:r>
      <w:r w:rsidRPr="001B7C3E">
        <w:rPr>
          <w:color w:val="auto"/>
          <w:sz w:val="32"/>
          <w:szCs w:val="32"/>
        </w:rPr>
        <w:t>n arrow.</w:t>
      </w:r>
      <w:r w:rsidRPr="001B7C3E">
        <w:rPr>
          <w:color w:val="auto"/>
          <w:sz w:val="32"/>
          <w:szCs w:val="32"/>
          <w:vertAlign w:val="superscript"/>
        </w:rPr>
        <w:footnoteReference w:id="23"/>
      </w:r>
      <w:r w:rsidRPr="001B7C3E">
        <w:rPr>
          <w:color w:val="auto"/>
          <w:sz w:val="32"/>
          <w:szCs w:val="32"/>
        </w:rPr>
        <w:t xml:space="preserve"> Another example is the MSA11 site at Klasies River in South Africa, which was a blade industry site.</w:t>
      </w:r>
      <w:r w:rsidRPr="001B7C3E">
        <w:rPr>
          <w:color w:val="auto"/>
          <w:sz w:val="32"/>
          <w:szCs w:val="32"/>
          <w:vertAlign w:val="superscript"/>
        </w:rPr>
        <w:footnoteReference w:id="24"/>
      </w:r>
      <w:r w:rsidRPr="001B7C3E">
        <w:rPr>
          <w:color w:val="auto"/>
          <w:sz w:val="32"/>
          <w:szCs w:val="32"/>
        </w:rPr>
        <w:t xml:space="preserve"> In more recent times, such as the Mesolithic Era, stone tools can also be viewed as having a ritualistic purpose, such as arrowheads. Despite no</w:t>
      </w:r>
      <w:r w:rsidRPr="001B7C3E">
        <w:rPr>
          <w:color w:val="auto"/>
          <w:sz w:val="32"/>
          <w:szCs w:val="32"/>
        </w:rPr>
        <w:t xml:space="preserve">t fully understanding exactly what the ritual involved, the analysis of Mesolithic sites in Denmark has shown that </w:t>
      </w:r>
      <w:r w:rsidRPr="001B7C3E">
        <w:rPr>
          <w:i/>
          <w:color w:val="auto"/>
          <w:sz w:val="32"/>
          <w:szCs w:val="32"/>
        </w:rPr>
        <w:t xml:space="preserve">“up to 88% of the arrowheads found at certain locations were </w:t>
      </w:r>
      <w:r w:rsidRPr="001B7C3E">
        <w:rPr>
          <w:i/>
          <w:color w:val="auto"/>
          <w:sz w:val="32"/>
          <w:szCs w:val="32"/>
        </w:rPr>
        <w:lastRenderedPageBreak/>
        <w:t>hardly ever used in hunting activities</w:t>
      </w:r>
      <w:r w:rsidRPr="001B7C3E">
        <w:rPr>
          <w:color w:val="auto"/>
          <w:sz w:val="32"/>
          <w:szCs w:val="32"/>
        </w:rPr>
        <w:t>”.</w:t>
      </w:r>
      <w:r w:rsidRPr="001B7C3E">
        <w:rPr>
          <w:color w:val="auto"/>
          <w:sz w:val="32"/>
          <w:szCs w:val="32"/>
          <w:vertAlign w:val="superscript"/>
        </w:rPr>
        <w:footnoteReference w:id="25"/>
      </w:r>
      <w:r w:rsidRPr="001B7C3E">
        <w:rPr>
          <w:color w:val="auto"/>
          <w:sz w:val="32"/>
          <w:szCs w:val="32"/>
        </w:rPr>
        <w:t xml:space="preserve"> However, in some cases, such as in the</w:t>
      </w:r>
      <w:r w:rsidRPr="001B7C3E">
        <w:rPr>
          <w:color w:val="auto"/>
          <w:sz w:val="32"/>
          <w:szCs w:val="32"/>
        </w:rPr>
        <w:t xml:space="preserve"> Olduvai Gorge</w:t>
      </w:r>
      <w:r w:rsidRPr="001B7C3E">
        <w:rPr>
          <w:color w:val="auto"/>
          <w:sz w:val="32"/>
          <w:szCs w:val="32"/>
          <w:vertAlign w:val="superscript"/>
        </w:rPr>
        <w:footnoteReference w:id="26"/>
      </w:r>
      <w:r w:rsidRPr="001B7C3E">
        <w:rPr>
          <w:color w:val="auto"/>
          <w:sz w:val="32"/>
          <w:szCs w:val="32"/>
        </w:rPr>
        <w:t>, a variety of tools were found, which suggests more of a mixed settlement than a production site.</w:t>
      </w:r>
    </w:p>
    <w:p w:rsidR="00263664" w:rsidRPr="001B7C3E" w:rsidRDefault="00263664">
      <w:pPr>
        <w:rPr>
          <w:color w:val="auto"/>
          <w:sz w:val="32"/>
          <w:szCs w:val="32"/>
        </w:rPr>
      </w:pPr>
    </w:p>
    <w:p w:rsidR="00263664" w:rsidRPr="001B7C3E" w:rsidRDefault="00263664">
      <w:pPr>
        <w:rPr>
          <w:b/>
          <w:color w:val="auto"/>
          <w:sz w:val="32"/>
          <w:szCs w:val="32"/>
          <w:u w:val="single"/>
        </w:rPr>
      </w:pPr>
    </w:p>
    <w:p w:rsidR="00263664" w:rsidRPr="001B7C3E" w:rsidRDefault="00E80545">
      <w:pPr>
        <w:rPr>
          <w:color w:val="auto"/>
          <w:sz w:val="32"/>
          <w:szCs w:val="32"/>
        </w:rPr>
      </w:pPr>
      <w:r w:rsidRPr="001B7C3E">
        <w:rPr>
          <w:color w:val="auto"/>
          <w:sz w:val="32"/>
          <w:szCs w:val="32"/>
        </w:rPr>
        <w:t>Stone tools were used for a variety of purposes, including “</w:t>
      </w:r>
      <w:r w:rsidRPr="001B7C3E">
        <w:rPr>
          <w:i/>
          <w:color w:val="auto"/>
          <w:sz w:val="32"/>
          <w:szCs w:val="32"/>
        </w:rPr>
        <w:t>skinning, disarticulating and defleshing animals, breaking open long bones to ac</w:t>
      </w:r>
      <w:r w:rsidRPr="001B7C3E">
        <w:rPr>
          <w:i/>
          <w:color w:val="auto"/>
          <w:sz w:val="32"/>
          <w:szCs w:val="32"/>
        </w:rPr>
        <w:t>cess marrow, working wood, and processing vegetable matter.</w:t>
      </w:r>
      <w:r w:rsidRPr="001B7C3E">
        <w:rPr>
          <w:color w:val="auto"/>
          <w:sz w:val="32"/>
          <w:szCs w:val="32"/>
        </w:rPr>
        <w:t>”</w:t>
      </w:r>
      <w:r w:rsidRPr="001B7C3E">
        <w:rPr>
          <w:color w:val="auto"/>
          <w:sz w:val="32"/>
          <w:szCs w:val="32"/>
          <w:vertAlign w:val="superscript"/>
        </w:rPr>
        <w:footnoteReference w:id="27"/>
      </w:r>
      <w:r w:rsidRPr="001B7C3E">
        <w:rPr>
          <w:color w:val="auto"/>
          <w:sz w:val="32"/>
          <w:szCs w:val="32"/>
        </w:rPr>
        <w:t xml:space="preserve"> The discovery that tools could be used to cut meat as well as plants has been described as having “</w:t>
      </w:r>
      <w:r w:rsidRPr="001B7C3E">
        <w:rPr>
          <w:i/>
          <w:color w:val="auto"/>
          <w:sz w:val="32"/>
          <w:szCs w:val="32"/>
        </w:rPr>
        <w:t>opened a new niche for hominins that went beyond that which was possible through the use of tee</w:t>
      </w:r>
      <w:r w:rsidRPr="001B7C3E">
        <w:rPr>
          <w:i/>
          <w:color w:val="auto"/>
          <w:sz w:val="32"/>
          <w:szCs w:val="32"/>
        </w:rPr>
        <w:t>th</w:t>
      </w:r>
      <w:r w:rsidRPr="001B7C3E">
        <w:rPr>
          <w:color w:val="auto"/>
          <w:sz w:val="32"/>
          <w:szCs w:val="32"/>
        </w:rPr>
        <w:t>”.</w:t>
      </w:r>
      <w:r w:rsidRPr="001B7C3E">
        <w:rPr>
          <w:color w:val="auto"/>
          <w:sz w:val="32"/>
          <w:szCs w:val="32"/>
          <w:vertAlign w:val="superscript"/>
        </w:rPr>
        <w:footnoteReference w:id="28"/>
      </w:r>
      <w:r w:rsidRPr="001B7C3E">
        <w:rPr>
          <w:color w:val="auto"/>
          <w:sz w:val="32"/>
          <w:szCs w:val="32"/>
        </w:rPr>
        <w:t xml:space="preserve"> Paleoanthropologists have therefore been able to theorise that early hominids were able to have a more varied diet, which allowed them to better adapt to their environment and thrive as a species.</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During the Acheulian industry, handaxes across the globe show an astounding level of similarity,</w:t>
      </w:r>
      <w:r w:rsidRPr="001B7C3E">
        <w:rPr>
          <w:color w:val="auto"/>
          <w:sz w:val="32"/>
          <w:szCs w:val="32"/>
        </w:rPr>
        <w:t xml:space="preserve"> which paleoanthropologists have interpreted as the hominids having developed to a stage where they know exactly what the end-product will look like and have de</w:t>
      </w:r>
      <w:r w:rsidRPr="001B7C3E">
        <w:rPr>
          <w:color w:val="auto"/>
          <w:sz w:val="32"/>
          <w:szCs w:val="32"/>
        </w:rPr>
        <w:t>cided that this is the most efficient design and does not need improvement.</w:t>
      </w:r>
      <w:r w:rsidRPr="001B7C3E">
        <w:rPr>
          <w:color w:val="auto"/>
          <w:sz w:val="32"/>
          <w:szCs w:val="32"/>
          <w:vertAlign w:val="superscript"/>
        </w:rPr>
        <w:footnoteReference w:id="29"/>
      </w:r>
      <w:r w:rsidRPr="001B7C3E">
        <w:rPr>
          <w:color w:val="auto"/>
          <w:sz w:val="32"/>
          <w:szCs w:val="32"/>
        </w:rPr>
        <w:t xml:space="preserve"> It has also been argued that this shows that the social skills of the early hominids have developed to be able to allow “cultural norms”</w:t>
      </w:r>
      <w:r w:rsidRPr="001B7C3E">
        <w:rPr>
          <w:color w:val="auto"/>
          <w:sz w:val="32"/>
          <w:szCs w:val="32"/>
          <w:vertAlign w:val="superscript"/>
        </w:rPr>
        <w:footnoteReference w:id="30"/>
      </w:r>
      <w:r w:rsidRPr="001B7C3E">
        <w:rPr>
          <w:color w:val="auto"/>
          <w:sz w:val="32"/>
          <w:szCs w:val="32"/>
        </w:rPr>
        <w:t>, suggesting the passing-on of information</w:t>
      </w:r>
      <w:r w:rsidRPr="001B7C3E">
        <w:rPr>
          <w:color w:val="auto"/>
          <w:sz w:val="32"/>
          <w:szCs w:val="32"/>
        </w:rPr>
        <w:t xml:space="preserve"> between generations. It is also possible that the different nomadic groups spread across the continents had </w:t>
      </w:r>
      <w:r w:rsidRPr="001B7C3E">
        <w:rPr>
          <w:color w:val="auto"/>
          <w:sz w:val="32"/>
          <w:szCs w:val="32"/>
        </w:rPr>
        <w:lastRenderedPageBreak/>
        <w:t>interactions with each other and were able to exchange technology, as I have already mentioned above.</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A study into the brain functions required to create certain tools discovered that the neural circuits required to create an Acheulian handaxe overlap into the language centre of the brain</w:t>
      </w:r>
      <w:r w:rsidRPr="001B7C3E">
        <w:rPr>
          <w:color w:val="auto"/>
          <w:sz w:val="32"/>
          <w:szCs w:val="32"/>
          <w:vertAlign w:val="superscript"/>
        </w:rPr>
        <w:footnoteReference w:id="31"/>
      </w:r>
      <w:r w:rsidRPr="001B7C3E">
        <w:rPr>
          <w:color w:val="auto"/>
          <w:sz w:val="32"/>
          <w:szCs w:val="32"/>
        </w:rPr>
        <w:t>, which could suggest that the presence of handaxes in an area indic</w:t>
      </w:r>
      <w:r w:rsidRPr="001B7C3E">
        <w:rPr>
          <w:color w:val="auto"/>
          <w:sz w:val="32"/>
          <w:szCs w:val="32"/>
        </w:rPr>
        <w:t>ates a hominid group that are beginning to develop language, or the basic behavioural skills that precede language.</w:t>
      </w:r>
      <w:r w:rsidRPr="001B7C3E">
        <w:rPr>
          <w:color w:val="auto"/>
          <w:sz w:val="32"/>
          <w:szCs w:val="32"/>
          <w:vertAlign w:val="superscript"/>
        </w:rPr>
        <w:footnoteReference w:id="32"/>
      </w:r>
      <w:r w:rsidRPr="001B7C3E">
        <w:rPr>
          <w:color w:val="auto"/>
          <w:sz w:val="32"/>
          <w:szCs w:val="32"/>
        </w:rPr>
        <w:t xml:space="preserve"> These neural circuits were not required to make the Oldowan tools</w:t>
      </w:r>
      <w:r w:rsidRPr="001B7C3E">
        <w:rPr>
          <w:color w:val="auto"/>
          <w:sz w:val="32"/>
          <w:szCs w:val="32"/>
          <w:vertAlign w:val="superscript"/>
        </w:rPr>
        <w:footnoteReference w:id="33"/>
      </w:r>
      <w:r w:rsidRPr="001B7C3E">
        <w:rPr>
          <w:color w:val="auto"/>
          <w:sz w:val="32"/>
          <w:szCs w:val="32"/>
        </w:rPr>
        <w:t>, so it is possible that there is a connection between the invention of n</w:t>
      </w:r>
      <w:r w:rsidRPr="001B7C3E">
        <w:rPr>
          <w:color w:val="auto"/>
          <w:sz w:val="32"/>
          <w:szCs w:val="32"/>
        </w:rPr>
        <w:t>ew tools and the beginning of language.</w:t>
      </w:r>
    </w:p>
    <w:p w:rsidR="00263664" w:rsidRPr="001B7C3E" w:rsidRDefault="00E80545">
      <w:pPr>
        <w:rPr>
          <w:color w:val="auto"/>
          <w:sz w:val="32"/>
          <w:szCs w:val="32"/>
        </w:rPr>
      </w:pPr>
      <w:r w:rsidRPr="001B7C3E">
        <w:rPr>
          <w:color w:val="auto"/>
          <w:sz w:val="32"/>
          <w:szCs w:val="32"/>
        </w:rPr>
        <w:br/>
        <w:t xml:space="preserve">Hominids realised that microliths can do most of the cutting that hand axes can do </w:t>
      </w:r>
      <w:r w:rsidRPr="001B7C3E">
        <w:rPr>
          <w:color w:val="auto"/>
          <w:sz w:val="32"/>
          <w:szCs w:val="32"/>
        </w:rPr>
        <w:t>and can also be adapted easily to change the function, such as from meat slicing to sawing by creating a serrated edge.</w:t>
      </w:r>
      <w:r w:rsidRPr="001B7C3E">
        <w:rPr>
          <w:color w:val="auto"/>
          <w:sz w:val="32"/>
          <w:szCs w:val="32"/>
          <w:vertAlign w:val="superscript"/>
        </w:rPr>
        <w:footnoteReference w:id="34"/>
      </w:r>
      <w:r w:rsidRPr="001B7C3E">
        <w:rPr>
          <w:color w:val="auto"/>
          <w:sz w:val="32"/>
          <w:szCs w:val="32"/>
        </w:rPr>
        <w:t xml:space="preserve"> In La Quina</w:t>
      </w:r>
      <w:r w:rsidRPr="001B7C3E">
        <w:rPr>
          <w:color w:val="auto"/>
          <w:sz w:val="32"/>
          <w:szCs w:val="32"/>
        </w:rPr>
        <w:t>, France, a collection of microlith tools were discovered to have both plant and animal residue on them, including hair, bone, antler, plant fibres, wood and starch grains.</w:t>
      </w:r>
      <w:r w:rsidRPr="001B7C3E">
        <w:rPr>
          <w:color w:val="auto"/>
          <w:sz w:val="32"/>
          <w:szCs w:val="32"/>
          <w:vertAlign w:val="superscript"/>
        </w:rPr>
        <w:footnoteReference w:id="35"/>
      </w:r>
      <w:r w:rsidRPr="001B7C3E">
        <w:rPr>
          <w:color w:val="auto"/>
          <w:sz w:val="32"/>
          <w:szCs w:val="32"/>
        </w:rPr>
        <w:t xml:space="preserve"> This has been interpreted by paleoanthropologists that the hominids living there w</w:t>
      </w:r>
      <w:r w:rsidRPr="001B7C3E">
        <w:rPr>
          <w:color w:val="auto"/>
          <w:sz w:val="32"/>
          <w:szCs w:val="32"/>
        </w:rPr>
        <w:t>ere adapting their tools for a wide variety of uses, as well as creating tools that were multi-functional. Microliths were the basis of a great number of tools, including spears, knives and projectile points, which were invented through adaptation of the o</w:t>
      </w:r>
      <w:r w:rsidRPr="001B7C3E">
        <w:rPr>
          <w:color w:val="auto"/>
          <w:sz w:val="32"/>
          <w:szCs w:val="32"/>
        </w:rPr>
        <w:t>riginal microliths.</w:t>
      </w:r>
      <w:r w:rsidRPr="001B7C3E">
        <w:rPr>
          <w:color w:val="auto"/>
          <w:sz w:val="32"/>
          <w:szCs w:val="32"/>
          <w:vertAlign w:val="superscript"/>
        </w:rPr>
        <w:footnoteReference w:id="36"/>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lastRenderedPageBreak/>
        <w:t xml:space="preserve">Hammer and anvil tools, </w:t>
      </w:r>
      <w:r w:rsidRPr="001B7C3E">
        <w:rPr>
          <w:color w:val="auto"/>
          <w:sz w:val="32"/>
          <w:szCs w:val="32"/>
        </w:rPr>
        <w:t>also known as “hard-hammer percussion”</w:t>
      </w:r>
      <w:r w:rsidRPr="001B7C3E">
        <w:rPr>
          <w:color w:val="auto"/>
          <w:sz w:val="32"/>
          <w:szCs w:val="32"/>
          <w:vertAlign w:val="superscript"/>
        </w:rPr>
        <w:footnoteReference w:id="37"/>
      </w:r>
      <w:r w:rsidRPr="001B7C3E">
        <w:rPr>
          <w:color w:val="auto"/>
          <w:sz w:val="32"/>
          <w:szCs w:val="32"/>
        </w:rPr>
        <w:t>, were the earliest signs of tool use, and are the most common tools found in Lower Paleolithic sites, allowing paleoanthropologists a significant amount of evidence to su</w:t>
      </w:r>
      <w:r w:rsidRPr="001B7C3E">
        <w:rPr>
          <w:color w:val="auto"/>
          <w:sz w:val="32"/>
          <w:szCs w:val="32"/>
        </w:rPr>
        <w:t>ccessfully determine their use.</w:t>
      </w:r>
      <w:r w:rsidRPr="001B7C3E">
        <w:rPr>
          <w:color w:val="auto"/>
          <w:sz w:val="32"/>
          <w:szCs w:val="32"/>
          <w:vertAlign w:val="superscript"/>
        </w:rPr>
        <w:footnoteReference w:id="38"/>
      </w:r>
      <w:r w:rsidRPr="001B7C3E">
        <w:rPr>
          <w:color w:val="auto"/>
          <w:sz w:val="32"/>
          <w:szCs w:val="32"/>
        </w:rPr>
        <w:t xml:space="preserve"> These tools were originally used for food preparation,providing a more efficient method of cracking nuts and mashing plants than teeth.</w:t>
      </w:r>
      <w:r w:rsidRPr="001B7C3E">
        <w:rPr>
          <w:color w:val="auto"/>
          <w:sz w:val="32"/>
          <w:szCs w:val="32"/>
          <w:vertAlign w:val="superscript"/>
        </w:rPr>
        <w:footnoteReference w:id="39"/>
      </w:r>
      <w:r w:rsidRPr="001B7C3E">
        <w:rPr>
          <w:color w:val="auto"/>
          <w:sz w:val="32"/>
          <w:szCs w:val="32"/>
        </w:rPr>
        <w:t xml:space="preserve"> However, at some point early hominids discovered that they could refine their tools an</w:t>
      </w:r>
      <w:r w:rsidRPr="001B7C3E">
        <w:rPr>
          <w:color w:val="auto"/>
          <w:sz w:val="32"/>
          <w:szCs w:val="32"/>
        </w:rPr>
        <w:t>d create more efficient ones by knapping, which then became the dominant use for the ‘hammer and anvil’.</w:t>
      </w:r>
      <w:r w:rsidRPr="001B7C3E">
        <w:rPr>
          <w:color w:val="auto"/>
          <w:sz w:val="32"/>
          <w:szCs w:val="32"/>
          <w:vertAlign w:val="superscript"/>
        </w:rPr>
        <w:footnoteReference w:id="40"/>
      </w:r>
    </w:p>
    <w:p w:rsidR="00263664" w:rsidRPr="001B7C3E" w:rsidRDefault="00E80545">
      <w:pPr>
        <w:rPr>
          <w:color w:val="auto"/>
          <w:sz w:val="32"/>
          <w:szCs w:val="32"/>
        </w:rPr>
      </w:pPr>
      <w:r w:rsidRPr="001B7C3E">
        <w:rPr>
          <w:color w:val="auto"/>
          <w:sz w:val="32"/>
          <w:szCs w:val="32"/>
        </w:rPr>
        <w:t xml:space="preserve"> </w:t>
      </w:r>
      <w:r w:rsidRPr="001B7C3E">
        <w:rPr>
          <w:color w:val="auto"/>
          <w:sz w:val="32"/>
          <w:szCs w:val="32"/>
        </w:rPr>
        <w:br/>
        <w:t>Several possible examples of spears, arrows and darts have also been found in the archaeological record</w:t>
      </w:r>
      <w:r w:rsidRPr="001B7C3E">
        <w:rPr>
          <w:color w:val="auto"/>
          <w:sz w:val="32"/>
          <w:szCs w:val="32"/>
        </w:rPr>
        <w:t>.</w:t>
      </w:r>
      <w:r w:rsidRPr="001B7C3E">
        <w:rPr>
          <w:color w:val="auto"/>
          <w:sz w:val="32"/>
          <w:szCs w:val="32"/>
          <w:vertAlign w:val="superscript"/>
        </w:rPr>
        <w:footnoteReference w:id="41"/>
      </w:r>
      <w:r w:rsidRPr="001B7C3E">
        <w:rPr>
          <w:color w:val="auto"/>
          <w:sz w:val="32"/>
          <w:szCs w:val="32"/>
        </w:rPr>
        <w:t xml:space="preserve"> These come under the category of ‘projecti</w:t>
      </w:r>
      <w:r w:rsidRPr="001B7C3E">
        <w:rPr>
          <w:color w:val="auto"/>
          <w:sz w:val="32"/>
          <w:szCs w:val="32"/>
        </w:rPr>
        <w:t>le points’, and evidence from several sites, including Umm el Tlel in Syria, where a stone tool was found embedded in an animal bone,</w:t>
      </w:r>
      <w:r w:rsidRPr="001B7C3E">
        <w:rPr>
          <w:color w:val="auto"/>
          <w:sz w:val="32"/>
          <w:szCs w:val="32"/>
          <w:vertAlign w:val="superscript"/>
        </w:rPr>
        <w:footnoteReference w:id="42"/>
      </w:r>
      <w:r w:rsidRPr="001B7C3E">
        <w:rPr>
          <w:color w:val="auto"/>
          <w:sz w:val="32"/>
          <w:szCs w:val="32"/>
        </w:rPr>
        <w:t xml:space="preserve"> proves that these were used for hunting, and were launched with either a bow or spear-thrower.</w:t>
      </w:r>
      <w:r w:rsidRPr="001B7C3E">
        <w:rPr>
          <w:color w:val="auto"/>
          <w:sz w:val="32"/>
          <w:szCs w:val="32"/>
          <w:vertAlign w:val="superscript"/>
        </w:rPr>
        <w:footnoteReference w:id="43"/>
      </w:r>
      <w:r w:rsidRPr="001B7C3E">
        <w:rPr>
          <w:color w:val="auto"/>
          <w:sz w:val="32"/>
          <w:szCs w:val="32"/>
        </w:rPr>
        <w:t xml:space="preserve"> However, evidence for use</w:t>
      </w:r>
      <w:r w:rsidRPr="001B7C3E">
        <w:rPr>
          <w:color w:val="auto"/>
          <w:sz w:val="32"/>
          <w:szCs w:val="32"/>
        </w:rPr>
        <w:t xml:space="preserve"> of these has been limited, as the organic components of the spears, bows and arrows have not survived in the archaeological record, hindering the success rate of paleoanthropologists.</w:t>
      </w:r>
    </w:p>
    <w:p w:rsidR="00263664" w:rsidRPr="001B7C3E" w:rsidRDefault="00E80545">
      <w:pPr>
        <w:rPr>
          <w:color w:val="auto"/>
          <w:sz w:val="32"/>
          <w:szCs w:val="32"/>
        </w:rPr>
      </w:pPr>
      <w:r w:rsidRPr="001B7C3E">
        <w:rPr>
          <w:color w:val="auto"/>
          <w:sz w:val="32"/>
          <w:szCs w:val="32"/>
        </w:rPr>
        <w:br/>
        <w:t>As tools and brains evolved early hominids were able to cut meat bette</w:t>
      </w:r>
      <w:r w:rsidRPr="001B7C3E">
        <w:rPr>
          <w:color w:val="auto"/>
          <w:sz w:val="32"/>
          <w:szCs w:val="32"/>
        </w:rPr>
        <w:t>r or bash bones apart or have weapons that could be  be thrown at range</w:t>
      </w:r>
      <w:r w:rsidRPr="001B7C3E">
        <w:rPr>
          <w:color w:val="auto"/>
          <w:sz w:val="32"/>
          <w:szCs w:val="32"/>
          <w:vertAlign w:val="superscript"/>
        </w:rPr>
        <w:footnoteReference w:id="44"/>
      </w:r>
      <w:r w:rsidRPr="001B7C3E">
        <w:rPr>
          <w:color w:val="auto"/>
          <w:sz w:val="32"/>
          <w:szCs w:val="32"/>
        </w:rPr>
        <w:t xml:space="preserve">. </w:t>
      </w:r>
      <w:r w:rsidRPr="001B7C3E">
        <w:rPr>
          <w:color w:val="auto"/>
          <w:sz w:val="32"/>
          <w:szCs w:val="32"/>
        </w:rPr>
        <w:t xml:space="preserve">Paleoanthropologists have proven through differences in bone cuts on animal fossils and through analysis of the tools themselves that scavenging slowly </w:t>
      </w:r>
      <w:r w:rsidRPr="001B7C3E">
        <w:rPr>
          <w:color w:val="auto"/>
          <w:sz w:val="32"/>
          <w:szCs w:val="32"/>
        </w:rPr>
        <w:lastRenderedPageBreak/>
        <w:t>developed into hunting as homi</w:t>
      </w:r>
      <w:r w:rsidRPr="001B7C3E">
        <w:rPr>
          <w:color w:val="auto"/>
          <w:sz w:val="32"/>
          <w:szCs w:val="32"/>
        </w:rPr>
        <w:t>nids begin to develop better tools and hunt for themselves.</w:t>
      </w:r>
      <w:r w:rsidRPr="001B7C3E">
        <w:rPr>
          <w:color w:val="auto"/>
          <w:sz w:val="32"/>
          <w:szCs w:val="32"/>
          <w:vertAlign w:val="superscript"/>
        </w:rPr>
        <w:footnoteReference w:id="45"/>
      </w:r>
      <w:r w:rsidRPr="001B7C3E">
        <w:rPr>
          <w:color w:val="auto"/>
          <w:sz w:val="32"/>
          <w:szCs w:val="32"/>
        </w:rPr>
        <w:t xml:space="preserve"> As tools improved, hominids were no longer reliant on taking the leftovers from the kill of another animal, as the residents of the Olduvai Gorge did.</w:t>
      </w:r>
      <w:r w:rsidRPr="001B7C3E">
        <w:rPr>
          <w:color w:val="auto"/>
          <w:sz w:val="32"/>
          <w:szCs w:val="32"/>
          <w:vertAlign w:val="superscript"/>
        </w:rPr>
        <w:footnoteReference w:id="46"/>
      </w:r>
      <w:r w:rsidRPr="001B7C3E">
        <w:rPr>
          <w:color w:val="auto"/>
          <w:sz w:val="32"/>
          <w:szCs w:val="32"/>
        </w:rPr>
        <w:t xml:space="preserve"> Instead, they were able to hunt for themsel</w:t>
      </w:r>
      <w:r w:rsidRPr="001B7C3E">
        <w:rPr>
          <w:color w:val="auto"/>
          <w:sz w:val="32"/>
          <w:szCs w:val="32"/>
        </w:rPr>
        <w:t>ves, allowing them to exploit the entire carcass of a fresh kill, rather than relying on days-old scraps.</w:t>
      </w:r>
      <w:r w:rsidRPr="001B7C3E">
        <w:rPr>
          <w:color w:val="auto"/>
          <w:sz w:val="32"/>
          <w:szCs w:val="32"/>
          <w:vertAlign w:val="superscript"/>
        </w:rPr>
        <w:footnoteReference w:id="47"/>
      </w:r>
      <w:r w:rsidRPr="001B7C3E">
        <w:rPr>
          <w:color w:val="auto"/>
          <w:sz w:val="32"/>
          <w:szCs w:val="32"/>
        </w:rPr>
        <w:t xml:space="preserve"> By taking down the animal themselves, this also would have allowed them to take more intact hides,</w:t>
      </w:r>
      <w:r w:rsidRPr="001B7C3E">
        <w:rPr>
          <w:color w:val="auto"/>
          <w:sz w:val="32"/>
          <w:szCs w:val="32"/>
          <w:vertAlign w:val="superscript"/>
        </w:rPr>
        <w:footnoteReference w:id="48"/>
      </w:r>
      <w:r w:rsidRPr="001B7C3E">
        <w:rPr>
          <w:color w:val="auto"/>
          <w:sz w:val="32"/>
          <w:szCs w:val="32"/>
        </w:rPr>
        <w:t xml:space="preserve"> which had a variety of uses.</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br/>
        <w:t xml:space="preserve">As hominids began </w:t>
      </w:r>
      <w:r w:rsidRPr="001B7C3E">
        <w:rPr>
          <w:color w:val="auto"/>
          <w:sz w:val="32"/>
          <w:szCs w:val="32"/>
        </w:rPr>
        <w:t>to use and adapt different tools, their bodies changed to better use them. Paleoanthropologists have shown through reproduction of knapping techniques that b</w:t>
      </w:r>
      <w:r w:rsidRPr="001B7C3E">
        <w:rPr>
          <w:color w:val="auto"/>
          <w:sz w:val="32"/>
          <w:szCs w:val="32"/>
        </w:rPr>
        <w:t>igger and stronger arms were better for the brute force required for successful knapping. Fossil ev</w:t>
      </w:r>
      <w:r w:rsidRPr="001B7C3E">
        <w:rPr>
          <w:color w:val="auto"/>
          <w:sz w:val="32"/>
          <w:szCs w:val="32"/>
        </w:rPr>
        <w:t>idence has also shown that hominid hand bones evolved into “power grip”</w:t>
      </w:r>
      <w:r w:rsidRPr="001B7C3E">
        <w:rPr>
          <w:color w:val="auto"/>
          <w:sz w:val="32"/>
          <w:szCs w:val="32"/>
          <w:vertAlign w:val="superscript"/>
        </w:rPr>
        <w:footnoteReference w:id="49"/>
      </w:r>
      <w:r w:rsidRPr="001B7C3E">
        <w:rPr>
          <w:color w:val="auto"/>
          <w:sz w:val="32"/>
          <w:szCs w:val="32"/>
        </w:rPr>
        <w:t xml:space="preserve"> with a longer thumb and less curved finger bones, which allowed for a more “refined precision grip”</w:t>
      </w:r>
      <w:r w:rsidRPr="001B7C3E">
        <w:rPr>
          <w:color w:val="auto"/>
          <w:sz w:val="32"/>
          <w:szCs w:val="32"/>
          <w:vertAlign w:val="superscript"/>
        </w:rPr>
        <w:footnoteReference w:id="50"/>
      </w:r>
      <w:r w:rsidRPr="001B7C3E">
        <w:rPr>
          <w:color w:val="auto"/>
          <w:sz w:val="32"/>
          <w:szCs w:val="32"/>
        </w:rPr>
        <w:t xml:space="preserve">, making them better at handling and using tools. These changes may have been what </w:t>
      </w:r>
      <w:r w:rsidRPr="001B7C3E">
        <w:rPr>
          <w:color w:val="auto"/>
          <w:sz w:val="32"/>
          <w:szCs w:val="32"/>
        </w:rPr>
        <w:t>allowed certain branches of hominids to survive, while others did not, as they were unable to master tools, and were out-competed by our ancestors.</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Over time, humans became predominantly right-handed, unlike other primates who maintain a roughly 50:50 rat</w:t>
      </w:r>
      <w:r w:rsidRPr="001B7C3E">
        <w:rPr>
          <w:color w:val="auto"/>
          <w:sz w:val="32"/>
          <w:szCs w:val="32"/>
        </w:rPr>
        <w:t>io.</w:t>
      </w:r>
      <w:r w:rsidRPr="001B7C3E">
        <w:rPr>
          <w:color w:val="auto"/>
          <w:sz w:val="32"/>
          <w:szCs w:val="32"/>
          <w:vertAlign w:val="superscript"/>
        </w:rPr>
        <w:footnoteReference w:id="51"/>
      </w:r>
      <w:r w:rsidRPr="001B7C3E">
        <w:rPr>
          <w:color w:val="auto"/>
          <w:sz w:val="32"/>
          <w:szCs w:val="32"/>
        </w:rPr>
        <w:t xml:space="preserve"> It is possible that this change came about during the tool-making stage, as the hominids generally would have learnt through </w:t>
      </w:r>
      <w:r w:rsidRPr="001B7C3E">
        <w:rPr>
          <w:color w:val="auto"/>
          <w:sz w:val="32"/>
          <w:szCs w:val="32"/>
        </w:rPr>
        <w:lastRenderedPageBreak/>
        <w:t>observation and copying,</w:t>
      </w:r>
      <w:r w:rsidRPr="001B7C3E">
        <w:rPr>
          <w:color w:val="auto"/>
          <w:sz w:val="32"/>
          <w:szCs w:val="32"/>
          <w:vertAlign w:val="superscript"/>
        </w:rPr>
        <w:footnoteReference w:id="52"/>
      </w:r>
      <w:r w:rsidRPr="001B7C3E">
        <w:rPr>
          <w:color w:val="auto"/>
          <w:sz w:val="32"/>
          <w:szCs w:val="32"/>
        </w:rPr>
        <w:t xml:space="preserve"> so if an individual who first started knapping was right-handed, anyone who copied them would have also knapped using their right hand. This eventually led to the lower rate of naturally left-handed hominids, as the right hand was generally used for most </w:t>
      </w:r>
      <w:r w:rsidRPr="001B7C3E">
        <w:rPr>
          <w:color w:val="auto"/>
          <w:sz w:val="32"/>
          <w:szCs w:val="32"/>
        </w:rPr>
        <w:t>tasks, so the species adapted. This, however, can be difficult to prove, as it is not easy to tell if someone is right or left handed by looking at their bones.However it is possible for paleoanthropologists to successfully determine whether a tool-maker w</w:t>
      </w:r>
      <w:r w:rsidRPr="001B7C3E">
        <w:rPr>
          <w:color w:val="auto"/>
          <w:sz w:val="32"/>
          <w:szCs w:val="32"/>
        </w:rPr>
        <w:t>as right or left handed by examining the scars left behind during the knapping process, and the bevelling on the edges of the tools.</w:t>
      </w:r>
      <w:r w:rsidRPr="001B7C3E">
        <w:rPr>
          <w:color w:val="auto"/>
          <w:sz w:val="32"/>
          <w:szCs w:val="32"/>
          <w:vertAlign w:val="superscript"/>
        </w:rPr>
        <w:footnoteReference w:id="53"/>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 xml:space="preserve">Fossil evidence has shown that </w:t>
      </w:r>
      <w:r w:rsidRPr="001B7C3E">
        <w:rPr>
          <w:color w:val="auto"/>
          <w:sz w:val="32"/>
          <w:szCs w:val="32"/>
        </w:rPr>
        <w:t>those who did not rely on tools for food processing (such as mashing, grinding or smashing</w:t>
      </w:r>
      <w:r w:rsidRPr="001B7C3E">
        <w:rPr>
          <w:color w:val="auto"/>
          <w:sz w:val="32"/>
          <w:szCs w:val="32"/>
        </w:rPr>
        <w:t xml:space="preserve"> open nuts) had “</w:t>
      </w:r>
      <w:r w:rsidRPr="001B7C3E">
        <w:rPr>
          <w:i/>
          <w:color w:val="auto"/>
          <w:sz w:val="32"/>
          <w:szCs w:val="32"/>
        </w:rPr>
        <w:t>huge cheek teeth and massive muscle and bone structure for heavy chewing</w:t>
      </w:r>
      <w:r w:rsidRPr="001B7C3E">
        <w:rPr>
          <w:color w:val="auto"/>
          <w:sz w:val="32"/>
          <w:szCs w:val="32"/>
        </w:rPr>
        <w:t>”.</w:t>
      </w:r>
      <w:r w:rsidRPr="001B7C3E">
        <w:rPr>
          <w:color w:val="auto"/>
          <w:sz w:val="32"/>
          <w:szCs w:val="32"/>
          <w:vertAlign w:val="superscript"/>
        </w:rPr>
        <w:footnoteReference w:id="54"/>
      </w:r>
      <w:r w:rsidRPr="001B7C3E">
        <w:rPr>
          <w:color w:val="auto"/>
          <w:sz w:val="32"/>
          <w:szCs w:val="32"/>
        </w:rPr>
        <w:t xml:space="preserve"> As more hominids used tools to prepare food, the teeth also adapted, as they no longer needed to be used for such heavy-duty tasks.</w:t>
      </w:r>
      <w:r w:rsidRPr="001B7C3E">
        <w:rPr>
          <w:color w:val="auto"/>
          <w:sz w:val="32"/>
          <w:szCs w:val="32"/>
          <w:vertAlign w:val="superscript"/>
        </w:rPr>
        <w:footnoteReference w:id="55"/>
      </w:r>
      <w:r w:rsidRPr="001B7C3E">
        <w:rPr>
          <w:color w:val="auto"/>
          <w:sz w:val="32"/>
          <w:szCs w:val="32"/>
        </w:rPr>
        <w:t xml:space="preserve"> By examining the fossils of th</w:t>
      </w:r>
      <w:r w:rsidRPr="001B7C3E">
        <w:rPr>
          <w:color w:val="auto"/>
          <w:sz w:val="32"/>
          <w:szCs w:val="32"/>
        </w:rPr>
        <w:t xml:space="preserve">ese teeth, paleoanthropologists have been able to successfully identify which groups used tools to prepare their food. Even small changes such as teeth would have had an effect on the hominids’ survival rate. By having teeth better suited to the food they </w:t>
      </w:r>
      <w:r w:rsidRPr="001B7C3E">
        <w:rPr>
          <w:color w:val="auto"/>
          <w:sz w:val="32"/>
          <w:szCs w:val="32"/>
        </w:rPr>
        <w:t>were eating, and having tools to prepare the food quicker and more efficiently, the hominids were able to eat more and make better use of the meat that they had, and were less likely to starve. Paleoanthropologists Schick and Toth have presented as an exam</w:t>
      </w:r>
      <w:r w:rsidRPr="001B7C3E">
        <w:rPr>
          <w:color w:val="auto"/>
          <w:sz w:val="32"/>
          <w:szCs w:val="32"/>
        </w:rPr>
        <w:t>ple of this the use of tools to bash open animal bones to access the marrow</w:t>
      </w:r>
      <w:r w:rsidRPr="001B7C3E">
        <w:rPr>
          <w:color w:val="auto"/>
          <w:sz w:val="32"/>
          <w:szCs w:val="32"/>
          <w:vertAlign w:val="superscript"/>
        </w:rPr>
        <w:footnoteReference w:id="56"/>
      </w:r>
      <w:r w:rsidRPr="001B7C3E">
        <w:rPr>
          <w:color w:val="auto"/>
          <w:sz w:val="32"/>
          <w:szCs w:val="32"/>
        </w:rPr>
        <w:t>, which was an excellent food source previously unavailable to early hominids.</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Overall, it seems that paleoanthropologists have been widely successful in interpreting the stone to</w:t>
      </w:r>
      <w:r w:rsidRPr="001B7C3E">
        <w:rPr>
          <w:color w:val="auto"/>
          <w:sz w:val="32"/>
          <w:szCs w:val="32"/>
        </w:rPr>
        <w:t>ols left behind in the archaeological record to better understand the social behaviours of early hominids. The examples given in this essay, such as Olduvai Gorge, Neolithic Britain and Ethiopia, have all been successfully analysed to find links between to</w:t>
      </w:r>
      <w:r w:rsidRPr="001B7C3E">
        <w:rPr>
          <w:color w:val="auto"/>
          <w:sz w:val="32"/>
          <w:szCs w:val="32"/>
        </w:rPr>
        <w:t xml:space="preserve">ols and society, whether that is language, left or right handedness, nomadic or settled groups, or even the ability to copy actions from one industry or group to another. However, each technique/method used does have its drawbacks as there can be overlaps </w:t>
      </w:r>
      <w:r w:rsidRPr="001B7C3E">
        <w:rPr>
          <w:color w:val="auto"/>
          <w:sz w:val="32"/>
          <w:szCs w:val="32"/>
        </w:rPr>
        <w:t xml:space="preserve">and misidentification in regards to social/behavioural changes/progression and tool development that limits these methods effectiveness at identifying if a group is sedentary or nomadic or if one industry simply adopted tools or behaviours from another or </w:t>
      </w:r>
      <w:r w:rsidRPr="001B7C3E">
        <w:rPr>
          <w:color w:val="auto"/>
          <w:sz w:val="32"/>
          <w:szCs w:val="32"/>
        </w:rPr>
        <w:t xml:space="preserve">if they did indeed make the changes themselves or attempting to identify which hand was favoured for certain tools that can only have limited effectiveness in determining these facts. </w:t>
      </w:r>
    </w:p>
    <w:p w:rsidR="00263664" w:rsidRPr="001B7C3E" w:rsidRDefault="00263664">
      <w:pPr>
        <w:rPr>
          <w:color w:val="auto"/>
          <w:sz w:val="32"/>
          <w:szCs w:val="32"/>
        </w:rPr>
      </w:pPr>
    </w:p>
    <w:p w:rsidR="00263664" w:rsidRPr="001B7C3E" w:rsidRDefault="00E80545">
      <w:pPr>
        <w:rPr>
          <w:color w:val="auto"/>
          <w:sz w:val="32"/>
          <w:szCs w:val="32"/>
        </w:rPr>
      </w:pPr>
      <w:r w:rsidRPr="001B7C3E">
        <w:rPr>
          <w:color w:val="auto"/>
          <w:sz w:val="32"/>
          <w:szCs w:val="32"/>
        </w:rPr>
        <w:t>Despite these drawbacks, many solid conclusions can still be drawn reg</w:t>
      </w:r>
      <w:r w:rsidRPr="001B7C3E">
        <w:rPr>
          <w:color w:val="auto"/>
          <w:sz w:val="32"/>
          <w:szCs w:val="32"/>
        </w:rPr>
        <w:t>ardless of how far back these time periods are and the lack of abundant evidence in some of these fields. Paleoanthropologists, using the methods available to them are still able to reach an understanding of social norms and behaviours of early hominids le</w:t>
      </w:r>
      <w:r w:rsidRPr="001B7C3E">
        <w:rPr>
          <w:color w:val="auto"/>
          <w:sz w:val="32"/>
          <w:szCs w:val="32"/>
        </w:rPr>
        <w:t>arned from stone tools and they can be cross-referenced for accuracy and precision using studies such as osteology to decipher the link between the tools and the bodies of early hominids to better understand the relation between the two. Though some of the</w:t>
      </w:r>
      <w:r w:rsidRPr="001B7C3E">
        <w:rPr>
          <w:color w:val="auto"/>
          <w:sz w:val="32"/>
          <w:szCs w:val="32"/>
        </w:rPr>
        <w:t xml:space="preserve"> evidence may never be fully understood, I feel that paleoanthropologists have been able to construct a fairly accurate view of early hominid </w:t>
      </w:r>
      <w:r w:rsidRPr="001B7C3E">
        <w:rPr>
          <w:color w:val="auto"/>
          <w:sz w:val="32"/>
          <w:szCs w:val="32"/>
        </w:rPr>
        <w:lastRenderedPageBreak/>
        <w:t>behaviour using, among other methods, the study of stone tools.</w:t>
      </w:r>
      <w:r w:rsidRPr="001B7C3E">
        <w:rPr>
          <w:color w:val="auto"/>
        </w:rPr>
        <w:br w:type="page"/>
      </w:r>
      <w:bookmarkStart w:id="0" w:name="_GoBack"/>
      <w:bookmarkEnd w:id="0"/>
    </w:p>
    <w:p w:rsidR="00263664" w:rsidRPr="001B7C3E" w:rsidRDefault="00263664">
      <w:pPr>
        <w:rPr>
          <w:color w:val="auto"/>
          <w:sz w:val="32"/>
          <w:szCs w:val="32"/>
        </w:rPr>
      </w:pPr>
    </w:p>
    <w:p w:rsidR="00263664" w:rsidRPr="001B7C3E" w:rsidRDefault="00E80545">
      <w:pPr>
        <w:jc w:val="center"/>
        <w:rPr>
          <w:b/>
          <w:color w:val="auto"/>
          <w:sz w:val="48"/>
          <w:szCs w:val="48"/>
          <w:u w:val="single"/>
        </w:rPr>
      </w:pPr>
      <w:r w:rsidRPr="001B7C3E">
        <w:rPr>
          <w:b/>
          <w:color w:val="auto"/>
          <w:sz w:val="48"/>
          <w:szCs w:val="48"/>
          <w:u w:val="single"/>
        </w:rPr>
        <w:t>Bibliography</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Andrefsky Jr, W. 2009. 'The Analys</w:t>
      </w:r>
      <w:r w:rsidRPr="001B7C3E">
        <w:rPr>
          <w:color w:val="auto"/>
          <w:sz w:val="32"/>
          <w:szCs w:val="32"/>
        </w:rPr>
        <w:t xml:space="preserve">is of Stone Tool Procurement, Production and Maintenance.' In </w:t>
      </w:r>
      <w:r w:rsidRPr="001B7C3E">
        <w:rPr>
          <w:i/>
          <w:color w:val="auto"/>
          <w:sz w:val="32"/>
          <w:szCs w:val="32"/>
        </w:rPr>
        <w:t>Journal of Archaeological Research</w:t>
      </w:r>
      <w:r w:rsidRPr="001B7C3E">
        <w:rPr>
          <w:color w:val="auto"/>
          <w:sz w:val="32"/>
          <w:szCs w:val="32"/>
        </w:rPr>
        <w:t xml:space="preserve"> 17: 65-103</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 xml:space="preserve">Davidson, I. and Nowell, A. (eds) 2010. </w:t>
      </w:r>
      <w:r w:rsidRPr="001B7C3E">
        <w:rPr>
          <w:i/>
          <w:color w:val="auto"/>
          <w:sz w:val="32"/>
          <w:szCs w:val="32"/>
        </w:rPr>
        <w:t>Stone Tools and the Evolution of Human Cognition.</w:t>
      </w:r>
      <w:r w:rsidRPr="001B7C3E">
        <w:rPr>
          <w:color w:val="auto"/>
          <w:sz w:val="32"/>
          <w:szCs w:val="32"/>
        </w:rPr>
        <w:t xml:space="preserve"> Colorado: University Press of Colorado</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Davidson, I. 2010</w:t>
      </w:r>
      <w:r w:rsidRPr="001B7C3E">
        <w:rPr>
          <w:color w:val="auto"/>
          <w:sz w:val="32"/>
          <w:szCs w:val="32"/>
        </w:rPr>
        <w:t xml:space="preserve">. 'Stone Tools and the Evolution of Hominin and Human Cognition'. In Davidson, I. and Nowell, A. (eds) 2010. </w:t>
      </w:r>
      <w:r w:rsidRPr="001B7C3E">
        <w:rPr>
          <w:i/>
          <w:color w:val="auto"/>
          <w:sz w:val="32"/>
          <w:szCs w:val="32"/>
        </w:rPr>
        <w:t xml:space="preserve">Stone Tools and the Evolution of Human Cognition </w:t>
      </w:r>
      <w:r w:rsidRPr="001B7C3E">
        <w:rPr>
          <w:color w:val="auto"/>
          <w:sz w:val="32"/>
          <w:szCs w:val="32"/>
        </w:rPr>
        <w:t>Colorado: University Press of Colorado</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Dominguez-Rodrigo, M., Rayne Pickering, T., Semaw, S., Rog</w:t>
      </w:r>
      <w:r w:rsidRPr="001B7C3E">
        <w:rPr>
          <w:color w:val="auto"/>
          <w:sz w:val="32"/>
          <w:szCs w:val="32"/>
        </w:rPr>
        <w:t xml:space="preserve">ers, M.J. 2005. 'Cutmarked Bones from Pliocene Archaeological Sites at Gona, Afar, Ethiopia: Implications for the Function of the World's Oldest Stone Tools.' In </w:t>
      </w:r>
      <w:r w:rsidRPr="001B7C3E">
        <w:rPr>
          <w:i/>
          <w:color w:val="auto"/>
          <w:sz w:val="32"/>
          <w:szCs w:val="32"/>
        </w:rPr>
        <w:t>Journal of Human Evolution</w:t>
      </w:r>
      <w:r w:rsidRPr="001B7C3E">
        <w:rPr>
          <w:color w:val="auto"/>
          <w:sz w:val="32"/>
          <w:szCs w:val="32"/>
        </w:rPr>
        <w:t xml:space="preserve"> 48.2: 109-121</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 xml:space="preserve">Edmonds, M. 1995. </w:t>
      </w:r>
      <w:r w:rsidRPr="001B7C3E">
        <w:rPr>
          <w:i/>
          <w:color w:val="auto"/>
          <w:sz w:val="32"/>
          <w:szCs w:val="32"/>
        </w:rPr>
        <w:t>Stone Tools and Society: Working Stone in Neolithic and Bronze Age Britain</w:t>
      </w:r>
      <w:r w:rsidRPr="001B7C3E">
        <w:rPr>
          <w:color w:val="auto"/>
          <w:sz w:val="32"/>
          <w:szCs w:val="32"/>
        </w:rPr>
        <w:t>. London: B.T. Batsford Ltd.</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 xml:space="preserve">Hardy, B.L. 2004. 'Neanderthal Behaviour and Stone Tool Function at the Middle Paleolithic Site of La Quina, France'. In </w:t>
      </w:r>
      <w:r w:rsidRPr="001B7C3E">
        <w:rPr>
          <w:i/>
          <w:color w:val="auto"/>
          <w:sz w:val="32"/>
          <w:szCs w:val="32"/>
        </w:rPr>
        <w:t>Antiquity</w:t>
      </w:r>
      <w:r w:rsidRPr="001B7C3E">
        <w:rPr>
          <w:color w:val="auto"/>
          <w:sz w:val="32"/>
          <w:szCs w:val="32"/>
        </w:rPr>
        <w:t xml:space="preserve"> 78:547-565</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Harris, J</w:t>
      </w:r>
      <w:r w:rsidRPr="001B7C3E">
        <w:rPr>
          <w:color w:val="auto"/>
          <w:sz w:val="32"/>
          <w:szCs w:val="32"/>
        </w:rPr>
        <w:t xml:space="preserve">.W.K. and Capaldo, S.D. 1993. 'The Earliest Stone Tools: Their Implications for an Understanding of the </w:t>
      </w:r>
      <w:r w:rsidRPr="001B7C3E">
        <w:rPr>
          <w:color w:val="auto"/>
          <w:sz w:val="32"/>
          <w:szCs w:val="32"/>
        </w:rPr>
        <w:lastRenderedPageBreak/>
        <w:t xml:space="preserve">Activities and Behaviour of Late Pliocene Hominins.' In Berthelet, A and Chavaillon, J. (eds) </w:t>
      </w:r>
      <w:r w:rsidRPr="001B7C3E">
        <w:rPr>
          <w:i/>
          <w:color w:val="auto"/>
          <w:sz w:val="32"/>
          <w:szCs w:val="32"/>
        </w:rPr>
        <w:t>The Use of Tools by Human and Non-Human Primates</w:t>
      </w:r>
      <w:r w:rsidRPr="001B7C3E">
        <w:rPr>
          <w:color w:val="auto"/>
          <w:sz w:val="32"/>
          <w:szCs w:val="32"/>
        </w:rPr>
        <w:t xml:space="preserve">. Oxford: </w:t>
      </w:r>
      <w:r w:rsidRPr="001B7C3E">
        <w:rPr>
          <w:color w:val="auto"/>
          <w:sz w:val="32"/>
          <w:szCs w:val="32"/>
        </w:rPr>
        <w:t>Clarenden</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 xml:space="preserve">Holdaway, S. and Stern, N. 2004. </w:t>
      </w:r>
      <w:r w:rsidRPr="001B7C3E">
        <w:rPr>
          <w:i/>
          <w:color w:val="auto"/>
          <w:sz w:val="32"/>
          <w:szCs w:val="32"/>
        </w:rPr>
        <w:t>A Record in Stone: The Study of Australia's Flaked Stone Artefacts.</w:t>
      </w:r>
      <w:r w:rsidRPr="001B7C3E">
        <w:rPr>
          <w:color w:val="auto"/>
          <w:sz w:val="32"/>
          <w:szCs w:val="32"/>
        </w:rPr>
        <w:t xml:space="preserve"> Melbourne and Canberra: Museum Victoria and Aboriginal Studies Press</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Kuhn, S.L. 2010. 'On Standardization in the Paleolithic: Measures, Causes,</w:t>
      </w:r>
      <w:r w:rsidRPr="001B7C3E">
        <w:rPr>
          <w:color w:val="auto"/>
          <w:sz w:val="32"/>
          <w:szCs w:val="32"/>
        </w:rPr>
        <w:t xml:space="preserve"> and Interpretations of Metric Similarity in Stone Tools'. In Davidson, I. and Nowell, A. (eds) 2010. </w:t>
      </w:r>
      <w:r w:rsidRPr="001B7C3E">
        <w:rPr>
          <w:i/>
          <w:color w:val="auto"/>
          <w:sz w:val="32"/>
          <w:szCs w:val="32"/>
        </w:rPr>
        <w:t>Stone Tools and the Evolution of Human Cognition</w:t>
      </w:r>
      <w:r w:rsidRPr="001B7C3E">
        <w:rPr>
          <w:color w:val="auto"/>
          <w:sz w:val="32"/>
          <w:szCs w:val="32"/>
        </w:rPr>
        <w:t>. Colorado: University Press of Colorado</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 xml:space="preserve">Lillie, M. 2015. </w:t>
      </w:r>
      <w:r w:rsidRPr="001B7C3E">
        <w:rPr>
          <w:i/>
          <w:color w:val="auto"/>
          <w:sz w:val="32"/>
          <w:szCs w:val="32"/>
        </w:rPr>
        <w:t>Hunters, Fishers and Foragers in Wales: Towards a Social Narrative of Mesolithic Lifeways</w:t>
      </w:r>
      <w:r w:rsidRPr="001B7C3E">
        <w:rPr>
          <w:color w:val="auto"/>
          <w:sz w:val="32"/>
          <w:szCs w:val="32"/>
        </w:rPr>
        <w:t>. Oxford: Oxbow Books</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Semaw, S. 2000. 'The World's Oldest Stone Artefacts from Gona, Ethiopia: Their Implications for Understanding Stone Technology and Patterns of H</w:t>
      </w:r>
      <w:r w:rsidRPr="001B7C3E">
        <w:rPr>
          <w:color w:val="auto"/>
          <w:sz w:val="32"/>
          <w:szCs w:val="32"/>
        </w:rPr>
        <w:t xml:space="preserve">uman Evolution Between 2.6 - 1.5 Million Years Ago.' In </w:t>
      </w:r>
      <w:r w:rsidRPr="001B7C3E">
        <w:rPr>
          <w:i/>
          <w:color w:val="auto"/>
          <w:sz w:val="32"/>
          <w:szCs w:val="32"/>
        </w:rPr>
        <w:t xml:space="preserve">Journal of Archaeological Science </w:t>
      </w:r>
      <w:r w:rsidRPr="001B7C3E">
        <w:rPr>
          <w:color w:val="auto"/>
          <w:sz w:val="32"/>
          <w:szCs w:val="32"/>
        </w:rPr>
        <w:t>27.12: 1197-1214</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 xml:space="preserve">Schick, K.D. and Toth, N. 1993. </w:t>
      </w:r>
      <w:r w:rsidRPr="001B7C3E">
        <w:rPr>
          <w:i/>
          <w:color w:val="auto"/>
          <w:sz w:val="32"/>
          <w:szCs w:val="32"/>
        </w:rPr>
        <w:t>Making Silent Stones Speak: Human Evolution and the Dawn of Technology</w:t>
      </w:r>
      <w:r w:rsidRPr="001B7C3E">
        <w:rPr>
          <w:color w:val="auto"/>
          <w:sz w:val="32"/>
          <w:szCs w:val="32"/>
        </w:rPr>
        <w:t>. London: Weidenfeld and Nicolson</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t>Stout, D. 2</w:t>
      </w:r>
      <w:r w:rsidRPr="001B7C3E">
        <w:rPr>
          <w:color w:val="auto"/>
          <w:sz w:val="32"/>
          <w:szCs w:val="32"/>
        </w:rPr>
        <w:t xml:space="preserve">011. 'Stone Toolmaking and the Evolution of Human Culture and Cognition.' In </w:t>
      </w:r>
      <w:r w:rsidRPr="001B7C3E">
        <w:rPr>
          <w:i/>
          <w:color w:val="auto"/>
          <w:sz w:val="32"/>
          <w:szCs w:val="32"/>
        </w:rPr>
        <w:t xml:space="preserve">Philosophical Transactions of the Royal Society B </w:t>
      </w:r>
      <w:r w:rsidRPr="001B7C3E">
        <w:rPr>
          <w:color w:val="auto"/>
          <w:sz w:val="32"/>
          <w:szCs w:val="32"/>
        </w:rPr>
        <w:t>366: 1050-1059</w:t>
      </w:r>
    </w:p>
    <w:p w:rsidR="00263664" w:rsidRPr="001B7C3E" w:rsidRDefault="00263664">
      <w:pPr>
        <w:rPr>
          <w:color w:val="auto"/>
          <w:sz w:val="32"/>
          <w:szCs w:val="32"/>
        </w:rPr>
      </w:pPr>
    </w:p>
    <w:p w:rsidR="00263664" w:rsidRPr="001B7C3E" w:rsidRDefault="00E80545">
      <w:pPr>
        <w:numPr>
          <w:ilvl w:val="0"/>
          <w:numId w:val="1"/>
        </w:numPr>
        <w:ind w:left="283" w:hanging="283"/>
        <w:contextualSpacing/>
        <w:rPr>
          <w:color w:val="auto"/>
          <w:sz w:val="32"/>
          <w:szCs w:val="32"/>
        </w:rPr>
      </w:pPr>
      <w:r w:rsidRPr="001B7C3E">
        <w:rPr>
          <w:color w:val="auto"/>
          <w:sz w:val="32"/>
          <w:szCs w:val="32"/>
        </w:rPr>
        <w:lastRenderedPageBreak/>
        <w:t>Wurz, S. 2010. 'Middle Stone Age Stone Tools from Klasies River Main Site and Symbolic Cognition'. In Davidson, I</w:t>
      </w:r>
      <w:r w:rsidRPr="001B7C3E">
        <w:rPr>
          <w:color w:val="auto"/>
          <w:sz w:val="32"/>
          <w:szCs w:val="32"/>
        </w:rPr>
        <w:t xml:space="preserve">. and Nowell, A. (eds) 2010. </w:t>
      </w:r>
      <w:r w:rsidRPr="001B7C3E">
        <w:rPr>
          <w:i/>
          <w:color w:val="auto"/>
          <w:sz w:val="32"/>
          <w:szCs w:val="32"/>
        </w:rPr>
        <w:t>Stone Tools and the Evolution of Human Cognition.</w:t>
      </w:r>
      <w:r w:rsidRPr="001B7C3E">
        <w:rPr>
          <w:color w:val="auto"/>
          <w:sz w:val="32"/>
          <w:szCs w:val="32"/>
        </w:rPr>
        <w:t xml:space="preserve"> Colorado: University Press of Colorado</w:t>
      </w:r>
    </w:p>
    <w:sectPr w:rsidR="00263664" w:rsidRPr="001B7C3E">
      <w:headerReference w:type="default" r:id="rId7"/>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0545" w:rsidRDefault="00E80545">
      <w:pPr>
        <w:spacing w:line="240" w:lineRule="auto"/>
      </w:pPr>
      <w:r>
        <w:separator/>
      </w:r>
    </w:p>
  </w:endnote>
  <w:endnote w:type="continuationSeparator" w:id="0">
    <w:p w:rsidR="00E80545" w:rsidRDefault="00E805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0545" w:rsidRDefault="00E80545">
      <w:pPr>
        <w:spacing w:line="240" w:lineRule="auto"/>
      </w:pPr>
      <w:r>
        <w:separator/>
      </w:r>
    </w:p>
  </w:footnote>
  <w:footnote w:type="continuationSeparator" w:id="0">
    <w:p w:rsidR="00E80545" w:rsidRDefault="00E80545">
      <w:pPr>
        <w:spacing w:line="240" w:lineRule="auto"/>
      </w:pPr>
      <w:r>
        <w:continuationSeparator/>
      </w:r>
    </w:p>
  </w:footnote>
  <w:footnote w:id="1">
    <w:p w:rsidR="00263664" w:rsidRDefault="00E80545">
      <w:pPr>
        <w:spacing w:line="240" w:lineRule="auto"/>
        <w:rPr>
          <w:sz w:val="20"/>
          <w:szCs w:val="20"/>
        </w:rPr>
      </w:pPr>
      <w:r>
        <w:rPr>
          <w:vertAlign w:val="superscript"/>
        </w:rPr>
        <w:footnoteRef/>
      </w:r>
      <w:r>
        <w:rPr>
          <w:sz w:val="20"/>
          <w:szCs w:val="20"/>
        </w:rPr>
        <w:t xml:space="preserve"> Davidson and Nowell 2010:1</w:t>
      </w:r>
    </w:p>
  </w:footnote>
  <w:footnote w:id="2">
    <w:p w:rsidR="00263664" w:rsidRDefault="00E80545">
      <w:pPr>
        <w:spacing w:line="240" w:lineRule="auto"/>
        <w:rPr>
          <w:sz w:val="20"/>
          <w:szCs w:val="20"/>
        </w:rPr>
      </w:pPr>
      <w:r>
        <w:rPr>
          <w:vertAlign w:val="superscript"/>
        </w:rPr>
        <w:footnoteRef/>
      </w:r>
      <w:r>
        <w:rPr>
          <w:sz w:val="20"/>
          <w:szCs w:val="20"/>
        </w:rPr>
        <w:t xml:space="preserve"> </w:t>
      </w:r>
      <w:r>
        <w:rPr>
          <w:sz w:val="20"/>
          <w:szCs w:val="20"/>
        </w:rPr>
        <w:t>Holdaway and Stern 2004: 3</w:t>
      </w:r>
    </w:p>
  </w:footnote>
  <w:footnote w:id="3">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1993:140</w:t>
      </w:r>
    </w:p>
  </w:footnote>
  <w:footnote w:id="4">
    <w:p w:rsidR="00263664" w:rsidRDefault="00E80545">
      <w:pPr>
        <w:spacing w:line="240" w:lineRule="auto"/>
        <w:rPr>
          <w:sz w:val="20"/>
          <w:szCs w:val="20"/>
        </w:rPr>
      </w:pPr>
      <w:r>
        <w:rPr>
          <w:vertAlign w:val="superscript"/>
        </w:rPr>
        <w:footnoteRef/>
      </w:r>
      <w:r>
        <w:rPr>
          <w:sz w:val="20"/>
          <w:szCs w:val="20"/>
        </w:rPr>
        <w:t xml:space="preserve"> </w:t>
      </w:r>
      <w:r>
        <w:rPr>
          <w:sz w:val="20"/>
          <w:szCs w:val="20"/>
        </w:rPr>
        <w:t>Davidson and Nowell 2010:3</w:t>
      </w:r>
    </w:p>
  </w:footnote>
  <w:footnote w:id="5">
    <w:p w:rsidR="00263664" w:rsidRDefault="00E80545">
      <w:pPr>
        <w:spacing w:line="240" w:lineRule="auto"/>
        <w:rPr>
          <w:sz w:val="20"/>
          <w:szCs w:val="20"/>
        </w:rPr>
      </w:pPr>
      <w:r>
        <w:rPr>
          <w:vertAlign w:val="superscript"/>
        </w:rPr>
        <w:footnoteRef/>
      </w:r>
      <w:r>
        <w:rPr>
          <w:sz w:val="20"/>
          <w:szCs w:val="20"/>
        </w:rPr>
        <w:t xml:space="preserve"> </w:t>
      </w:r>
      <w:r>
        <w:rPr>
          <w:sz w:val="20"/>
          <w:szCs w:val="20"/>
        </w:rPr>
        <w:t>Wurz 2010:141</w:t>
      </w:r>
    </w:p>
  </w:footnote>
  <w:footnote w:id="6">
    <w:p w:rsidR="00263664" w:rsidRDefault="00E80545">
      <w:pPr>
        <w:spacing w:line="240" w:lineRule="auto"/>
        <w:rPr>
          <w:sz w:val="20"/>
          <w:szCs w:val="20"/>
        </w:rPr>
      </w:pPr>
      <w:r>
        <w:rPr>
          <w:vertAlign w:val="superscript"/>
        </w:rPr>
        <w:footnoteRef/>
      </w:r>
      <w:r>
        <w:rPr>
          <w:sz w:val="20"/>
          <w:szCs w:val="20"/>
        </w:rPr>
        <w:t xml:space="preserve"> </w:t>
      </w:r>
      <w:r>
        <w:rPr>
          <w:sz w:val="20"/>
          <w:szCs w:val="20"/>
        </w:rPr>
        <w:t>Harris and Capaldo 1993:198</w:t>
      </w:r>
    </w:p>
  </w:footnote>
  <w:footnote w:id="7">
    <w:p w:rsidR="00263664" w:rsidRDefault="00E80545">
      <w:pPr>
        <w:spacing w:line="240" w:lineRule="auto"/>
        <w:rPr>
          <w:sz w:val="20"/>
          <w:szCs w:val="20"/>
        </w:rPr>
      </w:pPr>
      <w:r>
        <w:rPr>
          <w:vertAlign w:val="superscript"/>
        </w:rPr>
        <w:footnoteRef/>
      </w:r>
      <w:r>
        <w:rPr>
          <w:sz w:val="20"/>
          <w:szCs w:val="20"/>
        </w:rPr>
        <w:t xml:space="preserve"> </w:t>
      </w:r>
      <w:r>
        <w:rPr>
          <w:sz w:val="20"/>
          <w:szCs w:val="20"/>
        </w:rPr>
        <w:t>Harris and Capaldo 1993:212</w:t>
      </w:r>
    </w:p>
  </w:footnote>
  <w:footnote w:id="8">
    <w:p w:rsidR="00263664" w:rsidRDefault="00E80545">
      <w:pPr>
        <w:spacing w:line="240" w:lineRule="auto"/>
        <w:rPr>
          <w:sz w:val="20"/>
          <w:szCs w:val="20"/>
        </w:rPr>
      </w:pPr>
      <w:r>
        <w:rPr>
          <w:vertAlign w:val="superscript"/>
        </w:rPr>
        <w:footnoteRef/>
      </w:r>
      <w:r>
        <w:rPr>
          <w:sz w:val="20"/>
          <w:szCs w:val="20"/>
        </w:rPr>
        <w:t xml:space="preserve"> </w:t>
      </w:r>
      <w:r>
        <w:rPr>
          <w:sz w:val="20"/>
          <w:szCs w:val="20"/>
        </w:rPr>
        <w:t>Holdaway and Stern 2004:2</w:t>
      </w:r>
    </w:p>
  </w:footnote>
  <w:footnote w:id="9">
    <w:p w:rsidR="00263664" w:rsidRDefault="00E80545">
      <w:pPr>
        <w:spacing w:line="240" w:lineRule="auto"/>
        <w:rPr>
          <w:sz w:val="20"/>
          <w:szCs w:val="20"/>
        </w:rPr>
      </w:pPr>
      <w:r>
        <w:rPr>
          <w:vertAlign w:val="superscript"/>
        </w:rPr>
        <w:footnoteRef/>
      </w:r>
      <w:r>
        <w:rPr>
          <w:sz w:val="20"/>
          <w:szCs w:val="20"/>
        </w:rPr>
        <w:t xml:space="preserve"> </w:t>
      </w:r>
      <w:r>
        <w:rPr>
          <w:sz w:val="20"/>
          <w:szCs w:val="20"/>
        </w:rPr>
        <w:t>Andrefsky Jr. 2009:71</w:t>
      </w:r>
    </w:p>
  </w:footnote>
  <w:footnote w:id="10">
    <w:p w:rsidR="00263664" w:rsidRDefault="00E80545">
      <w:pPr>
        <w:spacing w:line="240" w:lineRule="auto"/>
        <w:rPr>
          <w:sz w:val="20"/>
          <w:szCs w:val="20"/>
        </w:rPr>
      </w:pPr>
      <w:r>
        <w:rPr>
          <w:vertAlign w:val="superscript"/>
        </w:rPr>
        <w:footnoteRef/>
      </w:r>
      <w:r>
        <w:rPr>
          <w:sz w:val="20"/>
          <w:szCs w:val="20"/>
        </w:rPr>
        <w:t xml:space="preserve"> </w:t>
      </w:r>
      <w:r>
        <w:rPr>
          <w:sz w:val="20"/>
          <w:szCs w:val="20"/>
        </w:rPr>
        <w:t>Semaw 2000:1211</w:t>
      </w:r>
    </w:p>
  </w:footnote>
  <w:footnote w:id="11">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1993:88-9</w:t>
      </w:r>
    </w:p>
  </w:footnote>
  <w:footnote w:id="12">
    <w:p w:rsidR="00263664" w:rsidRDefault="00E80545">
      <w:pPr>
        <w:spacing w:line="240" w:lineRule="auto"/>
        <w:rPr>
          <w:sz w:val="20"/>
          <w:szCs w:val="20"/>
        </w:rPr>
      </w:pPr>
      <w:r>
        <w:rPr>
          <w:vertAlign w:val="superscript"/>
        </w:rPr>
        <w:footnoteRef/>
      </w:r>
      <w:r>
        <w:rPr>
          <w:sz w:val="20"/>
          <w:szCs w:val="20"/>
        </w:rPr>
        <w:t xml:space="preserve"> </w:t>
      </w:r>
      <w:r>
        <w:rPr>
          <w:sz w:val="20"/>
          <w:szCs w:val="20"/>
        </w:rPr>
        <w:t>Stout 2011:1050</w:t>
      </w:r>
    </w:p>
  </w:footnote>
  <w:footnote w:id="13">
    <w:p w:rsidR="00263664" w:rsidRDefault="00E80545">
      <w:pPr>
        <w:spacing w:line="240" w:lineRule="auto"/>
        <w:rPr>
          <w:sz w:val="20"/>
          <w:szCs w:val="20"/>
        </w:rPr>
      </w:pPr>
      <w:r>
        <w:rPr>
          <w:vertAlign w:val="superscript"/>
        </w:rPr>
        <w:footnoteRef/>
      </w:r>
      <w:r>
        <w:rPr>
          <w:sz w:val="20"/>
          <w:szCs w:val="20"/>
        </w:rPr>
        <w:t xml:space="preserve"> </w:t>
      </w:r>
      <w:r>
        <w:rPr>
          <w:sz w:val="20"/>
          <w:szCs w:val="20"/>
        </w:rPr>
        <w:t>Wurz 2010:141</w:t>
      </w:r>
    </w:p>
  </w:footnote>
  <w:footnote w:id="14">
    <w:p w:rsidR="00263664" w:rsidRDefault="00E80545">
      <w:pPr>
        <w:spacing w:line="240" w:lineRule="auto"/>
        <w:rPr>
          <w:sz w:val="20"/>
          <w:szCs w:val="20"/>
        </w:rPr>
      </w:pPr>
      <w:r>
        <w:rPr>
          <w:vertAlign w:val="superscript"/>
        </w:rPr>
        <w:footnoteRef/>
      </w:r>
      <w:r>
        <w:rPr>
          <w:sz w:val="20"/>
          <w:szCs w:val="20"/>
        </w:rPr>
        <w:t xml:space="preserve"> </w:t>
      </w:r>
      <w:r>
        <w:rPr>
          <w:sz w:val="20"/>
          <w:szCs w:val="20"/>
        </w:rPr>
        <w:t>Stout 2011:1051-4</w:t>
      </w:r>
    </w:p>
  </w:footnote>
  <w:footnote w:id="15">
    <w:p w:rsidR="00263664" w:rsidRDefault="00E80545">
      <w:pPr>
        <w:spacing w:line="240" w:lineRule="auto"/>
        <w:rPr>
          <w:sz w:val="20"/>
          <w:szCs w:val="20"/>
        </w:rPr>
      </w:pPr>
      <w:r>
        <w:rPr>
          <w:vertAlign w:val="superscript"/>
        </w:rPr>
        <w:footnoteRef/>
      </w:r>
      <w:r>
        <w:rPr>
          <w:sz w:val="20"/>
          <w:szCs w:val="20"/>
        </w:rPr>
        <w:t xml:space="preserve"> </w:t>
      </w:r>
      <w:r>
        <w:rPr>
          <w:sz w:val="20"/>
          <w:szCs w:val="20"/>
        </w:rPr>
        <w:t>Davidson and Nowell 2010</w:t>
      </w:r>
    </w:p>
  </w:footnote>
  <w:footnote w:id="16">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1993:50</w:t>
      </w:r>
    </w:p>
  </w:footnote>
  <w:footnote w:id="17">
    <w:p w:rsidR="00263664" w:rsidRDefault="00E80545">
      <w:pPr>
        <w:spacing w:line="240" w:lineRule="auto"/>
        <w:rPr>
          <w:sz w:val="20"/>
          <w:szCs w:val="20"/>
        </w:rPr>
      </w:pPr>
      <w:r>
        <w:rPr>
          <w:vertAlign w:val="superscript"/>
        </w:rPr>
        <w:footnoteRef/>
      </w:r>
      <w:r>
        <w:rPr>
          <w:sz w:val="20"/>
          <w:szCs w:val="20"/>
        </w:rPr>
        <w:t xml:space="preserve"> </w:t>
      </w:r>
      <w:r>
        <w:rPr>
          <w:sz w:val="20"/>
          <w:szCs w:val="20"/>
        </w:rPr>
        <w:t>Stout 2011:1057</w:t>
      </w:r>
    </w:p>
  </w:footnote>
  <w:footnote w:id="18">
    <w:p w:rsidR="00263664" w:rsidRDefault="00E80545">
      <w:pPr>
        <w:spacing w:line="240" w:lineRule="auto"/>
        <w:rPr>
          <w:sz w:val="20"/>
          <w:szCs w:val="20"/>
        </w:rPr>
      </w:pPr>
      <w:r>
        <w:rPr>
          <w:vertAlign w:val="superscript"/>
        </w:rPr>
        <w:footnoteRef/>
      </w:r>
      <w:r>
        <w:rPr>
          <w:sz w:val="20"/>
          <w:szCs w:val="20"/>
        </w:rPr>
        <w:t xml:space="preserve"> </w:t>
      </w:r>
      <w:r>
        <w:rPr>
          <w:sz w:val="20"/>
          <w:szCs w:val="20"/>
        </w:rPr>
        <w:t>Holdaway and Stern 2004:2</w:t>
      </w:r>
    </w:p>
  </w:footnote>
  <w:footnote w:id="19">
    <w:p w:rsidR="00263664" w:rsidRDefault="00E80545">
      <w:pPr>
        <w:spacing w:line="240" w:lineRule="auto"/>
        <w:rPr>
          <w:sz w:val="20"/>
          <w:szCs w:val="20"/>
        </w:rPr>
      </w:pPr>
      <w:r>
        <w:rPr>
          <w:vertAlign w:val="superscript"/>
        </w:rPr>
        <w:footnoteRef/>
      </w:r>
      <w:r>
        <w:rPr>
          <w:sz w:val="20"/>
          <w:szCs w:val="20"/>
        </w:rPr>
        <w:t xml:space="preserve"> </w:t>
      </w:r>
      <w:r>
        <w:rPr>
          <w:sz w:val="20"/>
          <w:szCs w:val="20"/>
        </w:rPr>
        <w:t>Holdaway and Stern 2004:3</w:t>
      </w:r>
    </w:p>
  </w:footnote>
  <w:footnote w:id="20">
    <w:p w:rsidR="00263664" w:rsidRDefault="00E80545">
      <w:pPr>
        <w:spacing w:line="240" w:lineRule="auto"/>
        <w:rPr>
          <w:sz w:val="20"/>
          <w:szCs w:val="20"/>
        </w:rPr>
      </w:pPr>
      <w:r>
        <w:rPr>
          <w:vertAlign w:val="superscript"/>
        </w:rPr>
        <w:footnoteRef/>
      </w:r>
      <w:r>
        <w:rPr>
          <w:sz w:val="20"/>
          <w:szCs w:val="20"/>
        </w:rPr>
        <w:t xml:space="preserve"> </w:t>
      </w:r>
      <w:r>
        <w:rPr>
          <w:sz w:val="20"/>
          <w:szCs w:val="20"/>
        </w:rPr>
        <w:t>Edmonds 1995:26</w:t>
      </w:r>
    </w:p>
  </w:footnote>
  <w:footnote w:id="21">
    <w:p w:rsidR="00263664" w:rsidRDefault="00E80545">
      <w:pPr>
        <w:spacing w:line="240" w:lineRule="auto"/>
        <w:rPr>
          <w:sz w:val="20"/>
          <w:szCs w:val="20"/>
        </w:rPr>
      </w:pPr>
      <w:r>
        <w:rPr>
          <w:vertAlign w:val="superscript"/>
        </w:rPr>
        <w:footnoteRef/>
      </w:r>
      <w:r>
        <w:rPr>
          <w:sz w:val="20"/>
          <w:szCs w:val="20"/>
        </w:rPr>
        <w:t xml:space="preserve"> </w:t>
      </w:r>
      <w:r>
        <w:rPr>
          <w:sz w:val="20"/>
          <w:szCs w:val="20"/>
        </w:rPr>
        <w:t>Edmonds 1995:26</w:t>
      </w:r>
    </w:p>
  </w:footnote>
  <w:footnote w:id="22">
    <w:p w:rsidR="00263664" w:rsidRDefault="00E80545">
      <w:pPr>
        <w:spacing w:line="240" w:lineRule="auto"/>
        <w:rPr>
          <w:sz w:val="20"/>
          <w:szCs w:val="20"/>
        </w:rPr>
      </w:pPr>
      <w:r>
        <w:rPr>
          <w:vertAlign w:val="superscript"/>
        </w:rPr>
        <w:footnoteRef/>
      </w:r>
      <w:r>
        <w:rPr>
          <w:sz w:val="20"/>
          <w:szCs w:val="20"/>
        </w:rPr>
        <w:t xml:space="preserve"> </w:t>
      </w:r>
      <w:r>
        <w:rPr>
          <w:sz w:val="20"/>
          <w:szCs w:val="20"/>
        </w:rPr>
        <w:t>Andrefsky Jr. 2009:84</w:t>
      </w:r>
    </w:p>
  </w:footnote>
  <w:footnote w:id="23">
    <w:p w:rsidR="00263664" w:rsidRDefault="00E80545">
      <w:pPr>
        <w:spacing w:line="240" w:lineRule="auto"/>
        <w:rPr>
          <w:sz w:val="20"/>
          <w:szCs w:val="20"/>
        </w:rPr>
      </w:pPr>
      <w:r>
        <w:rPr>
          <w:vertAlign w:val="superscript"/>
        </w:rPr>
        <w:footnoteRef/>
      </w:r>
      <w:r>
        <w:rPr>
          <w:sz w:val="20"/>
          <w:szCs w:val="20"/>
        </w:rPr>
        <w:t xml:space="preserve"> </w:t>
      </w:r>
      <w:r>
        <w:rPr>
          <w:sz w:val="20"/>
          <w:szCs w:val="20"/>
        </w:rPr>
        <w:t>Andrefsky Jr. 2009:85</w:t>
      </w:r>
    </w:p>
  </w:footnote>
  <w:footnote w:id="24">
    <w:p w:rsidR="00263664" w:rsidRDefault="00E80545">
      <w:pPr>
        <w:spacing w:line="240" w:lineRule="auto"/>
        <w:rPr>
          <w:sz w:val="20"/>
          <w:szCs w:val="20"/>
        </w:rPr>
      </w:pPr>
      <w:r>
        <w:rPr>
          <w:vertAlign w:val="superscript"/>
        </w:rPr>
        <w:footnoteRef/>
      </w:r>
      <w:r>
        <w:rPr>
          <w:sz w:val="20"/>
          <w:szCs w:val="20"/>
        </w:rPr>
        <w:t xml:space="preserve"> </w:t>
      </w:r>
      <w:r>
        <w:rPr>
          <w:sz w:val="20"/>
          <w:szCs w:val="20"/>
        </w:rPr>
        <w:t>Wurz 2010:148</w:t>
      </w:r>
    </w:p>
  </w:footnote>
  <w:footnote w:id="25">
    <w:p w:rsidR="00263664" w:rsidRDefault="00E80545">
      <w:pPr>
        <w:spacing w:line="240" w:lineRule="auto"/>
        <w:rPr>
          <w:sz w:val="20"/>
          <w:szCs w:val="20"/>
        </w:rPr>
      </w:pPr>
      <w:r>
        <w:rPr>
          <w:vertAlign w:val="superscript"/>
        </w:rPr>
        <w:footnoteRef/>
      </w:r>
      <w:r>
        <w:rPr>
          <w:sz w:val="20"/>
          <w:szCs w:val="20"/>
        </w:rPr>
        <w:t xml:space="preserve"> </w:t>
      </w:r>
      <w:r>
        <w:rPr>
          <w:sz w:val="20"/>
          <w:szCs w:val="20"/>
        </w:rPr>
        <w:t>Lillie 2015:99</w:t>
      </w:r>
    </w:p>
  </w:footnote>
  <w:footnote w:id="26">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1993:88</w:t>
      </w:r>
    </w:p>
  </w:footnote>
  <w:footnote w:id="27">
    <w:p w:rsidR="00263664" w:rsidRDefault="00E80545">
      <w:pPr>
        <w:spacing w:line="240" w:lineRule="auto"/>
        <w:rPr>
          <w:sz w:val="20"/>
          <w:szCs w:val="20"/>
        </w:rPr>
      </w:pPr>
      <w:r>
        <w:rPr>
          <w:vertAlign w:val="superscript"/>
        </w:rPr>
        <w:footnoteRef/>
      </w:r>
      <w:r>
        <w:rPr>
          <w:sz w:val="20"/>
          <w:szCs w:val="20"/>
        </w:rPr>
        <w:t xml:space="preserve"> </w:t>
      </w:r>
      <w:r>
        <w:rPr>
          <w:sz w:val="20"/>
          <w:szCs w:val="20"/>
        </w:rPr>
        <w:t xml:space="preserve">Davidson and </w:t>
      </w:r>
      <w:r>
        <w:rPr>
          <w:sz w:val="20"/>
          <w:szCs w:val="20"/>
        </w:rPr>
        <w:t>Nowell 2010:3</w:t>
      </w:r>
    </w:p>
  </w:footnote>
  <w:footnote w:id="28">
    <w:p w:rsidR="00263664" w:rsidRDefault="00E80545">
      <w:pPr>
        <w:spacing w:line="240" w:lineRule="auto"/>
        <w:rPr>
          <w:sz w:val="20"/>
          <w:szCs w:val="20"/>
        </w:rPr>
      </w:pPr>
      <w:r>
        <w:rPr>
          <w:vertAlign w:val="superscript"/>
        </w:rPr>
        <w:footnoteRef/>
      </w:r>
      <w:r>
        <w:rPr>
          <w:sz w:val="20"/>
          <w:szCs w:val="20"/>
        </w:rPr>
        <w:t xml:space="preserve"> </w:t>
      </w:r>
      <w:r>
        <w:rPr>
          <w:sz w:val="20"/>
          <w:szCs w:val="20"/>
        </w:rPr>
        <w:t>Davidson 2010:187</w:t>
      </w:r>
    </w:p>
  </w:footnote>
  <w:footnote w:id="29">
    <w:p w:rsidR="00263664" w:rsidRDefault="00E80545">
      <w:pPr>
        <w:spacing w:line="240" w:lineRule="auto"/>
        <w:rPr>
          <w:sz w:val="20"/>
          <w:szCs w:val="20"/>
        </w:rPr>
      </w:pPr>
      <w:r>
        <w:rPr>
          <w:vertAlign w:val="superscript"/>
        </w:rPr>
        <w:footnoteRef/>
      </w:r>
      <w:r>
        <w:rPr>
          <w:sz w:val="20"/>
          <w:szCs w:val="20"/>
        </w:rPr>
        <w:t xml:space="preserve"> </w:t>
      </w:r>
      <w:r>
        <w:rPr>
          <w:sz w:val="20"/>
          <w:szCs w:val="20"/>
        </w:rPr>
        <w:t>Kuhn 2010:107-8</w:t>
      </w:r>
    </w:p>
  </w:footnote>
  <w:footnote w:id="30">
    <w:p w:rsidR="00263664" w:rsidRDefault="00E80545">
      <w:pPr>
        <w:spacing w:line="240" w:lineRule="auto"/>
        <w:rPr>
          <w:sz w:val="20"/>
          <w:szCs w:val="20"/>
        </w:rPr>
      </w:pPr>
      <w:r>
        <w:rPr>
          <w:vertAlign w:val="superscript"/>
        </w:rPr>
        <w:footnoteRef/>
      </w:r>
      <w:r>
        <w:rPr>
          <w:sz w:val="20"/>
          <w:szCs w:val="20"/>
        </w:rPr>
        <w:t xml:space="preserve"> </w:t>
      </w:r>
      <w:r>
        <w:rPr>
          <w:sz w:val="20"/>
          <w:szCs w:val="20"/>
        </w:rPr>
        <w:t>Kuhn 2010:108</w:t>
      </w:r>
    </w:p>
  </w:footnote>
  <w:footnote w:id="31">
    <w:p w:rsidR="00263664" w:rsidRDefault="00E80545">
      <w:pPr>
        <w:spacing w:line="240" w:lineRule="auto"/>
        <w:rPr>
          <w:sz w:val="20"/>
          <w:szCs w:val="20"/>
        </w:rPr>
      </w:pPr>
      <w:r>
        <w:rPr>
          <w:vertAlign w:val="superscript"/>
        </w:rPr>
        <w:footnoteRef/>
      </w:r>
      <w:r>
        <w:rPr>
          <w:sz w:val="20"/>
          <w:szCs w:val="20"/>
        </w:rPr>
        <w:t xml:space="preserve"> </w:t>
      </w:r>
      <w:r>
        <w:rPr>
          <w:sz w:val="20"/>
          <w:szCs w:val="20"/>
        </w:rPr>
        <w:t>Wurz 2010:141</w:t>
      </w:r>
    </w:p>
  </w:footnote>
  <w:footnote w:id="32">
    <w:p w:rsidR="00263664" w:rsidRDefault="00E80545">
      <w:pPr>
        <w:spacing w:line="240" w:lineRule="auto"/>
        <w:rPr>
          <w:sz w:val="20"/>
          <w:szCs w:val="20"/>
        </w:rPr>
      </w:pPr>
      <w:r>
        <w:rPr>
          <w:vertAlign w:val="superscript"/>
        </w:rPr>
        <w:footnoteRef/>
      </w:r>
      <w:r>
        <w:rPr>
          <w:sz w:val="20"/>
          <w:szCs w:val="20"/>
        </w:rPr>
        <w:t xml:space="preserve"> </w:t>
      </w:r>
      <w:r>
        <w:rPr>
          <w:sz w:val="20"/>
          <w:szCs w:val="20"/>
        </w:rPr>
        <w:t>Wurz 2010:141</w:t>
      </w:r>
    </w:p>
  </w:footnote>
  <w:footnote w:id="33">
    <w:p w:rsidR="00263664" w:rsidRDefault="00E80545">
      <w:pPr>
        <w:spacing w:line="240" w:lineRule="auto"/>
        <w:rPr>
          <w:sz w:val="20"/>
          <w:szCs w:val="20"/>
        </w:rPr>
      </w:pPr>
      <w:r>
        <w:rPr>
          <w:vertAlign w:val="superscript"/>
        </w:rPr>
        <w:footnoteRef/>
      </w:r>
      <w:r>
        <w:rPr>
          <w:sz w:val="20"/>
          <w:szCs w:val="20"/>
        </w:rPr>
        <w:t xml:space="preserve"> </w:t>
      </w:r>
      <w:r>
        <w:rPr>
          <w:sz w:val="20"/>
          <w:szCs w:val="20"/>
        </w:rPr>
        <w:t>Wurz 2010:141</w:t>
      </w:r>
    </w:p>
  </w:footnote>
  <w:footnote w:id="34">
    <w:p w:rsidR="00263664" w:rsidRDefault="00E80545">
      <w:pPr>
        <w:spacing w:line="240" w:lineRule="auto"/>
        <w:rPr>
          <w:sz w:val="20"/>
          <w:szCs w:val="20"/>
        </w:rPr>
      </w:pPr>
      <w:r>
        <w:rPr>
          <w:vertAlign w:val="superscript"/>
        </w:rPr>
        <w:footnoteRef/>
      </w:r>
      <w:r>
        <w:rPr>
          <w:sz w:val="20"/>
          <w:szCs w:val="20"/>
        </w:rPr>
        <w:t xml:space="preserve"> </w:t>
      </w:r>
      <w:r>
        <w:rPr>
          <w:sz w:val="20"/>
          <w:szCs w:val="20"/>
        </w:rPr>
        <w:t>Andrefsky Jr. 2009:67</w:t>
      </w:r>
    </w:p>
  </w:footnote>
  <w:footnote w:id="35">
    <w:p w:rsidR="00263664" w:rsidRDefault="00E80545">
      <w:pPr>
        <w:spacing w:line="240" w:lineRule="auto"/>
        <w:rPr>
          <w:sz w:val="20"/>
          <w:szCs w:val="20"/>
        </w:rPr>
      </w:pPr>
      <w:r>
        <w:rPr>
          <w:vertAlign w:val="superscript"/>
        </w:rPr>
        <w:footnoteRef/>
      </w:r>
      <w:r>
        <w:rPr>
          <w:sz w:val="20"/>
          <w:szCs w:val="20"/>
        </w:rPr>
        <w:t xml:space="preserve"> </w:t>
      </w:r>
      <w:r>
        <w:rPr>
          <w:sz w:val="20"/>
          <w:szCs w:val="20"/>
        </w:rPr>
        <w:t>Hardy 2004:451</w:t>
      </w:r>
    </w:p>
  </w:footnote>
  <w:footnote w:id="36">
    <w:p w:rsidR="00263664" w:rsidRDefault="00E80545">
      <w:pPr>
        <w:spacing w:line="240" w:lineRule="auto"/>
        <w:rPr>
          <w:sz w:val="20"/>
          <w:szCs w:val="20"/>
        </w:rPr>
      </w:pPr>
      <w:r>
        <w:rPr>
          <w:vertAlign w:val="superscript"/>
        </w:rPr>
        <w:footnoteRef/>
      </w:r>
      <w:r>
        <w:rPr>
          <w:sz w:val="20"/>
          <w:szCs w:val="20"/>
        </w:rPr>
        <w:t xml:space="preserve"> </w:t>
      </w:r>
      <w:r>
        <w:rPr>
          <w:sz w:val="20"/>
          <w:szCs w:val="20"/>
        </w:rPr>
        <w:t>Andrefsky Jr. 2009:67</w:t>
      </w:r>
    </w:p>
  </w:footnote>
  <w:footnote w:id="37">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1993:118</w:t>
      </w:r>
    </w:p>
  </w:footnote>
  <w:footnote w:id="38">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1993:118</w:t>
      </w:r>
    </w:p>
  </w:footnote>
  <w:footnote w:id="39">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1993:145</w:t>
      </w:r>
    </w:p>
  </w:footnote>
  <w:footnote w:id="40">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1993:118</w:t>
      </w:r>
    </w:p>
  </w:footnote>
  <w:footnote w:id="41">
    <w:p w:rsidR="00263664" w:rsidRDefault="00E80545">
      <w:pPr>
        <w:spacing w:line="240" w:lineRule="auto"/>
        <w:rPr>
          <w:sz w:val="20"/>
          <w:szCs w:val="20"/>
        </w:rPr>
      </w:pPr>
      <w:r>
        <w:rPr>
          <w:vertAlign w:val="superscript"/>
        </w:rPr>
        <w:footnoteRef/>
      </w:r>
      <w:r>
        <w:rPr>
          <w:sz w:val="20"/>
          <w:szCs w:val="20"/>
        </w:rPr>
        <w:t xml:space="preserve"> </w:t>
      </w:r>
      <w:r>
        <w:rPr>
          <w:sz w:val="20"/>
          <w:szCs w:val="20"/>
        </w:rPr>
        <w:t>Andrefsky Jr. 2009:67</w:t>
      </w:r>
    </w:p>
  </w:footnote>
  <w:footnote w:id="42">
    <w:p w:rsidR="00263664" w:rsidRDefault="00E80545">
      <w:pPr>
        <w:spacing w:line="240" w:lineRule="auto"/>
        <w:rPr>
          <w:sz w:val="20"/>
          <w:szCs w:val="20"/>
        </w:rPr>
      </w:pPr>
      <w:r>
        <w:rPr>
          <w:vertAlign w:val="superscript"/>
        </w:rPr>
        <w:footnoteRef/>
      </w:r>
      <w:r>
        <w:rPr>
          <w:sz w:val="20"/>
          <w:szCs w:val="20"/>
        </w:rPr>
        <w:t xml:space="preserve"> </w:t>
      </w:r>
      <w:r>
        <w:rPr>
          <w:sz w:val="20"/>
          <w:szCs w:val="20"/>
        </w:rPr>
        <w:t>Davidson 2010:198-9</w:t>
      </w:r>
    </w:p>
  </w:footnote>
  <w:footnote w:id="43">
    <w:p w:rsidR="00263664" w:rsidRDefault="00E80545">
      <w:pPr>
        <w:spacing w:line="240" w:lineRule="auto"/>
        <w:rPr>
          <w:sz w:val="20"/>
          <w:szCs w:val="20"/>
        </w:rPr>
      </w:pPr>
      <w:r>
        <w:rPr>
          <w:vertAlign w:val="superscript"/>
        </w:rPr>
        <w:footnoteRef/>
      </w:r>
      <w:r>
        <w:rPr>
          <w:sz w:val="20"/>
          <w:szCs w:val="20"/>
        </w:rPr>
        <w:t xml:space="preserve"> </w:t>
      </w:r>
      <w:r>
        <w:rPr>
          <w:sz w:val="20"/>
          <w:szCs w:val="20"/>
        </w:rPr>
        <w:t>Davidson 2010:199</w:t>
      </w:r>
    </w:p>
  </w:footnote>
  <w:footnote w:id="44">
    <w:p w:rsidR="00263664" w:rsidRDefault="00E80545">
      <w:pPr>
        <w:spacing w:line="240" w:lineRule="auto"/>
        <w:rPr>
          <w:sz w:val="20"/>
          <w:szCs w:val="20"/>
        </w:rPr>
      </w:pPr>
      <w:r>
        <w:rPr>
          <w:vertAlign w:val="superscript"/>
        </w:rPr>
        <w:footnoteRef/>
      </w:r>
      <w:r>
        <w:rPr>
          <w:sz w:val="20"/>
          <w:szCs w:val="20"/>
        </w:rPr>
        <w:t xml:space="preserve"> </w:t>
      </w:r>
      <w:r>
        <w:rPr>
          <w:sz w:val="20"/>
          <w:szCs w:val="20"/>
        </w:rPr>
        <w:t>Davidson 2010:198-9</w:t>
      </w:r>
    </w:p>
  </w:footnote>
  <w:footnote w:id="45">
    <w:p w:rsidR="00263664" w:rsidRDefault="00E80545">
      <w:pPr>
        <w:spacing w:line="240" w:lineRule="auto"/>
        <w:rPr>
          <w:sz w:val="20"/>
          <w:szCs w:val="20"/>
        </w:rPr>
      </w:pPr>
      <w:r>
        <w:rPr>
          <w:vertAlign w:val="superscript"/>
        </w:rPr>
        <w:footnoteRef/>
      </w:r>
      <w:r>
        <w:rPr>
          <w:sz w:val="20"/>
          <w:szCs w:val="20"/>
        </w:rPr>
        <w:t xml:space="preserve"> </w:t>
      </w:r>
      <w:r>
        <w:rPr>
          <w:sz w:val="20"/>
          <w:szCs w:val="20"/>
        </w:rPr>
        <w:t>Semaw 2000:2010; Dominguez-Rodrigo et al 2005:105-121</w:t>
      </w:r>
    </w:p>
  </w:footnote>
  <w:footnote w:id="46">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1993:207</w:t>
      </w:r>
    </w:p>
  </w:footnote>
  <w:footnote w:id="47">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1993:162</w:t>
      </w:r>
    </w:p>
  </w:footnote>
  <w:footnote w:id="48">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w:t>
      </w:r>
      <w:r>
        <w:rPr>
          <w:sz w:val="20"/>
          <w:szCs w:val="20"/>
        </w:rPr>
        <w:t xml:space="preserve"> 1993:163-4</w:t>
      </w:r>
    </w:p>
  </w:footnote>
  <w:footnote w:id="49">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1993:102</w:t>
      </w:r>
    </w:p>
  </w:footnote>
  <w:footnote w:id="50">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1993:102</w:t>
      </w:r>
    </w:p>
  </w:footnote>
  <w:footnote w:id="51">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1993:140</w:t>
      </w:r>
    </w:p>
  </w:footnote>
  <w:footnote w:id="52">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1993:140-2</w:t>
      </w:r>
    </w:p>
  </w:footnote>
  <w:footnote w:id="53">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1993:140-2</w:t>
      </w:r>
    </w:p>
  </w:footnote>
  <w:footnote w:id="54">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1993:103</w:t>
      </w:r>
    </w:p>
  </w:footnote>
  <w:footnote w:id="55">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1993:103</w:t>
      </w:r>
    </w:p>
  </w:footnote>
  <w:footnote w:id="56">
    <w:p w:rsidR="00263664" w:rsidRDefault="00E80545">
      <w:pPr>
        <w:spacing w:line="240" w:lineRule="auto"/>
        <w:rPr>
          <w:sz w:val="20"/>
          <w:szCs w:val="20"/>
        </w:rPr>
      </w:pPr>
      <w:r>
        <w:rPr>
          <w:vertAlign w:val="superscript"/>
        </w:rPr>
        <w:footnoteRef/>
      </w:r>
      <w:r>
        <w:rPr>
          <w:sz w:val="20"/>
          <w:szCs w:val="20"/>
        </w:rPr>
        <w:t xml:space="preserve"> </w:t>
      </w:r>
      <w:r>
        <w:rPr>
          <w:sz w:val="20"/>
          <w:szCs w:val="20"/>
        </w:rPr>
        <w:t>Schick and Toth 1993:145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7C3E" w:rsidRDefault="001B7C3E"/>
  <w:p w:rsidR="00263664" w:rsidRPr="001B7C3E" w:rsidRDefault="00E80545">
    <w:r w:rsidRPr="001B7C3E">
      <w:t>Daniel Robert Fairfield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3F6690"/>
    <w:multiLevelType w:val="multilevel"/>
    <w:tmpl w:val="E2022C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664"/>
    <w:rsid w:val="001B7C3E"/>
    <w:rsid w:val="00263664"/>
    <w:rsid w:val="00E805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BD497"/>
  <w15:docId w15:val="{81C7BD9D-CFA2-4C72-B16F-BC04A938C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B7C3E"/>
    <w:pPr>
      <w:tabs>
        <w:tab w:val="center" w:pos="4513"/>
        <w:tab w:val="right" w:pos="9026"/>
      </w:tabs>
      <w:spacing w:line="240" w:lineRule="auto"/>
    </w:pPr>
  </w:style>
  <w:style w:type="character" w:customStyle="1" w:styleId="HeaderChar">
    <w:name w:val="Header Char"/>
    <w:basedOn w:val="DefaultParagraphFont"/>
    <w:link w:val="Header"/>
    <w:uiPriority w:val="99"/>
    <w:rsid w:val="001B7C3E"/>
  </w:style>
  <w:style w:type="paragraph" w:styleId="Footer">
    <w:name w:val="footer"/>
    <w:basedOn w:val="Normal"/>
    <w:link w:val="FooterChar"/>
    <w:uiPriority w:val="99"/>
    <w:unhideWhenUsed/>
    <w:rsid w:val="001B7C3E"/>
    <w:pPr>
      <w:tabs>
        <w:tab w:val="center" w:pos="4513"/>
        <w:tab w:val="right" w:pos="9026"/>
      </w:tabs>
      <w:spacing w:line="240" w:lineRule="auto"/>
    </w:pPr>
  </w:style>
  <w:style w:type="character" w:customStyle="1" w:styleId="FooterChar">
    <w:name w:val="Footer Char"/>
    <w:basedOn w:val="DefaultParagraphFont"/>
    <w:link w:val="Footer"/>
    <w:uiPriority w:val="99"/>
    <w:rsid w:val="001B7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2887</Words>
  <Characters>16458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dc:creator>
  <cp:lastModifiedBy>Dan</cp:lastModifiedBy>
  <cp:revision>2</cp:revision>
  <dcterms:created xsi:type="dcterms:W3CDTF">2018-04-11T22:54:00Z</dcterms:created>
  <dcterms:modified xsi:type="dcterms:W3CDTF">2018-04-11T22:54:00Z</dcterms:modified>
</cp:coreProperties>
</file>