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F2814" w:rsidRDefault="00C31D85" w:rsidP="00126B52">
      <w:pPr>
        <w:spacing w:after="0"/>
        <w:ind w:left="426"/>
        <w:rPr>
          <w:rFonts w:cs="Arial"/>
          <w:lang w:val="en-GB"/>
        </w:rPr>
      </w:pPr>
      <w:r w:rsidRPr="00EF2814">
        <w:rPr>
          <w:noProof/>
          <w:lang w:val="en-GB" w:eastAsia="en-GB"/>
        </w:rPr>
        <w:drawing>
          <wp:anchor distT="0" distB="0" distL="114300" distR="114300" simplePos="0" relativeHeight="251659264" behindDoc="1" locked="0" layoutInCell="1" allowOverlap="1" wp14:anchorId="309E58E3" wp14:editId="0DFB4E3D">
            <wp:simplePos x="0" y="0"/>
            <wp:positionH relativeFrom="margin">
              <wp:align>center</wp:align>
            </wp:positionH>
            <wp:positionV relativeFrom="paragraph">
              <wp:posOffset>7620</wp:posOffset>
            </wp:positionV>
            <wp:extent cx="3291840" cy="1052830"/>
            <wp:effectExtent l="0" t="0" r="0" b="0"/>
            <wp:wrapTight wrapText="bothSides">
              <wp:wrapPolygon edited="0">
                <wp:start x="875" y="3127"/>
                <wp:lineTo x="875" y="11334"/>
                <wp:lineTo x="1875" y="16415"/>
                <wp:lineTo x="2500" y="17978"/>
                <wp:lineTo x="7375" y="17978"/>
                <wp:lineTo x="13375" y="17197"/>
                <wp:lineTo x="15000" y="16415"/>
                <wp:lineTo x="17375" y="12897"/>
                <wp:lineTo x="17250" y="10162"/>
                <wp:lineTo x="21375" y="8598"/>
                <wp:lineTo x="21375" y="5081"/>
                <wp:lineTo x="19375" y="3127"/>
                <wp:lineTo x="875" y="312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3291840" cy="10528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253CFB" w14:textId="2DFFF591" w:rsidR="00ED1049" w:rsidRPr="00EF2814" w:rsidRDefault="00ED1049" w:rsidP="00126B52">
      <w:pPr>
        <w:spacing w:after="0"/>
        <w:ind w:left="426"/>
        <w:rPr>
          <w:rFonts w:cs="Arial"/>
          <w:szCs w:val="24"/>
          <w:lang w:val="en-GB"/>
        </w:rPr>
      </w:pPr>
    </w:p>
    <w:p w14:paraId="41A133E3" w14:textId="77777777" w:rsidR="00ED1049" w:rsidRPr="00EF2814" w:rsidRDefault="00ED1049" w:rsidP="00126B52">
      <w:pPr>
        <w:spacing w:after="0"/>
        <w:ind w:left="426"/>
        <w:rPr>
          <w:rFonts w:cs="Arial"/>
          <w:szCs w:val="24"/>
          <w:lang w:val="en-GB"/>
        </w:rPr>
      </w:pPr>
    </w:p>
    <w:p w14:paraId="605068F9" w14:textId="77777777" w:rsidR="00ED1049" w:rsidRPr="00EF2814" w:rsidRDefault="00ED1049" w:rsidP="00126B52">
      <w:pPr>
        <w:spacing w:after="0"/>
        <w:ind w:left="426"/>
        <w:rPr>
          <w:rFonts w:cs="Arial"/>
          <w:szCs w:val="24"/>
          <w:lang w:val="en-GB"/>
        </w:rPr>
      </w:pPr>
    </w:p>
    <w:p w14:paraId="543861DF" w14:textId="77777777" w:rsidR="00ED1049" w:rsidRPr="00EF2814" w:rsidRDefault="00ED1049" w:rsidP="00126B52">
      <w:pPr>
        <w:spacing w:after="0"/>
        <w:rPr>
          <w:rFonts w:cs="Arial"/>
          <w:lang w:val="en-GB"/>
        </w:rPr>
      </w:pPr>
    </w:p>
    <w:p w14:paraId="1B9C9B98" w14:textId="7FBFC112" w:rsidR="00C31D85" w:rsidRPr="00EF2814" w:rsidRDefault="005C2540" w:rsidP="005C2540">
      <w:pPr>
        <w:tabs>
          <w:tab w:val="left" w:pos="3732"/>
        </w:tabs>
        <w:spacing w:after="0"/>
        <w:rPr>
          <w:rFonts w:ascii="Aptos" w:hAnsi="Aptos"/>
          <w:b/>
          <w:bCs/>
          <w:sz w:val="36"/>
          <w:szCs w:val="36"/>
          <w:lang w:val="en-GB"/>
        </w:rPr>
      </w:pPr>
      <w:r>
        <w:rPr>
          <w:rFonts w:ascii="Aptos" w:hAnsi="Aptos"/>
          <w:b/>
          <w:bCs/>
          <w:sz w:val="36"/>
          <w:szCs w:val="36"/>
          <w:lang w:val="en-GB"/>
        </w:rPr>
        <w:tab/>
      </w:r>
    </w:p>
    <w:p w14:paraId="4DDD8929" w14:textId="77777777" w:rsidR="005E31A6" w:rsidRPr="00EF2814" w:rsidRDefault="005E31A6" w:rsidP="000702A0">
      <w:pPr>
        <w:spacing w:before="240" w:after="0"/>
        <w:jc w:val="center"/>
        <w:rPr>
          <w:rFonts w:eastAsia="Times New Roman" w:cs="Arial"/>
          <w:b/>
          <w:bCs/>
          <w:sz w:val="28"/>
          <w:szCs w:val="28"/>
          <w:highlight w:val="white"/>
          <w:lang w:val="en-GB"/>
        </w:rPr>
      </w:pPr>
      <w:r w:rsidRPr="00EF2814">
        <w:rPr>
          <w:rFonts w:eastAsia="Times New Roman" w:cs="Arial"/>
          <w:b/>
          <w:bCs/>
          <w:sz w:val="28"/>
          <w:szCs w:val="28"/>
          <w:highlight w:val="white"/>
          <w:lang w:val="en-GB"/>
        </w:rPr>
        <w:t xml:space="preserve">Module Code: </w:t>
      </w:r>
      <w:r w:rsidRPr="00EF2814">
        <w:rPr>
          <w:rFonts w:eastAsia="Times New Roman" w:cs="Arial"/>
          <w:bCs/>
          <w:sz w:val="28"/>
          <w:szCs w:val="28"/>
          <w:highlight w:val="white"/>
          <w:lang w:val="en-GB"/>
        </w:rPr>
        <w:t>BMHP6020</w:t>
      </w:r>
    </w:p>
    <w:p w14:paraId="46E3D185" w14:textId="77777777" w:rsidR="005E31A6" w:rsidRPr="00EF2814" w:rsidRDefault="005E31A6" w:rsidP="000702A0">
      <w:pPr>
        <w:spacing w:before="240" w:after="0"/>
        <w:jc w:val="center"/>
        <w:rPr>
          <w:rFonts w:eastAsia="Times New Roman" w:cs="Arial"/>
          <w:bCs/>
          <w:sz w:val="28"/>
          <w:szCs w:val="28"/>
          <w:highlight w:val="white"/>
          <w:lang w:val="en-GB"/>
        </w:rPr>
      </w:pPr>
      <w:r w:rsidRPr="00EF2814">
        <w:rPr>
          <w:rFonts w:eastAsia="Times New Roman" w:cs="Arial"/>
          <w:b/>
          <w:bCs/>
          <w:sz w:val="28"/>
          <w:szCs w:val="28"/>
          <w:highlight w:val="white"/>
          <w:lang w:val="en-GB"/>
        </w:rPr>
        <w:t>Module Title:</w:t>
      </w:r>
      <w:r w:rsidRPr="00EF2814">
        <w:rPr>
          <w:rFonts w:eastAsia="Times New Roman" w:cs="Arial"/>
          <w:bCs/>
          <w:sz w:val="28"/>
          <w:szCs w:val="28"/>
          <w:highlight w:val="white"/>
          <w:lang w:val="en-GB"/>
        </w:rPr>
        <w:t xml:space="preserve"> Independent Project</w:t>
      </w:r>
    </w:p>
    <w:p w14:paraId="2CE9BD2D" w14:textId="77777777" w:rsidR="005E31A6" w:rsidRPr="00EF2814" w:rsidRDefault="005E31A6" w:rsidP="000702A0">
      <w:pPr>
        <w:spacing w:before="240" w:after="0"/>
        <w:jc w:val="center"/>
        <w:rPr>
          <w:rFonts w:eastAsia="Times New Roman" w:cs="Arial"/>
          <w:b/>
          <w:bCs/>
          <w:sz w:val="28"/>
          <w:szCs w:val="28"/>
          <w:highlight w:val="white"/>
          <w:lang w:val="en-GB"/>
        </w:rPr>
      </w:pPr>
    </w:p>
    <w:p w14:paraId="2C589395" w14:textId="01A60E04" w:rsidR="005E31A6" w:rsidRPr="00EF2814" w:rsidRDefault="005E31A6" w:rsidP="000702A0">
      <w:pPr>
        <w:spacing w:before="240" w:after="0"/>
        <w:jc w:val="center"/>
        <w:rPr>
          <w:rFonts w:eastAsia="Times New Roman" w:cs="Arial"/>
          <w:bCs/>
          <w:sz w:val="28"/>
          <w:szCs w:val="28"/>
          <w:highlight w:val="white"/>
          <w:lang w:val="en-GB"/>
        </w:rPr>
      </w:pPr>
      <w:r w:rsidRPr="00EF2814">
        <w:rPr>
          <w:rFonts w:eastAsia="Times New Roman" w:cs="Arial"/>
          <w:b/>
          <w:bCs/>
          <w:sz w:val="28"/>
          <w:szCs w:val="28"/>
          <w:highlight w:val="white"/>
          <w:lang w:val="en-GB"/>
        </w:rPr>
        <w:t xml:space="preserve">Assignment Title: </w:t>
      </w:r>
      <w:r w:rsidRPr="00EF2814">
        <w:rPr>
          <w:rFonts w:eastAsia="Times New Roman" w:cs="Arial"/>
          <w:bCs/>
          <w:sz w:val="28"/>
          <w:szCs w:val="28"/>
          <w:highlight w:val="white"/>
          <w:lang w:val="en-GB"/>
        </w:rPr>
        <w:t>Component 1: Portfolio (including 3 elements)</w:t>
      </w:r>
      <w:r w:rsidR="00BA25BC">
        <w:rPr>
          <w:rFonts w:eastAsia="Times New Roman" w:cs="Arial"/>
          <w:bCs/>
          <w:sz w:val="28"/>
          <w:szCs w:val="28"/>
          <w:highlight w:val="white"/>
          <w:lang w:val="en-GB"/>
        </w:rPr>
        <w:t xml:space="preserve"> – </w:t>
      </w:r>
      <w:r w:rsidR="00BA25BC" w:rsidRPr="00BA25BC">
        <w:rPr>
          <w:rFonts w:eastAsia="Times New Roman" w:cs="Arial"/>
          <w:b/>
          <w:sz w:val="28"/>
          <w:szCs w:val="28"/>
          <w:highlight w:val="white"/>
          <w:lang w:val="en-GB"/>
        </w:rPr>
        <w:t>Chapter 1</w:t>
      </w:r>
      <w:r w:rsidR="00BA794B">
        <w:rPr>
          <w:rFonts w:eastAsia="Times New Roman" w:cs="Arial"/>
          <w:b/>
          <w:sz w:val="28"/>
          <w:szCs w:val="28"/>
          <w:highlight w:val="white"/>
          <w:lang w:val="en-GB"/>
        </w:rPr>
        <w:t xml:space="preserve"> &amp; 2</w:t>
      </w:r>
    </w:p>
    <w:p w14:paraId="5D228B13" w14:textId="77777777" w:rsidR="005E31A6" w:rsidRPr="00EF2814" w:rsidRDefault="005E31A6" w:rsidP="000702A0">
      <w:pPr>
        <w:pBdr>
          <w:bottom w:val="single" w:sz="4" w:space="1" w:color="auto"/>
        </w:pBdr>
        <w:spacing w:before="240" w:after="0"/>
        <w:jc w:val="center"/>
        <w:rPr>
          <w:rFonts w:eastAsia="Times New Roman" w:cs="Arial"/>
          <w:b/>
          <w:bCs/>
          <w:sz w:val="28"/>
          <w:szCs w:val="28"/>
          <w:highlight w:val="white"/>
          <w:lang w:val="en-GB"/>
        </w:rPr>
      </w:pPr>
      <w:r w:rsidRPr="00EF2814">
        <w:rPr>
          <w:rFonts w:eastAsia="Times New Roman" w:cs="Arial"/>
          <w:b/>
          <w:bCs/>
          <w:sz w:val="28"/>
          <w:szCs w:val="28"/>
          <w:highlight w:val="white"/>
          <w:lang w:val="en-GB"/>
        </w:rPr>
        <w:t>Research Title: Examining the Effect of COVID-19 Emergency Clinical Training on Staff Competency Levels within the UK Health Care Industry</w:t>
      </w:r>
    </w:p>
    <w:p w14:paraId="113E50D7" w14:textId="77777777" w:rsidR="005E31A6" w:rsidRPr="00EF2814" w:rsidRDefault="005E31A6" w:rsidP="000702A0">
      <w:pPr>
        <w:spacing w:before="240" w:after="0"/>
        <w:jc w:val="center"/>
        <w:rPr>
          <w:rFonts w:eastAsia="Times New Roman" w:cs="Arial"/>
          <w:b/>
          <w:bCs/>
          <w:sz w:val="28"/>
          <w:szCs w:val="28"/>
          <w:highlight w:val="white"/>
          <w:lang w:val="en-GB"/>
        </w:rPr>
      </w:pPr>
    </w:p>
    <w:p w14:paraId="1EB00207" w14:textId="77777777" w:rsidR="005E31A6" w:rsidRPr="00EF2814" w:rsidRDefault="005E31A6" w:rsidP="000702A0">
      <w:pPr>
        <w:spacing w:before="240" w:after="0"/>
        <w:jc w:val="center"/>
        <w:rPr>
          <w:rFonts w:eastAsia="Times New Roman" w:cs="Arial"/>
          <w:bCs/>
          <w:sz w:val="28"/>
          <w:szCs w:val="28"/>
          <w:highlight w:val="white"/>
          <w:lang w:val="en-GB"/>
        </w:rPr>
      </w:pPr>
      <w:r w:rsidRPr="00EF2814">
        <w:rPr>
          <w:rFonts w:eastAsia="Times New Roman" w:cs="Arial"/>
          <w:b/>
          <w:bCs/>
          <w:sz w:val="28"/>
          <w:szCs w:val="28"/>
          <w:highlight w:val="white"/>
          <w:lang w:val="en-GB"/>
        </w:rPr>
        <w:t xml:space="preserve">Student Name: </w:t>
      </w:r>
      <w:r w:rsidRPr="00EF2814">
        <w:rPr>
          <w:rFonts w:eastAsia="Times New Roman" w:cs="Arial"/>
          <w:bCs/>
          <w:sz w:val="28"/>
          <w:szCs w:val="28"/>
          <w:lang w:val="en-GB"/>
        </w:rPr>
        <w:t>Jacqueline Lawrence</w:t>
      </w:r>
    </w:p>
    <w:p w14:paraId="614A89AD" w14:textId="2899555D" w:rsidR="005E31A6" w:rsidRDefault="005E31A6" w:rsidP="000702A0">
      <w:pPr>
        <w:spacing w:before="240" w:after="0"/>
        <w:jc w:val="center"/>
        <w:rPr>
          <w:rFonts w:eastAsia="Times New Roman" w:cs="Arial"/>
          <w:b/>
          <w:bCs/>
          <w:sz w:val="28"/>
          <w:szCs w:val="28"/>
          <w:highlight w:val="white"/>
          <w:lang w:val="en-GB"/>
        </w:rPr>
      </w:pPr>
      <w:r w:rsidRPr="00EF2814">
        <w:rPr>
          <w:rFonts w:eastAsia="Times New Roman" w:cs="Arial"/>
          <w:b/>
          <w:bCs/>
          <w:sz w:val="28"/>
          <w:szCs w:val="28"/>
          <w:highlight w:val="white"/>
          <w:lang w:val="en-GB"/>
        </w:rPr>
        <w:t>Student ID:</w:t>
      </w:r>
      <w:r w:rsidR="00D8379A">
        <w:rPr>
          <w:rFonts w:eastAsia="Times New Roman" w:cs="Arial"/>
          <w:b/>
          <w:bCs/>
          <w:sz w:val="28"/>
          <w:szCs w:val="28"/>
          <w:highlight w:val="white"/>
          <w:lang w:val="en-GB"/>
        </w:rPr>
        <w:t xml:space="preserve"> 2315750</w:t>
      </w:r>
    </w:p>
    <w:p w14:paraId="302EA72B" w14:textId="08CFDA5E" w:rsidR="004A1D43" w:rsidRDefault="004A1D43">
      <w:pPr>
        <w:spacing w:line="240" w:lineRule="auto"/>
        <w:jc w:val="left"/>
        <w:rPr>
          <w:rFonts w:eastAsia="Times New Roman" w:cs="Arial"/>
          <w:b/>
          <w:bCs/>
          <w:sz w:val="28"/>
          <w:szCs w:val="28"/>
          <w:highlight w:val="white"/>
          <w:lang w:val="en-GB"/>
        </w:rPr>
      </w:pPr>
      <w:r>
        <w:rPr>
          <w:rFonts w:eastAsia="Times New Roman" w:cs="Arial"/>
          <w:b/>
          <w:bCs/>
          <w:sz w:val="28"/>
          <w:szCs w:val="28"/>
          <w:highlight w:val="white"/>
          <w:lang w:val="en-GB"/>
        </w:rPr>
        <w:br w:type="page"/>
      </w:r>
    </w:p>
    <w:sdt>
      <w:sdtPr>
        <w:rPr>
          <w:rFonts w:ascii="Arial" w:eastAsiaTheme="minorHAnsi" w:hAnsi="Arial" w:cstheme="minorBidi"/>
          <w:color w:val="auto"/>
          <w:sz w:val="22"/>
          <w:szCs w:val="22"/>
        </w:rPr>
        <w:id w:val="-215271727"/>
        <w:docPartObj>
          <w:docPartGallery w:val="Table of Contents"/>
          <w:docPartUnique/>
        </w:docPartObj>
      </w:sdtPr>
      <w:sdtEndPr>
        <w:rPr>
          <w:b/>
          <w:bCs/>
          <w:noProof/>
        </w:rPr>
      </w:sdtEndPr>
      <w:sdtContent>
        <w:p w14:paraId="4A75992B" w14:textId="18E9EF86" w:rsidR="00891DF5" w:rsidRPr="00891DF5" w:rsidRDefault="00891DF5" w:rsidP="00891DF5">
          <w:pPr>
            <w:pStyle w:val="TOCHeading"/>
            <w:spacing w:before="0" w:line="360" w:lineRule="auto"/>
            <w:jc w:val="center"/>
            <w:rPr>
              <w:rFonts w:ascii="Times New Roman" w:hAnsi="Times New Roman" w:cs="Times New Roman"/>
              <w:b/>
              <w:color w:val="auto"/>
              <w:szCs w:val="24"/>
            </w:rPr>
          </w:pPr>
          <w:r w:rsidRPr="00891DF5">
            <w:rPr>
              <w:rFonts w:ascii="Times New Roman" w:hAnsi="Times New Roman" w:cs="Times New Roman"/>
              <w:b/>
              <w:color w:val="auto"/>
              <w:szCs w:val="24"/>
            </w:rPr>
            <w:t>Table of Contents</w:t>
          </w:r>
        </w:p>
        <w:p w14:paraId="7B0074D4" w14:textId="77777777" w:rsidR="00891DF5" w:rsidRPr="00891DF5" w:rsidRDefault="00891DF5" w:rsidP="00891DF5">
          <w:pPr>
            <w:pStyle w:val="TOC1"/>
            <w:tabs>
              <w:tab w:val="right" w:leader="dot" w:pos="10934"/>
            </w:tabs>
            <w:rPr>
              <w:rFonts w:ascii="Times New Roman" w:eastAsiaTheme="minorEastAsia" w:hAnsi="Times New Roman" w:cs="Times New Roman"/>
              <w:noProof/>
              <w:sz w:val="24"/>
              <w:szCs w:val="24"/>
              <w:lang w:val="en-GB" w:eastAsia="en-GB"/>
            </w:rPr>
          </w:pPr>
          <w:r w:rsidRPr="00891DF5">
            <w:rPr>
              <w:rFonts w:ascii="Times New Roman" w:hAnsi="Times New Roman" w:cs="Times New Roman"/>
              <w:sz w:val="24"/>
              <w:szCs w:val="24"/>
            </w:rPr>
            <w:fldChar w:fldCharType="begin"/>
          </w:r>
          <w:r w:rsidRPr="00891DF5">
            <w:rPr>
              <w:rFonts w:ascii="Times New Roman" w:hAnsi="Times New Roman" w:cs="Times New Roman"/>
              <w:sz w:val="24"/>
              <w:szCs w:val="24"/>
            </w:rPr>
            <w:instrText xml:space="preserve"> TOC \o "1-3" \h \z \u </w:instrText>
          </w:r>
          <w:r w:rsidRPr="00891DF5">
            <w:rPr>
              <w:rFonts w:ascii="Times New Roman" w:hAnsi="Times New Roman" w:cs="Times New Roman"/>
              <w:sz w:val="24"/>
              <w:szCs w:val="24"/>
            </w:rPr>
            <w:fldChar w:fldCharType="separate"/>
          </w:r>
          <w:hyperlink w:anchor="_Toc222909328" w:history="1">
            <w:r w:rsidRPr="00891DF5">
              <w:rPr>
                <w:rStyle w:val="Hyperlink"/>
                <w:rFonts w:ascii="Times New Roman" w:hAnsi="Times New Roman" w:cs="Times New Roman"/>
                <w:noProof/>
                <w:color w:val="auto"/>
                <w:sz w:val="24"/>
                <w:szCs w:val="24"/>
                <w:lang w:val="en-GB"/>
              </w:rPr>
              <w:t>Element 3 - Dissertation document</w:t>
            </w:r>
            <w:r w:rsidRPr="00891DF5">
              <w:rPr>
                <w:rFonts w:ascii="Times New Roman" w:hAnsi="Times New Roman" w:cs="Times New Roman"/>
                <w:noProof/>
                <w:webHidden/>
                <w:sz w:val="24"/>
                <w:szCs w:val="24"/>
              </w:rPr>
              <w:tab/>
            </w:r>
            <w:r w:rsidRPr="00891DF5">
              <w:rPr>
                <w:rFonts w:ascii="Times New Roman" w:hAnsi="Times New Roman" w:cs="Times New Roman"/>
                <w:noProof/>
                <w:webHidden/>
                <w:sz w:val="24"/>
                <w:szCs w:val="24"/>
              </w:rPr>
              <w:fldChar w:fldCharType="begin"/>
            </w:r>
            <w:r w:rsidRPr="00891DF5">
              <w:rPr>
                <w:rFonts w:ascii="Times New Roman" w:hAnsi="Times New Roman" w:cs="Times New Roman"/>
                <w:noProof/>
                <w:webHidden/>
                <w:sz w:val="24"/>
                <w:szCs w:val="24"/>
              </w:rPr>
              <w:instrText xml:space="preserve"> PAGEREF _Toc222909328 \h </w:instrText>
            </w:r>
            <w:r w:rsidRPr="00891DF5">
              <w:rPr>
                <w:rFonts w:ascii="Times New Roman" w:hAnsi="Times New Roman" w:cs="Times New Roman"/>
                <w:noProof/>
                <w:webHidden/>
                <w:sz w:val="24"/>
                <w:szCs w:val="24"/>
              </w:rPr>
            </w:r>
            <w:r w:rsidRPr="00891DF5">
              <w:rPr>
                <w:rFonts w:ascii="Times New Roman" w:hAnsi="Times New Roman" w:cs="Times New Roman"/>
                <w:noProof/>
                <w:webHidden/>
                <w:sz w:val="24"/>
                <w:szCs w:val="24"/>
              </w:rPr>
              <w:fldChar w:fldCharType="separate"/>
            </w:r>
            <w:r w:rsidRPr="00891DF5">
              <w:rPr>
                <w:rFonts w:ascii="Times New Roman" w:hAnsi="Times New Roman" w:cs="Times New Roman"/>
                <w:noProof/>
                <w:webHidden/>
                <w:sz w:val="24"/>
                <w:szCs w:val="24"/>
              </w:rPr>
              <w:t>3</w:t>
            </w:r>
            <w:r w:rsidRPr="00891DF5">
              <w:rPr>
                <w:rFonts w:ascii="Times New Roman" w:hAnsi="Times New Roman" w:cs="Times New Roman"/>
                <w:noProof/>
                <w:webHidden/>
                <w:sz w:val="24"/>
                <w:szCs w:val="24"/>
              </w:rPr>
              <w:fldChar w:fldCharType="end"/>
            </w:r>
          </w:hyperlink>
        </w:p>
        <w:p w14:paraId="5B8EF308" w14:textId="77777777" w:rsidR="00891DF5" w:rsidRPr="00891DF5" w:rsidRDefault="00891DF5" w:rsidP="00891DF5">
          <w:pPr>
            <w:pStyle w:val="TOC1"/>
            <w:tabs>
              <w:tab w:val="right" w:leader="dot" w:pos="10934"/>
            </w:tabs>
            <w:rPr>
              <w:rFonts w:ascii="Times New Roman" w:eastAsiaTheme="minorEastAsia" w:hAnsi="Times New Roman" w:cs="Times New Roman"/>
              <w:noProof/>
              <w:sz w:val="24"/>
              <w:szCs w:val="24"/>
              <w:lang w:val="en-GB" w:eastAsia="en-GB"/>
            </w:rPr>
          </w:pPr>
          <w:hyperlink w:anchor="_Toc222909329" w:history="1">
            <w:r w:rsidRPr="00891DF5">
              <w:rPr>
                <w:rStyle w:val="Hyperlink"/>
                <w:rFonts w:ascii="Times New Roman" w:hAnsi="Times New Roman" w:cs="Times New Roman"/>
                <w:noProof/>
                <w:color w:val="auto"/>
                <w:sz w:val="24"/>
                <w:szCs w:val="24"/>
                <w:lang w:val="en-GB"/>
              </w:rPr>
              <w:t>Chapter 1 - Introduction</w:t>
            </w:r>
            <w:r w:rsidRPr="00891DF5">
              <w:rPr>
                <w:rFonts w:ascii="Times New Roman" w:hAnsi="Times New Roman" w:cs="Times New Roman"/>
                <w:noProof/>
                <w:webHidden/>
                <w:sz w:val="24"/>
                <w:szCs w:val="24"/>
              </w:rPr>
              <w:tab/>
            </w:r>
            <w:r w:rsidRPr="00891DF5">
              <w:rPr>
                <w:rFonts w:ascii="Times New Roman" w:hAnsi="Times New Roman" w:cs="Times New Roman"/>
                <w:noProof/>
                <w:webHidden/>
                <w:sz w:val="24"/>
                <w:szCs w:val="24"/>
              </w:rPr>
              <w:fldChar w:fldCharType="begin"/>
            </w:r>
            <w:r w:rsidRPr="00891DF5">
              <w:rPr>
                <w:rFonts w:ascii="Times New Roman" w:hAnsi="Times New Roman" w:cs="Times New Roman"/>
                <w:noProof/>
                <w:webHidden/>
                <w:sz w:val="24"/>
                <w:szCs w:val="24"/>
              </w:rPr>
              <w:instrText xml:space="preserve"> PAGEREF _Toc222909329 \h </w:instrText>
            </w:r>
            <w:r w:rsidRPr="00891DF5">
              <w:rPr>
                <w:rFonts w:ascii="Times New Roman" w:hAnsi="Times New Roman" w:cs="Times New Roman"/>
                <w:noProof/>
                <w:webHidden/>
                <w:sz w:val="24"/>
                <w:szCs w:val="24"/>
              </w:rPr>
            </w:r>
            <w:r w:rsidRPr="00891DF5">
              <w:rPr>
                <w:rFonts w:ascii="Times New Roman" w:hAnsi="Times New Roman" w:cs="Times New Roman"/>
                <w:noProof/>
                <w:webHidden/>
                <w:sz w:val="24"/>
                <w:szCs w:val="24"/>
              </w:rPr>
              <w:fldChar w:fldCharType="separate"/>
            </w:r>
            <w:r w:rsidRPr="00891DF5">
              <w:rPr>
                <w:rFonts w:ascii="Times New Roman" w:hAnsi="Times New Roman" w:cs="Times New Roman"/>
                <w:noProof/>
                <w:webHidden/>
                <w:sz w:val="24"/>
                <w:szCs w:val="24"/>
              </w:rPr>
              <w:t>7</w:t>
            </w:r>
            <w:r w:rsidRPr="00891DF5">
              <w:rPr>
                <w:rFonts w:ascii="Times New Roman" w:hAnsi="Times New Roman" w:cs="Times New Roman"/>
                <w:noProof/>
                <w:webHidden/>
                <w:sz w:val="24"/>
                <w:szCs w:val="24"/>
              </w:rPr>
              <w:fldChar w:fldCharType="end"/>
            </w:r>
          </w:hyperlink>
        </w:p>
        <w:p w14:paraId="160E6A3A" w14:textId="77777777" w:rsidR="00891DF5" w:rsidRPr="00891DF5" w:rsidRDefault="00891DF5" w:rsidP="00891DF5">
          <w:pPr>
            <w:pStyle w:val="TOC2"/>
            <w:tabs>
              <w:tab w:val="right" w:leader="dot" w:pos="10934"/>
            </w:tabs>
            <w:rPr>
              <w:rFonts w:ascii="Times New Roman" w:eastAsiaTheme="minorEastAsia" w:hAnsi="Times New Roman" w:cs="Times New Roman"/>
              <w:noProof/>
              <w:sz w:val="24"/>
              <w:szCs w:val="24"/>
              <w:lang w:val="en-GB" w:eastAsia="en-GB"/>
            </w:rPr>
          </w:pPr>
          <w:hyperlink w:anchor="_Toc222909330" w:history="1">
            <w:r w:rsidRPr="00891DF5">
              <w:rPr>
                <w:rStyle w:val="Hyperlink"/>
                <w:rFonts w:ascii="Times New Roman" w:hAnsi="Times New Roman" w:cs="Times New Roman"/>
                <w:noProof/>
                <w:color w:val="auto"/>
                <w:sz w:val="24"/>
                <w:szCs w:val="24"/>
                <w:lang w:val="en-GB"/>
              </w:rPr>
              <w:t>1.1 Introduction</w:t>
            </w:r>
            <w:r w:rsidRPr="00891DF5">
              <w:rPr>
                <w:rFonts w:ascii="Times New Roman" w:hAnsi="Times New Roman" w:cs="Times New Roman"/>
                <w:noProof/>
                <w:webHidden/>
                <w:sz w:val="24"/>
                <w:szCs w:val="24"/>
              </w:rPr>
              <w:tab/>
            </w:r>
            <w:r w:rsidRPr="00891DF5">
              <w:rPr>
                <w:rFonts w:ascii="Times New Roman" w:hAnsi="Times New Roman" w:cs="Times New Roman"/>
                <w:noProof/>
                <w:webHidden/>
                <w:sz w:val="24"/>
                <w:szCs w:val="24"/>
              </w:rPr>
              <w:fldChar w:fldCharType="begin"/>
            </w:r>
            <w:r w:rsidRPr="00891DF5">
              <w:rPr>
                <w:rFonts w:ascii="Times New Roman" w:hAnsi="Times New Roman" w:cs="Times New Roman"/>
                <w:noProof/>
                <w:webHidden/>
                <w:sz w:val="24"/>
                <w:szCs w:val="24"/>
              </w:rPr>
              <w:instrText xml:space="preserve"> PAGEREF _Toc222909330 \h </w:instrText>
            </w:r>
            <w:r w:rsidRPr="00891DF5">
              <w:rPr>
                <w:rFonts w:ascii="Times New Roman" w:hAnsi="Times New Roman" w:cs="Times New Roman"/>
                <w:noProof/>
                <w:webHidden/>
                <w:sz w:val="24"/>
                <w:szCs w:val="24"/>
              </w:rPr>
            </w:r>
            <w:r w:rsidRPr="00891DF5">
              <w:rPr>
                <w:rFonts w:ascii="Times New Roman" w:hAnsi="Times New Roman" w:cs="Times New Roman"/>
                <w:noProof/>
                <w:webHidden/>
                <w:sz w:val="24"/>
                <w:szCs w:val="24"/>
              </w:rPr>
              <w:fldChar w:fldCharType="separate"/>
            </w:r>
            <w:r w:rsidRPr="00891DF5">
              <w:rPr>
                <w:rFonts w:ascii="Times New Roman" w:hAnsi="Times New Roman" w:cs="Times New Roman"/>
                <w:noProof/>
                <w:webHidden/>
                <w:sz w:val="24"/>
                <w:szCs w:val="24"/>
              </w:rPr>
              <w:t>7</w:t>
            </w:r>
            <w:r w:rsidRPr="00891DF5">
              <w:rPr>
                <w:rFonts w:ascii="Times New Roman" w:hAnsi="Times New Roman" w:cs="Times New Roman"/>
                <w:noProof/>
                <w:webHidden/>
                <w:sz w:val="24"/>
                <w:szCs w:val="24"/>
              </w:rPr>
              <w:fldChar w:fldCharType="end"/>
            </w:r>
          </w:hyperlink>
        </w:p>
        <w:p w14:paraId="420DF143" w14:textId="77777777" w:rsidR="00891DF5" w:rsidRPr="00891DF5" w:rsidRDefault="00891DF5" w:rsidP="00891DF5">
          <w:pPr>
            <w:pStyle w:val="TOC2"/>
            <w:tabs>
              <w:tab w:val="right" w:leader="dot" w:pos="10934"/>
            </w:tabs>
            <w:rPr>
              <w:rFonts w:ascii="Times New Roman" w:eastAsiaTheme="minorEastAsia" w:hAnsi="Times New Roman" w:cs="Times New Roman"/>
              <w:noProof/>
              <w:sz w:val="24"/>
              <w:szCs w:val="24"/>
              <w:lang w:val="en-GB" w:eastAsia="en-GB"/>
            </w:rPr>
          </w:pPr>
          <w:hyperlink w:anchor="_Toc222909331" w:history="1">
            <w:r w:rsidRPr="00891DF5">
              <w:rPr>
                <w:rStyle w:val="Hyperlink"/>
                <w:rFonts w:ascii="Times New Roman" w:hAnsi="Times New Roman" w:cs="Times New Roman"/>
                <w:noProof/>
                <w:color w:val="auto"/>
                <w:sz w:val="24"/>
                <w:szCs w:val="24"/>
                <w:lang w:val="en-GB"/>
              </w:rPr>
              <w:t>1.2 Definitions and Terminology</w:t>
            </w:r>
            <w:r w:rsidRPr="00891DF5">
              <w:rPr>
                <w:rFonts w:ascii="Times New Roman" w:hAnsi="Times New Roman" w:cs="Times New Roman"/>
                <w:noProof/>
                <w:webHidden/>
                <w:sz w:val="24"/>
                <w:szCs w:val="24"/>
              </w:rPr>
              <w:tab/>
            </w:r>
            <w:r w:rsidRPr="00891DF5">
              <w:rPr>
                <w:rFonts w:ascii="Times New Roman" w:hAnsi="Times New Roman" w:cs="Times New Roman"/>
                <w:noProof/>
                <w:webHidden/>
                <w:sz w:val="24"/>
                <w:szCs w:val="24"/>
              </w:rPr>
              <w:fldChar w:fldCharType="begin"/>
            </w:r>
            <w:r w:rsidRPr="00891DF5">
              <w:rPr>
                <w:rFonts w:ascii="Times New Roman" w:hAnsi="Times New Roman" w:cs="Times New Roman"/>
                <w:noProof/>
                <w:webHidden/>
                <w:sz w:val="24"/>
                <w:szCs w:val="24"/>
              </w:rPr>
              <w:instrText xml:space="preserve"> PAGEREF _Toc222909331 \h </w:instrText>
            </w:r>
            <w:r w:rsidRPr="00891DF5">
              <w:rPr>
                <w:rFonts w:ascii="Times New Roman" w:hAnsi="Times New Roman" w:cs="Times New Roman"/>
                <w:noProof/>
                <w:webHidden/>
                <w:sz w:val="24"/>
                <w:szCs w:val="24"/>
              </w:rPr>
            </w:r>
            <w:r w:rsidRPr="00891DF5">
              <w:rPr>
                <w:rFonts w:ascii="Times New Roman" w:hAnsi="Times New Roman" w:cs="Times New Roman"/>
                <w:noProof/>
                <w:webHidden/>
                <w:sz w:val="24"/>
                <w:szCs w:val="24"/>
              </w:rPr>
              <w:fldChar w:fldCharType="separate"/>
            </w:r>
            <w:r w:rsidRPr="00891DF5">
              <w:rPr>
                <w:rFonts w:ascii="Times New Roman" w:hAnsi="Times New Roman" w:cs="Times New Roman"/>
                <w:noProof/>
                <w:webHidden/>
                <w:sz w:val="24"/>
                <w:szCs w:val="24"/>
              </w:rPr>
              <w:t>7</w:t>
            </w:r>
            <w:r w:rsidRPr="00891DF5">
              <w:rPr>
                <w:rFonts w:ascii="Times New Roman" w:hAnsi="Times New Roman" w:cs="Times New Roman"/>
                <w:noProof/>
                <w:webHidden/>
                <w:sz w:val="24"/>
                <w:szCs w:val="24"/>
              </w:rPr>
              <w:fldChar w:fldCharType="end"/>
            </w:r>
          </w:hyperlink>
        </w:p>
        <w:p w14:paraId="2BED680A" w14:textId="77777777" w:rsidR="00891DF5" w:rsidRPr="00891DF5" w:rsidRDefault="00891DF5" w:rsidP="00891DF5">
          <w:pPr>
            <w:pStyle w:val="TOC2"/>
            <w:tabs>
              <w:tab w:val="right" w:leader="dot" w:pos="10934"/>
            </w:tabs>
            <w:rPr>
              <w:rFonts w:ascii="Times New Roman" w:eastAsiaTheme="minorEastAsia" w:hAnsi="Times New Roman" w:cs="Times New Roman"/>
              <w:noProof/>
              <w:sz w:val="24"/>
              <w:szCs w:val="24"/>
              <w:lang w:val="en-GB" w:eastAsia="en-GB"/>
            </w:rPr>
          </w:pPr>
          <w:hyperlink w:anchor="_Toc222909332" w:history="1">
            <w:r w:rsidRPr="00891DF5">
              <w:rPr>
                <w:rStyle w:val="Hyperlink"/>
                <w:rFonts w:ascii="Times New Roman" w:hAnsi="Times New Roman" w:cs="Times New Roman"/>
                <w:noProof/>
                <w:color w:val="auto"/>
                <w:sz w:val="24"/>
                <w:szCs w:val="24"/>
                <w:lang w:val="en-GB"/>
              </w:rPr>
              <w:t>1.3 Rationale for Research</w:t>
            </w:r>
            <w:r w:rsidRPr="00891DF5">
              <w:rPr>
                <w:rFonts w:ascii="Times New Roman" w:hAnsi="Times New Roman" w:cs="Times New Roman"/>
                <w:noProof/>
                <w:webHidden/>
                <w:sz w:val="24"/>
                <w:szCs w:val="24"/>
              </w:rPr>
              <w:tab/>
            </w:r>
            <w:r w:rsidRPr="00891DF5">
              <w:rPr>
                <w:rFonts w:ascii="Times New Roman" w:hAnsi="Times New Roman" w:cs="Times New Roman"/>
                <w:noProof/>
                <w:webHidden/>
                <w:sz w:val="24"/>
                <w:szCs w:val="24"/>
              </w:rPr>
              <w:fldChar w:fldCharType="begin"/>
            </w:r>
            <w:r w:rsidRPr="00891DF5">
              <w:rPr>
                <w:rFonts w:ascii="Times New Roman" w:hAnsi="Times New Roman" w:cs="Times New Roman"/>
                <w:noProof/>
                <w:webHidden/>
                <w:sz w:val="24"/>
                <w:szCs w:val="24"/>
              </w:rPr>
              <w:instrText xml:space="preserve"> PAGEREF _Toc222909332 \h </w:instrText>
            </w:r>
            <w:r w:rsidRPr="00891DF5">
              <w:rPr>
                <w:rFonts w:ascii="Times New Roman" w:hAnsi="Times New Roman" w:cs="Times New Roman"/>
                <w:noProof/>
                <w:webHidden/>
                <w:sz w:val="24"/>
                <w:szCs w:val="24"/>
              </w:rPr>
            </w:r>
            <w:r w:rsidRPr="00891DF5">
              <w:rPr>
                <w:rFonts w:ascii="Times New Roman" w:hAnsi="Times New Roman" w:cs="Times New Roman"/>
                <w:noProof/>
                <w:webHidden/>
                <w:sz w:val="24"/>
                <w:szCs w:val="24"/>
              </w:rPr>
              <w:fldChar w:fldCharType="separate"/>
            </w:r>
            <w:r w:rsidRPr="00891DF5">
              <w:rPr>
                <w:rFonts w:ascii="Times New Roman" w:hAnsi="Times New Roman" w:cs="Times New Roman"/>
                <w:noProof/>
                <w:webHidden/>
                <w:sz w:val="24"/>
                <w:szCs w:val="24"/>
              </w:rPr>
              <w:t>8</w:t>
            </w:r>
            <w:r w:rsidRPr="00891DF5">
              <w:rPr>
                <w:rFonts w:ascii="Times New Roman" w:hAnsi="Times New Roman" w:cs="Times New Roman"/>
                <w:noProof/>
                <w:webHidden/>
                <w:sz w:val="24"/>
                <w:szCs w:val="24"/>
              </w:rPr>
              <w:fldChar w:fldCharType="end"/>
            </w:r>
          </w:hyperlink>
        </w:p>
        <w:p w14:paraId="4DBD1329" w14:textId="77777777" w:rsidR="00891DF5" w:rsidRPr="00891DF5" w:rsidRDefault="00891DF5" w:rsidP="00891DF5">
          <w:pPr>
            <w:pStyle w:val="TOC2"/>
            <w:tabs>
              <w:tab w:val="right" w:leader="dot" w:pos="10934"/>
            </w:tabs>
            <w:rPr>
              <w:rFonts w:ascii="Times New Roman" w:eastAsiaTheme="minorEastAsia" w:hAnsi="Times New Roman" w:cs="Times New Roman"/>
              <w:noProof/>
              <w:sz w:val="24"/>
              <w:szCs w:val="24"/>
              <w:lang w:val="en-GB" w:eastAsia="en-GB"/>
            </w:rPr>
          </w:pPr>
          <w:hyperlink w:anchor="_Toc222909333" w:history="1">
            <w:r w:rsidRPr="00891DF5">
              <w:rPr>
                <w:rStyle w:val="Hyperlink"/>
                <w:rFonts w:ascii="Times New Roman" w:hAnsi="Times New Roman" w:cs="Times New Roman"/>
                <w:noProof/>
                <w:color w:val="auto"/>
                <w:sz w:val="24"/>
                <w:szCs w:val="24"/>
                <w:lang w:val="en-GB"/>
              </w:rPr>
              <w:t>1.4 Aim and Objectives</w:t>
            </w:r>
            <w:r w:rsidRPr="00891DF5">
              <w:rPr>
                <w:rFonts w:ascii="Times New Roman" w:hAnsi="Times New Roman" w:cs="Times New Roman"/>
                <w:noProof/>
                <w:webHidden/>
                <w:sz w:val="24"/>
                <w:szCs w:val="24"/>
              </w:rPr>
              <w:tab/>
            </w:r>
            <w:r w:rsidRPr="00891DF5">
              <w:rPr>
                <w:rFonts w:ascii="Times New Roman" w:hAnsi="Times New Roman" w:cs="Times New Roman"/>
                <w:noProof/>
                <w:webHidden/>
                <w:sz w:val="24"/>
                <w:szCs w:val="24"/>
              </w:rPr>
              <w:fldChar w:fldCharType="begin"/>
            </w:r>
            <w:r w:rsidRPr="00891DF5">
              <w:rPr>
                <w:rFonts w:ascii="Times New Roman" w:hAnsi="Times New Roman" w:cs="Times New Roman"/>
                <w:noProof/>
                <w:webHidden/>
                <w:sz w:val="24"/>
                <w:szCs w:val="24"/>
              </w:rPr>
              <w:instrText xml:space="preserve"> PAGEREF _Toc222909333 \h </w:instrText>
            </w:r>
            <w:r w:rsidRPr="00891DF5">
              <w:rPr>
                <w:rFonts w:ascii="Times New Roman" w:hAnsi="Times New Roman" w:cs="Times New Roman"/>
                <w:noProof/>
                <w:webHidden/>
                <w:sz w:val="24"/>
                <w:szCs w:val="24"/>
              </w:rPr>
            </w:r>
            <w:r w:rsidRPr="00891DF5">
              <w:rPr>
                <w:rFonts w:ascii="Times New Roman" w:hAnsi="Times New Roman" w:cs="Times New Roman"/>
                <w:noProof/>
                <w:webHidden/>
                <w:sz w:val="24"/>
                <w:szCs w:val="24"/>
              </w:rPr>
              <w:fldChar w:fldCharType="separate"/>
            </w:r>
            <w:r w:rsidRPr="00891DF5">
              <w:rPr>
                <w:rFonts w:ascii="Times New Roman" w:hAnsi="Times New Roman" w:cs="Times New Roman"/>
                <w:noProof/>
                <w:webHidden/>
                <w:sz w:val="24"/>
                <w:szCs w:val="24"/>
              </w:rPr>
              <w:t>9</w:t>
            </w:r>
            <w:r w:rsidRPr="00891DF5">
              <w:rPr>
                <w:rFonts w:ascii="Times New Roman" w:hAnsi="Times New Roman" w:cs="Times New Roman"/>
                <w:noProof/>
                <w:webHidden/>
                <w:sz w:val="24"/>
                <w:szCs w:val="24"/>
              </w:rPr>
              <w:fldChar w:fldCharType="end"/>
            </w:r>
          </w:hyperlink>
        </w:p>
        <w:p w14:paraId="6994E954" w14:textId="77777777" w:rsidR="00891DF5" w:rsidRPr="00891DF5" w:rsidRDefault="00891DF5" w:rsidP="00891DF5">
          <w:pPr>
            <w:pStyle w:val="TOC2"/>
            <w:tabs>
              <w:tab w:val="right" w:leader="dot" w:pos="10934"/>
            </w:tabs>
            <w:rPr>
              <w:rFonts w:ascii="Times New Roman" w:eastAsiaTheme="minorEastAsia" w:hAnsi="Times New Roman" w:cs="Times New Roman"/>
              <w:noProof/>
              <w:sz w:val="24"/>
              <w:szCs w:val="24"/>
              <w:lang w:val="en-GB" w:eastAsia="en-GB"/>
            </w:rPr>
          </w:pPr>
          <w:hyperlink w:anchor="_Toc222909334" w:history="1">
            <w:r w:rsidRPr="00891DF5">
              <w:rPr>
                <w:rStyle w:val="Hyperlink"/>
                <w:rFonts w:ascii="Times New Roman" w:hAnsi="Times New Roman" w:cs="Times New Roman"/>
                <w:noProof/>
                <w:color w:val="auto"/>
                <w:sz w:val="24"/>
                <w:szCs w:val="24"/>
                <w:lang w:val="en-GB"/>
              </w:rPr>
              <w:t>1.5 Conclusion</w:t>
            </w:r>
            <w:r w:rsidRPr="00891DF5">
              <w:rPr>
                <w:rFonts w:ascii="Times New Roman" w:hAnsi="Times New Roman" w:cs="Times New Roman"/>
                <w:noProof/>
                <w:webHidden/>
                <w:sz w:val="24"/>
                <w:szCs w:val="24"/>
              </w:rPr>
              <w:tab/>
            </w:r>
            <w:r w:rsidRPr="00891DF5">
              <w:rPr>
                <w:rFonts w:ascii="Times New Roman" w:hAnsi="Times New Roman" w:cs="Times New Roman"/>
                <w:noProof/>
                <w:webHidden/>
                <w:sz w:val="24"/>
                <w:szCs w:val="24"/>
              </w:rPr>
              <w:fldChar w:fldCharType="begin"/>
            </w:r>
            <w:r w:rsidRPr="00891DF5">
              <w:rPr>
                <w:rFonts w:ascii="Times New Roman" w:hAnsi="Times New Roman" w:cs="Times New Roman"/>
                <w:noProof/>
                <w:webHidden/>
                <w:sz w:val="24"/>
                <w:szCs w:val="24"/>
              </w:rPr>
              <w:instrText xml:space="preserve"> PAGEREF _Toc222909334 \h </w:instrText>
            </w:r>
            <w:r w:rsidRPr="00891DF5">
              <w:rPr>
                <w:rFonts w:ascii="Times New Roman" w:hAnsi="Times New Roman" w:cs="Times New Roman"/>
                <w:noProof/>
                <w:webHidden/>
                <w:sz w:val="24"/>
                <w:szCs w:val="24"/>
              </w:rPr>
            </w:r>
            <w:r w:rsidRPr="00891DF5">
              <w:rPr>
                <w:rFonts w:ascii="Times New Roman" w:hAnsi="Times New Roman" w:cs="Times New Roman"/>
                <w:noProof/>
                <w:webHidden/>
                <w:sz w:val="24"/>
                <w:szCs w:val="24"/>
              </w:rPr>
              <w:fldChar w:fldCharType="separate"/>
            </w:r>
            <w:r w:rsidRPr="00891DF5">
              <w:rPr>
                <w:rFonts w:ascii="Times New Roman" w:hAnsi="Times New Roman" w:cs="Times New Roman"/>
                <w:noProof/>
                <w:webHidden/>
                <w:sz w:val="24"/>
                <w:szCs w:val="24"/>
              </w:rPr>
              <w:t>10</w:t>
            </w:r>
            <w:r w:rsidRPr="00891DF5">
              <w:rPr>
                <w:rFonts w:ascii="Times New Roman" w:hAnsi="Times New Roman" w:cs="Times New Roman"/>
                <w:noProof/>
                <w:webHidden/>
                <w:sz w:val="24"/>
                <w:szCs w:val="24"/>
              </w:rPr>
              <w:fldChar w:fldCharType="end"/>
            </w:r>
          </w:hyperlink>
        </w:p>
        <w:p w14:paraId="10C828C4" w14:textId="77777777" w:rsidR="00891DF5" w:rsidRPr="00891DF5" w:rsidRDefault="00891DF5" w:rsidP="00891DF5">
          <w:pPr>
            <w:pStyle w:val="TOC1"/>
            <w:tabs>
              <w:tab w:val="right" w:leader="dot" w:pos="10934"/>
            </w:tabs>
            <w:rPr>
              <w:rFonts w:ascii="Times New Roman" w:eastAsiaTheme="minorEastAsia" w:hAnsi="Times New Roman" w:cs="Times New Roman"/>
              <w:noProof/>
              <w:sz w:val="24"/>
              <w:szCs w:val="24"/>
              <w:lang w:val="en-GB" w:eastAsia="en-GB"/>
            </w:rPr>
          </w:pPr>
          <w:hyperlink w:anchor="_Toc222909335" w:history="1">
            <w:r w:rsidRPr="00891DF5">
              <w:rPr>
                <w:rStyle w:val="Hyperlink"/>
                <w:rFonts w:ascii="Times New Roman" w:hAnsi="Times New Roman" w:cs="Times New Roman"/>
                <w:noProof/>
                <w:color w:val="auto"/>
                <w:sz w:val="24"/>
                <w:szCs w:val="24"/>
                <w:highlight w:val="white"/>
                <w:lang w:val="en-GB"/>
              </w:rPr>
              <w:t>Chapter 2 - Background Information and Analysis</w:t>
            </w:r>
            <w:r w:rsidRPr="00891DF5">
              <w:rPr>
                <w:rFonts w:ascii="Times New Roman" w:hAnsi="Times New Roman" w:cs="Times New Roman"/>
                <w:noProof/>
                <w:webHidden/>
                <w:sz w:val="24"/>
                <w:szCs w:val="24"/>
              </w:rPr>
              <w:tab/>
            </w:r>
            <w:r w:rsidRPr="00891DF5">
              <w:rPr>
                <w:rFonts w:ascii="Times New Roman" w:hAnsi="Times New Roman" w:cs="Times New Roman"/>
                <w:noProof/>
                <w:webHidden/>
                <w:sz w:val="24"/>
                <w:szCs w:val="24"/>
              </w:rPr>
              <w:fldChar w:fldCharType="begin"/>
            </w:r>
            <w:r w:rsidRPr="00891DF5">
              <w:rPr>
                <w:rFonts w:ascii="Times New Roman" w:hAnsi="Times New Roman" w:cs="Times New Roman"/>
                <w:noProof/>
                <w:webHidden/>
                <w:sz w:val="24"/>
                <w:szCs w:val="24"/>
              </w:rPr>
              <w:instrText xml:space="preserve"> PAGEREF _Toc222909335 \h </w:instrText>
            </w:r>
            <w:r w:rsidRPr="00891DF5">
              <w:rPr>
                <w:rFonts w:ascii="Times New Roman" w:hAnsi="Times New Roman" w:cs="Times New Roman"/>
                <w:noProof/>
                <w:webHidden/>
                <w:sz w:val="24"/>
                <w:szCs w:val="24"/>
              </w:rPr>
            </w:r>
            <w:r w:rsidRPr="00891DF5">
              <w:rPr>
                <w:rFonts w:ascii="Times New Roman" w:hAnsi="Times New Roman" w:cs="Times New Roman"/>
                <w:noProof/>
                <w:webHidden/>
                <w:sz w:val="24"/>
                <w:szCs w:val="24"/>
              </w:rPr>
              <w:fldChar w:fldCharType="separate"/>
            </w:r>
            <w:r w:rsidRPr="00891DF5">
              <w:rPr>
                <w:rFonts w:ascii="Times New Roman" w:hAnsi="Times New Roman" w:cs="Times New Roman"/>
                <w:noProof/>
                <w:webHidden/>
                <w:sz w:val="24"/>
                <w:szCs w:val="24"/>
              </w:rPr>
              <w:t>11</w:t>
            </w:r>
            <w:r w:rsidRPr="00891DF5">
              <w:rPr>
                <w:rFonts w:ascii="Times New Roman" w:hAnsi="Times New Roman" w:cs="Times New Roman"/>
                <w:noProof/>
                <w:webHidden/>
                <w:sz w:val="24"/>
                <w:szCs w:val="24"/>
              </w:rPr>
              <w:fldChar w:fldCharType="end"/>
            </w:r>
          </w:hyperlink>
        </w:p>
        <w:p w14:paraId="69D0943C" w14:textId="77777777" w:rsidR="00891DF5" w:rsidRPr="00891DF5" w:rsidRDefault="00891DF5" w:rsidP="00891DF5">
          <w:pPr>
            <w:pStyle w:val="TOC2"/>
            <w:tabs>
              <w:tab w:val="right" w:leader="dot" w:pos="10934"/>
            </w:tabs>
            <w:rPr>
              <w:rFonts w:ascii="Times New Roman" w:eastAsiaTheme="minorEastAsia" w:hAnsi="Times New Roman" w:cs="Times New Roman"/>
              <w:noProof/>
              <w:sz w:val="24"/>
              <w:szCs w:val="24"/>
              <w:lang w:val="en-GB" w:eastAsia="en-GB"/>
            </w:rPr>
          </w:pPr>
          <w:hyperlink w:anchor="_Toc222909336" w:history="1">
            <w:r w:rsidRPr="00891DF5">
              <w:rPr>
                <w:rStyle w:val="Hyperlink"/>
                <w:rFonts w:ascii="Times New Roman" w:hAnsi="Times New Roman" w:cs="Times New Roman"/>
                <w:noProof/>
                <w:color w:val="auto"/>
                <w:sz w:val="24"/>
                <w:szCs w:val="24"/>
                <w:highlight w:val="white"/>
                <w:lang w:val="en-GB"/>
              </w:rPr>
              <w:t>2.1 Introduction</w:t>
            </w:r>
            <w:r w:rsidRPr="00891DF5">
              <w:rPr>
                <w:rFonts w:ascii="Times New Roman" w:hAnsi="Times New Roman" w:cs="Times New Roman"/>
                <w:noProof/>
                <w:webHidden/>
                <w:sz w:val="24"/>
                <w:szCs w:val="24"/>
              </w:rPr>
              <w:tab/>
            </w:r>
            <w:r w:rsidRPr="00891DF5">
              <w:rPr>
                <w:rFonts w:ascii="Times New Roman" w:hAnsi="Times New Roman" w:cs="Times New Roman"/>
                <w:noProof/>
                <w:webHidden/>
                <w:sz w:val="24"/>
                <w:szCs w:val="24"/>
              </w:rPr>
              <w:fldChar w:fldCharType="begin"/>
            </w:r>
            <w:r w:rsidRPr="00891DF5">
              <w:rPr>
                <w:rFonts w:ascii="Times New Roman" w:hAnsi="Times New Roman" w:cs="Times New Roman"/>
                <w:noProof/>
                <w:webHidden/>
                <w:sz w:val="24"/>
                <w:szCs w:val="24"/>
              </w:rPr>
              <w:instrText xml:space="preserve"> PAGEREF _Toc222909336 \h </w:instrText>
            </w:r>
            <w:r w:rsidRPr="00891DF5">
              <w:rPr>
                <w:rFonts w:ascii="Times New Roman" w:hAnsi="Times New Roman" w:cs="Times New Roman"/>
                <w:noProof/>
                <w:webHidden/>
                <w:sz w:val="24"/>
                <w:szCs w:val="24"/>
              </w:rPr>
            </w:r>
            <w:r w:rsidRPr="00891DF5">
              <w:rPr>
                <w:rFonts w:ascii="Times New Roman" w:hAnsi="Times New Roman" w:cs="Times New Roman"/>
                <w:noProof/>
                <w:webHidden/>
                <w:sz w:val="24"/>
                <w:szCs w:val="24"/>
              </w:rPr>
              <w:fldChar w:fldCharType="separate"/>
            </w:r>
            <w:r w:rsidRPr="00891DF5">
              <w:rPr>
                <w:rFonts w:ascii="Times New Roman" w:hAnsi="Times New Roman" w:cs="Times New Roman"/>
                <w:noProof/>
                <w:webHidden/>
                <w:sz w:val="24"/>
                <w:szCs w:val="24"/>
              </w:rPr>
              <w:t>11</w:t>
            </w:r>
            <w:r w:rsidRPr="00891DF5">
              <w:rPr>
                <w:rFonts w:ascii="Times New Roman" w:hAnsi="Times New Roman" w:cs="Times New Roman"/>
                <w:noProof/>
                <w:webHidden/>
                <w:sz w:val="24"/>
                <w:szCs w:val="24"/>
              </w:rPr>
              <w:fldChar w:fldCharType="end"/>
            </w:r>
          </w:hyperlink>
        </w:p>
        <w:p w14:paraId="01D3A202" w14:textId="77777777" w:rsidR="00891DF5" w:rsidRPr="00891DF5" w:rsidRDefault="00891DF5" w:rsidP="00891DF5">
          <w:pPr>
            <w:pStyle w:val="TOC2"/>
            <w:tabs>
              <w:tab w:val="right" w:leader="dot" w:pos="10934"/>
            </w:tabs>
            <w:rPr>
              <w:rFonts w:ascii="Times New Roman" w:eastAsiaTheme="minorEastAsia" w:hAnsi="Times New Roman" w:cs="Times New Roman"/>
              <w:noProof/>
              <w:sz w:val="24"/>
              <w:szCs w:val="24"/>
              <w:lang w:val="en-GB" w:eastAsia="en-GB"/>
            </w:rPr>
          </w:pPr>
          <w:hyperlink w:anchor="_Toc222909337" w:history="1">
            <w:r w:rsidRPr="00891DF5">
              <w:rPr>
                <w:rStyle w:val="Hyperlink"/>
                <w:rFonts w:ascii="Times New Roman" w:hAnsi="Times New Roman" w:cs="Times New Roman"/>
                <w:noProof/>
                <w:color w:val="auto"/>
                <w:sz w:val="24"/>
                <w:szCs w:val="24"/>
                <w:highlight w:val="white"/>
                <w:lang w:val="en-GB"/>
              </w:rPr>
              <w:t>2.2 Historical Background</w:t>
            </w:r>
            <w:r w:rsidRPr="00891DF5">
              <w:rPr>
                <w:rFonts w:ascii="Times New Roman" w:hAnsi="Times New Roman" w:cs="Times New Roman"/>
                <w:noProof/>
                <w:webHidden/>
                <w:sz w:val="24"/>
                <w:szCs w:val="24"/>
              </w:rPr>
              <w:tab/>
            </w:r>
            <w:r w:rsidRPr="00891DF5">
              <w:rPr>
                <w:rFonts w:ascii="Times New Roman" w:hAnsi="Times New Roman" w:cs="Times New Roman"/>
                <w:noProof/>
                <w:webHidden/>
                <w:sz w:val="24"/>
                <w:szCs w:val="24"/>
              </w:rPr>
              <w:fldChar w:fldCharType="begin"/>
            </w:r>
            <w:r w:rsidRPr="00891DF5">
              <w:rPr>
                <w:rFonts w:ascii="Times New Roman" w:hAnsi="Times New Roman" w:cs="Times New Roman"/>
                <w:noProof/>
                <w:webHidden/>
                <w:sz w:val="24"/>
                <w:szCs w:val="24"/>
              </w:rPr>
              <w:instrText xml:space="preserve"> PAGEREF _Toc222909337 \h </w:instrText>
            </w:r>
            <w:r w:rsidRPr="00891DF5">
              <w:rPr>
                <w:rFonts w:ascii="Times New Roman" w:hAnsi="Times New Roman" w:cs="Times New Roman"/>
                <w:noProof/>
                <w:webHidden/>
                <w:sz w:val="24"/>
                <w:szCs w:val="24"/>
              </w:rPr>
            </w:r>
            <w:r w:rsidRPr="00891DF5">
              <w:rPr>
                <w:rFonts w:ascii="Times New Roman" w:hAnsi="Times New Roman" w:cs="Times New Roman"/>
                <w:noProof/>
                <w:webHidden/>
                <w:sz w:val="24"/>
                <w:szCs w:val="24"/>
              </w:rPr>
              <w:fldChar w:fldCharType="separate"/>
            </w:r>
            <w:r w:rsidRPr="00891DF5">
              <w:rPr>
                <w:rFonts w:ascii="Times New Roman" w:hAnsi="Times New Roman" w:cs="Times New Roman"/>
                <w:noProof/>
                <w:webHidden/>
                <w:sz w:val="24"/>
                <w:szCs w:val="24"/>
              </w:rPr>
              <w:t>11</w:t>
            </w:r>
            <w:r w:rsidRPr="00891DF5">
              <w:rPr>
                <w:rFonts w:ascii="Times New Roman" w:hAnsi="Times New Roman" w:cs="Times New Roman"/>
                <w:noProof/>
                <w:webHidden/>
                <w:sz w:val="24"/>
                <w:szCs w:val="24"/>
              </w:rPr>
              <w:fldChar w:fldCharType="end"/>
            </w:r>
          </w:hyperlink>
        </w:p>
        <w:p w14:paraId="2EFAE2E5" w14:textId="77777777" w:rsidR="00891DF5" w:rsidRPr="00891DF5" w:rsidRDefault="00891DF5" w:rsidP="00891DF5">
          <w:pPr>
            <w:pStyle w:val="TOC2"/>
            <w:tabs>
              <w:tab w:val="right" w:leader="dot" w:pos="10934"/>
            </w:tabs>
            <w:rPr>
              <w:rFonts w:ascii="Times New Roman" w:eastAsiaTheme="minorEastAsia" w:hAnsi="Times New Roman" w:cs="Times New Roman"/>
              <w:noProof/>
              <w:sz w:val="24"/>
              <w:szCs w:val="24"/>
              <w:lang w:val="en-GB" w:eastAsia="en-GB"/>
            </w:rPr>
          </w:pPr>
          <w:hyperlink w:anchor="_Toc222909338" w:history="1">
            <w:r w:rsidRPr="00891DF5">
              <w:rPr>
                <w:rStyle w:val="Hyperlink"/>
                <w:rFonts w:ascii="Times New Roman" w:hAnsi="Times New Roman" w:cs="Times New Roman"/>
                <w:noProof/>
                <w:color w:val="auto"/>
                <w:sz w:val="24"/>
                <w:szCs w:val="24"/>
                <w:highlight w:val="white"/>
                <w:lang w:val="en-GB"/>
              </w:rPr>
              <w:t>2.3 Theoretical Background</w:t>
            </w:r>
            <w:r w:rsidRPr="00891DF5">
              <w:rPr>
                <w:rFonts w:ascii="Times New Roman" w:hAnsi="Times New Roman" w:cs="Times New Roman"/>
                <w:noProof/>
                <w:webHidden/>
                <w:sz w:val="24"/>
                <w:szCs w:val="24"/>
              </w:rPr>
              <w:tab/>
            </w:r>
            <w:r w:rsidRPr="00891DF5">
              <w:rPr>
                <w:rFonts w:ascii="Times New Roman" w:hAnsi="Times New Roman" w:cs="Times New Roman"/>
                <w:noProof/>
                <w:webHidden/>
                <w:sz w:val="24"/>
                <w:szCs w:val="24"/>
              </w:rPr>
              <w:fldChar w:fldCharType="begin"/>
            </w:r>
            <w:r w:rsidRPr="00891DF5">
              <w:rPr>
                <w:rFonts w:ascii="Times New Roman" w:hAnsi="Times New Roman" w:cs="Times New Roman"/>
                <w:noProof/>
                <w:webHidden/>
                <w:sz w:val="24"/>
                <w:szCs w:val="24"/>
              </w:rPr>
              <w:instrText xml:space="preserve"> PAGEREF _Toc222909338 \h </w:instrText>
            </w:r>
            <w:r w:rsidRPr="00891DF5">
              <w:rPr>
                <w:rFonts w:ascii="Times New Roman" w:hAnsi="Times New Roman" w:cs="Times New Roman"/>
                <w:noProof/>
                <w:webHidden/>
                <w:sz w:val="24"/>
                <w:szCs w:val="24"/>
              </w:rPr>
            </w:r>
            <w:r w:rsidRPr="00891DF5">
              <w:rPr>
                <w:rFonts w:ascii="Times New Roman" w:hAnsi="Times New Roman" w:cs="Times New Roman"/>
                <w:noProof/>
                <w:webHidden/>
                <w:sz w:val="24"/>
                <w:szCs w:val="24"/>
              </w:rPr>
              <w:fldChar w:fldCharType="separate"/>
            </w:r>
            <w:r w:rsidRPr="00891DF5">
              <w:rPr>
                <w:rFonts w:ascii="Times New Roman" w:hAnsi="Times New Roman" w:cs="Times New Roman"/>
                <w:noProof/>
                <w:webHidden/>
                <w:sz w:val="24"/>
                <w:szCs w:val="24"/>
              </w:rPr>
              <w:t>12</w:t>
            </w:r>
            <w:r w:rsidRPr="00891DF5">
              <w:rPr>
                <w:rFonts w:ascii="Times New Roman" w:hAnsi="Times New Roman" w:cs="Times New Roman"/>
                <w:noProof/>
                <w:webHidden/>
                <w:sz w:val="24"/>
                <w:szCs w:val="24"/>
              </w:rPr>
              <w:fldChar w:fldCharType="end"/>
            </w:r>
          </w:hyperlink>
        </w:p>
        <w:p w14:paraId="69DF3F90" w14:textId="77777777" w:rsidR="00891DF5" w:rsidRPr="00891DF5" w:rsidRDefault="00891DF5" w:rsidP="00891DF5">
          <w:pPr>
            <w:pStyle w:val="TOC2"/>
            <w:tabs>
              <w:tab w:val="right" w:leader="dot" w:pos="10934"/>
            </w:tabs>
            <w:rPr>
              <w:rFonts w:ascii="Times New Roman" w:eastAsiaTheme="minorEastAsia" w:hAnsi="Times New Roman" w:cs="Times New Roman"/>
              <w:noProof/>
              <w:sz w:val="24"/>
              <w:szCs w:val="24"/>
              <w:lang w:val="en-GB" w:eastAsia="en-GB"/>
            </w:rPr>
          </w:pPr>
          <w:hyperlink w:anchor="_Toc222909339" w:history="1">
            <w:r w:rsidRPr="00891DF5">
              <w:rPr>
                <w:rStyle w:val="Hyperlink"/>
                <w:rFonts w:ascii="Times New Roman" w:hAnsi="Times New Roman" w:cs="Times New Roman"/>
                <w:noProof/>
                <w:color w:val="auto"/>
                <w:sz w:val="24"/>
                <w:szCs w:val="24"/>
                <w:highlight w:val="white"/>
                <w:lang w:val="en-GB"/>
              </w:rPr>
              <w:t>2.4 International Context</w:t>
            </w:r>
            <w:r w:rsidRPr="00891DF5">
              <w:rPr>
                <w:rFonts w:ascii="Times New Roman" w:hAnsi="Times New Roman" w:cs="Times New Roman"/>
                <w:noProof/>
                <w:webHidden/>
                <w:sz w:val="24"/>
                <w:szCs w:val="24"/>
              </w:rPr>
              <w:tab/>
            </w:r>
            <w:r w:rsidRPr="00891DF5">
              <w:rPr>
                <w:rFonts w:ascii="Times New Roman" w:hAnsi="Times New Roman" w:cs="Times New Roman"/>
                <w:noProof/>
                <w:webHidden/>
                <w:sz w:val="24"/>
                <w:szCs w:val="24"/>
              </w:rPr>
              <w:fldChar w:fldCharType="begin"/>
            </w:r>
            <w:r w:rsidRPr="00891DF5">
              <w:rPr>
                <w:rFonts w:ascii="Times New Roman" w:hAnsi="Times New Roman" w:cs="Times New Roman"/>
                <w:noProof/>
                <w:webHidden/>
                <w:sz w:val="24"/>
                <w:szCs w:val="24"/>
              </w:rPr>
              <w:instrText xml:space="preserve"> PAGEREF _Toc222909339 \h </w:instrText>
            </w:r>
            <w:r w:rsidRPr="00891DF5">
              <w:rPr>
                <w:rFonts w:ascii="Times New Roman" w:hAnsi="Times New Roman" w:cs="Times New Roman"/>
                <w:noProof/>
                <w:webHidden/>
                <w:sz w:val="24"/>
                <w:szCs w:val="24"/>
              </w:rPr>
            </w:r>
            <w:r w:rsidRPr="00891DF5">
              <w:rPr>
                <w:rFonts w:ascii="Times New Roman" w:hAnsi="Times New Roman" w:cs="Times New Roman"/>
                <w:noProof/>
                <w:webHidden/>
                <w:sz w:val="24"/>
                <w:szCs w:val="24"/>
              </w:rPr>
              <w:fldChar w:fldCharType="separate"/>
            </w:r>
            <w:r w:rsidRPr="00891DF5">
              <w:rPr>
                <w:rFonts w:ascii="Times New Roman" w:hAnsi="Times New Roman" w:cs="Times New Roman"/>
                <w:noProof/>
                <w:webHidden/>
                <w:sz w:val="24"/>
                <w:szCs w:val="24"/>
              </w:rPr>
              <w:t>14</w:t>
            </w:r>
            <w:r w:rsidRPr="00891DF5">
              <w:rPr>
                <w:rFonts w:ascii="Times New Roman" w:hAnsi="Times New Roman" w:cs="Times New Roman"/>
                <w:noProof/>
                <w:webHidden/>
                <w:sz w:val="24"/>
                <w:szCs w:val="24"/>
              </w:rPr>
              <w:fldChar w:fldCharType="end"/>
            </w:r>
          </w:hyperlink>
        </w:p>
        <w:p w14:paraId="34965606" w14:textId="77777777" w:rsidR="00891DF5" w:rsidRPr="00891DF5" w:rsidRDefault="00891DF5" w:rsidP="00891DF5">
          <w:pPr>
            <w:pStyle w:val="TOC2"/>
            <w:tabs>
              <w:tab w:val="right" w:leader="dot" w:pos="10934"/>
            </w:tabs>
            <w:rPr>
              <w:rFonts w:ascii="Times New Roman" w:eastAsiaTheme="minorEastAsia" w:hAnsi="Times New Roman" w:cs="Times New Roman"/>
              <w:noProof/>
              <w:sz w:val="24"/>
              <w:szCs w:val="24"/>
              <w:lang w:val="en-GB" w:eastAsia="en-GB"/>
            </w:rPr>
          </w:pPr>
          <w:hyperlink w:anchor="_Toc222909340" w:history="1">
            <w:r w:rsidRPr="00891DF5">
              <w:rPr>
                <w:rStyle w:val="Hyperlink"/>
                <w:rFonts w:ascii="Times New Roman" w:hAnsi="Times New Roman" w:cs="Times New Roman"/>
                <w:noProof/>
                <w:color w:val="auto"/>
                <w:sz w:val="24"/>
                <w:szCs w:val="24"/>
                <w:highlight w:val="white"/>
                <w:lang w:val="en-GB"/>
              </w:rPr>
              <w:t>2.5 National/Local UK Context</w:t>
            </w:r>
            <w:r w:rsidRPr="00891DF5">
              <w:rPr>
                <w:rFonts w:ascii="Times New Roman" w:hAnsi="Times New Roman" w:cs="Times New Roman"/>
                <w:noProof/>
                <w:webHidden/>
                <w:sz w:val="24"/>
                <w:szCs w:val="24"/>
              </w:rPr>
              <w:tab/>
            </w:r>
            <w:r w:rsidRPr="00891DF5">
              <w:rPr>
                <w:rFonts w:ascii="Times New Roman" w:hAnsi="Times New Roman" w:cs="Times New Roman"/>
                <w:noProof/>
                <w:webHidden/>
                <w:sz w:val="24"/>
                <w:szCs w:val="24"/>
              </w:rPr>
              <w:fldChar w:fldCharType="begin"/>
            </w:r>
            <w:r w:rsidRPr="00891DF5">
              <w:rPr>
                <w:rFonts w:ascii="Times New Roman" w:hAnsi="Times New Roman" w:cs="Times New Roman"/>
                <w:noProof/>
                <w:webHidden/>
                <w:sz w:val="24"/>
                <w:szCs w:val="24"/>
              </w:rPr>
              <w:instrText xml:space="preserve"> PAGEREF _Toc222909340 \h </w:instrText>
            </w:r>
            <w:r w:rsidRPr="00891DF5">
              <w:rPr>
                <w:rFonts w:ascii="Times New Roman" w:hAnsi="Times New Roman" w:cs="Times New Roman"/>
                <w:noProof/>
                <w:webHidden/>
                <w:sz w:val="24"/>
                <w:szCs w:val="24"/>
              </w:rPr>
            </w:r>
            <w:r w:rsidRPr="00891DF5">
              <w:rPr>
                <w:rFonts w:ascii="Times New Roman" w:hAnsi="Times New Roman" w:cs="Times New Roman"/>
                <w:noProof/>
                <w:webHidden/>
                <w:sz w:val="24"/>
                <w:szCs w:val="24"/>
              </w:rPr>
              <w:fldChar w:fldCharType="separate"/>
            </w:r>
            <w:r w:rsidRPr="00891DF5">
              <w:rPr>
                <w:rFonts w:ascii="Times New Roman" w:hAnsi="Times New Roman" w:cs="Times New Roman"/>
                <w:noProof/>
                <w:webHidden/>
                <w:sz w:val="24"/>
                <w:szCs w:val="24"/>
              </w:rPr>
              <w:t>16</w:t>
            </w:r>
            <w:r w:rsidRPr="00891DF5">
              <w:rPr>
                <w:rFonts w:ascii="Times New Roman" w:hAnsi="Times New Roman" w:cs="Times New Roman"/>
                <w:noProof/>
                <w:webHidden/>
                <w:sz w:val="24"/>
                <w:szCs w:val="24"/>
              </w:rPr>
              <w:fldChar w:fldCharType="end"/>
            </w:r>
          </w:hyperlink>
        </w:p>
        <w:p w14:paraId="066EEE70" w14:textId="77777777" w:rsidR="00891DF5" w:rsidRPr="00891DF5" w:rsidRDefault="00891DF5" w:rsidP="00891DF5">
          <w:pPr>
            <w:pStyle w:val="TOC2"/>
            <w:tabs>
              <w:tab w:val="right" w:leader="dot" w:pos="10934"/>
            </w:tabs>
            <w:rPr>
              <w:rFonts w:ascii="Times New Roman" w:eastAsiaTheme="minorEastAsia" w:hAnsi="Times New Roman" w:cs="Times New Roman"/>
              <w:noProof/>
              <w:sz w:val="24"/>
              <w:szCs w:val="24"/>
              <w:lang w:val="en-GB" w:eastAsia="en-GB"/>
            </w:rPr>
          </w:pPr>
          <w:hyperlink w:anchor="_Toc222909341" w:history="1">
            <w:r w:rsidRPr="00891DF5">
              <w:rPr>
                <w:rStyle w:val="Hyperlink"/>
                <w:rFonts w:ascii="Times New Roman" w:hAnsi="Times New Roman" w:cs="Times New Roman"/>
                <w:noProof/>
                <w:color w:val="auto"/>
                <w:sz w:val="24"/>
                <w:szCs w:val="24"/>
                <w:highlight w:val="white"/>
                <w:lang w:val="en-GB"/>
              </w:rPr>
              <w:t>2.6 Conclusion</w:t>
            </w:r>
            <w:r w:rsidRPr="00891DF5">
              <w:rPr>
                <w:rFonts w:ascii="Times New Roman" w:hAnsi="Times New Roman" w:cs="Times New Roman"/>
                <w:noProof/>
                <w:webHidden/>
                <w:sz w:val="24"/>
                <w:szCs w:val="24"/>
              </w:rPr>
              <w:tab/>
            </w:r>
            <w:r w:rsidRPr="00891DF5">
              <w:rPr>
                <w:rFonts w:ascii="Times New Roman" w:hAnsi="Times New Roman" w:cs="Times New Roman"/>
                <w:noProof/>
                <w:webHidden/>
                <w:sz w:val="24"/>
                <w:szCs w:val="24"/>
              </w:rPr>
              <w:fldChar w:fldCharType="begin"/>
            </w:r>
            <w:r w:rsidRPr="00891DF5">
              <w:rPr>
                <w:rFonts w:ascii="Times New Roman" w:hAnsi="Times New Roman" w:cs="Times New Roman"/>
                <w:noProof/>
                <w:webHidden/>
                <w:sz w:val="24"/>
                <w:szCs w:val="24"/>
              </w:rPr>
              <w:instrText xml:space="preserve"> PAGEREF _Toc222909341 \h </w:instrText>
            </w:r>
            <w:r w:rsidRPr="00891DF5">
              <w:rPr>
                <w:rFonts w:ascii="Times New Roman" w:hAnsi="Times New Roman" w:cs="Times New Roman"/>
                <w:noProof/>
                <w:webHidden/>
                <w:sz w:val="24"/>
                <w:szCs w:val="24"/>
              </w:rPr>
            </w:r>
            <w:r w:rsidRPr="00891DF5">
              <w:rPr>
                <w:rFonts w:ascii="Times New Roman" w:hAnsi="Times New Roman" w:cs="Times New Roman"/>
                <w:noProof/>
                <w:webHidden/>
                <w:sz w:val="24"/>
                <w:szCs w:val="24"/>
              </w:rPr>
              <w:fldChar w:fldCharType="separate"/>
            </w:r>
            <w:r w:rsidRPr="00891DF5">
              <w:rPr>
                <w:rFonts w:ascii="Times New Roman" w:hAnsi="Times New Roman" w:cs="Times New Roman"/>
                <w:noProof/>
                <w:webHidden/>
                <w:sz w:val="24"/>
                <w:szCs w:val="24"/>
              </w:rPr>
              <w:t>17</w:t>
            </w:r>
            <w:r w:rsidRPr="00891DF5">
              <w:rPr>
                <w:rFonts w:ascii="Times New Roman" w:hAnsi="Times New Roman" w:cs="Times New Roman"/>
                <w:noProof/>
                <w:webHidden/>
                <w:sz w:val="24"/>
                <w:szCs w:val="24"/>
              </w:rPr>
              <w:fldChar w:fldCharType="end"/>
            </w:r>
          </w:hyperlink>
        </w:p>
        <w:p w14:paraId="68BDF263" w14:textId="77777777" w:rsidR="00891DF5" w:rsidRPr="00891DF5" w:rsidRDefault="00891DF5" w:rsidP="00891DF5">
          <w:pPr>
            <w:pStyle w:val="TOC1"/>
            <w:tabs>
              <w:tab w:val="right" w:leader="dot" w:pos="10934"/>
            </w:tabs>
            <w:rPr>
              <w:rFonts w:ascii="Times New Roman" w:eastAsiaTheme="minorEastAsia" w:hAnsi="Times New Roman" w:cs="Times New Roman"/>
              <w:noProof/>
              <w:sz w:val="24"/>
              <w:szCs w:val="24"/>
              <w:lang w:val="en-GB" w:eastAsia="en-GB"/>
            </w:rPr>
          </w:pPr>
          <w:hyperlink w:anchor="_Toc222909342" w:history="1">
            <w:r w:rsidRPr="00891DF5">
              <w:rPr>
                <w:rStyle w:val="Hyperlink"/>
                <w:rFonts w:ascii="Times New Roman" w:hAnsi="Times New Roman" w:cs="Times New Roman"/>
                <w:noProof/>
                <w:color w:val="auto"/>
                <w:sz w:val="24"/>
                <w:szCs w:val="24"/>
                <w:lang w:val="en-GB"/>
              </w:rPr>
              <w:t>References</w:t>
            </w:r>
            <w:r w:rsidRPr="00891DF5">
              <w:rPr>
                <w:rFonts w:ascii="Times New Roman" w:hAnsi="Times New Roman" w:cs="Times New Roman"/>
                <w:noProof/>
                <w:webHidden/>
                <w:sz w:val="24"/>
                <w:szCs w:val="24"/>
              </w:rPr>
              <w:tab/>
            </w:r>
            <w:r w:rsidRPr="00891DF5">
              <w:rPr>
                <w:rFonts w:ascii="Times New Roman" w:hAnsi="Times New Roman" w:cs="Times New Roman"/>
                <w:noProof/>
                <w:webHidden/>
                <w:sz w:val="24"/>
                <w:szCs w:val="24"/>
              </w:rPr>
              <w:fldChar w:fldCharType="begin"/>
            </w:r>
            <w:r w:rsidRPr="00891DF5">
              <w:rPr>
                <w:rFonts w:ascii="Times New Roman" w:hAnsi="Times New Roman" w:cs="Times New Roman"/>
                <w:noProof/>
                <w:webHidden/>
                <w:sz w:val="24"/>
                <w:szCs w:val="24"/>
              </w:rPr>
              <w:instrText xml:space="preserve"> PAGEREF _Toc222909342 \h </w:instrText>
            </w:r>
            <w:r w:rsidRPr="00891DF5">
              <w:rPr>
                <w:rFonts w:ascii="Times New Roman" w:hAnsi="Times New Roman" w:cs="Times New Roman"/>
                <w:noProof/>
                <w:webHidden/>
                <w:sz w:val="24"/>
                <w:szCs w:val="24"/>
              </w:rPr>
            </w:r>
            <w:r w:rsidRPr="00891DF5">
              <w:rPr>
                <w:rFonts w:ascii="Times New Roman" w:hAnsi="Times New Roman" w:cs="Times New Roman"/>
                <w:noProof/>
                <w:webHidden/>
                <w:sz w:val="24"/>
                <w:szCs w:val="24"/>
              </w:rPr>
              <w:fldChar w:fldCharType="separate"/>
            </w:r>
            <w:r w:rsidRPr="00891DF5">
              <w:rPr>
                <w:rFonts w:ascii="Times New Roman" w:hAnsi="Times New Roman" w:cs="Times New Roman"/>
                <w:noProof/>
                <w:webHidden/>
                <w:sz w:val="24"/>
                <w:szCs w:val="24"/>
              </w:rPr>
              <w:t>18</w:t>
            </w:r>
            <w:r w:rsidRPr="00891DF5">
              <w:rPr>
                <w:rFonts w:ascii="Times New Roman" w:hAnsi="Times New Roman" w:cs="Times New Roman"/>
                <w:noProof/>
                <w:webHidden/>
                <w:sz w:val="24"/>
                <w:szCs w:val="24"/>
              </w:rPr>
              <w:fldChar w:fldCharType="end"/>
            </w:r>
          </w:hyperlink>
        </w:p>
        <w:p w14:paraId="1C81F00C" w14:textId="10011EE9" w:rsidR="00891DF5" w:rsidRDefault="00891DF5" w:rsidP="00891DF5">
          <w:r w:rsidRPr="00891DF5">
            <w:rPr>
              <w:rFonts w:ascii="Times New Roman" w:hAnsi="Times New Roman" w:cs="Times New Roman"/>
              <w:b/>
              <w:bCs/>
              <w:noProof/>
              <w:sz w:val="24"/>
              <w:szCs w:val="24"/>
            </w:rPr>
            <w:fldChar w:fldCharType="end"/>
          </w:r>
        </w:p>
      </w:sdtContent>
    </w:sdt>
    <w:p w14:paraId="28F8EF0A" w14:textId="77777777" w:rsidR="004A1D43" w:rsidRPr="004A1D43" w:rsidRDefault="004A1D43" w:rsidP="004A1D43">
      <w:pPr>
        <w:spacing w:before="240" w:after="0"/>
        <w:rPr>
          <w:rFonts w:eastAsia="Times New Roman" w:cs="Arial"/>
          <w:sz w:val="28"/>
          <w:szCs w:val="28"/>
          <w:highlight w:val="white"/>
          <w:lang w:val="en-GB"/>
        </w:rPr>
      </w:pPr>
    </w:p>
    <w:p w14:paraId="0390A877" w14:textId="77777777" w:rsidR="005E31A6" w:rsidRPr="00EF2814" w:rsidRDefault="005E31A6" w:rsidP="000702A0">
      <w:pPr>
        <w:spacing w:before="240" w:after="0"/>
        <w:jc w:val="center"/>
        <w:rPr>
          <w:rFonts w:eastAsia="Times New Roman" w:cs="Arial"/>
          <w:b/>
          <w:bCs/>
          <w:sz w:val="28"/>
          <w:szCs w:val="28"/>
          <w:highlight w:val="white"/>
          <w:lang w:val="en-GB"/>
        </w:rPr>
      </w:pPr>
    </w:p>
    <w:p w14:paraId="3AD37523" w14:textId="77777777" w:rsidR="00BC594A" w:rsidRPr="00EF2814" w:rsidRDefault="00BC594A">
      <w:pPr>
        <w:rPr>
          <w:rFonts w:ascii="Aptos" w:hAnsi="Aptos"/>
          <w:b/>
          <w:bCs/>
          <w:lang w:val="en-GB"/>
        </w:rPr>
      </w:pPr>
      <w:r w:rsidRPr="00EF2814">
        <w:rPr>
          <w:rFonts w:ascii="Aptos" w:hAnsi="Aptos"/>
          <w:b/>
          <w:bCs/>
          <w:lang w:val="en-GB"/>
        </w:rPr>
        <w:br w:type="page"/>
      </w:r>
    </w:p>
    <w:p w14:paraId="7E10DC44" w14:textId="0E94DBC5" w:rsidR="00C31D85" w:rsidRPr="005C2540" w:rsidRDefault="00C31D85" w:rsidP="005C2540">
      <w:pPr>
        <w:pStyle w:val="TOCHeading"/>
        <w:spacing w:line="360" w:lineRule="auto"/>
        <w:rPr>
          <w:rFonts w:ascii="Arial" w:hAnsi="Arial" w:cs="Arial"/>
          <w:b/>
          <w:color w:val="000000" w:themeColor="text1"/>
          <w:szCs w:val="22"/>
          <w:lang w:val="en-GB"/>
        </w:rPr>
        <w:sectPr w:rsidR="00C31D85" w:rsidRPr="005C2540" w:rsidSect="005C2540">
          <w:headerReference w:type="default" r:id="rId12"/>
          <w:footerReference w:type="default" r:id="rId13"/>
          <w:headerReference w:type="first" r:id="rId14"/>
          <w:pgSz w:w="12240" w:h="15840" w:code="1"/>
          <w:pgMar w:top="720" w:right="576" w:bottom="720" w:left="720" w:header="432" w:footer="288" w:gutter="0"/>
          <w:cols w:space="720"/>
          <w:titlePg/>
          <w:docGrid w:linePitch="360"/>
        </w:sectPr>
      </w:pPr>
    </w:p>
    <w:p w14:paraId="663C4288" w14:textId="754D5649" w:rsidR="00126B52" w:rsidRPr="00EF2814" w:rsidRDefault="00126B52" w:rsidP="00AD2E14">
      <w:pPr>
        <w:pStyle w:val="Heading1"/>
        <w:spacing w:line="360" w:lineRule="auto"/>
        <w:rPr>
          <w:rFonts w:cs="Arial"/>
          <w:lang w:val="en-GB"/>
        </w:rPr>
      </w:pPr>
      <w:bookmarkStart w:id="0" w:name="_Toc222234337"/>
      <w:bookmarkStart w:id="1" w:name="_Toc222909328"/>
      <w:r w:rsidRPr="00EF2814">
        <w:rPr>
          <w:rFonts w:cs="Arial"/>
          <w:lang w:val="en-GB"/>
        </w:rPr>
        <w:lastRenderedPageBreak/>
        <w:t>Element 3</w:t>
      </w:r>
      <w:r w:rsidR="004905BD" w:rsidRPr="00EF2814">
        <w:rPr>
          <w:rFonts w:cs="Arial"/>
          <w:lang w:val="en-GB"/>
        </w:rPr>
        <w:t xml:space="preserve"> -</w:t>
      </w:r>
      <w:r w:rsidRPr="00EF2814">
        <w:rPr>
          <w:rFonts w:cs="Arial"/>
          <w:lang w:val="en-GB"/>
        </w:rPr>
        <w:t xml:space="preserve"> Dissertation document</w:t>
      </w:r>
      <w:bookmarkEnd w:id="0"/>
      <w:bookmarkEnd w:id="1"/>
      <w:r w:rsidRPr="00EF2814">
        <w:rPr>
          <w:rFonts w:cs="Arial"/>
          <w:lang w:val="en-GB"/>
        </w:rPr>
        <w:t xml:space="preserve"> </w:t>
      </w:r>
    </w:p>
    <w:p w14:paraId="60BF38DF" w14:textId="77777777" w:rsidR="008918D9" w:rsidRPr="00EF2814" w:rsidRDefault="008918D9" w:rsidP="008918D9">
      <w:pPr>
        <w:jc w:val="center"/>
        <w:rPr>
          <w:rFonts w:eastAsia="Times New Roman" w:cs="Arial"/>
          <w:b/>
          <w:bCs/>
          <w:sz w:val="28"/>
          <w:szCs w:val="28"/>
          <w:lang w:val="en-GB"/>
        </w:rPr>
      </w:pPr>
      <w:r w:rsidRPr="00EF2814">
        <w:rPr>
          <w:rFonts w:eastAsia="Times New Roman" w:cs="Arial"/>
          <w:b/>
          <w:bCs/>
          <w:sz w:val="28"/>
          <w:szCs w:val="28"/>
          <w:lang w:val="en-GB"/>
        </w:rPr>
        <w:t>Declaration</w:t>
      </w:r>
    </w:p>
    <w:p w14:paraId="22F5BD99" w14:textId="4E9D7DE8" w:rsidR="008918D9" w:rsidRPr="00EF2814" w:rsidRDefault="00D8379A" w:rsidP="008918D9">
      <w:pPr>
        <w:spacing w:before="200"/>
        <w:rPr>
          <w:rFonts w:eastAsia="Times New Roman" w:cs="Arial"/>
          <w:lang w:val="en-GB"/>
        </w:rPr>
      </w:pPr>
      <w:r>
        <w:rPr>
          <w:rFonts w:eastAsia="Times New Roman" w:cs="Arial"/>
          <w:noProof/>
          <w:lang w:val="en-GB"/>
        </w:rPr>
        <mc:AlternateContent>
          <mc:Choice Requires="wps">
            <w:drawing>
              <wp:anchor distT="0" distB="0" distL="114300" distR="114300" simplePos="0" relativeHeight="251661312" behindDoc="0" locked="0" layoutInCell="1" allowOverlap="1" wp14:anchorId="0AF41450" wp14:editId="1E766053">
                <wp:simplePos x="0" y="0"/>
                <wp:positionH relativeFrom="column">
                  <wp:posOffset>4770120</wp:posOffset>
                </wp:positionH>
                <wp:positionV relativeFrom="paragraph">
                  <wp:posOffset>953770</wp:posOffset>
                </wp:positionV>
                <wp:extent cx="891540" cy="259080"/>
                <wp:effectExtent l="0" t="0" r="0" b="7620"/>
                <wp:wrapNone/>
                <wp:docPr id="1482149014" name="Text Box 2"/>
                <wp:cNvGraphicFramePr/>
                <a:graphic xmlns:a="http://schemas.openxmlformats.org/drawingml/2006/main">
                  <a:graphicData uri="http://schemas.microsoft.com/office/word/2010/wordprocessingShape">
                    <wps:wsp>
                      <wps:cNvSpPr txBox="1"/>
                      <wps:spPr>
                        <a:xfrm>
                          <a:off x="0" y="0"/>
                          <a:ext cx="891540" cy="259080"/>
                        </a:xfrm>
                        <a:prstGeom prst="rect">
                          <a:avLst/>
                        </a:prstGeom>
                        <a:noFill/>
                        <a:ln w="6350">
                          <a:noFill/>
                        </a:ln>
                      </wps:spPr>
                      <wps:txbx>
                        <w:txbxContent>
                          <w:p w14:paraId="4985BAE4" w14:textId="6CE49513" w:rsidR="00D8379A" w:rsidRDefault="00D8379A">
                            <w:r>
                              <w:t>09/03/2026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AF41450" id="_x0000_t202" coordsize="21600,21600" o:spt="202" path="m,l,21600r21600,l21600,xe">
                <v:stroke joinstyle="miter"/>
                <v:path gradientshapeok="t" o:connecttype="rect"/>
              </v:shapetype>
              <v:shape id="Text Box 2" o:spid="_x0000_s1026" type="#_x0000_t202" style="position:absolute;left:0;text-align:left;margin-left:375.6pt;margin-top:75.1pt;width:70.2pt;height:20.4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" filled="f" stroked="f" strokeweight=".5pt">
                <v:textbox>
                  <w:txbxContent>
                    <w:p w14:paraId="4985BAE4" w14:textId="6CE49513" w:rsidR="00D8379A" w:rsidRDefault="00D8379A">
                      <w:r>
                        <w:t>09/03/2026</w:t>
                      </w:r>
                    </w:p>
                  </w:txbxContent>
                </v:textbox>
              </v:shape>
            </w:pict>
          </mc:Fallback>
        </mc:AlternateContent>
      </w:r>
      <w:r>
        <w:rPr>
          <w:rFonts w:eastAsia="Times New Roman" w:cs="Arial"/>
          <w:noProof/>
          <w:lang w:val="en-GB"/>
        </w:rPr>
        <mc:AlternateContent>
          <mc:Choice Requires="wps">
            <w:drawing>
              <wp:anchor distT="0" distB="0" distL="114300" distR="114300" simplePos="0" relativeHeight="251660288" behindDoc="0" locked="0" layoutInCell="1" allowOverlap="1" wp14:anchorId="373C3099" wp14:editId="4ECF4770">
                <wp:simplePos x="0" y="0"/>
                <wp:positionH relativeFrom="column">
                  <wp:posOffset>83820</wp:posOffset>
                </wp:positionH>
                <wp:positionV relativeFrom="paragraph">
                  <wp:posOffset>961390</wp:posOffset>
                </wp:positionV>
                <wp:extent cx="1066800" cy="236220"/>
                <wp:effectExtent l="0" t="0" r="0" b="0"/>
                <wp:wrapNone/>
                <wp:docPr id="1263938694" name="Text Box 1"/>
                <wp:cNvGraphicFramePr/>
                <a:graphic xmlns:a="http://schemas.openxmlformats.org/drawingml/2006/main">
                  <a:graphicData uri="http://schemas.microsoft.com/office/word/2010/wordprocessingShape">
                    <wps:wsp>
                      <wps:cNvSpPr txBox="1"/>
                      <wps:spPr>
                        <a:xfrm>
                          <a:off x="0" y="0"/>
                          <a:ext cx="1066800" cy="236220"/>
                        </a:xfrm>
                        <a:prstGeom prst="rect">
                          <a:avLst/>
                        </a:prstGeom>
                        <a:noFill/>
                        <a:ln w="6350">
                          <a:noFill/>
                        </a:ln>
                      </wps:spPr>
                      <wps:txbx>
                        <w:txbxContent>
                          <w:p w14:paraId="4D58A551" w14:textId="10B534A9" w:rsidR="00D8379A" w:rsidRDefault="00D8379A">
                            <w:r>
                              <w:t>J. Lawrence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3C3099" id="Text Box 1" o:spid="_x0000_s1027" type="#_x0000_t202" style="position:absolute;left:0;text-align:left;margin-left:6.6pt;margin-top:75.7pt;width:84pt;height:18.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" filled="f" stroked="f" strokeweight=".5pt">
                <v:textbox>
                  <w:txbxContent>
                    <w:p w14:paraId="4D58A551" w14:textId="10B534A9" w:rsidR="00D8379A" w:rsidRDefault="00D8379A">
                      <w:r>
                        <w:t>J. Lawrence</w:t>
                      </w:r>
                    </w:p>
                  </w:txbxContent>
                </v:textbox>
              </v:shape>
            </w:pict>
          </mc:Fallback>
        </mc:AlternateContent>
      </w:r>
      <w:r w:rsidR="008918D9" w:rsidRPr="00EF2814">
        <w:rPr>
          <w:rFonts w:eastAsia="Times New Roman" w:cs="Arial"/>
          <w:lang w:val="en-GB"/>
        </w:rPr>
        <w:t>I hereby declare that this dissertation is an outcome of my own independent work, by investigating an emerging research topic, which creates the depth of research. Further, all sources used in this research project are explicitly referenced, and the bibliography is provided at the end of the project.</w:t>
      </w:r>
    </w:p>
    <w:p w14:paraId="4877505A" w14:textId="77777777" w:rsidR="008918D9" w:rsidRPr="00EF2814" w:rsidRDefault="008918D9" w:rsidP="008918D9">
      <w:pPr>
        <w:spacing w:before="200"/>
        <w:rPr>
          <w:rFonts w:eastAsia="Times New Roman" w:cs="Arial"/>
          <w:lang w:val="en-GB"/>
        </w:rPr>
      </w:pPr>
      <w:r w:rsidRPr="00EF2814">
        <w:rPr>
          <w:rFonts w:eastAsia="Times New Roman" w:cs="Arial"/>
          <w:lang w:val="en-GB"/>
        </w:rPr>
        <w:t>—------------------------                                                                                        —--------------------</w:t>
      </w:r>
    </w:p>
    <w:p w14:paraId="53DA5005" w14:textId="24526842" w:rsidR="000702A0" w:rsidRPr="00EF2814" w:rsidRDefault="008918D9" w:rsidP="008918D9">
      <w:pPr>
        <w:rPr>
          <w:b/>
          <w:color w:val="000000" w:themeColor="text1"/>
          <w:spacing w:val="10"/>
          <w:sz w:val="28"/>
          <w:lang w:val="en-GB"/>
        </w:rPr>
      </w:pPr>
      <w:r w:rsidRPr="00EF2814">
        <w:rPr>
          <w:rFonts w:eastAsia="Times New Roman" w:cs="Arial"/>
          <w:lang w:val="en-GB"/>
        </w:rPr>
        <w:t>Signature of the student                                                                                              Date</w:t>
      </w:r>
      <w:r w:rsidR="000702A0" w:rsidRPr="00EF2814">
        <w:rPr>
          <w:lang w:val="en-GB"/>
        </w:rPr>
        <w:br w:type="page"/>
      </w:r>
    </w:p>
    <w:p w14:paraId="76BA4E22" w14:textId="6D4D91AB" w:rsidR="00D667E3" w:rsidRPr="00EF2814" w:rsidRDefault="00D667E3" w:rsidP="005B1B4C">
      <w:pPr>
        <w:jc w:val="center"/>
        <w:rPr>
          <w:b/>
          <w:bCs/>
          <w:sz w:val="28"/>
          <w:szCs w:val="28"/>
          <w:lang w:val="en-GB"/>
        </w:rPr>
      </w:pPr>
      <w:r w:rsidRPr="00EF2814">
        <w:rPr>
          <w:b/>
          <w:bCs/>
          <w:sz w:val="28"/>
          <w:szCs w:val="28"/>
          <w:lang w:val="en-GB"/>
        </w:rPr>
        <w:lastRenderedPageBreak/>
        <w:t>Acknowledgements</w:t>
      </w:r>
    </w:p>
    <w:p w14:paraId="64545F91" w14:textId="77777777" w:rsidR="00D667E3" w:rsidRPr="00EF2814" w:rsidRDefault="00D667E3" w:rsidP="000702A0">
      <w:pPr>
        <w:spacing w:before="240" w:after="0"/>
        <w:rPr>
          <w:rFonts w:cs="Arial"/>
          <w:lang w:val="en-GB"/>
        </w:rPr>
      </w:pPr>
      <w:r w:rsidRPr="00EF2814">
        <w:rPr>
          <w:rFonts w:cs="Arial"/>
          <w:lang w:val="en-GB"/>
        </w:rPr>
        <w:t>I would like to thank my academic supervisor for their support throughout this entire research project, and I would like to take a moment to thank them for that. I would also like to thank the University of Wales Trinity Saint David for their support throughout this project, particularly regarding the academic databases that have been necessary for the literature aspect of this research. I would like to thank the tutors and students for their support and helpful discussions that have aided me in my understanding of research methods and thematic analysis. Their support helped me complete this dissertation successfully.</w:t>
      </w:r>
    </w:p>
    <w:p w14:paraId="13E32933" w14:textId="77777777" w:rsidR="00D667E3" w:rsidRPr="00EF2814" w:rsidRDefault="00D667E3" w:rsidP="000702A0">
      <w:pPr>
        <w:spacing w:before="240" w:after="0"/>
        <w:rPr>
          <w:rFonts w:cs="Arial"/>
          <w:lang w:val="en-GB"/>
        </w:rPr>
      </w:pPr>
      <w:r w:rsidRPr="00EF2814">
        <w:rPr>
          <w:rFonts w:cs="Arial"/>
          <w:lang w:val="en-GB"/>
        </w:rPr>
        <w:t>Sincerely yours,</w:t>
      </w:r>
    </w:p>
    <w:p w14:paraId="0CB0561C" w14:textId="3CA82349" w:rsidR="00D667E3" w:rsidRPr="00EF2814" w:rsidRDefault="00D8379A" w:rsidP="000702A0">
      <w:pPr>
        <w:spacing w:before="240" w:after="0"/>
        <w:rPr>
          <w:rFonts w:cs="Arial"/>
          <w:lang w:val="en-GB"/>
        </w:rPr>
      </w:pPr>
      <w:r>
        <w:rPr>
          <w:rFonts w:cs="Arial"/>
          <w:lang w:val="en-GB"/>
        </w:rPr>
        <w:t>Jacqueline Lawrence</w:t>
      </w:r>
    </w:p>
    <w:p w14:paraId="31606A6E" w14:textId="77777777" w:rsidR="00D667E3" w:rsidRPr="00EF2814" w:rsidRDefault="00D667E3" w:rsidP="00AD2E14">
      <w:pPr>
        <w:spacing w:after="0"/>
        <w:rPr>
          <w:b/>
          <w:color w:val="000000" w:themeColor="text1"/>
          <w:spacing w:val="10"/>
          <w:sz w:val="28"/>
          <w:lang w:val="en-GB"/>
        </w:rPr>
      </w:pPr>
      <w:r w:rsidRPr="00EF2814">
        <w:rPr>
          <w:lang w:val="en-GB"/>
        </w:rPr>
        <w:br w:type="page"/>
      </w:r>
    </w:p>
    <w:p w14:paraId="3FB72370" w14:textId="24E99E08" w:rsidR="00D667E3" w:rsidRPr="00EF2814" w:rsidRDefault="00D667E3" w:rsidP="004A6850">
      <w:pPr>
        <w:jc w:val="center"/>
        <w:rPr>
          <w:b/>
          <w:bCs/>
          <w:sz w:val="28"/>
          <w:szCs w:val="28"/>
          <w:lang w:val="en-GB"/>
        </w:rPr>
      </w:pPr>
      <w:bookmarkStart w:id="2" w:name="_Toc222234338"/>
      <w:r w:rsidRPr="00EF2814">
        <w:rPr>
          <w:b/>
          <w:bCs/>
          <w:sz w:val="28"/>
          <w:szCs w:val="28"/>
          <w:lang w:val="en-GB"/>
        </w:rPr>
        <w:lastRenderedPageBreak/>
        <w:t>Abstract</w:t>
      </w:r>
      <w:bookmarkEnd w:id="2"/>
    </w:p>
    <w:p w14:paraId="130AD3C8" w14:textId="7C113B39" w:rsidR="00891DF5" w:rsidRPr="00293AF8" w:rsidRDefault="008C02E0" w:rsidP="00192A69">
      <w:pPr>
        <w:spacing w:before="240" w:after="0"/>
        <w:rPr>
          <w:lang w:val="en-GB"/>
        </w:rPr>
      </w:pPr>
      <w:r w:rsidRPr="00EF2814">
        <w:rPr>
          <w:lang w:val="en-GB"/>
        </w:rPr>
        <w:t xml:space="preserve">The research study focuses on the impact of the COVID-19 emergency clinical training on the competency level in the UK healthcare sector. The research aims to determine the impact of rapid training initiatives on the knowledge, skills and confidence of the staff as well as their professional preparedness in pandemic situations. The study is implicit in the field of health and social care, given that it examines the preparedness of the workforce, patient safety, and their resilience during a crisis. </w:t>
      </w:r>
    </w:p>
    <w:p w14:paraId="2E462F99" w14:textId="77777777" w:rsidR="00AD772C" w:rsidRPr="00EF2814" w:rsidRDefault="00AD772C" w:rsidP="00AD2E14">
      <w:pPr>
        <w:spacing w:after="0"/>
        <w:rPr>
          <w:rFonts w:eastAsia="Times New Roman" w:cs="Arial"/>
          <w:b/>
          <w:bCs/>
          <w:sz w:val="28"/>
          <w:szCs w:val="28"/>
          <w:highlight w:val="white"/>
          <w:lang w:val="en-GB"/>
        </w:rPr>
      </w:pPr>
      <w:r w:rsidRPr="00EF2814">
        <w:rPr>
          <w:rFonts w:eastAsia="Times New Roman" w:cs="Arial"/>
          <w:b/>
          <w:bCs/>
          <w:sz w:val="28"/>
          <w:szCs w:val="28"/>
          <w:highlight w:val="white"/>
          <w:lang w:val="en-GB"/>
        </w:rPr>
        <w:br w:type="page"/>
      </w:r>
    </w:p>
    <w:p w14:paraId="32F70727" w14:textId="2218D8E9" w:rsidR="00126B52" w:rsidRPr="00EF2814" w:rsidRDefault="00126B52" w:rsidP="00AD2E14">
      <w:pPr>
        <w:spacing w:after="0"/>
        <w:jc w:val="center"/>
        <w:rPr>
          <w:rFonts w:eastAsia="Times New Roman" w:cs="Arial"/>
          <w:b/>
          <w:bCs/>
          <w:i/>
          <w:sz w:val="28"/>
          <w:szCs w:val="28"/>
          <w:highlight w:val="white"/>
          <w:lang w:val="en-GB"/>
        </w:rPr>
      </w:pPr>
      <w:r w:rsidRPr="00EF2814">
        <w:rPr>
          <w:rFonts w:eastAsia="Times New Roman" w:cs="Arial"/>
          <w:b/>
          <w:bCs/>
          <w:i/>
          <w:sz w:val="28"/>
          <w:szCs w:val="28"/>
          <w:highlight w:val="white"/>
          <w:lang w:val="en-GB"/>
        </w:rPr>
        <w:lastRenderedPageBreak/>
        <w:t>Title: Examining the Effect of COVID-19 Emergency Clinical Training on Staff Competency Levels wit</w:t>
      </w:r>
      <w:r w:rsidR="009C6120" w:rsidRPr="00EF2814">
        <w:rPr>
          <w:rFonts w:eastAsia="Times New Roman" w:cs="Arial"/>
          <w:b/>
          <w:bCs/>
          <w:i/>
          <w:sz w:val="28"/>
          <w:szCs w:val="28"/>
          <w:highlight w:val="white"/>
          <w:lang w:val="en-GB"/>
        </w:rPr>
        <w:t>hin the UK Health Care Industry</w:t>
      </w:r>
    </w:p>
    <w:p w14:paraId="6975F777" w14:textId="77777777" w:rsidR="005578F0" w:rsidRPr="00EF2814" w:rsidRDefault="005578F0" w:rsidP="00AD2E14">
      <w:pPr>
        <w:spacing w:after="0"/>
        <w:rPr>
          <w:lang w:val="en-GB"/>
        </w:rPr>
      </w:pPr>
    </w:p>
    <w:p w14:paraId="5588639F" w14:textId="6318A64D" w:rsidR="00126B52" w:rsidRPr="00EF2814" w:rsidRDefault="00126B52" w:rsidP="008C02E0">
      <w:pPr>
        <w:pStyle w:val="Heading1"/>
        <w:spacing w:before="240" w:line="360" w:lineRule="auto"/>
        <w:rPr>
          <w:rFonts w:cs="Arial"/>
          <w:szCs w:val="32"/>
          <w:lang w:val="en-GB"/>
        </w:rPr>
      </w:pPr>
      <w:bookmarkStart w:id="3" w:name="_Toc222234339"/>
      <w:bookmarkStart w:id="4" w:name="_Toc222909329"/>
      <w:r w:rsidRPr="00EF2814">
        <w:rPr>
          <w:rFonts w:cs="Arial"/>
          <w:szCs w:val="32"/>
          <w:lang w:val="en-GB"/>
        </w:rPr>
        <w:t>Chapter</w:t>
      </w:r>
      <w:r w:rsidR="004E48A2" w:rsidRPr="00EF2814">
        <w:rPr>
          <w:rFonts w:cs="Arial"/>
          <w:szCs w:val="32"/>
          <w:lang w:val="en-GB"/>
        </w:rPr>
        <w:t xml:space="preserve"> 1 -</w:t>
      </w:r>
      <w:r w:rsidRPr="00EF2814">
        <w:rPr>
          <w:rFonts w:cs="Arial"/>
          <w:szCs w:val="32"/>
          <w:lang w:val="en-GB"/>
        </w:rPr>
        <w:t xml:space="preserve"> Introduction</w:t>
      </w:r>
      <w:bookmarkStart w:id="5" w:name="_5eg0kx8v1pm4" w:colFirst="0" w:colLast="0"/>
      <w:bookmarkEnd w:id="3"/>
      <w:bookmarkEnd w:id="4"/>
      <w:bookmarkEnd w:id="5"/>
    </w:p>
    <w:p w14:paraId="14B330DF" w14:textId="257735CE" w:rsidR="00126B52" w:rsidRPr="00EF2814" w:rsidRDefault="00126B52" w:rsidP="005B1B4C">
      <w:pPr>
        <w:pStyle w:val="Heading2"/>
        <w:rPr>
          <w:lang w:val="en-GB"/>
        </w:rPr>
      </w:pPr>
      <w:bookmarkStart w:id="6" w:name="_Toc222234340"/>
      <w:bookmarkStart w:id="7" w:name="_Toc222909330"/>
      <w:r w:rsidRPr="00EF2814">
        <w:rPr>
          <w:lang w:val="en-GB"/>
        </w:rPr>
        <w:t>1.1 Introduction</w:t>
      </w:r>
      <w:bookmarkEnd w:id="6"/>
      <w:bookmarkEnd w:id="7"/>
    </w:p>
    <w:p w14:paraId="55F46D11" w14:textId="39669708" w:rsidR="00126B52" w:rsidRPr="00EF2814" w:rsidRDefault="00126B52" w:rsidP="008C02E0">
      <w:pPr>
        <w:spacing w:before="240" w:after="0"/>
        <w:rPr>
          <w:rFonts w:cs="Arial"/>
          <w:b/>
          <w:sz w:val="32"/>
          <w:szCs w:val="32"/>
          <w:lang w:val="en-GB"/>
        </w:rPr>
      </w:pPr>
      <w:r w:rsidRPr="00EF2814">
        <w:rPr>
          <w:rFonts w:cs="Arial"/>
          <w:b/>
          <w:sz w:val="24"/>
          <w:lang w:val="en-GB"/>
        </w:rPr>
        <w:t>Overview of the Topic</w:t>
      </w:r>
    </w:p>
    <w:p w14:paraId="1D0919EB" w14:textId="77777777" w:rsidR="00126B52" w:rsidRDefault="00126B52" w:rsidP="008C02E0">
      <w:pPr>
        <w:spacing w:before="240" w:after="0"/>
        <w:rPr>
          <w:rFonts w:cs="Arial"/>
          <w:lang w:val="en-GB"/>
        </w:rPr>
      </w:pPr>
      <w:r w:rsidRPr="00EF2814">
        <w:rPr>
          <w:rFonts w:cs="Arial"/>
          <w:lang w:val="en-GB"/>
        </w:rPr>
        <w:t xml:space="preserve">The COVID-19 outbreak struck the UK healthcare system and demanded rapid mobilisation of the workforce, as well as emergency clinical training. Medical staff were also redeployed to new functions, in which, in most of the cases, there were hastily trained programmes to address the emergent service needs. Although these programmes were critical to the preservation of patient care, there were issues which were raised over competency in staff, patient safety, and confidence (Carrillo </w:t>
      </w:r>
      <w:r w:rsidRPr="00EF2814">
        <w:rPr>
          <w:rFonts w:cs="Arial"/>
          <w:i/>
          <w:iCs/>
          <w:lang w:val="en-GB"/>
        </w:rPr>
        <w:t>et al.</w:t>
      </w:r>
      <w:r w:rsidRPr="00EF2814">
        <w:rPr>
          <w:rFonts w:cs="Arial"/>
          <w:lang w:val="en-GB"/>
        </w:rPr>
        <w:t xml:space="preserve">, 2024). There was a great need to have emergency clinical training as a mechanism of reinforcing workforce ability in the case of crisis situations. Thanks to the ability to understand its efficacy, the NHS still struggles against the problem of the labour shortage. </w:t>
      </w:r>
    </w:p>
    <w:p w14:paraId="3AFCB634" w14:textId="559BA326" w:rsidR="006650B7" w:rsidRDefault="00951B8A" w:rsidP="006650B7">
      <w:pPr>
        <w:spacing w:before="240" w:after="0"/>
        <w:jc w:val="center"/>
        <w:rPr>
          <w:rFonts w:cs="Arial"/>
          <w:lang w:val="en-GB"/>
        </w:rPr>
      </w:pPr>
      <w:r>
        <w:rPr>
          <w:noProof/>
        </w:rPr>
        <w:drawing>
          <wp:inline distT="0" distB="0" distL="0" distR="0" wp14:anchorId="2FA1FC64" wp14:editId="4111FBBB">
            <wp:extent cx="4335780" cy="2098406"/>
            <wp:effectExtent l="19050" t="19050" r="26670" b="16510"/>
            <wp:docPr id="202994763" name="Picture 1" descr="Staff shortages in the NHS and social care sectors - House of Lords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ff shortages in the NHS and social care sectors - House of Lords Librar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50887" cy="2105717"/>
                    </a:xfrm>
                    <a:prstGeom prst="rect">
                      <a:avLst/>
                    </a:prstGeom>
                    <a:noFill/>
                    <a:ln>
                      <a:solidFill>
                        <a:schemeClr val="tx1"/>
                      </a:solidFill>
                    </a:ln>
                  </pic:spPr>
                </pic:pic>
              </a:graphicData>
            </a:graphic>
          </wp:inline>
        </w:drawing>
      </w:r>
    </w:p>
    <w:p w14:paraId="4DE2DD57" w14:textId="094D9638" w:rsidR="00951B8A" w:rsidRPr="00951B8A" w:rsidRDefault="00951B8A" w:rsidP="006650B7">
      <w:pPr>
        <w:spacing w:before="240" w:after="0"/>
        <w:jc w:val="center"/>
        <w:rPr>
          <w:rFonts w:cs="Arial"/>
          <w:b/>
          <w:bCs/>
          <w:lang w:val="en-GB"/>
        </w:rPr>
      </w:pPr>
      <w:r w:rsidRPr="00951B8A">
        <w:rPr>
          <w:rFonts w:cs="Arial"/>
          <w:b/>
          <w:bCs/>
          <w:lang w:val="en-GB"/>
        </w:rPr>
        <w:t>Figure 1.1: NHS staff shortages: Medical vs Nursing</w:t>
      </w:r>
    </w:p>
    <w:p w14:paraId="119AF9F7" w14:textId="19F54A3A" w:rsidR="00951B8A" w:rsidRPr="00EF2814" w:rsidRDefault="00951B8A" w:rsidP="006650B7">
      <w:pPr>
        <w:spacing w:before="240" w:after="0"/>
        <w:jc w:val="center"/>
        <w:rPr>
          <w:rFonts w:cs="Arial"/>
          <w:lang w:val="en-GB"/>
        </w:rPr>
      </w:pPr>
      <w:r>
        <w:rPr>
          <w:rFonts w:cs="Arial"/>
          <w:lang w:val="en-GB"/>
        </w:rPr>
        <w:t xml:space="preserve">(Source: </w:t>
      </w:r>
      <w:r w:rsidR="00860545">
        <w:rPr>
          <w:rFonts w:cs="Arial"/>
          <w:lang w:val="en-IN"/>
        </w:rPr>
        <w:t>P</w:t>
      </w:r>
      <w:r w:rsidR="00860545" w:rsidRPr="002569E2">
        <w:rPr>
          <w:rFonts w:cs="Arial"/>
          <w:lang w:val="en-IN"/>
        </w:rPr>
        <w:t>arliament.uk</w:t>
      </w:r>
      <w:r w:rsidR="00860545">
        <w:rPr>
          <w:rFonts w:cs="Arial"/>
          <w:lang w:val="en-IN"/>
        </w:rPr>
        <w:t>, 2022)</w:t>
      </w:r>
    </w:p>
    <w:p w14:paraId="56C118AF" w14:textId="77777777" w:rsidR="00D8379A" w:rsidRDefault="00D8379A" w:rsidP="008C02E0">
      <w:pPr>
        <w:spacing w:before="240" w:after="0"/>
        <w:rPr>
          <w:rFonts w:cs="Arial"/>
          <w:b/>
          <w:bCs/>
          <w:sz w:val="24"/>
          <w:szCs w:val="24"/>
          <w:lang w:val="en-GB"/>
        </w:rPr>
      </w:pPr>
    </w:p>
    <w:p w14:paraId="59CAAF4C" w14:textId="77777777" w:rsidR="00D8379A" w:rsidRDefault="00D8379A" w:rsidP="008C02E0">
      <w:pPr>
        <w:spacing w:before="240" w:after="0"/>
        <w:rPr>
          <w:rFonts w:cs="Arial"/>
          <w:b/>
          <w:bCs/>
          <w:sz w:val="24"/>
          <w:szCs w:val="24"/>
          <w:lang w:val="en-GB"/>
        </w:rPr>
      </w:pPr>
    </w:p>
    <w:p w14:paraId="0133FFB3" w14:textId="48DCCDA9" w:rsidR="00126B52" w:rsidRPr="00EF2814" w:rsidRDefault="00126B52" w:rsidP="008C02E0">
      <w:pPr>
        <w:spacing w:before="240" w:after="0"/>
        <w:rPr>
          <w:rFonts w:cs="Arial"/>
          <w:b/>
          <w:bCs/>
          <w:sz w:val="24"/>
          <w:szCs w:val="24"/>
          <w:lang w:val="en-GB"/>
        </w:rPr>
      </w:pPr>
      <w:r w:rsidRPr="00EF2814">
        <w:rPr>
          <w:rFonts w:cs="Arial"/>
          <w:b/>
          <w:bCs/>
          <w:sz w:val="24"/>
          <w:szCs w:val="24"/>
          <w:lang w:val="en-GB"/>
        </w:rPr>
        <w:lastRenderedPageBreak/>
        <w:t>Aim of the Dissertation</w:t>
      </w:r>
    </w:p>
    <w:p w14:paraId="42E539C3" w14:textId="77777777" w:rsidR="00126B52" w:rsidRPr="00EF2814" w:rsidRDefault="00126B52" w:rsidP="008C02E0">
      <w:pPr>
        <w:spacing w:before="240" w:after="0"/>
        <w:rPr>
          <w:rFonts w:cs="Arial"/>
          <w:lang w:val="en-GB"/>
        </w:rPr>
      </w:pPr>
      <w:r w:rsidRPr="00EF2814">
        <w:rPr>
          <w:rFonts w:cs="Arial"/>
          <w:lang w:val="en-GB"/>
        </w:rPr>
        <w:t>The overall aim of this dissertation is to evaluate the impact of emergency clinical training across the COVID-19 pandemic period on the level of competence of health personnel within the UK healthcare sector. The aim of this study was to assess the impact of emergency clinical training programs on overall clinical adequacy, knowledge acquisition, effectiveness, and professional readiness (Falk and Lindström, 2022). Through evaluation of the available secondary sources, the study will determine the advantages and issues related to emergency training provision. The dissertation is also aimed at offering evidence-based findings that can be used to create more efficient and sustainable emergency training models to help in sustaining the resilience and competency of the workforce in the upcoming healthcare emergencies.</w:t>
      </w:r>
    </w:p>
    <w:p w14:paraId="6EE5CF78" w14:textId="77777777" w:rsidR="00126B52" w:rsidRPr="00EF2814" w:rsidRDefault="00126B52" w:rsidP="005B1B4C">
      <w:pPr>
        <w:pStyle w:val="Heading2"/>
        <w:rPr>
          <w:lang w:val="en-GB"/>
        </w:rPr>
      </w:pPr>
      <w:bookmarkStart w:id="8" w:name="_oja8rzp8yjd2" w:colFirst="0" w:colLast="0"/>
      <w:bookmarkStart w:id="9" w:name="_Toc222234341"/>
      <w:bookmarkStart w:id="10" w:name="_Toc222909331"/>
      <w:bookmarkEnd w:id="8"/>
      <w:r w:rsidRPr="00EF2814">
        <w:rPr>
          <w:lang w:val="en-GB"/>
        </w:rPr>
        <w:t>1.2 Definitions and Terminology</w:t>
      </w:r>
      <w:bookmarkEnd w:id="9"/>
      <w:bookmarkEnd w:id="10"/>
    </w:p>
    <w:p w14:paraId="01552DE7" w14:textId="77777777" w:rsidR="00126B52" w:rsidRPr="00EF2814" w:rsidRDefault="00126B52" w:rsidP="008C02E0">
      <w:pPr>
        <w:spacing w:before="240" w:after="0"/>
        <w:rPr>
          <w:rFonts w:cs="Arial"/>
          <w:b/>
          <w:bCs/>
          <w:sz w:val="24"/>
          <w:szCs w:val="24"/>
          <w:lang w:val="en-GB"/>
        </w:rPr>
      </w:pPr>
      <w:r w:rsidRPr="00EF2814">
        <w:rPr>
          <w:rFonts w:cs="Arial"/>
          <w:b/>
          <w:bCs/>
          <w:sz w:val="24"/>
          <w:szCs w:val="24"/>
          <w:lang w:val="en-GB"/>
        </w:rPr>
        <w:t>Key Definitions</w:t>
      </w:r>
    </w:p>
    <w:p w14:paraId="3BCE9B69" w14:textId="77777777" w:rsidR="00126B52" w:rsidRPr="00EF2814" w:rsidRDefault="00126B52" w:rsidP="008C02E0">
      <w:pPr>
        <w:spacing w:before="240" w:after="0"/>
        <w:rPr>
          <w:rFonts w:cs="Arial"/>
          <w:lang w:val="en-GB"/>
        </w:rPr>
      </w:pPr>
      <w:r w:rsidRPr="00EF2814">
        <w:rPr>
          <w:rFonts w:cs="Arial"/>
          <w:lang w:val="en-GB"/>
        </w:rPr>
        <w:t xml:space="preserve">Emergency clinical training is a kind of training that is conducted in crisis situations to impart the much-needed clinical skills to the healthcare staff within a short period. Staff competency refers to the set of knowledge, skills, behaviours and professional judgement necessary to carry out clinical tasks in a safe and effective way. Secondary research will focus on examining the available published literature and not gathering primary data (Cheong </w:t>
      </w:r>
      <w:r w:rsidRPr="00EF2814">
        <w:rPr>
          <w:rFonts w:cs="Arial"/>
          <w:i/>
          <w:iCs/>
          <w:lang w:val="en-GB"/>
        </w:rPr>
        <w:t>et al.</w:t>
      </w:r>
      <w:r w:rsidRPr="00EF2814">
        <w:rPr>
          <w:rFonts w:cs="Arial"/>
          <w:lang w:val="en-GB"/>
        </w:rPr>
        <w:t>, 2023). Thematic analysis is a qualitative technique that is utilised in discovering, examining, and reporting trends or themes in data. These are the keywords of this research because they define the methodology and explain how competency outcomes can be determined in the UK healthcare market.</w:t>
      </w:r>
    </w:p>
    <w:p w14:paraId="002CD03C" w14:textId="77777777" w:rsidR="00126B52" w:rsidRPr="00EF2814" w:rsidRDefault="00126B52" w:rsidP="008C02E0">
      <w:pPr>
        <w:spacing w:before="240" w:after="0"/>
        <w:rPr>
          <w:rFonts w:cs="Arial"/>
          <w:b/>
          <w:bCs/>
          <w:sz w:val="24"/>
          <w:szCs w:val="24"/>
          <w:lang w:val="en-GB"/>
        </w:rPr>
      </w:pPr>
      <w:r w:rsidRPr="00EF2814">
        <w:rPr>
          <w:rFonts w:cs="Arial"/>
          <w:b/>
          <w:bCs/>
          <w:sz w:val="24"/>
          <w:szCs w:val="24"/>
          <w:lang w:val="en-GB"/>
        </w:rPr>
        <w:t>Acronyms and Abbreviations</w:t>
      </w:r>
    </w:p>
    <w:p w14:paraId="523D3881" w14:textId="4F4479EF" w:rsidR="00126B52" w:rsidRPr="00EF2814" w:rsidRDefault="00126B52" w:rsidP="008C02E0">
      <w:pPr>
        <w:spacing w:before="240" w:after="0"/>
        <w:rPr>
          <w:rFonts w:cs="Arial"/>
          <w:lang w:val="en-GB"/>
        </w:rPr>
      </w:pPr>
      <w:r w:rsidRPr="00EF2814">
        <w:rPr>
          <w:rFonts w:cs="Arial"/>
          <w:lang w:val="en-GB"/>
        </w:rPr>
        <w:t xml:space="preserve">Different acronyms are employed in this dissertation to make the work </w:t>
      </w:r>
      <w:r w:rsidR="00BA7FEB" w:rsidRPr="00EF2814">
        <w:rPr>
          <w:rFonts w:cs="Arial"/>
          <w:lang w:val="en-GB"/>
        </w:rPr>
        <w:t>more concise and clearer</w:t>
      </w:r>
      <w:r w:rsidRPr="00EF2814">
        <w:rPr>
          <w:rFonts w:cs="Arial"/>
          <w:lang w:val="en-GB"/>
        </w:rPr>
        <w:t xml:space="preserve">. NHS is the National Health Service, which is the main service offering health care in the UK. COVID-19 is an acronym that means Coronavirus Disease 2019, an international pandemic that has affected health care delivery and training (Leung </w:t>
      </w:r>
      <w:r w:rsidRPr="00EF2814">
        <w:rPr>
          <w:rFonts w:cs="Arial"/>
          <w:i/>
          <w:iCs/>
          <w:lang w:val="en-GB"/>
        </w:rPr>
        <w:t>et al.</w:t>
      </w:r>
      <w:r w:rsidRPr="00EF2814">
        <w:rPr>
          <w:rFonts w:cs="Arial"/>
          <w:lang w:val="en-GB"/>
        </w:rPr>
        <w:t xml:space="preserve">, 2022). The acronym PPE is used to denote Personal Protective Equipment, which is necessary to ensure the safety of the staff in regard to the pandemic. CPD is the Continuing Professional Development, which emphasises continual development of competency. HCPs refer to Healthcare Professionals, which include clinical personnel in facilities. </w:t>
      </w:r>
    </w:p>
    <w:p w14:paraId="11AD9B3D" w14:textId="77777777" w:rsidR="00126B52" w:rsidRPr="00EF2814" w:rsidRDefault="00126B52" w:rsidP="005B1B4C">
      <w:pPr>
        <w:pStyle w:val="Heading2"/>
        <w:rPr>
          <w:lang w:val="en-GB"/>
        </w:rPr>
      </w:pPr>
      <w:bookmarkStart w:id="11" w:name="_i9ai0lxgt4gi" w:colFirst="0" w:colLast="0"/>
      <w:bookmarkStart w:id="12" w:name="_Toc222234342"/>
      <w:bookmarkStart w:id="13" w:name="_Toc222909332"/>
      <w:bookmarkEnd w:id="11"/>
      <w:r w:rsidRPr="00EF2814">
        <w:rPr>
          <w:lang w:val="en-GB"/>
        </w:rPr>
        <w:lastRenderedPageBreak/>
        <w:t>1.3 Rationale for Research</w:t>
      </w:r>
      <w:bookmarkEnd w:id="12"/>
      <w:bookmarkEnd w:id="13"/>
    </w:p>
    <w:p w14:paraId="4C292403" w14:textId="77777777" w:rsidR="00126B52" w:rsidRPr="00EF2814" w:rsidRDefault="00126B52" w:rsidP="008C02E0">
      <w:pPr>
        <w:spacing w:before="240" w:after="0"/>
        <w:rPr>
          <w:rFonts w:cs="Arial"/>
          <w:b/>
          <w:bCs/>
          <w:sz w:val="24"/>
          <w:szCs w:val="24"/>
          <w:lang w:val="en-GB"/>
        </w:rPr>
      </w:pPr>
      <w:r w:rsidRPr="00EF2814">
        <w:rPr>
          <w:rFonts w:cs="Arial"/>
          <w:b/>
          <w:bCs/>
          <w:sz w:val="24"/>
          <w:szCs w:val="24"/>
          <w:lang w:val="en-GB"/>
        </w:rPr>
        <w:t>Purpose of the Research</w:t>
      </w:r>
    </w:p>
    <w:p w14:paraId="0C7F5293" w14:textId="77777777" w:rsidR="00567C52" w:rsidRDefault="00126B52" w:rsidP="008C02E0">
      <w:pPr>
        <w:spacing w:before="240" w:after="0"/>
        <w:rPr>
          <w:rFonts w:cs="Arial"/>
          <w:lang w:val="en-GB"/>
        </w:rPr>
      </w:pPr>
      <w:r w:rsidRPr="00EF2814">
        <w:rPr>
          <w:rFonts w:cs="Arial"/>
          <w:lang w:val="en-GB"/>
        </w:rPr>
        <w:t>The study was selected based on the fact that COVID-19 brought about major changes in the clinical training practises of the UK healthcare system. Emergency clinical training was necessary to assist in the rapid reallocation of the workforce, but the effects of this on the competency of staff have not been fully investigated.</w:t>
      </w:r>
    </w:p>
    <w:p w14:paraId="1B56E402" w14:textId="4F40A6C4" w:rsidR="00567C52" w:rsidRDefault="00567C52" w:rsidP="00567C52">
      <w:pPr>
        <w:spacing w:before="240" w:after="0"/>
        <w:jc w:val="center"/>
        <w:rPr>
          <w:rFonts w:cs="Arial"/>
          <w:lang w:val="en-GB"/>
        </w:rPr>
      </w:pPr>
      <w:r>
        <w:rPr>
          <w:noProof/>
        </w:rPr>
        <w:drawing>
          <wp:inline distT="0" distB="0" distL="0" distR="0" wp14:anchorId="7E4A8D08" wp14:editId="649D947A">
            <wp:extent cx="4602480" cy="2320909"/>
            <wp:effectExtent l="19050" t="19050" r="26670" b="22860"/>
            <wp:docPr id="616089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089822" name=""/>
                    <pic:cNvPicPr/>
                  </pic:nvPicPr>
                  <pic:blipFill>
                    <a:blip r:embed="rId16"/>
                    <a:stretch>
                      <a:fillRect/>
                    </a:stretch>
                  </pic:blipFill>
                  <pic:spPr>
                    <a:xfrm>
                      <a:off x="0" y="0"/>
                      <a:ext cx="4613977" cy="2326707"/>
                    </a:xfrm>
                    <a:prstGeom prst="rect">
                      <a:avLst/>
                    </a:prstGeom>
                    <a:ln>
                      <a:solidFill>
                        <a:schemeClr val="tx1"/>
                      </a:solidFill>
                    </a:ln>
                  </pic:spPr>
                </pic:pic>
              </a:graphicData>
            </a:graphic>
          </wp:inline>
        </w:drawing>
      </w:r>
    </w:p>
    <w:p w14:paraId="5BBB2765" w14:textId="3C20C32D" w:rsidR="00567C52" w:rsidRPr="00693F8D" w:rsidRDefault="002F2670" w:rsidP="00567C52">
      <w:pPr>
        <w:spacing w:before="240" w:after="0"/>
        <w:jc w:val="center"/>
        <w:rPr>
          <w:rFonts w:cs="Arial"/>
          <w:b/>
          <w:bCs/>
          <w:lang w:val="en-GB"/>
        </w:rPr>
      </w:pPr>
      <w:r w:rsidRPr="00693F8D">
        <w:rPr>
          <w:rFonts w:cs="Arial"/>
          <w:b/>
          <w:bCs/>
          <w:lang w:val="en-GB"/>
        </w:rPr>
        <w:t>Figure 1.2: Migrant HCWs role in emergency clinical setting during the Covid-19 and training necessity</w:t>
      </w:r>
    </w:p>
    <w:p w14:paraId="3D77EA57" w14:textId="0112BF2C" w:rsidR="002F2670" w:rsidRDefault="002F2670" w:rsidP="00567C52">
      <w:pPr>
        <w:spacing w:before="240" w:after="0"/>
        <w:jc w:val="center"/>
        <w:rPr>
          <w:rFonts w:cs="Arial"/>
          <w:lang w:val="en-GB"/>
        </w:rPr>
      </w:pPr>
      <w:r>
        <w:rPr>
          <w:rFonts w:cs="Arial"/>
          <w:lang w:val="en-GB"/>
        </w:rPr>
        <w:t xml:space="preserve">(Source: </w:t>
      </w:r>
      <w:r w:rsidR="00693F8D" w:rsidRPr="002F2670">
        <w:rPr>
          <w:lang w:val="en-IN"/>
        </w:rPr>
        <w:t>Kuhlmann</w:t>
      </w:r>
      <w:r w:rsidR="00693F8D">
        <w:rPr>
          <w:lang w:val="en-IN"/>
        </w:rPr>
        <w:t xml:space="preserve"> </w:t>
      </w:r>
      <w:r w:rsidR="00693F8D" w:rsidRPr="00693F8D">
        <w:rPr>
          <w:i/>
          <w:iCs/>
          <w:lang w:val="en-IN"/>
        </w:rPr>
        <w:t>et al.,</w:t>
      </w:r>
      <w:r w:rsidR="00693F8D">
        <w:rPr>
          <w:lang w:val="en-IN"/>
        </w:rPr>
        <w:t xml:space="preserve"> 2023)</w:t>
      </w:r>
    </w:p>
    <w:p w14:paraId="61577169" w14:textId="19A2901C" w:rsidR="00126B52" w:rsidRPr="00EF2814" w:rsidRDefault="00126B52" w:rsidP="008C02E0">
      <w:pPr>
        <w:spacing w:before="240" w:after="0"/>
        <w:rPr>
          <w:rFonts w:cs="Arial"/>
          <w:lang w:val="en-GB"/>
        </w:rPr>
      </w:pPr>
      <w:r w:rsidRPr="00EF2814">
        <w:rPr>
          <w:rFonts w:cs="Arial"/>
          <w:lang w:val="en-GB"/>
        </w:rPr>
        <w:t xml:space="preserve"> Available sources present the urgency and the magnitude of the pandemic training, but do not provide much assessment of its efficiency (Stark </w:t>
      </w:r>
      <w:r w:rsidRPr="00EF2814">
        <w:rPr>
          <w:rFonts w:cs="Arial"/>
          <w:i/>
          <w:iCs/>
          <w:lang w:val="en-GB"/>
        </w:rPr>
        <w:t>et al.</w:t>
      </w:r>
      <w:r w:rsidRPr="00EF2814">
        <w:rPr>
          <w:rFonts w:cs="Arial"/>
          <w:lang w:val="en-GB"/>
        </w:rPr>
        <w:t>, 2022). As workforce shortages continue to rise and more companies depend on increasingly flexible ways of staffing, competency is a highly pertinent issue of investigation. This study is a reaction to the contemporary discussion of the preparedness of the workforce, patient safety, and quality of training and provides an insight into the construction of more resilient and effective training strategies.</w:t>
      </w:r>
    </w:p>
    <w:p w14:paraId="72A6BFAE" w14:textId="77777777" w:rsidR="00126B52" w:rsidRPr="00EF2814" w:rsidRDefault="00126B52" w:rsidP="008C02E0">
      <w:pPr>
        <w:spacing w:before="240" w:after="0"/>
        <w:rPr>
          <w:rFonts w:cs="Arial"/>
          <w:b/>
          <w:bCs/>
          <w:sz w:val="24"/>
          <w:szCs w:val="24"/>
          <w:lang w:val="en-GB"/>
        </w:rPr>
      </w:pPr>
      <w:r w:rsidRPr="00EF2814">
        <w:rPr>
          <w:rFonts w:cs="Arial"/>
          <w:b/>
          <w:bCs/>
          <w:sz w:val="24"/>
          <w:szCs w:val="24"/>
          <w:lang w:val="en-GB"/>
        </w:rPr>
        <w:t xml:space="preserve">Identified Problems and Research Gaps </w:t>
      </w:r>
    </w:p>
    <w:p w14:paraId="02145DB1" w14:textId="75848DC5" w:rsidR="00126B52" w:rsidRPr="00EF2814" w:rsidRDefault="00126B52" w:rsidP="008C02E0">
      <w:pPr>
        <w:spacing w:before="240" w:after="0"/>
        <w:rPr>
          <w:rFonts w:cs="Arial"/>
          <w:lang w:val="en-GB"/>
        </w:rPr>
      </w:pPr>
      <w:r w:rsidRPr="00EF2814">
        <w:rPr>
          <w:rFonts w:cs="Arial"/>
          <w:lang w:val="en-GB"/>
        </w:rPr>
        <w:t xml:space="preserve">The existing literature appears to rely mostly on responses to the COVID-19 emergencies instead of critically analysing the consequences of emergency clinical training of staff competency. The literature on the UK-specific qualitative research examining the effects of accelerated training on </w:t>
      </w:r>
      <w:r w:rsidRPr="00EF2814">
        <w:rPr>
          <w:rFonts w:cs="Arial"/>
          <w:lang w:val="en-GB"/>
        </w:rPr>
        <w:lastRenderedPageBreak/>
        <w:t>clinical confidence, retention, and professional preparedness is scarce (Chapwanya, 2025). Also, the current research usually deals with the short-term management of crises, overlooking the future effects on the development of the workforce. The given dissertation fills those gaps by synthesising secondary qualitative evidence</w:t>
      </w:r>
      <w:r w:rsidR="00D8379A">
        <w:rPr>
          <w:rFonts w:cs="Arial"/>
          <w:lang w:val="en-GB"/>
        </w:rPr>
        <w:t xml:space="preserve"> </w:t>
      </w:r>
      <w:r w:rsidR="00D8379A" w:rsidRPr="00EF2814">
        <w:rPr>
          <w:rFonts w:cs="Arial"/>
          <w:lang w:val="en-GB"/>
        </w:rPr>
        <w:t>to</w:t>
      </w:r>
      <w:r w:rsidR="00D8379A">
        <w:rPr>
          <w:rFonts w:cs="Arial"/>
          <w:lang w:val="en-GB"/>
        </w:rPr>
        <w:t xml:space="preserve"> </w:t>
      </w:r>
      <w:r w:rsidRPr="00EF2814">
        <w:rPr>
          <w:rFonts w:cs="Arial"/>
          <w:lang w:val="en-GB"/>
        </w:rPr>
        <w:t>determine common themes concerning competency outcomes. In such a way, the study helps to better recognise the effectiveness of training and educate the upcoming emergency preparedness in the UK healthcare sector.</w:t>
      </w:r>
    </w:p>
    <w:p w14:paraId="625AFCEE" w14:textId="77777777" w:rsidR="00126B52" w:rsidRPr="00EF2814" w:rsidRDefault="00126B52" w:rsidP="005B1B4C">
      <w:pPr>
        <w:pStyle w:val="Heading2"/>
        <w:rPr>
          <w:lang w:val="en-GB"/>
        </w:rPr>
      </w:pPr>
      <w:bookmarkStart w:id="14" w:name="_83ytaxere48o" w:colFirst="0" w:colLast="0"/>
      <w:bookmarkStart w:id="15" w:name="_Toc222234343"/>
      <w:bookmarkStart w:id="16" w:name="_Toc222909333"/>
      <w:bookmarkEnd w:id="14"/>
      <w:r w:rsidRPr="00EF2814">
        <w:rPr>
          <w:lang w:val="en-GB"/>
        </w:rPr>
        <w:t>1.4 Aim and Objectives</w:t>
      </w:r>
      <w:bookmarkEnd w:id="15"/>
      <w:bookmarkEnd w:id="16"/>
      <w:r w:rsidRPr="00EF2814">
        <w:rPr>
          <w:lang w:val="en-GB"/>
        </w:rPr>
        <w:t xml:space="preserve"> </w:t>
      </w:r>
    </w:p>
    <w:p w14:paraId="57A6280E" w14:textId="77777777" w:rsidR="00126B52" w:rsidRPr="00EF2814" w:rsidRDefault="00126B52" w:rsidP="008C02E0">
      <w:pPr>
        <w:spacing w:before="240" w:after="0"/>
        <w:rPr>
          <w:rFonts w:cs="Arial"/>
          <w:b/>
          <w:bCs/>
          <w:lang w:val="en-GB"/>
        </w:rPr>
      </w:pPr>
      <w:r w:rsidRPr="00EF2814">
        <w:rPr>
          <w:rFonts w:cs="Arial"/>
          <w:b/>
          <w:bCs/>
          <w:lang w:val="en-GB"/>
        </w:rPr>
        <w:t xml:space="preserve">Aim </w:t>
      </w:r>
    </w:p>
    <w:p w14:paraId="1C5B79A7" w14:textId="77777777" w:rsidR="00126B52" w:rsidRPr="00EF2814" w:rsidRDefault="00126B52" w:rsidP="008C02E0">
      <w:pPr>
        <w:spacing w:before="240" w:after="0"/>
        <w:rPr>
          <w:rFonts w:cs="Arial"/>
          <w:lang w:val="en-GB"/>
        </w:rPr>
      </w:pPr>
      <w:r w:rsidRPr="00EF2814">
        <w:rPr>
          <w:rFonts w:cs="Arial"/>
          <w:lang w:val="en-GB"/>
        </w:rPr>
        <w:t>The research study aims to examine the effect of COVID-19 emergency clinical training on healthcare staff competency levels within the UK healthcare industry.</w:t>
      </w:r>
    </w:p>
    <w:p w14:paraId="7C56C9F7" w14:textId="77777777" w:rsidR="00126B52" w:rsidRPr="00EF2814" w:rsidRDefault="00126B52" w:rsidP="008C02E0">
      <w:pPr>
        <w:spacing w:before="240" w:after="0"/>
        <w:rPr>
          <w:rFonts w:cs="Arial"/>
          <w:lang w:val="en-GB"/>
        </w:rPr>
      </w:pPr>
      <w:r w:rsidRPr="00EF2814">
        <w:rPr>
          <w:rFonts w:cs="Arial"/>
          <w:lang w:val="en-GB"/>
        </w:rPr>
        <w:t xml:space="preserve">The purpose of the research study is to assess the impact of COVID-19 emergency clinical training on levels of competency among healthcare staff in the healthcare sector of the UK through a profound analysis of existing literature and empirical evidence created and collected throughout the pandemic period. With such a study, it is possible to assess and explore the specific impact of emergency training initiatives on the level of knowledge, skills, and confidence, as well as competency levels, associated with healthcare staff. Moreover, it is possible to discern differences between competency levels and the specific professional roles and practices of the healthcare sector. </w:t>
      </w:r>
    </w:p>
    <w:p w14:paraId="288F01D1" w14:textId="77777777" w:rsidR="00126B52" w:rsidRPr="00EF2814" w:rsidRDefault="00126B52" w:rsidP="008C02E0">
      <w:pPr>
        <w:spacing w:before="240" w:after="0"/>
        <w:rPr>
          <w:rFonts w:cs="Arial"/>
          <w:b/>
          <w:bCs/>
          <w:lang w:val="en-GB"/>
        </w:rPr>
      </w:pPr>
      <w:r w:rsidRPr="00EF2814">
        <w:rPr>
          <w:rFonts w:cs="Arial"/>
          <w:b/>
          <w:bCs/>
          <w:lang w:val="en-GB"/>
        </w:rPr>
        <w:t>Objectives</w:t>
      </w:r>
    </w:p>
    <w:p w14:paraId="114576C9" w14:textId="77777777" w:rsidR="00126B52" w:rsidRPr="00EF2814" w:rsidRDefault="00126B52" w:rsidP="008C02E0">
      <w:pPr>
        <w:numPr>
          <w:ilvl w:val="0"/>
          <w:numId w:val="17"/>
        </w:numPr>
        <w:spacing w:before="240" w:after="0"/>
        <w:rPr>
          <w:rFonts w:cs="Arial"/>
          <w:lang w:val="en-GB"/>
        </w:rPr>
      </w:pPr>
      <w:r w:rsidRPr="00EF2814">
        <w:rPr>
          <w:rFonts w:cs="Arial"/>
          <w:b/>
          <w:bCs/>
          <w:lang w:val="en-GB"/>
        </w:rPr>
        <w:t>RQ1:</w:t>
      </w:r>
      <w:r w:rsidRPr="00EF2814">
        <w:rPr>
          <w:rFonts w:cs="Arial"/>
          <w:lang w:val="en-GB"/>
        </w:rPr>
        <w:t xml:space="preserve"> To examine existing literature and theoretical frameworks on COVID-19 emergency clinical training and staff competency within the UK health care industry.</w:t>
      </w:r>
    </w:p>
    <w:p w14:paraId="30EAB7EA" w14:textId="77777777" w:rsidR="00126B52" w:rsidRPr="00EF2814" w:rsidRDefault="00126B52" w:rsidP="008C02E0">
      <w:pPr>
        <w:numPr>
          <w:ilvl w:val="0"/>
          <w:numId w:val="17"/>
        </w:numPr>
        <w:spacing w:before="240" w:after="0"/>
        <w:rPr>
          <w:rFonts w:cs="Arial"/>
          <w:lang w:val="en-GB"/>
        </w:rPr>
      </w:pPr>
      <w:r w:rsidRPr="00EF2814">
        <w:rPr>
          <w:rFonts w:cs="Arial"/>
          <w:b/>
          <w:bCs/>
          <w:lang w:val="en-GB"/>
        </w:rPr>
        <w:t xml:space="preserve">RQ2: </w:t>
      </w:r>
      <w:r w:rsidRPr="00EF2814">
        <w:rPr>
          <w:rFonts w:cs="Arial"/>
          <w:lang w:val="en-GB"/>
        </w:rPr>
        <w:t>To examine the interrelationship existing between COVID-19 emergency clinical training and healthcare staff competency levels within the UK healthcare industry.</w:t>
      </w:r>
    </w:p>
    <w:p w14:paraId="379E5D02" w14:textId="77777777" w:rsidR="00126B52" w:rsidRPr="00EF2814" w:rsidRDefault="00126B52" w:rsidP="008C02E0">
      <w:pPr>
        <w:numPr>
          <w:ilvl w:val="0"/>
          <w:numId w:val="17"/>
        </w:numPr>
        <w:spacing w:before="240" w:after="0"/>
        <w:rPr>
          <w:rFonts w:cs="Arial"/>
          <w:lang w:val="en-GB"/>
        </w:rPr>
      </w:pPr>
      <w:r w:rsidRPr="00EF2814">
        <w:rPr>
          <w:rFonts w:cs="Arial"/>
          <w:b/>
          <w:bCs/>
          <w:lang w:val="en-GB"/>
        </w:rPr>
        <w:t xml:space="preserve">RQ3: </w:t>
      </w:r>
      <w:r w:rsidRPr="00EF2814">
        <w:rPr>
          <w:rFonts w:cs="Arial"/>
          <w:lang w:val="en-GB"/>
        </w:rPr>
        <w:t>To define the challenges and benefits of COVID-19 emergency clinical training for healthcare staff within the UK healthcare industry.</w:t>
      </w:r>
    </w:p>
    <w:p w14:paraId="5162D6C3" w14:textId="77777777" w:rsidR="00126B52" w:rsidRPr="00EF2814" w:rsidRDefault="00126B52" w:rsidP="008C02E0">
      <w:pPr>
        <w:numPr>
          <w:ilvl w:val="0"/>
          <w:numId w:val="17"/>
        </w:numPr>
        <w:spacing w:before="240" w:after="0"/>
        <w:rPr>
          <w:rFonts w:cs="Arial"/>
          <w:lang w:val="en-GB"/>
        </w:rPr>
      </w:pPr>
      <w:r w:rsidRPr="00EF2814">
        <w:rPr>
          <w:rFonts w:cs="Arial"/>
          <w:b/>
          <w:bCs/>
          <w:lang w:val="en-GB"/>
        </w:rPr>
        <w:t xml:space="preserve">RQ4: </w:t>
      </w:r>
      <w:r w:rsidRPr="00EF2814">
        <w:rPr>
          <w:rFonts w:cs="Arial"/>
          <w:lang w:val="en-GB"/>
        </w:rPr>
        <w:t>To propose strategies regarding the improvement of emergency clinical training to enhance staff competency within the UK health care industry.</w:t>
      </w:r>
    </w:p>
    <w:p w14:paraId="0D5C42AD" w14:textId="77777777" w:rsidR="00D8379A" w:rsidRDefault="00D8379A" w:rsidP="005B1B4C">
      <w:pPr>
        <w:pStyle w:val="Heading2"/>
        <w:rPr>
          <w:lang w:val="en-GB"/>
        </w:rPr>
      </w:pPr>
      <w:bookmarkStart w:id="17" w:name="_yzgucsqh1dir" w:colFirst="0" w:colLast="0"/>
      <w:bookmarkStart w:id="18" w:name="_Toc222234344"/>
      <w:bookmarkStart w:id="19" w:name="_Toc222909334"/>
      <w:bookmarkEnd w:id="17"/>
    </w:p>
    <w:p w14:paraId="57D5EA27" w14:textId="2DBED774" w:rsidR="00126B52" w:rsidRDefault="00126B52" w:rsidP="005B1B4C">
      <w:pPr>
        <w:pStyle w:val="Heading2"/>
        <w:rPr>
          <w:lang w:val="en-GB"/>
        </w:rPr>
      </w:pPr>
      <w:r w:rsidRPr="00EF2814">
        <w:rPr>
          <w:lang w:val="en-GB"/>
        </w:rPr>
        <w:lastRenderedPageBreak/>
        <w:t>1.5 Conclusion</w:t>
      </w:r>
      <w:bookmarkEnd w:id="18"/>
      <w:bookmarkEnd w:id="19"/>
      <w:r w:rsidRPr="00EF2814">
        <w:rPr>
          <w:lang w:val="en-GB"/>
        </w:rPr>
        <w:t xml:space="preserve"> </w:t>
      </w:r>
    </w:p>
    <w:p w14:paraId="19BAC907" w14:textId="77777777" w:rsidR="00D8379A" w:rsidRPr="00D8379A" w:rsidRDefault="00D8379A" w:rsidP="00D8379A">
      <w:pPr>
        <w:rPr>
          <w:lang w:val="en-GB"/>
        </w:rPr>
      </w:pPr>
    </w:p>
    <w:p w14:paraId="4484C8E9" w14:textId="115A0ED1" w:rsidR="00126B52" w:rsidRDefault="00126B52" w:rsidP="008C02E0">
      <w:pPr>
        <w:spacing w:before="240" w:after="0"/>
        <w:rPr>
          <w:rFonts w:cs="Arial"/>
          <w:lang w:val="en-GB"/>
        </w:rPr>
      </w:pPr>
      <w:r w:rsidRPr="00EF2814">
        <w:rPr>
          <w:rFonts w:cs="Arial"/>
          <w:lang w:val="en-GB"/>
        </w:rPr>
        <w:t>Chapter 1 presented the research context, explained the impact of COVID-19 emergency training, introduced concepts, and justified the study</w:t>
      </w:r>
      <w:r w:rsidR="007A373A">
        <w:rPr>
          <w:rFonts w:cs="Arial"/>
          <w:lang w:val="en-GB"/>
        </w:rPr>
        <w:t xml:space="preserve"> (</w:t>
      </w:r>
      <w:r w:rsidR="007A373A" w:rsidRPr="00B60E0A">
        <w:rPr>
          <w:lang w:val="en-GB"/>
        </w:rPr>
        <w:t>Maddock</w:t>
      </w:r>
      <w:r w:rsidR="007A373A">
        <w:rPr>
          <w:lang w:val="en-GB"/>
        </w:rPr>
        <w:t xml:space="preserve"> </w:t>
      </w:r>
      <w:r w:rsidR="007A373A" w:rsidRPr="007A373A">
        <w:rPr>
          <w:i/>
          <w:iCs/>
          <w:lang w:val="en-GB"/>
        </w:rPr>
        <w:t>et al.,</w:t>
      </w:r>
      <w:r w:rsidR="007A373A">
        <w:rPr>
          <w:lang w:val="en-GB"/>
        </w:rPr>
        <w:t xml:space="preserve"> 2022)</w:t>
      </w:r>
      <w:r w:rsidRPr="00EF2814">
        <w:rPr>
          <w:rFonts w:cs="Arial"/>
          <w:lang w:val="en-GB"/>
        </w:rPr>
        <w:t>. It also established the research aim and objectives, with particular emphasis on the significance of staff competency within the UK healthcare sector. Additionally, chapter 2 is expected to advance on such grounds by presenting information pertaining to emergency clinical training in its historical, theoretical, international, and UK context, thereby laying a foundation for subsequent methodological decisions as they relate to existing literature.</w:t>
      </w:r>
    </w:p>
    <w:p w14:paraId="3F3F4E84" w14:textId="7AB401C1" w:rsidR="00B346F4" w:rsidRDefault="00B346F4">
      <w:pPr>
        <w:spacing w:line="240" w:lineRule="auto"/>
        <w:jc w:val="left"/>
        <w:rPr>
          <w:rFonts w:cs="Arial"/>
          <w:lang w:val="en-GB"/>
        </w:rPr>
      </w:pPr>
      <w:r>
        <w:rPr>
          <w:rFonts w:cs="Arial"/>
          <w:lang w:val="en-GB"/>
        </w:rPr>
        <w:br w:type="page"/>
      </w:r>
    </w:p>
    <w:p w14:paraId="64C62703" w14:textId="77777777" w:rsidR="00B346F4" w:rsidRPr="00EF2814" w:rsidRDefault="00B346F4" w:rsidP="00B346F4">
      <w:pPr>
        <w:pStyle w:val="Heading1"/>
        <w:spacing w:before="240" w:line="360" w:lineRule="auto"/>
        <w:rPr>
          <w:rFonts w:cs="Arial"/>
          <w:highlight w:val="white"/>
          <w:lang w:val="en-GB"/>
        </w:rPr>
      </w:pPr>
      <w:bookmarkStart w:id="20" w:name="_Toc222234345"/>
      <w:bookmarkStart w:id="21" w:name="_Toc222235733"/>
      <w:bookmarkStart w:id="22" w:name="_Toc222909335"/>
      <w:r w:rsidRPr="00EF2814">
        <w:rPr>
          <w:rFonts w:cs="Arial"/>
          <w:highlight w:val="white"/>
          <w:lang w:val="en-GB"/>
        </w:rPr>
        <w:lastRenderedPageBreak/>
        <w:t>Chapter 2 - Background Information and Analysis</w:t>
      </w:r>
      <w:bookmarkEnd w:id="20"/>
      <w:bookmarkEnd w:id="21"/>
      <w:bookmarkEnd w:id="22"/>
    </w:p>
    <w:p w14:paraId="20D3881E" w14:textId="77777777" w:rsidR="00B346F4" w:rsidRPr="00EF2814" w:rsidRDefault="00B346F4" w:rsidP="00B346F4">
      <w:pPr>
        <w:pStyle w:val="Heading2"/>
        <w:rPr>
          <w:highlight w:val="white"/>
          <w:lang w:val="en-GB"/>
        </w:rPr>
      </w:pPr>
      <w:bookmarkStart w:id="23" w:name="_Toc221375992"/>
      <w:bookmarkStart w:id="24" w:name="_Toc222234346"/>
      <w:bookmarkStart w:id="25" w:name="_Toc222235734"/>
      <w:bookmarkStart w:id="26" w:name="_Toc222909336"/>
      <w:r w:rsidRPr="00EF2814">
        <w:rPr>
          <w:highlight w:val="white"/>
          <w:lang w:val="en-GB"/>
        </w:rPr>
        <w:t>2.1 Introduction</w:t>
      </w:r>
      <w:bookmarkEnd w:id="23"/>
      <w:bookmarkEnd w:id="24"/>
      <w:bookmarkEnd w:id="25"/>
      <w:bookmarkEnd w:id="26"/>
    </w:p>
    <w:p w14:paraId="6E199B32" w14:textId="77777777" w:rsidR="00B346F4" w:rsidRPr="00EF2814" w:rsidRDefault="00B346F4" w:rsidP="00B346F4">
      <w:pPr>
        <w:spacing w:before="240" w:after="0"/>
        <w:rPr>
          <w:rFonts w:cs="Arial"/>
          <w:b/>
          <w:sz w:val="24"/>
          <w:highlight w:val="white"/>
          <w:lang w:val="en-GB"/>
        </w:rPr>
      </w:pPr>
      <w:bookmarkStart w:id="27" w:name="_Toc221375993"/>
      <w:r w:rsidRPr="00EF2814">
        <w:rPr>
          <w:rFonts w:cs="Arial"/>
          <w:b/>
          <w:sz w:val="24"/>
          <w:highlight w:val="white"/>
          <w:lang w:val="en-GB"/>
        </w:rPr>
        <w:t>Purpose of the chapter</w:t>
      </w:r>
      <w:bookmarkEnd w:id="27"/>
    </w:p>
    <w:p w14:paraId="6763C51F" w14:textId="77777777"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t>The purpose of this chapter is to establish the background and context of the paper by illustrating the effects of the emergency clinical training on healthcare staff competency levels working in the Uk healthcare industry during the COVID-19 crisis. It provides the background of the historical, theoretical and contextual information which is needed to understand the significance of this study. When put in the broader perspective of how health care reacted to the pandemic, these factors will be outlined in the context of the chapter, presenting why the sudden interventions of training were necessary to sustain the service delivery and patient safety.</w:t>
      </w:r>
    </w:p>
    <w:p w14:paraId="798E2F1E" w14:textId="77777777"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t>The chapter will trace the history of emergency training practices during pandemics and highlight the issues in the UK health sector, the theory on which the competency development is grounded, and the realities of working in crises. Considerably, it preconditions the further analysis process by explaining the systemic influences that determined the preparedness of the staff and evaluating the effectiveness of the related interventions.</w:t>
      </w:r>
    </w:p>
    <w:p w14:paraId="5EB29193" w14:textId="77777777" w:rsidR="00B346F4" w:rsidRPr="00EF2814" w:rsidRDefault="00B346F4" w:rsidP="00B346F4">
      <w:pPr>
        <w:pStyle w:val="Heading2"/>
        <w:rPr>
          <w:highlight w:val="white"/>
          <w:lang w:val="en-GB"/>
        </w:rPr>
      </w:pPr>
      <w:bookmarkStart w:id="28" w:name="_Toc221375994"/>
      <w:bookmarkStart w:id="29" w:name="_Toc222234347"/>
      <w:bookmarkStart w:id="30" w:name="_Toc222235735"/>
      <w:bookmarkStart w:id="31" w:name="_Toc222909337"/>
      <w:r w:rsidRPr="00EF2814">
        <w:rPr>
          <w:highlight w:val="white"/>
          <w:lang w:val="en-GB"/>
        </w:rPr>
        <w:t>2.2 Historical Background</w:t>
      </w:r>
      <w:bookmarkEnd w:id="28"/>
      <w:bookmarkEnd w:id="29"/>
      <w:bookmarkEnd w:id="30"/>
      <w:bookmarkEnd w:id="31"/>
    </w:p>
    <w:p w14:paraId="0387A207" w14:textId="77777777" w:rsidR="00B346F4" w:rsidRPr="00EF2814" w:rsidRDefault="00B346F4" w:rsidP="00B346F4">
      <w:pPr>
        <w:spacing w:before="240" w:after="0"/>
        <w:rPr>
          <w:rFonts w:cs="Arial"/>
          <w:b/>
          <w:sz w:val="24"/>
          <w:highlight w:val="white"/>
          <w:lang w:val="en-GB"/>
        </w:rPr>
      </w:pPr>
      <w:bookmarkStart w:id="32" w:name="_Toc221375995"/>
      <w:r w:rsidRPr="00EF2814">
        <w:rPr>
          <w:rFonts w:cs="Arial"/>
          <w:b/>
          <w:sz w:val="24"/>
          <w:highlight w:val="white"/>
          <w:lang w:val="en-GB"/>
        </w:rPr>
        <w:t>Development of the topic</w:t>
      </w:r>
      <w:bookmarkEnd w:id="32"/>
    </w:p>
    <w:p w14:paraId="055F900F" w14:textId="77777777" w:rsidR="00B346F4" w:rsidRDefault="00B346F4" w:rsidP="00B346F4">
      <w:pPr>
        <w:spacing w:before="240" w:after="0"/>
        <w:rPr>
          <w:rFonts w:eastAsia="Times New Roman" w:cs="Arial"/>
          <w:highlight w:val="white"/>
          <w:lang w:val="en-GB"/>
        </w:rPr>
      </w:pPr>
      <w:r w:rsidRPr="00EF2814">
        <w:rPr>
          <w:rFonts w:eastAsia="Times New Roman" w:cs="Arial"/>
          <w:highlight w:val="white"/>
          <w:lang w:val="en-GB"/>
        </w:rPr>
        <w:t xml:space="preserve">The history of emergency clinical training in the UK health care sector has its roots in the old traditions of workforce preparedness in case of a public health crisis. According to the evidence by Hartley </w:t>
      </w:r>
      <w:r w:rsidRPr="00EF2814">
        <w:rPr>
          <w:rFonts w:eastAsia="Times New Roman" w:cs="Arial"/>
          <w:i/>
          <w:iCs/>
          <w:highlight w:val="white"/>
          <w:lang w:val="en-GB"/>
        </w:rPr>
        <w:t>et al.,</w:t>
      </w:r>
      <w:r w:rsidRPr="00EF2814">
        <w:rPr>
          <w:rFonts w:eastAsia="Times New Roman" w:cs="Arial"/>
          <w:highlight w:val="white"/>
          <w:lang w:val="en-GB"/>
        </w:rPr>
        <w:t xml:space="preserve"> (2025) the NHS, in the past, depended on rapid upskilling and redeployment initiatives as an emergency response to impactful incidents, for example, influenza outbreaks and terrorist attacks. Nevertheless, the COVID-19 pandemic that started spreading in the UK at the beginning of March 2020 has been marked as an unprecedented challenge in history (NHS England, 2024). Based on the evidence by Rcog (2026), UK hospitals were overloaded with work pressure, and the staff started to be relocated across specialities. Apart from this, junior doctors and nurses started to be assigned to critical care units as well as respiratory units. This high demand for flexibility led to the emergence of emergency training programs that would provide the pertinent staff with appropriate competencies in infection control, ventilator handling, and other emergency care necessities.</w:t>
      </w:r>
    </w:p>
    <w:p w14:paraId="6FD727C2" w14:textId="72E3D2EB" w:rsidR="00E366C6" w:rsidRDefault="00E366C6" w:rsidP="00E366C6">
      <w:pPr>
        <w:spacing w:before="240" w:after="0"/>
        <w:jc w:val="center"/>
        <w:rPr>
          <w:rFonts w:eastAsia="Times New Roman" w:cs="Arial"/>
          <w:highlight w:val="white"/>
          <w:lang w:val="en-GB"/>
        </w:rPr>
      </w:pPr>
      <w:r>
        <w:rPr>
          <w:noProof/>
        </w:rPr>
        <w:lastRenderedPageBreak/>
        <w:drawing>
          <wp:inline distT="0" distB="0" distL="0" distR="0" wp14:anchorId="291F77AF" wp14:editId="673BD21E">
            <wp:extent cx="5250180" cy="2492714"/>
            <wp:effectExtent l="19050" t="19050" r="26670" b="22225"/>
            <wp:docPr id="1400915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915490" name=""/>
                    <pic:cNvPicPr/>
                  </pic:nvPicPr>
                  <pic:blipFill>
                    <a:blip r:embed="rId17"/>
                    <a:stretch>
                      <a:fillRect/>
                    </a:stretch>
                  </pic:blipFill>
                  <pic:spPr>
                    <a:xfrm>
                      <a:off x="0" y="0"/>
                      <a:ext cx="5254875" cy="2494943"/>
                    </a:xfrm>
                    <a:prstGeom prst="rect">
                      <a:avLst/>
                    </a:prstGeom>
                    <a:ln>
                      <a:solidFill>
                        <a:schemeClr val="tx1"/>
                      </a:solidFill>
                    </a:ln>
                  </pic:spPr>
                </pic:pic>
              </a:graphicData>
            </a:graphic>
          </wp:inline>
        </w:drawing>
      </w:r>
    </w:p>
    <w:p w14:paraId="6AB8B09F" w14:textId="6CE078F8" w:rsidR="00E366C6" w:rsidRPr="00E366C6" w:rsidRDefault="00E366C6" w:rsidP="00E366C6">
      <w:pPr>
        <w:spacing w:before="240" w:after="0"/>
        <w:jc w:val="center"/>
        <w:rPr>
          <w:rFonts w:eastAsia="Times New Roman" w:cs="Arial"/>
          <w:b/>
          <w:bCs/>
          <w:highlight w:val="white"/>
          <w:lang w:val="en-GB"/>
        </w:rPr>
      </w:pPr>
      <w:r w:rsidRPr="00E366C6">
        <w:rPr>
          <w:rFonts w:eastAsia="Times New Roman" w:cs="Arial"/>
          <w:b/>
          <w:bCs/>
          <w:highlight w:val="white"/>
          <w:lang w:val="en-GB"/>
        </w:rPr>
        <w:t>Figure 2.1: Training requirements met across gynaecological units for emergency care during the Covid-19</w:t>
      </w:r>
    </w:p>
    <w:p w14:paraId="291F097B" w14:textId="2731BB80" w:rsidR="00E366C6" w:rsidRPr="00EF2814" w:rsidRDefault="00E366C6" w:rsidP="00E366C6">
      <w:pPr>
        <w:spacing w:before="240" w:after="0"/>
        <w:jc w:val="center"/>
        <w:rPr>
          <w:rFonts w:eastAsia="Times New Roman" w:cs="Arial"/>
          <w:highlight w:val="white"/>
          <w:lang w:val="en-GB"/>
        </w:rPr>
      </w:pPr>
      <w:r>
        <w:rPr>
          <w:rFonts w:eastAsia="Times New Roman" w:cs="Arial"/>
          <w:highlight w:val="white"/>
          <w:lang w:val="en-GB"/>
        </w:rPr>
        <w:t xml:space="preserve">(Source: </w:t>
      </w:r>
      <w:r w:rsidRPr="00EF2814">
        <w:rPr>
          <w:rFonts w:eastAsia="Times New Roman" w:cs="Arial"/>
          <w:highlight w:val="white"/>
          <w:lang w:val="en-GB"/>
        </w:rPr>
        <w:t>Rcog</w:t>
      </w:r>
      <w:r>
        <w:rPr>
          <w:rFonts w:eastAsia="Times New Roman" w:cs="Arial"/>
          <w:highlight w:val="white"/>
          <w:lang w:val="en-GB"/>
        </w:rPr>
        <w:t xml:space="preserve">, </w:t>
      </w:r>
      <w:r w:rsidRPr="00EF2814">
        <w:rPr>
          <w:rFonts w:eastAsia="Times New Roman" w:cs="Arial"/>
          <w:highlight w:val="white"/>
          <w:lang w:val="en-GB"/>
        </w:rPr>
        <w:t>2026)</w:t>
      </w:r>
    </w:p>
    <w:p w14:paraId="3E2634B0" w14:textId="0F470E95"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t xml:space="preserve">Upon understanding the history and origins, key milestones are introduced. These are the introduction of accelerated training modules by </w:t>
      </w:r>
      <w:r w:rsidRPr="00EF2814">
        <w:rPr>
          <w:rFonts w:eastAsia="Times New Roman" w:cs="Arial"/>
          <w:b/>
          <w:bCs/>
          <w:highlight w:val="white"/>
          <w:lang w:val="en-GB"/>
        </w:rPr>
        <w:t>"Health Education England"</w:t>
      </w:r>
      <w:r w:rsidRPr="00EF2814">
        <w:rPr>
          <w:rFonts w:eastAsia="Times New Roman" w:cs="Arial"/>
          <w:highlight w:val="white"/>
          <w:lang w:val="en-GB"/>
        </w:rPr>
        <w:t xml:space="preserve"> (HEE), the </w:t>
      </w:r>
      <w:r w:rsidRPr="00EF2814">
        <w:rPr>
          <w:rFonts w:eastAsia="Times New Roman" w:cs="Arial"/>
          <w:b/>
          <w:bCs/>
          <w:highlight w:val="white"/>
          <w:lang w:val="en-GB"/>
        </w:rPr>
        <w:t>"General Medical Council"</w:t>
      </w:r>
      <w:r w:rsidRPr="00EF2814">
        <w:rPr>
          <w:rFonts w:eastAsia="Times New Roman" w:cs="Arial"/>
          <w:highlight w:val="white"/>
          <w:lang w:val="en-GB"/>
        </w:rPr>
        <w:t xml:space="preserve"> (GMC), and professional organisations like the </w:t>
      </w:r>
      <w:r w:rsidRPr="00EF2814">
        <w:rPr>
          <w:rFonts w:eastAsia="Times New Roman" w:cs="Arial"/>
          <w:b/>
          <w:bCs/>
          <w:highlight w:val="white"/>
          <w:lang w:val="en-GB"/>
        </w:rPr>
        <w:t>"Royal College of Nursing"</w:t>
      </w:r>
      <w:r w:rsidRPr="00EF2814">
        <w:rPr>
          <w:rFonts w:eastAsia="Times New Roman" w:cs="Arial"/>
          <w:highlight w:val="white"/>
          <w:lang w:val="en-GB"/>
        </w:rPr>
        <w:t xml:space="preserve"> (RCN) (Rcog, 2026; GMC, 2021; GOV.UK, 2026). The work of these organisations was focused on staff coordination to ensure that redeployed staff </w:t>
      </w:r>
      <w:r w:rsidR="00D8379A" w:rsidRPr="00EF2814">
        <w:rPr>
          <w:rFonts w:eastAsia="Times New Roman" w:cs="Arial"/>
          <w:highlight w:val="white"/>
          <w:lang w:val="en-GB"/>
        </w:rPr>
        <w:t>could provide</w:t>
      </w:r>
      <w:r w:rsidRPr="00EF2814">
        <w:rPr>
          <w:rFonts w:eastAsia="Times New Roman" w:cs="Arial"/>
          <w:highlight w:val="white"/>
          <w:lang w:val="en-GB"/>
        </w:rPr>
        <w:t xml:space="preserve"> efficient assistance in the frontline care without risks to themselves. Skills gap among trainees was a significant implication of the surveys by the GMC, since most of them mentioned the burnout risks (Wise, 2022). Thus, emergency training should be structured to maintain the resilience of the workforce.</w:t>
      </w:r>
    </w:p>
    <w:p w14:paraId="5AC02857" w14:textId="77777777" w:rsidR="00B346F4" w:rsidRPr="00EF2814" w:rsidRDefault="00B346F4" w:rsidP="00B346F4">
      <w:pPr>
        <w:spacing w:before="240" w:after="0"/>
        <w:rPr>
          <w:rFonts w:cs="Arial"/>
          <w:b/>
          <w:sz w:val="24"/>
          <w:highlight w:val="white"/>
          <w:lang w:val="en-GB"/>
        </w:rPr>
      </w:pPr>
      <w:bookmarkStart w:id="33" w:name="_Toc221375996"/>
      <w:r w:rsidRPr="00EF2814">
        <w:rPr>
          <w:rFonts w:cs="Arial"/>
          <w:b/>
          <w:sz w:val="24"/>
          <w:highlight w:val="white"/>
          <w:lang w:val="en-GB"/>
        </w:rPr>
        <w:t>Significant historical figures and contributions</w:t>
      </w:r>
      <w:bookmarkEnd w:id="33"/>
    </w:p>
    <w:p w14:paraId="18D87ABC" w14:textId="77777777" w:rsidR="00B346F4" w:rsidRDefault="00B346F4" w:rsidP="00B346F4">
      <w:pPr>
        <w:spacing w:before="240" w:after="0"/>
        <w:rPr>
          <w:rFonts w:eastAsia="Times New Roman" w:cs="Arial"/>
          <w:highlight w:val="white"/>
          <w:lang w:val="en-GB"/>
        </w:rPr>
      </w:pPr>
      <w:r w:rsidRPr="00EF2814">
        <w:rPr>
          <w:rFonts w:eastAsia="Times New Roman" w:cs="Arial"/>
          <w:highlight w:val="white"/>
          <w:lang w:val="en-GB"/>
        </w:rPr>
        <w:t xml:space="preserve">The potential contributions have been made by national organisations and figures who influenced the training environment during emergencies. As emphasised by Thefederation.uk (2026), the </w:t>
      </w:r>
      <w:r w:rsidRPr="00EF2814">
        <w:rPr>
          <w:rFonts w:eastAsia="Times New Roman" w:cs="Arial"/>
          <w:b/>
          <w:bCs/>
          <w:highlight w:val="white"/>
          <w:lang w:val="en-GB"/>
        </w:rPr>
        <w:t>Health Education England</w:t>
      </w:r>
      <w:r w:rsidRPr="00EF2814">
        <w:rPr>
          <w:rFonts w:eastAsia="Times New Roman" w:cs="Arial"/>
          <w:highlight w:val="white"/>
          <w:lang w:val="en-GB"/>
        </w:rPr>
        <w:t xml:space="preserve"> was influential in the development of rapid-response curricula. Correspondingly, the </w:t>
      </w:r>
      <w:r w:rsidRPr="00EF2814">
        <w:rPr>
          <w:rFonts w:eastAsia="Times New Roman" w:cs="Arial"/>
          <w:b/>
          <w:bCs/>
          <w:highlight w:val="white"/>
          <w:lang w:val="en-GB"/>
        </w:rPr>
        <w:t>Royal Colleges</w:t>
      </w:r>
      <w:r w:rsidRPr="00EF2814">
        <w:rPr>
          <w:rFonts w:eastAsia="Times New Roman" w:cs="Arial"/>
          <w:highlight w:val="white"/>
          <w:lang w:val="en-GB"/>
        </w:rPr>
        <w:t xml:space="preserve"> offered specific advice minutely to ensure the quality of care (Choudry </w:t>
      </w:r>
      <w:r w:rsidRPr="00EF2814">
        <w:rPr>
          <w:rFonts w:eastAsia="Times New Roman" w:cs="Arial"/>
          <w:i/>
          <w:iCs/>
          <w:highlight w:val="white"/>
          <w:lang w:val="en-GB"/>
        </w:rPr>
        <w:t>et al.,</w:t>
      </w:r>
      <w:r w:rsidRPr="00EF2814">
        <w:rPr>
          <w:rFonts w:eastAsia="Times New Roman" w:cs="Arial"/>
          <w:highlight w:val="white"/>
          <w:lang w:val="en-GB"/>
        </w:rPr>
        <w:t xml:space="preserve"> 2026). The core publicly funded institution of the UK, </w:t>
      </w:r>
      <w:r w:rsidRPr="00EF2814">
        <w:rPr>
          <w:rFonts w:eastAsia="Times New Roman" w:cs="Arial"/>
          <w:b/>
          <w:bCs/>
          <w:highlight w:val="white"/>
          <w:lang w:val="en-GB"/>
        </w:rPr>
        <w:t>the NHS</w:t>
      </w:r>
      <w:r w:rsidRPr="00EF2814">
        <w:rPr>
          <w:rFonts w:eastAsia="Times New Roman" w:cs="Arial"/>
          <w:highlight w:val="white"/>
          <w:lang w:val="en-GB"/>
        </w:rPr>
        <w:t>, has been flexibly redistributing resources and focusing on competency-based training (NHS England, 2024). At the same time, the scholarly contribution has also helped in capturing the experiences of clinical trainees so that the knowledge gained can ensure future preparedness.</w:t>
      </w:r>
    </w:p>
    <w:p w14:paraId="479ECB86" w14:textId="6BE9F01D" w:rsidR="00E36761" w:rsidRDefault="00E36761" w:rsidP="00E36761">
      <w:pPr>
        <w:spacing w:before="240" w:after="0"/>
        <w:jc w:val="center"/>
        <w:rPr>
          <w:rFonts w:eastAsia="Times New Roman" w:cs="Arial"/>
          <w:highlight w:val="white"/>
          <w:lang w:val="en-GB"/>
        </w:rPr>
      </w:pPr>
      <w:r>
        <w:rPr>
          <w:noProof/>
        </w:rPr>
        <w:lastRenderedPageBreak/>
        <w:drawing>
          <wp:inline distT="0" distB="0" distL="0" distR="0" wp14:anchorId="74D8618E" wp14:editId="5BB98A42">
            <wp:extent cx="2987040" cy="2750690"/>
            <wp:effectExtent l="19050" t="19050" r="22860" b="12065"/>
            <wp:docPr id="1017225300" name="Picture 2" descr="Inclusion of person-centred care in UK postgraduate medical education  curricula: Interviews and documentary analysis | BMC Medical Education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clusion of person-centred care in UK postgraduate medical education  curricula: Interviews and documentary analysis | BMC Medical Education |  Springer Nature Link"/>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98672" cy="2761402"/>
                    </a:xfrm>
                    <a:prstGeom prst="rect">
                      <a:avLst/>
                    </a:prstGeom>
                    <a:noFill/>
                    <a:ln>
                      <a:solidFill>
                        <a:schemeClr val="tx1"/>
                      </a:solidFill>
                    </a:ln>
                  </pic:spPr>
                </pic:pic>
              </a:graphicData>
            </a:graphic>
          </wp:inline>
        </w:drawing>
      </w:r>
    </w:p>
    <w:p w14:paraId="1EDA2DB9" w14:textId="2C425FF2" w:rsidR="00E36761" w:rsidRPr="00E36761" w:rsidRDefault="00E36761" w:rsidP="00E36761">
      <w:pPr>
        <w:spacing w:before="240" w:after="0"/>
        <w:jc w:val="center"/>
        <w:rPr>
          <w:rFonts w:eastAsia="Times New Roman" w:cs="Arial"/>
          <w:b/>
          <w:bCs/>
          <w:highlight w:val="white"/>
          <w:lang w:val="en-GB"/>
        </w:rPr>
      </w:pPr>
      <w:r w:rsidRPr="00E36761">
        <w:rPr>
          <w:rFonts w:eastAsia="Times New Roman" w:cs="Arial"/>
          <w:b/>
          <w:bCs/>
          <w:highlight w:val="white"/>
          <w:lang w:val="en-GB"/>
        </w:rPr>
        <w:t>Figure 2.2: External bodies influenced Royal College Curricula</w:t>
      </w:r>
    </w:p>
    <w:p w14:paraId="648C8071" w14:textId="0A18C938" w:rsidR="00E36761" w:rsidRPr="00EF2814" w:rsidRDefault="00E36761" w:rsidP="00E36761">
      <w:pPr>
        <w:spacing w:before="240" w:after="0"/>
        <w:jc w:val="center"/>
        <w:rPr>
          <w:rFonts w:eastAsia="Times New Roman" w:cs="Arial"/>
          <w:highlight w:val="white"/>
          <w:lang w:val="en-GB"/>
        </w:rPr>
      </w:pPr>
      <w:r>
        <w:rPr>
          <w:rFonts w:eastAsia="Times New Roman" w:cs="Arial"/>
          <w:highlight w:val="white"/>
          <w:lang w:val="en-GB"/>
        </w:rPr>
        <w:t xml:space="preserve">(Source: </w:t>
      </w:r>
      <w:r w:rsidR="00D57F61" w:rsidRPr="00E36761">
        <w:rPr>
          <w:lang w:val="en-IN"/>
        </w:rPr>
        <w:t>Moore</w:t>
      </w:r>
      <w:r w:rsidR="00D57F61">
        <w:rPr>
          <w:lang w:val="en-IN"/>
        </w:rPr>
        <w:t xml:space="preserve"> </w:t>
      </w:r>
      <w:r w:rsidR="00D57F61" w:rsidRPr="00D57F61">
        <w:rPr>
          <w:i/>
          <w:iCs/>
          <w:lang w:val="en-IN"/>
        </w:rPr>
        <w:t>et al.,</w:t>
      </w:r>
      <w:r w:rsidR="00D57F61">
        <w:rPr>
          <w:lang w:val="en-IN"/>
        </w:rPr>
        <w:t xml:space="preserve"> 2023)</w:t>
      </w:r>
    </w:p>
    <w:p w14:paraId="43E92BB4" w14:textId="77777777"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t>The above-introduced activities created a system of emergency clinical training needs which not only met the short-term demands relevant to the pandemic but also shaped long-term concepts regarding workforce development. The chronological process reveals the role of crisis as a driving force in training, whereby the COVID-19 pandemic is a landmark that caused a redefinition of the concept of competency, resilience, and adaptability in the health policy of the UK.</w:t>
      </w:r>
    </w:p>
    <w:p w14:paraId="633E7513" w14:textId="77777777" w:rsidR="00B346F4" w:rsidRPr="00EF2814" w:rsidRDefault="00B346F4" w:rsidP="00B346F4">
      <w:pPr>
        <w:pStyle w:val="Heading2"/>
        <w:rPr>
          <w:highlight w:val="white"/>
          <w:lang w:val="en-GB"/>
        </w:rPr>
      </w:pPr>
      <w:bookmarkStart w:id="34" w:name="_Toc221375997"/>
      <w:bookmarkStart w:id="35" w:name="_Toc222234348"/>
      <w:bookmarkStart w:id="36" w:name="_Toc222235736"/>
      <w:bookmarkStart w:id="37" w:name="_Toc222909338"/>
      <w:r w:rsidRPr="00EF2814">
        <w:rPr>
          <w:highlight w:val="white"/>
          <w:lang w:val="en-GB"/>
        </w:rPr>
        <w:t>2.3 Theoretical Background</w:t>
      </w:r>
      <w:bookmarkEnd w:id="34"/>
      <w:bookmarkEnd w:id="35"/>
      <w:bookmarkEnd w:id="36"/>
      <w:bookmarkEnd w:id="37"/>
    </w:p>
    <w:p w14:paraId="6E1E4E30" w14:textId="77777777" w:rsidR="00B346F4" w:rsidRPr="00EF2814" w:rsidRDefault="00B346F4" w:rsidP="00B346F4">
      <w:pPr>
        <w:spacing w:before="240" w:after="0"/>
        <w:rPr>
          <w:rFonts w:cs="Arial"/>
          <w:b/>
          <w:sz w:val="24"/>
          <w:highlight w:val="white"/>
          <w:lang w:val="en-GB"/>
        </w:rPr>
      </w:pPr>
      <w:bookmarkStart w:id="38" w:name="_Toc221375998"/>
      <w:r w:rsidRPr="00EF2814">
        <w:rPr>
          <w:rFonts w:cs="Arial"/>
          <w:b/>
          <w:sz w:val="24"/>
          <w:highlight w:val="white"/>
          <w:lang w:val="en-GB"/>
        </w:rPr>
        <w:t>Key theories and concepts</w:t>
      </w:r>
      <w:bookmarkEnd w:id="38"/>
    </w:p>
    <w:p w14:paraId="1BAA840C" w14:textId="77777777"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t>Some of the theories that can be utilised to study the context of emergency clinical training and staff competency during the COVID-19 pandemic include:</w:t>
      </w:r>
    </w:p>
    <w:p w14:paraId="77987688" w14:textId="77777777" w:rsidR="00B346F4" w:rsidRPr="00EF2814" w:rsidRDefault="00B346F4" w:rsidP="00B346F4">
      <w:pPr>
        <w:numPr>
          <w:ilvl w:val="0"/>
          <w:numId w:val="15"/>
        </w:numPr>
        <w:spacing w:before="240" w:after="0"/>
        <w:rPr>
          <w:rFonts w:eastAsia="Times New Roman" w:cs="Arial"/>
          <w:highlight w:val="white"/>
          <w:lang w:val="en-GB"/>
        </w:rPr>
      </w:pPr>
      <w:r w:rsidRPr="00EF2814">
        <w:rPr>
          <w:rFonts w:eastAsia="Times New Roman" w:cs="Arial"/>
          <w:b/>
          <w:bCs/>
          <w:highlight w:val="white"/>
          <w:lang w:val="en-GB"/>
        </w:rPr>
        <w:t>Competency-Based Training (CBT) -</w:t>
      </w:r>
      <w:r w:rsidRPr="00EF2814">
        <w:rPr>
          <w:rFonts w:eastAsia="Times New Roman" w:cs="Arial"/>
          <w:highlight w:val="white"/>
          <w:lang w:val="en-GB"/>
        </w:rPr>
        <w:t xml:space="preserve"> Drawing attention to the theory, Hussein (2024) emphasises quantifiable skills and knowledge that are needed to promote effective practice. CBT is relevant in the healthcare setting due to its proven effectiveness in enhancing proficiency in vital aspects, including infection control and patient safety.</w:t>
      </w:r>
    </w:p>
    <w:p w14:paraId="2F0825C2" w14:textId="77777777" w:rsidR="00B346F4" w:rsidRPr="00EF2814" w:rsidRDefault="00B346F4" w:rsidP="00B346F4">
      <w:pPr>
        <w:numPr>
          <w:ilvl w:val="0"/>
          <w:numId w:val="15"/>
        </w:numPr>
        <w:spacing w:before="240" w:after="0"/>
        <w:rPr>
          <w:rFonts w:eastAsia="Times New Roman" w:cs="Arial"/>
          <w:highlight w:val="white"/>
          <w:lang w:val="en-GB"/>
        </w:rPr>
      </w:pPr>
      <w:r w:rsidRPr="00EF2814">
        <w:rPr>
          <w:rFonts w:eastAsia="Times New Roman" w:cs="Arial"/>
          <w:b/>
          <w:bCs/>
          <w:highlight w:val="white"/>
          <w:lang w:val="en-GB"/>
        </w:rPr>
        <w:t xml:space="preserve">Adult Learning Theory - </w:t>
      </w:r>
      <w:r w:rsidRPr="00EF2814">
        <w:rPr>
          <w:rFonts w:eastAsia="Times New Roman" w:cs="Arial"/>
          <w:highlight w:val="white"/>
          <w:lang w:val="en-GB"/>
        </w:rPr>
        <w:t xml:space="preserve">The focus is on self-directed learning, practice relevance, and problem-oriented approaches. Based on the evidence by Philpott </w:t>
      </w:r>
      <w:r w:rsidRPr="00EF2814">
        <w:rPr>
          <w:rFonts w:eastAsia="Times New Roman" w:cs="Arial"/>
          <w:i/>
          <w:iCs/>
          <w:highlight w:val="white"/>
          <w:lang w:val="en-GB"/>
        </w:rPr>
        <w:t>et al.,</w:t>
      </w:r>
      <w:r w:rsidRPr="00EF2814">
        <w:rPr>
          <w:rFonts w:eastAsia="Times New Roman" w:cs="Arial"/>
          <w:highlight w:val="white"/>
          <w:lang w:val="en-GB"/>
        </w:rPr>
        <w:t xml:space="preserve"> (2022) the COVID-</w:t>
      </w:r>
      <w:r w:rsidRPr="00EF2814">
        <w:rPr>
          <w:rFonts w:eastAsia="Times New Roman" w:cs="Arial"/>
          <w:highlight w:val="white"/>
          <w:lang w:val="en-GB"/>
        </w:rPr>
        <w:lastRenderedPageBreak/>
        <w:t>19-based emergency training was strongly dependent on experiential and practical approaches aligned with professionals.</w:t>
      </w:r>
    </w:p>
    <w:p w14:paraId="669D621C" w14:textId="77777777" w:rsidR="00B346F4" w:rsidRPr="00EF2814" w:rsidRDefault="00B346F4" w:rsidP="00B346F4">
      <w:pPr>
        <w:numPr>
          <w:ilvl w:val="0"/>
          <w:numId w:val="15"/>
        </w:numPr>
        <w:spacing w:before="240" w:after="0"/>
        <w:rPr>
          <w:rFonts w:eastAsia="Times New Roman" w:cs="Arial"/>
          <w:highlight w:val="white"/>
          <w:lang w:val="en-GB"/>
        </w:rPr>
      </w:pPr>
      <w:r w:rsidRPr="00EF2814">
        <w:rPr>
          <w:rFonts w:eastAsia="Times New Roman" w:cs="Arial"/>
          <w:b/>
          <w:bCs/>
          <w:highlight w:val="white"/>
          <w:lang w:val="en-GB"/>
        </w:rPr>
        <w:t xml:space="preserve">Resilience Theory - </w:t>
      </w:r>
      <w:r w:rsidRPr="00EF2814">
        <w:rPr>
          <w:rFonts w:eastAsia="Times New Roman" w:cs="Arial"/>
          <w:highlight w:val="white"/>
          <w:lang w:val="en-GB"/>
        </w:rPr>
        <w:t xml:space="preserve">Based on the evidence by Egan </w:t>
      </w:r>
      <w:r w:rsidRPr="00EF2814">
        <w:rPr>
          <w:rFonts w:eastAsia="Times New Roman" w:cs="Arial"/>
          <w:i/>
          <w:iCs/>
          <w:highlight w:val="white"/>
          <w:lang w:val="en-GB"/>
        </w:rPr>
        <w:t>et al.,</w:t>
      </w:r>
      <w:r w:rsidRPr="00EF2814">
        <w:rPr>
          <w:rFonts w:eastAsia="Times New Roman" w:cs="Arial"/>
          <w:highlight w:val="white"/>
          <w:lang w:val="en-GB"/>
        </w:rPr>
        <w:t xml:space="preserve"> (2024) the theory dwells on the ability of systems and individuals to respond to stress. In the context of healthcare, it describes how emergency training aided the resilience of staff in stressful situations.</w:t>
      </w:r>
    </w:p>
    <w:p w14:paraId="3EC9B5D2" w14:textId="77777777" w:rsidR="00B346F4" w:rsidRPr="00EF2814" w:rsidRDefault="00B346F4" w:rsidP="00B346F4">
      <w:pPr>
        <w:numPr>
          <w:ilvl w:val="0"/>
          <w:numId w:val="15"/>
        </w:numPr>
        <w:spacing w:before="240" w:after="0"/>
        <w:rPr>
          <w:rFonts w:eastAsia="Times New Roman" w:cs="Arial"/>
          <w:highlight w:val="white"/>
          <w:lang w:val="en-GB"/>
        </w:rPr>
      </w:pPr>
      <w:r w:rsidRPr="00EF2814">
        <w:rPr>
          <w:rFonts w:eastAsia="Times New Roman" w:cs="Arial"/>
          <w:b/>
          <w:bCs/>
          <w:highlight w:val="white"/>
          <w:lang w:val="en-GB"/>
        </w:rPr>
        <w:t>Realist Evaluation Framework -</w:t>
      </w:r>
      <w:r w:rsidRPr="00EF2814">
        <w:rPr>
          <w:rFonts w:eastAsia="Times New Roman" w:cs="Arial"/>
          <w:highlight w:val="white"/>
          <w:lang w:val="en-GB"/>
        </w:rPr>
        <w:t xml:space="preserve"> The theory assesses the issue of what works, who benefits and in what situations. As per the emphasis by Haynes </w:t>
      </w:r>
      <w:r w:rsidRPr="00EF2814">
        <w:rPr>
          <w:rFonts w:eastAsia="Times New Roman" w:cs="Arial"/>
          <w:i/>
          <w:iCs/>
          <w:highlight w:val="white"/>
          <w:lang w:val="en-GB"/>
        </w:rPr>
        <w:t>et al.,</w:t>
      </w:r>
      <w:r w:rsidRPr="00EF2814">
        <w:rPr>
          <w:rFonts w:eastAsia="Times New Roman" w:cs="Arial"/>
          <w:highlight w:val="white"/>
          <w:lang w:val="en-GB"/>
        </w:rPr>
        <w:t xml:space="preserve"> (2021) this theory is especially applicable in the determination of the variable effectiveness of COVID-19 training programs in various NHS settings.</w:t>
      </w:r>
    </w:p>
    <w:p w14:paraId="5B511779" w14:textId="77777777" w:rsidR="00B346F4" w:rsidRPr="00EF2814" w:rsidRDefault="00B346F4" w:rsidP="00B346F4">
      <w:pPr>
        <w:spacing w:before="240" w:after="0"/>
        <w:rPr>
          <w:rFonts w:cs="Arial"/>
          <w:b/>
          <w:sz w:val="24"/>
          <w:highlight w:val="white"/>
          <w:lang w:val="en-GB"/>
        </w:rPr>
      </w:pPr>
      <w:bookmarkStart w:id="39" w:name="_Toc221375999"/>
      <w:r w:rsidRPr="00EF2814">
        <w:rPr>
          <w:rFonts w:cs="Arial"/>
          <w:b/>
          <w:sz w:val="24"/>
          <w:highlight w:val="white"/>
          <w:lang w:val="en-GB"/>
        </w:rPr>
        <w:t>Application of theories</w:t>
      </w:r>
      <w:bookmarkEnd w:id="39"/>
    </w:p>
    <w:p w14:paraId="50FE6329" w14:textId="77777777" w:rsidR="00B346F4" w:rsidRDefault="00B346F4" w:rsidP="00B346F4">
      <w:pPr>
        <w:spacing w:before="240" w:after="0"/>
        <w:rPr>
          <w:rFonts w:eastAsia="Times New Roman" w:cs="Arial"/>
          <w:highlight w:val="white"/>
          <w:lang w:val="en-GB"/>
        </w:rPr>
      </w:pPr>
      <w:r w:rsidRPr="00EF2814">
        <w:rPr>
          <w:rFonts w:eastAsia="Times New Roman" w:cs="Arial"/>
          <w:highlight w:val="white"/>
          <w:lang w:val="en-GB"/>
        </w:rPr>
        <w:t xml:space="preserve">A scoping review of global health worker training modifications in the COVID-19 situation observed that the CBT frameworks steered the rapid curriculum development to ensure that the staff were able to attain competency benchmarks in the face of reduced training timeframes (Malloch </w:t>
      </w:r>
      <w:r w:rsidRPr="00EF2814">
        <w:rPr>
          <w:rFonts w:eastAsia="Times New Roman" w:cs="Arial"/>
          <w:i/>
          <w:iCs/>
          <w:highlight w:val="white"/>
          <w:lang w:val="en-GB"/>
        </w:rPr>
        <w:t>et al.,</w:t>
      </w:r>
      <w:r w:rsidRPr="00EF2814">
        <w:rPr>
          <w:rFonts w:eastAsia="Times New Roman" w:cs="Arial"/>
          <w:highlight w:val="white"/>
          <w:lang w:val="en-GB"/>
        </w:rPr>
        <w:t xml:space="preserve"> 2021). Precisely, the </w:t>
      </w:r>
      <w:r w:rsidRPr="00EF2814">
        <w:rPr>
          <w:rFonts w:eastAsia="Times New Roman" w:cs="Arial"/>
          <w:b/>
          <w:bCs/>
          <w:highlight w:val="white"/>
          <w:lang w:val="en-GB"/>
        </w:rPr>
        <w:t>"Education and Training Framework"</w:t>
      </w:r>
      <w:r w:rsidRPr="00EF2814">
        <w:rPr>
          <w:rFonts w:eastAsia="Times New Roman" w:cs="Arial"/>
          <w:highlight w:val="white"/>
          <w:lang w:val="en-GB"/>
        </w:rPr>
        <w:t xml:space="preserve"> established by NHS England prioritise the principles of "adult learning" to the forefront as it made training resources modular and easily accessible (Skillsforhealth, 2026). Thus, it enabled staff members to attain up-skilling faster in aspects like ventilator use and PPE.</w:t>
      </w:r>
    </w:p>
    <w:p w14:paraId="132BD638" w14:textId="0103159D" w:rsidR="00D57F61" w:rsidRDefault="00D57F61" w:rsidP="00D57F61">
      <w:pPr>
        <w:spacing w:before="240" w:after="0"/>
        <w:jc w:val="center"/>
        <w:rPr>
          <w:rFonts w:eastAsia="Times New Roman" w:cs="Arial"/>
          <w:highlight w:val="white"/>
          <w:lang w:val="en-GB"/>
        </w:rPr>
      </w:pPr>
      <w:r>
        <w:rPr>
          <w:noProof/>
        </w:rPr>
        <w:drawing>
          <wp:inline distT="0" distB="0" distL="0" distR="0" wp14:anchorId="47FCFB33" wp14:editId="1B832280">
            <wp:extent cx="2679346" cy="2484120"/>
            <wp:effectExtent l="19050" t="19050" r="26035" b="11430"/>
            <wp:docPr id="524545407" name="Picture 3" descr="ReSPECT Training Framework : NHS Gloucestershire IC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SPECT Training Framework : NHS Gloucestershire ICB"/>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87408" cy="2491594"/>
                    </a:xfrm>
                    <a:prstGeom prst="rect">
                      <a:avLst/>
                    </a:prstGeom>
                    <a:noFill/>
                    <a:ln>
                      <a:solidFill>
                        <a:schemeClr val="tx1"/>
                      </a:solidFill>
                    </a:ln>
                  </pic:spPr>
                </pic:pic>
              </a:graphicData>
            </a:graphic>
          </wp:inline>
        </w:drawing>
      </w:r>
    </w:p>
    <w:p w14:paraId="57143EBA" w14:textId="1052519F" w:rsidR="00D57F61" w:rsidRPr="00D57F61" w:rsidRDefault="00D57F61" w:rsidP="00D57F61">
      <w:pPr>
        <w:spacing w:before="240" w:after="0"/>
        <w:jc w:val="center"/>
        <w:rPr>
          <w:rFonts w:eastAsia="Times New Roman" w:cs="Arial"/>
          <w:b/>
          <w:bCs/>
          <w:highlight w:val="white"/>
          <w:lang w:val="en-GB"/>
        </w:rPr>
      </w:pPr>
      <w:r w:rsidRPr="00D57F61">
        <w:rPr>
          <w:rFonts w:eastAsia="Times New Roman" w:cs="Arial"/>
          <w:b/>
          <w:bCs/>
          <w:highlight w:val="white"/>
          <w:lang w:val="en-GB"/>
        </w:rPr>
        <w:t>Figure 2.3: Education and Training Framework by the NHS – R</w:t>
      </w:r>
      <w:r w:rsidR="00D8379A">
        <w:rPr>
          <w:rFonts w:eastAsia="Times New Roman" w:cs="Arial"/>
          <w:b/>
          <w:bCs/>
          <w:highlight w:val="white"/>
          <w:lang w:val="en-GB"/>
        </w:rPr>
        <w:t>E</w:t>
      </w:r>
      <w:r w:rsidRPr="00D57F61">
        <w:rPr>
          <w:rFonts w:eastAsia="Times New Roman" w:cs="Arial"/>
          <w:b/>
          <w:bCs/>
          <w:highlight w:val="white"/>
          <w:lang w:val="en-GB"/>
        </w:rPr>
        <w:t>SPECT</w:t>
      </w:r>
    </w:p>
    <w:p w14:paraId="01011C42" w14:textId="1C6C96A0" w:rsidR="00D57F61" w:rsidRPr="00EF2814" w:rsidRDefault="00D57F61" w:rsidP="00D57F61">
      <w:pPr>
        <w:spacing w:before="240" w:after="0"/>
        <w:jc w:val="center"/>
        <w:rPr>
          <w:rFonts w:eastAsia="Times New Roman" w:cs="Arial"/>
          <w:highlight w:val="white"/>
          <w:lang w:val="en-GB"/>
        </w:rPr>
      </w:pPr>
      <w:r>
        <w:rPr>
          <w:rFonts w:eastAsia="Times New Roman" w:cs="Arial"/>
          <w:highlight w:val="white"/>
          <w:lang w:val="en-GB"/>
        </w:rPr>
        <w:t xml:space="preserve">(Source: </w:t>
      </w:r>
      <w:r w:rsidR="004A5E6F" w:rsidRPr="00EF2814">
        <w:rPr>
          <w:rFonts w:eastAsia="Times New Roman" w:cs="Arial"/>
          <w:highlight w:val="white"/>
          <w:lang w:val="en-GB"/>
        </w:rPr>
        <w:t>Skillsforhealth, 2026)</w:t>
      </w:r>
    </w:p>
    <w:p w14:paraId="4A2EEC71" w14:textId="77777777"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lastRenderedPageBreak/>
        <w:t xml:space="preserve">Realist evaluation studies, as empirically presented by Lefroy </w:t>
      </w:r>
      <w:r w:rsidRPr="00EF2814">
        <w:rPr>
          <w:rFonts w:eastAsia="Times New Roman" w:cs="Arial"/>
          <w:i/>
          <w:iCs/>
          <w:highlight w:val="white"/>
          <w:lang w:val="en-GB"/>
        </w:rPr>
        <w:t>et al.,</w:t>
      </w:r>
      <w:r w:rsidRPr="00EF2814">
        <w:rPr>
          <w:rFonts w:eastAsia="Times New Roman" w:cs="Arial"/>
          <w:highlight w:val="white"/>
          <w:lang w:val="en-GB"/>
        </w:rPr>
        <w:t xml:space="preserve"> (2023) showed that the effectiveness of training was not uniform across the board. For example, employees being redeployed into an intensive care setting gained more structured and simulation-based training than in online-based modules. A study by Boutros </w:t>
      </w:r>
      <w:r w:rsidRPr="00EF2814">
        <w:rPr>
          <w:rFonts w:eastAsia="Times New Roman" w:cs="Arial"/>
          <w:i/>
          <w:iCs/>
          <w:highlight w:val="white"/>
          <w:lang w:val="en-GB"/>
        </w:rPr>
        <w:t>et al.,</w:t>
      </w:r>
      <w:r w:rsidRPr="00EF2814">
        <w:rPr>
          <w:rFonts w:eastAsia="Times New Roman" w:cs="Arial"/>
          <w:highlight w:val="white"/>
          <w:lang w:val="en-GB"/>
        </w:rPr>
        <w:t xml:space="preserve"> (2023) on resilience theory revealed that, in addition to technical training, emergency training also enhanced psychological preparedness, in terms of fear and confidence of those returning to work following deployment.</w:t>
      </w:r>
    </w:p>
    <w:p w14:paraId="05318F02" w14:textId="77777777" w:rsidR="00B346F4" w:rsidRPr="00EF2814" w:rsidRDefault="00B346F4" w:rsidP="00B346F4">
      <w:pPr>
        <w:spacing w:before="240" w:after="0"/>
        <w:rPr>
          <w:rFonts w:cs="Arial"/>
          <w:b/>
          <w:sz w:val="24"/>
          <w:highlight w:val="white"/>
          <w:lang w:val="en-GB"/>
        </w:rPr>
      </w:pPr>
      <w:bookmarkStart w:id="40" w:name="_Toc221376000"/>
      <w:r w:rsidRPr="00EF2814">
        <w:rPr>
          <w:rFonts w:cs="Arial"/>
          <w:b/>
          <w:sz w:val="24"/>
          <w:highlight w:val="white"/>
          <w:lang w:val="en-GB"/>
        </w:rPr>
        <w:t>Critical evaluation</w:t>
      </w:r>
      <w:bookmarkEnd w:id="40"/>
    </w:p>
    <w:p w14:paraId="5947FF0A" w14:textId="77777777"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t>Although the theories present solid grounds, limitations still exist:</w:t>
      </w:r>
    </w:p>
    <w:p w14:paraId="3A100F21" w14:textId="77777777" w:rsidR="00B346F4" w:rsidRPr="00EF2814" w:rsidRDefault="00B346F4" w:rsidP="00B346F4">
      <w:pPr>
        <w:numPr>
          <w:ilvl w:val="0"/>
          <w:numId w:val="14"/>
        </w:numPr>
        <w:spacing w:before="240" w:after="0"/>
        <w:rPr>
          <w:rFonts w:eastAsia="Times New Roman" w:cs="Arial"/>
          <w:highlight w:val="white"/>
          <w:lang w:val="en-GB"/>
        </w:rPr>
      </w:pPr>
      <w:r w:rsidRPr="00EF2814">
        <w:rPr>
          <w:rFonts w:eastAsia="Times New Roman" w:cs="Arial"/>
          <w:b/>
          <w:bCs/>
          <w:highlight w:val="white"/>
          <w:lang w:val="en-GB"/>
        </w:rPr>
        <w:t xml:space="preserve">Competency-Based Training - </w:t>
      </w:r>
      <w:r w:rsidRPr="00EF2814">
        <w:rPr>
          <w:rFonts w:eastAsia="Times New Roman" w:cs="Arial"/>
          <w:highlight w:val="white"/>
          <w:lang w:val="en-GB"/>
        </w:rPr>
        <w:t>Its potential strengths are based on transparency and quantification (Hussein, 2024). However, critics argued that the theory has oversimplified complex clinical decision-making and dismissed the holistic care approach.</w:t>
      </w:r>
    </w:p>
    <w:p w14:paraId="15213F6E" w14:textId="77777777" w:rsidR="00B346F4" w:rsidRPr="00EF2814" w:rsidRDefault="00B346F4" w:rsidP="00B346F4">
      <w:pPr>
        <w:numPr>
          <w:ilvl w:val="0"/>
          <w:numId w:val="14"/>
        </w:numPr>
        <w:spacing w:before="240" w:after="0"/>
        <w:rPr>
          <w:rFonts w:eastAsia="Times New Roman" w:cs="Arial"/>
          <w:highlight w:val="white"/>
          <w:lang w:val="en-GB"/>
        </w:rPr>
      </w:pPr>
      <w:r w:rsidRPr="00EF2814">
        <w:rPr>
          <w:rFonts w:eastAsia="Times New Roman" w:cs="Arial"/>
          <w:b/>
          <w:bCs/>
          <w:highlight w:val="white"/>
          <w:lang w:val="en-GB"/>
        </w:rPr>
        <w:t>Adult Learning Theory -</w:t>
      </w:r>
      <w:r w:rsidRPr="00EF2814">
        <w:rPr>
          <w:rFonts w:eastAsia="Times New Roman" w:cs="Arial"/>
          <w:highlight w:val="white"/>
          <w:lang w:val="en-GB"/>
        </w:rPr>
        <w:t xml:space="preserve"> It works well in the customisation of training according to the participants. Nevertheless, the theory focuses on self-motivation, which is insignificant to crisis fatigue.</w:t>
      </w:r>
    </w:p>
    <w:p w14:paraId="378B1BA7" w14:textId="77777777" w:rsidR="00B346F4" w:rsidRPr="00EF2814" w:rsidRDefault="00B346F4" w:rsidP="00B346F4">
      <w:pPr>
        <w:numPr>
          <w:ilvl w:val="0"/>
          <w:numId w:val="14"/>
        </w:numPr>
        <w:spacing w:before="240" w:after="0"/>
        <w:rPr>
          <w:rFonts w:eastAsia="Times New Roman" w:cs="Arial"/>
          <w:highlight w:val="white"/>
          <w:lang w:val="en-GB"/>
        </w:rPr>
      </w:pPr>
      <w:r w:rsidRPr="00EF2814">
        <w:rPr>
          <w:rFonts w:eastAsia="Times New Roman" w:cs="Arial"/>
          <w:b/>
          <w:bCs/>
          <w:highlight w:val="white"/>
          <w:lang w:val="en-GB"/>
        </w:rPr>
        <w:t xml:space="preserve">Resilience Theory - </w:t>
      </w:r>
      <w:r w:rsidRPr="00EF2814">
        <w:rPr>
          <w:rFonts w:eastAsia="Times New Roman" w:cs="Arial"/>
          <w:highlight w:val="white"/>
          <w:lang w:val="en-GB"/>
        </w:rPr>
        <w:t>Not complex enough to be easily useful in training design, but nice to learn about the adaptation process since organisational culture shapes it as much as individual capacity.</w:t>
      </w:r>
    </w:p>
    <w:p w14:paraId="6EB0B473" w14:textId="77777777" w:rsidR="00B346F4" w:rsidRPr="00EF2814" w:rsidRDefault="00B346F4" w:rsidP="00B346F4">
      <w:pPr>
        <w:numPr>
          <w:ilvl w:val="0"/>
          <w:numId w:val="14"/>
        </w:numPr>
        <w:spacing w:before="240" w:after="0"/>
        <w:rPr>
          <w:rFonts w:eastAsia="Times New Roman" w:cs="Arial"/>
          <w:highlight w:val="white"/>
          <w:lang w:val="en-GB"/>
        </w:rPr>
      </w:pPr>
      <w:r w:rsidRPr="00EF2814">
        <w:rPr>
          <w:rFonts w:eastAsia="Times New Roman" w:cs="Arial"/>
          <w:b/>
          <w:bCs/>
          <w:highlight w:val="white"/>
          <w:lang w:val="en-GB"/>
        </w:rPr>
        <w:t xml:space="preserve">Realist Evaluation - </w:t>
      </w:r>
      <w:r w:rsidRPr="00EF2814">
        <w:rPr>
          <w:rFonts w:eastAsia="Times New Roman" w:cs="Arial"/>
          <w:highlight w:val="white"/>
          <w:lang w:val="en-GB"/>
        </w:rPr>
        <w:t xml:space="preserve">As implied by Haynes </w:t>
      </w:r>
      <w:r w:rsidRPr="00EF2814">
        <w:rPr>
          <w:rFonts w:eastAsia="Times New Roman" w:cs="Arial"/>
          <w:i/>
          <w:iCs/>
          <w:highlight w:val="white"/>
          <w:lang w:val="en-GB"/>
        </w:rPr>
        <w:t>et al.,</w:t>
      </w:r>
      <w:r w:rsidRPr="00EF2814">
        <w:rPr>
          <w:rFonts w:eastAsia="Times New Roman" w:cs="Arial"/>
          <w:highlight w:val="white"/>
          <w:lang w:val="en-GB"/>
        </w:rPr>
        <w:t xml:space="preserve"> (2021) is effective in understanding the value of adaptations. However, it requires vast data collection that seems challenging to obtain during the pandemic.</w:t>
      </w:r>
    </w:p>
    <w:p w14:paraId="0C07975E" w14:textId="77777777"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t>Since the outbreak, controversies have remained persistent. There are still discussions on whether competency frameworks can be used as a sufficient means of capturing the relational and ethical aspects of care, and whether emergency training must focus on technical competence rather than enhanced professional growth. However, a combination of these theories enabled a powerful perspective in the study of the role of COVID-19 emergency training in the competency of the staff in the UK healthcare sector.</w:t>
      </w:r>
    </w:p>
    <w:p w14:paraId="572410C8" w14:textId="77777777" w:rsidR="00AE4FBE" w:rsidRDefault="00AE4FBE" w:rsidP="00B346F4">
      <w:pPr>
        <w:pStyle w:val="Heading2"/>
        <w:rPr>
          <w:highlight w:val="white"/>
          <w:lang w:val="en-GB"/>
        </w:rPr>
      </w:pPr>
      <w:bookmarkStart w:id="41" w:name="_Toc221376001"/>
      <w:bookmarkStart w:id="42" w:name="_Toc222234349"/>
      <w:bookmarkStart w:id="43" w:name="_Toc222235737"/>
      <w:bookmarkStart w:id="44" w:name="_Toc222909339"/>
    </w:p>
    <w:p w14:paraId="50429093" w14:textId="77777777" w:rsidR="00AE4FBE" w:rsidRDefault="00AE4FBE" w:rsidP="00B346F4">
      <w:pPr>
        <w:pStyle w:val="Heading2"/>
        <w:rPr>
          <w:highlight w:val="white"/>
          <w:lang w:val="en-GB"/>
        </w:rPr>
      </w:pPr>
    </w:p>
    <w:p w14:paraId="1A46A0BB" w14:textId="1DA4A45F" w:rsidR="00B346F4" w:rsidRPr="00EF2814" w:rsidRDefault="00B346F4" w:rsidP="00B346F4">
      <w:pPr>
        <w:pStyle w:val="Heading2"/>
        <w:rPr>
          <w:highlight w:val="white"/>
          <w:lang w:val="en-GB"/>
        </w:rPr>
      </w:pPr>
      <w:r w:rsidRPr="00EF2814">
        <w:rPr>
          <w:highlight w:val="white"/>
          <w:lang w:val="en-GB"/>
        </w:rPr>
        <w:lastRenderedPageBreak/>
        <w:t>2.4 International Context</w:t>
      </w:r>
      <w:bookmarkEnd w:id="41"/>
      <w:bookmarkEnd w:id="42"/>
      <w:bookmarkEnd w:id="43"/>
      <w:bookmarkEnd w:id="44"/>
    </w:p>
    <w:p w14:paraId="2290E686" w14:textId="77777777" w:rsidR="00B346F4" w:rsidRPr="00EF2814" w:rsidRDefault="00B346F4" w:rsidP="00B346F4">
      <w:pPr>
        <w:spacing w:before="240" w:after="0"/>
        <w:rPr>
          <w:rFonts w:cs="Arial"/>
          <w:b/>
          <w:sz w:val="24"/>
          <w:highlight w:val="white"/>
          <w:lang w:val="en-GB"/>
        </w:rPr>
      </w:pPr>
      <w:bookmarkStart w:id="45" w:name="_Toc221376002"/>
      <w:r w:rsidRPr="00EF2814">
        <w:rPr>
          <w:rFonts w:cs="Arial"/>
          <w:b/>
          <w:sz w:val="24"/>
          <w:highlight w:val="white"/>
          <w:lang w:val="en-GB"/>
        </w:rPr>
        <w:t>Global perspective</w:t>
      </w:r>
      <w:bookmarkEnd w:id="45"/>
    </w:p>
    <w:p w14:paraId="2BE86C30" w14:textId="77777777"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t xml:space="preserve">Clinical training related to emergencies during COVID-19 has received global responses, where the healthcare system across countries has been adjusting to unpredictable demands (Filip </w:t>
      </w:r>
      <w:r w:rsidRPr="00EF2814">
        <w:rPr>
          <w:rFonts w:eastAsia="Times New Roman" w:cs="Arial"/>
          <w:i/>
          <w:iCs/>
          <w:highlight w:val="white"/>
          <w:lang w:val="en-GB"/>
        </w:rPr>
        <w:t>et al.,</w:t>
      </w:r>
      <w:r w:rsidRPr="00EF2814">
        <w:rPr>
          <w:rFonts w:eastAsia="Times New Roman" w:cs="Arial"/>
          <w:highlight w:val="white"/>
          <w:lang w:val="en-GB"/>
        </w:rPr>
        <w:t xml:space="preserve"> 2022). As stated by Vera San Juan</w:t>
      </w:r>
      <w:r w:rsidRPr="00EF2814">
        <w:rPr>
          <w:rFonts w:eastAsia="Times New Roman" w:cs="Arial"/>
          <w:i/>
          <w:iCs/>
          <w:highlight w:val="white"/>
          <w:lang w:val="en-GB"/>
        </w:rPr>
        <w:t xml:space="preserve"> et al.,</w:t>
      </w:r>
      <w:r w:rsidRPr="00EF2814">
        <w:rPr>
          <w:rFonts w:eastAsia="Times New Roman" w:cs="Arial"/>
          <w:highlight w:val="white"/>
          <w:lang w:val="en-GB"/>
        </w:rPr>
        <w:t xml:space="preserve"> (2022) nations elaborated quick trainings to prepare staff for re-deployment across different care units for infection prevention, critical care, and ventilator application. Globally, organisations, like the </w:t>
      </w:r>
      <w:r w:rsidRPr="00EF2814">
        <w:rPr>
          <w:rFonts w:eastAsia="Times New Roman" w:cs="Arial"/>
          <w:b/>
          <w:bCs/>
          <w:highlight w:val="white"/>
          <w:lang w:val="en-GB"/>
        </w:rPr>
        <w:t>World Health Organisation</w:t>
      </w:r>
      <w:r w:rsidRPr="00EF2814">
        <w:rPr>
          <w:rFonts w:eastAsia="Times New Roman" w:cs="Arial"/>
          <w:highlight w:val="white"/>
          <w:lang w:val="en-GB"/>
        </w:rPr>
        <w:t xml:space="preserve"> (WHO), provide guidelines to standardise the training methods focusing on the competency-based frameworks and digital learning resources (WHO, 2020). One major trend was the use of online modules, simulation training and cross-disciplinary redeployment, which were used to maintain workforce capacity.</w:t>
      </w:r>
    </w:p>
    <w:p w14:paraId="0E8B282F" w14:textId="77777777" w:rsidR="00B346F4" w:rsidRPr="00EF2814" w:rsidRDefault="00B346F4" w:rsidP="00B346F4">
      <w:pPr>
        <w:spacing w:before="240" w:after="0"/>
        <w:rPr>
          <w:rFonts w:cs="Arial"/>
          <w:b/>
          <w:sz w:val="24"/>
          <w:highlight w:val="white"/>
          <w:lang w:val="en-GB"/>
        </w:rPr>
      </w:pPr>
      <w:bookmarkStart w:id="46" w:name="_Toc221376003"/>
      <w:r w:rsidRPr="00EF2814">
        <w:rPr>
          <w:rFonts w:cs="Arial"/>
          <w:b/>
          <w:sz w:val="24"/>
          <w:highlight w:val="white"/>
          <w:lang w:val="en-GB"/>
        </w:rPr>
        <w:t>Comparative analysis</w:t>
      </w:r>
      <w:bookmarkEnd w:id="46"/>
    </w:p>
    <w:p w14:paraId="0B915623" w14:textId="77777777"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t xml:space="preserve">Varied strategies were implemented across different regions. Hospitals in the United States launched a fast simulation training program for nurses and physicians, using virtual reality, and simulating scenarios in an ICU (Seam </w:t>
      </w:r>
      <w:r w:rsidRPr="00EF2814">
        <w:rPr>
          <w:rFonts w:eastAsia="Times New Roman" w:cs="Arial"/>
          <w:i/>
          <w:iCs/>
          <w:highlight w:val="white"/>
          <w:lang w:val="en-GB"/>
        </w:rPr>
        <w:t>et al.,</w:t>
      </w:r>
      <w:r w:rsidRPr="00EF2814">
        <w:rPr>
          <w:rFonts w:eastAsia="Times New Roman" w:cs="Arial"/>
          <w:highlight w:val="white"/>
          <w:lang w:val="en-GB"/>
        </w:rPr>
        <w:t xml:space="preserve"> 2020). Lamberti-Castronuovo </w:t>
      </w:r>
      <w:r w:rsidRPr="00EF2814">
        <w:rPr>
          <w:rFonts w:eastAsia="Times New Roman" w:cs="Arial"/>
          <w:i/>
          <w:iCs/>
          <w:highlight w:val="white"/>
          <w:lang w:val="en-GB"/>
        </w:rPr>
        <w:t>et al.,</w:t>
      </w:r>
      <w:r w:rsidRPr="00EF2814">
        <w:rPr>
          <w:rFonts w:eastAsia="Times New Roman" w:cs="Arial"/>
          <w:highlight w:val="white"/>
          <w:lang w:val="en-GB"/>
        </w:rPr>
        <w:t xml:space="preserve"> (2022) explained that emergency training in Italy, which underlines the respiratory management and triage guidelines, was one of the first European epicentres, backed up by the national health authorities. The UK focused on the modular online training using the Health Education England, whereas China counted on the centralised government-based training programs with the inclusion of the military medical experience (GOV.UK, 2026; Ma </w:t>
      </w:r>
      <w:r w:rsidRPr="00EF2814">
        <w:rPr>
          <w:rFonts w:eastAsia="Times New Roman" w:cs="Arial"/>
          <w:i/>
          <w:iCs/>
          <w:highlight w:val="white"/>
          <w:lang w:val="en-GB"/>
        </w:rPr>
        <w:t>et al.,</w:t>
      </w:r>
      <w:r w:rsidRPr="00EF2814">
        <w:rPr>
          <w:rFonts w:eastAsia="Times New Roman" w:cs="Arial"/>
          <w:highlight w:val="white"/>
          <w:lang w:val="en-GB"/>
        </w:rPr>
        <w:t xml:space="preserve"> 2025). All these methods bring out the differences between decentralised and centralised training delivery modes.</w:t>
      </w:r>
    </w:p>
    <w:p w14:paraId="61A245FE" w14:textId="77777777" w:rsidR="00B346F4" w:rsidRPr="00EF2814" w:rsidRDefault="00B346F4" w:rsidP="00B346F4">
      <w:pPr>
        <w:spacing w:before="240" w:after="0"/>
        <w:rPr>
          <w:rFonts w:cs="Arial"/>
          <w:b/>
          <w:sz w:val="24"/>
          <w:highlight w:val="white"/>
          <w:lang w:val="en-GB"/>
        </w:rPr>
      </w:pPr>
      <w:bookmarkStart w:id="47" w:name="_Toc221376004"/>
      <w:r w:rsidRPr="00EF2814">
        <w:rPr>
          <w:rFonts w:cs="Arial"/>
          <w:b/>
          <w:sz w:val="24"/>
          <w:highlight w:val="white"/>
          <w:lang w:val="en-GB"/>
        </w:rPr>
        <w:t>Case studies</w:t>
      </w:r>
      <w:bookmarkEnd w:id="47"/>
    </w:p>
    <w:p w14:paraId="296413D7" w14:textId="77777777"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t xml:space="preserve">International partnerships came into operation with an attempt to exchange resources and best practices. According to the information by WHO (2021), WHO collaborated with universities and health ministries to introduce open-access training modules. This is because the </w:t>
      </w:r>
      <w:r w:rsidRPr="00EF2814">
        <w:rPr>
          <w:rFonts w:eastAsia="Times New Roman" w:cs="Arial"/>
          <w:b/>
          <w:bCs/>
          <w:highlight w:val="white"/>
          <w:lang w:val="en-GB"/>
        </w:rPr>
        <w:t>"International Council of Nurses"</w:t>
      </w:r>
      <w:r w:rsidRPr="00EF2814">
        <w:rPr>
          <w:rFonts w:eastAsia="Times New Roman" w:cs="Arial"/>
          <w:highlight w:val="white"/>
          <w:lang w:val="en-GB"/>
        </w:rPr>
        <w:t xml:space="preserve"> supported knowledge sharing across countries. Comparatively, the training needs were organised through the European Union, whereby the clinical standards were evenly strategised across member states. These campaigns enforced the significance of shared education in the event of a worldwide crisis like the Covid-19 pandemic.</w:t>
      </w:r>
    </w:p>
    <w:p w14:paraId="7F59EE87" w14:textId="77777777" w:rsidR="00B346F4" w:rsidRPr="00EF2814" w:rsidRDefault="00B346F4" w:rsidP="00B346F4">
      <w:pPr>
        <w:numPr>
          <w:ilvl w:val="0"/>
          <w:numId w:val="16"/>
        </w:numPr>
        <w:spacing w:before="240" w:after="0"/>
        <w:rPr>
          <w:rFonts w:eastAsia="Times New Roman" w:cs="Arial"/>
          <w:highlight w:val="white"/>
          <w:lang w:val="en-GB"/>
        </w:rPr>
      </w:pPr>
      <w:r w:rsidRPr="00EF2814">
        <w:rPr>
          <w:rFonts w:eastAsia="Times New Roman" w:cs="Arial"/>
          <w:b/>
          <w:bCs/>
          <w:highlight w:val="white"/>
          <w:lang w:val="en-GB"/>
        </w:rPr>
        <w:lastRenderedPageBreak/>
        <w:t>United States -</w:t>
      </w:r>
      <w:r w:rsidRPr="00EF2814">
        <w:rPr>
          <w:rFonts w:eastAsia="Times New Roman" w:cs="Arial"/>
          <w:highlight w:val="white"/>
          <w:lang w:val="en-GB"/>
        </w:rPr>
        <w:t xml:space="preserve"> The Johns Hopkins Hospital designed quick response training to redeployed employees, which links online training with simulation. As evidenced by Seam </w:t>
      </w:r>
      <w:r w:rsidRPr="00EF2814">
        <w:rPr>
          <w:rFonts w:eastAsia="Times New Roman" w:cs="Arial"/>
          <w:i/>
          <w:iCs/>
          <w:highlight w:val="white"/>
          <w:lang w:val="en-GB"/>
        </w:rPr>
        <w:t>et al.,</w:t>
      </w:r>
      <w:r w:rsidRPr="00EF2814">
        <w:rPr>
          <w:rFonts w:eastAsia="Times New Roman" w:cs="Arial"/>
          <w:highlight w:val="white"/>
          <w:lang w:val="en-GB"/>
        </w:rPr>
        <w:t xml:space="preserve"> (2020) successful approaches include virtual achievements in ICUs. However, critical challenges are unavoidable, including staff exhaustion and access to technology.</w:t>
      </w:r>
    </w:p>
    <w:p w14:paraId="38209F90" w14:textId="77777777" w:rsidR="00B346F4" w:rsidRPr="00EF2814" w:rsidRDefault="00B346F4" w:rsidP="00B346F4">
      <w:pPr>
        <w:numPr>
          <w:ilvl w:val="0"/>
          <w:numId w:val="16"/>
        </w:numPr>
        <w:spacing w:before="240" w:after="0"/>
        <w:rPr>
          <w:rFonts w:eastAsia="Times New Roman" w:cs="Arial"/>
          <w:highlight w:val="white"/>
          <w:lang w:val="en-GB"/>
        </w:rPr>
      </w:pPr>
      <w:r w:rsidRPr="00EF2814">
        <w:rPr>
          <w:rFonts w:eastAsia="Times New Roman" w:cs="Arial"/>
          <w:b/>
          <w:bCs/>
          <w:highlight w:val="white"/>
          <w:lang w:val="en-GB"/>
        </w:rPr>
        <w:t xml:space="preserve">Italy </w:t>
      </w:r>
      <w:r w:rsidRPr="00EF2814">
        <w:rPr>
          <w:rFonts w:eastAsia="Times New Roman" w:cs="Arial"/>
          <w:highlight w:val="white"/>
          <w:lang w:val="en-GB"/>
        </w:rPr>
        <w:t>- Training programs aimed at breathing and PPE are of an emergency nature. Improved efficiency of triage was seen to be successful, although this was hampered by the insufficiency of trainers and equipment.</w:t>
      </w:r>
    </w:p>
    <w:p w14:paraId="56962E27" w14:textId="77777777" w:rsidR="00B346F4" w:rsidRPr="00EF2814" w:rsidRDefault="00B346F4" w:rsidP="00B346F4">
      <w:pPr>
        <w:numPr>
          <w:ilvl w:val="0"/>
          <w:numId w:val="16"/>
        </w:numPr>
        <w:spacing w:before="240" w:after="0"/>
        <w:rPr>
          <w:rFonts w:eastAsia="Times New Roman" w:cs="Arial"/>
          <w:highlight w:val="white"/>
          <w:lang w:val="en-GB"/>
        </w:rPr>
      </w:pPr>
      <w:r w:rsidRPr="00EF2814">
        <w:rPr>
          <w:rFonts w:eastAsia="Times New Roman" w:cs="Arial"/>
          <w:b/>
          <w:bCs/>
          <w:highlight w:val="white"/>
          <w:lang w:val="en-GB"/>
        </w:rPr>
        <w:t xml:space="preserve">China </w:t>
      </w:r>
      <w:r w:rsidRPr="00EF2814">
        <w:rPr>
          <w:rFonts w:eastAsia="Times New Roman" w:cs="Arial"/>
          <w:highlight w:val="white"/>
          <w:lang w:val="en-GB"/>
        </w:rPr>
        <w:t xml:space="preserve">- Core training units, as demonstrated by Ma </w:t>
      </w:r>
      <w:r w:rsidRPr="00EF2814">
        <w:rPr>
          <w:rFonts w:eastAsia="Times New Roman" w:cs="Arial"/>
          <w:i/>
          <w:iCs/>
          <w:highlight w:val="white"/>
          <w:lang w:val="en-GB"/>
        </w:rPr>
        <w:t>et al.,</w:t>
      </w:r>
      <w:r w:rsidRPr="00EF2814">
        <w:rPr>
          <w:rFonts w:eastAsia="Times New Roman" w:cs="Arial"/>
          <w:highlight w:val="white"/>
          <w:lang w:val="en-GB"/>
        </w:rPr>
        <w:t xml:space="preserve"> (2025) are subjected to military medical teams, which guarantee standard procedures-based knowledge dissemination. Although it was working well at scaling training to a large scale, critics pointed out inflexibility in making local adaptations.</w:t>
      </w:r>
    </w:p>
    <w:p w14:paraId="5A757C03" w14:textId="77777777" w:rsidR="00B346F4" w:rsidRPr="00EF2814" w:rsidRDefault="00B346F4" w:rsidP="00B346F4">
      <w:pPr>
        <w:numPr>
          <w:ilvl w:val="0"/>
          <w:numId w:val="16"/>
        </w:numPr>
        <w:spacing w:before="240" w:after="0"/>
        <w:rPr>
          <w:rFonts w:eastAsia="Times New Roman" w:cs="Arial"/>
          <w:highlight w:val="white"/>
          <w:lang w:val="en-GB"/>
        </w:rPr>
      </w:pPr>
      <w:r w:rsidRPr="00EF2814">
        <w:rPr>
          <w:rFonts w:eastAsia="Times New Roman" w:cs="Arial"/>
          <w:b/>
          <w:bCs/>
          <w:highlight w:val="white"/>
          <w:lang w:val="en-GB"/>
        </w:rPr>
        <w:t xml:space="preserve">UK </w:t>
      </w:r>
      <w:r w:rsidRPr="00EF2814">
        <w:rPr>
          <w:rFonts w:eastAsia="Times New Roman" w:cs="Arial"/>
          <w:highlight w:val="white"/>
          <w:lang w:val="en-GB"/>
        </w:rPr>
        <w:t>- According to the study by the online training resources of the UK, Health Education England (HEE), and virtual training are accessible to a broad audience (GOV.UK, 2026). However, some employees explained that the virtual training modules lacked the richness of hands-on simulation.</w:t>
      </w:r>
    </w:p>
    <w:p w14:paraId="682363DE" w14:textId="77777777" w:rsidR="00B346F4" w:rsidRPr="00EF2814" w:rsidRDefault="00B346F4" w:rsidP="00B346F4">
      <w:pPr>
        <w:pStyle w:val="Heading2"/>
        <w:rPr>
          <w:highlight w:val="white"/>
          <w:lang w:val="en-GB"/>
        </w:rPr>
      </w:pPr>
      <w:bookmarkStart w:id="48" w:name="_Toc221376005"/>
      <w:bookmarkStart w:id="49" w:name="_Toc222234350"/>
      <w:bookmarkStart w:id="50" w:name="_Toc222235738"/>
      <w:bookmarkStart w:id="51" w:name="_Toc222909340"/>
      <w:r w:rsidRPr="00EF2814">
        <w:rPr>
          <w:highlight w:val="white"/>
          <w:lang w:val="en-GB"/>
        </w:rPr>
        <w:t>2.5 National/Local UK Context</w:t>
      </w:r>
      <w:bookmarkEnd w:id="48"/>
      <w:bookmarkEnd w:id="49"/>
      <w:bookmarkEnd w:id="50"/>
      <w:bookmarkEnd w:id="51"/>
    </w:p>
    <w:p w14:paraId="30BB2141" w14:textId="77777777" w:rsidR="00B346F4" w:rsidRPr="00EF2814" w:rsidRDefault="00B346F4" w:rsidP="00B346F4">
      <w:pPr>
        <w:spacing w:before="240" w:after="0"/>
        <w:rPr>
          <w:rFonts w:cs="Arial"/>
          <w:b/>
          <w:sz w:val="24"/>
          <w:highlight w:val="white"/>
          <w:lang w:val="en-GB"/>
        </w:rPr>
      </w:pPr>
      <w:bookmarkStart w:id="52" w:name="_Toc221376006"/>
      <w:r w:rsidRPr="00EF2814">
        <w:rPr>
          <w:rFonts w:cs="Arial"/>
          <w:b/>
          <w:sz w:val="24"/>
          <w:highlight w:val="white"/>
          <w:lang w:val="en-GB"/>
        </w:rPr>
        <w:t>UK perspective</w:t>
      </w:r>
      <w:bookmarkEnd w:id="52"/>
    </w:p>
    <w:p w14:paraId="15F779C8" w14:textId="77777777"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t xml:space="preserve">In the UK, emergency clinical training during the COVID-19 pandemic has been considered a vital tool in maintaining the health care delivery under extreme demand. Hartley </w:t>
      </w:r>
      <w:r w:rsidRPr="00EF2814">
        <w:rPr>
          <w:rFonts w:eastAsia="Times New Roman" w:cs="Arial"/>
          <w:i/>
          <w:iCs/>
          <w:highlight w:val="white"/>
          <w:lang w:val="en-GB"/>
        </w:rPr>
        <w:t>et al.,</w:t>
      </w:r>
      <w:r w:rsidRPr="00EF2814">
        <w:rPr>
          <w:rFonts w:eastAsia="Times New Roman" w:cs="Arial"/>
          <w:highlight w:val="white"/>
          <w:lang w:val="en-GB"/>
        </w:rPr>
        <w:t xml:space="preserve"> (2025) implied that under unpredictable demands at the NHS, continuous redeployment of staff is a critical step. Understandably, accelerated training programs based on infection control, critical care, and ventilator management were organised by the </w:t>
      </w:r>
      <w:r w:rsidRPr="00EF2814">
        <w:rPr>
          <w:rFonts w:eastAsia="Times New Roman" w:cs="Arial"/>
          <w:b/>
          <w:bCs/>
          <w:highlight w:val="white"/>
          <w:lang w:val="en-GB"/>
        </w:rPr>
        <w:t>Royal Colleges</w:t>
      </w:r>
      <w:r w:rsidRPr="00EF2814">
        <w:rPr>
          <w:rFonts w:eastAsia="Times New Roman" w:cs="Arial"/>
          <w:highlight w:val="white"/>
          <w:lang w:val="en-GB"/>
        </w:rPr>
        <w:t xml:space="preserve"> and </w:t>
      </w:r>
      <w:r w:rsidRPr="00EF2814">
        <w:rPr>
          <w:rFonts w:eastAsia="Times New Roman" w:cs="Arial"/>
          <w:b/>
          <w:bCs/>
          <w:highlight w:val="white"/>
          <w:lang w:val="en-GB"/>
        </w:rPr>
        <w:t xml:space="preserve">Health Education England </w:t>
      </w:r>
      <w:r w:rsidRPr="00EF2814">
        <w:rPr>
          <w:rFonts w:eastAsia="Times New Roman" w:cs="Arial"/>
          <w:highlight w:val="white"/>
          <w:lang w:val="en-GB"/>
        </w:rPr>
        <w:t xml:space="preserve">(HEE) (NHS 2022). Trends in the country are focused on </w:t>
      </w:r>
      <w:r w:rsidRPr="00EF2814">
        <w:rPr>
          <w:rFonts w:eastAsia="Times New Roman" w:cs="Arial"/>
          <w:b/>
          <w:bCs/>
          <w:highlight w:val="white"/>
          <w:lang w:val="en-GB"/>
        </w:rPr>
        <w:t>competency-based models</w:t>
      </w:r>
      <w:r w:rsidRPr="00EF2814">
        <w:rPr>
          <w:rFonts w:eastAsia="Times New Roman" w:cs="Arial"/>
          <w:highlight w:val="white"/>
          <w:lang w:val="en-GB"/>
        </w:rPr>
        <w:t xml:space="preserve"> and </w:t>
      </w:r>
      <w:r w:rsidRPr="00EF2814">
        <w:rPr>
          <w:rFonts w:eastAsia="Times New Roman" w:cs="Arial"/>
          <w:b/>
          <w:bCs/>
          <w:highlight w:val="white"/>
          <w:lang w:val="en-GB"/>
        </w:rPr>
        <w:t>online learning services</w:t>
      </w:r>
      <w:r w:rsidRPr="00EF2814">
        <w:rPr>
          <w:rFonts w:eastAsia="Times New Roman" w:cs="Arial"/>
          <w:highlight w:val="white"/>
          <w:lang w:val="en-GB"/>
        </w:rPr>
        <w:t xml:space="preserve">, as well as </w:t>
      </w:r>
      <w:r w:rsidRPr="00EF2814">
        <w:rPr>
          <w:rFonts w:eastAsia="Times New Roman" w:cs="Arial"/>
          <w:b/>
          <w:bCs/>
          <w:highlight w:val="white"/>
          <w:lang w:val="en-GB"/>
        </w:rPr>
        <w:t>modular training tools</w:t>
      </w:r>
      <w:r w:rsidRPr="00EF2814">
        <w:rPr>
          <w:rFonts w:eastAsia="Times New Roman" w:cs="Arial"/>
          <w:highlight w:val="white"/>
          <w:lang w:val="en-GB"/>
        </w:rPr>
        <w:t xml:space="preserve"> to make them available to diverse employees.</w:t>
      </w:r>
    </w:p>
    <w:p w14:paraId="5207A5DA" w14:textId="77777777" w:rsidR="00B346F4" w:rsidRPr="00EF2814" w:rsidRDefault="00B346F4" w:rsidP="00B346F4">
      <w:pPr>
        <w:spacing w:before="240" w:after="0"/>
        <w:rPr>
          <w:rFonts w:cs="Arial"/>
          <w:b/>
          <w:sz w:val="24"/>
          <w:highlight w:val="white"/>
          <w:lang w:val="en-GB"/>
        </w:rPr>
      </w:pPr>
      <w:bookmarkStart w:id="53" w:name="_Toc221376007"/>
      <w:r w:rsidRPr="00EF2814">
        <w:rPr>
          <w:rFonts w:cs="Arial"/>
          <w:b/>
          <w:sz w:val="24"/>
          <w:highlight w:val="white"/>
          <w:lang w:val="en-GB"/>
        </w:rPr>
        <w:t>Policy and regulation</w:t>
      </w:r>
      <w:bookmarkEnd w:id="53"/>
    </w:p>
    <w:p w14:paraId="0A727EE1" w14:textId="77777777"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t xml:space="preserve">The provision of emergency training has been influenced by national policies and regulations. Workforce responsibilities that are prioritised under the </w:t>
      </w:r>
      <w:r w:rsidRPr="00EF2814">
        <w:rPr>
          <w:rFonts w:eastAsia="Times New Roman" w:cs="Arial"/>
          <w:b/>
          <w:bCs/>
          <w:highlight w:val="white"/>
          <w:lang w:val="en-GB"/>
        </w:rPr>
        <w:t>Care Act 2014</w:t>
      </w:r>
      <w:r w:rsidRPr="00EF2814">
        <w:rPr>
          <w:rFonts w:eastAsia="Times New Roman" w:cs="Arial"/>
          <w:highlight w:val="white"/>
          <w:lang w:val="en-GB"/>
        </w:rPr>
        <w:t xml:space="preserve"> and </w:t>
      </w:r>
      <w:r w:rsidRPr="00EF2814">
        <w:rPr>
          <w:rFonts w:eastAsia="Times New Roman" w:cs="Arial"/>
          <w:b/>
          <w:bCs/>
          <w:highlight w:val="white"/>
          <w:lang w:val="en-GB"/>
        </w:rPr>
        <w:t>Health and Social Care Act 2012</w:t>
      </w:r>
      <w:r w:rsidRPr="00EF2814">
        <w:rPr>
          <w:rFonts w:eastAsia="Times New Roman" w:cs="Arial"/>
          <w:highlight w:val="white"/>
          <w:lang w:val="en-GB"/>
        </w:rPr>
        <w:t xml:space="preserve"> outlined a legal framework (GOV.UK, 2024; Legislation 2022). Accordingly, </w:t>
      </w:r>
      <w:r w:rsidRPr="00EF2814">
        <w:rPr>
          <w:rFonts w:eastAsia="Times New Roman" w:cs="Arial"/>
          <w:highlight w:val="white"/>
          <w:lang w:val="en-GB"/>
        </w:rPr>
        <w:lastRenderedPageBreak/>
        <w:t xml:space="preserve">emergency directives, such as those issued by the </w:t>
      </w:r>
      <w:r w:rsidRPr="00EF2814">
        <w:rPr>
          <w:rFonts w:eastAsia="Times New Roman" w:cs="Arial"/>
          <w:b/>
          <w:bCs/>
          <w:highlight w:val="white"/>
          <w:lang w:val="en-GB"/>
        </w:rPr>
        <w:t>Department of Health and Social Care</w:t>
      </w:r>
      <w:r w:rsidRPr="00EF2814">
        <w:rPr>
          <w:rFonts w:eastAsia="Times New Roman" w:cs="Arial"/>
          <w:highlight w:val="white"/>
          <w:lang w:val="en-GB"/>
        </w:rPr>
        <w:t xml:space="preserve"> (DHSC) and </w:t>
      </w:r>
      <w:r w:rsidRPr="00EF2814">
        <w:rPr>
          <w:rFonts w:eastAsia="Times New Roman" w:cs="Arial"/>
          <w:b/>
          <w:bCs/>
          <w:highlight w:val="white"/>
          <w:lang w:val="en-GB"/>
        </w:rPr>
        <w:t>NHS England</w:t>
      </w:r>
      <w:r w:rsidRPr="00EF2814">
        <w:rPr>
          <w:rFonts w:eastAsia="Times New Roman" w:cs="Arial"/>
          <w:highlight w:val="white"/>
          <w:lang w:val="en-GB"/>
        </w:rPr>
        <w:t xml:space="preserve">, require swift upskilling (Accipio, 2026). The </w:t>
      </w:r>
      <w:r w:rsidRPr="00EF2814">
        <w:rPr>
          <w:rFonts w:eastAsia="Times New Roman" w:cs="Arial"/>
          <w:b/>
          <w:bCs/>
          <w:highlight w:val="white"/>
          <w:lang w:val="en-GB"/>
        </w:rPr>
        <w:t>General Medical Council</w:t>
      </w:r>
      <w:r w:rsidRPr="00EF2814">
        <w:rPr>
          <w:rFonts w:eastAsia="Times New Roman" w:cs="Arial"/>
          <w:highlight w:val="white"/>
          <w:lang w:val="en-GB"/>
        </w:rPr>
        <w:t xml:space="preserve"> (GMC) provided new temporary changes in training requirements, thus increasing flexibility in redeployment without compromising professional standards (GMC, 2021). These policies ensure that emergency training is consistent with regulatory expectations in terms of balancing urgency and accountability.</w:t>
      </w:r>
    </w:p>
    <w:p w14:paraId="657A39AE" w14:textId="77777777" w:rsidR="00B346F4" w:rsidRPr="00EF2814" w:rsidRDefault="00B346F4" w:rsidP="00B346F4">
      <w:pPr>
        <w:spacing w:before="240" w:after="0"/>
        <w:rPr>
          <w:rFonts w:cs="Arial"/>
          <w:b/>
          <w:sz w:val="24"/>
          <w:highlight w:val="white"/>
          <w:lang w:val="en-GB"/>
        </w:rPr>
      </w:pPr>
      <w:bookmarkStart w:id="54" w:name="_Toc221376008"/>
      <w:r w:rsidRPr="00EF2814">
        <w:rPr>
          <w:rFonts w:cs="Arial"/>
          <w:b/>
          <w:sz w:val="24"/>
          <w:highlight w:val="white"/>
          <w:lang w:val="en-GB"/>
        </w:rPr>
        <w:t>Local context</w:t>
      </w:r>
      <w:bookmarkEnd w:id="54"/>
    </w:p>
    <w:p w14:paraId="1D03AE0A" w14:textId="77777777"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t xml:space="preserve">NHS Trusts introduced region-based initiatives at the local level. For instance, London hospitals focused on simulations in preparing staff for the job (Chelwest, 2022). Correspondingly, the rural Trusts were more dependent on online modules under resource limitations. Maddock </w:t>
      </w:r>
      <w:r w:rsidRPr="00EF2814">
        <w:rPr>
          <w:rFonts w:eastAsia="Times New Roman" w:cs="Arial"/>
          <w:i/>
          <w:iCs/>
          <w:highlight w:val="white"/>
          <w:lang w:val="en-GB"/>
        </w:rPr>
        <w:t>et al.,</w:t>
      </w:r>
      <w:r w:rsidRPr="00EF2814">
        <w:rPr>
          <w:rFonts w:eastAsia="Times New Roman" w:cs="Arial"/>
          <w:highlight w:val="white"/>
          <w:lang w:val="en-GB"/>
        </w:rPr>
        <w:t xml:space="preserve"> (2022) implied that regional disparities are encountered under demand differences, workforce availability, &amp; infrastructure. It also facilitated custom training through local partnerships with institutions of higher education and professional associations. This indicates that employees can meet the demands within local contexts.</w:t>
      </w:r>
    </w:p>
    <w:p w14:paraId="313889B4" w14:textId="77777777"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t>The national and local response in the UK introduced a balance between the centralisation of policy and localisation of the response. At the same time, it ensured emergency clinical training as both nationally standardised and context sensitive.</w:t>
      </w:r>
    </w:p>
    <w:p w14:paraId="61079096" w14:textId="77777777" w:rsidR="00B346F4" w:rsidRPr="00EF2814" w:rsidRDefault="00B346F4" w:rsidP="00B346F4">
      <w:pPr>
        <w:pStyle w:val="Heading2"/>
        <w:rPr>
          <w:highlight w:val="white"/>
          <w:lang w:val="en-GB"/>
        </w:rPr>
      </w:pPr>
      <w:bookmarkStart w:id="55" w:name="_Toc221376009"/>
      <w:bookmarkStart w:id="56" w:name="_Toc222234351"/>
      <w:bookmarkStart w:id="57" w:name="_Toc222235739"/>
      <w:bookmarkStart w:id="58" w:name="_Toc222909341"/>
      <w:r w:rsidRPr="00EF2814">
        <w:rPr>
          <w:highlight w:val="white"/>
          <w:lang w:val="en-GB"/>
        </w:rPr>
        <w:t>2.6 Conclusion</w:t>
      </w:r>
      <w:bookmarkEnd w:id="55"/>
      <w:bookmarkEnd w:id="56"/>
      <w:bookmarkEnd w:id="57"/>
      <w:bookmarkEnd w:id="58"/>
    </w:p>
    <w:p w14:paraId="7A42AE4B" w14:textId="7512C629" w:rsidR="00B346F4" w:rsidRPr="00EF2814" w:rsidRDefault="00B346F4" w:rsidP="00B346F4">
      <w:pPr>
        <w:spacing w:before="240" w:after="0"/>
        <w:rPr>
          <w:rFonts w:eastAsia="Times New Roman" w:cs="Arial"/>
          <w:highlight w:val="white"/>
          <w:lang w:val="en-GB"/>
        </w:rPr>
      </w:pPr>
      <w:r w:rsidRPr="00EF2814">
        <w:rPr>
          <w:rFonts w:eastAsia="Times New Roman" w:cs="Arial"/>
          <w:highlight w:val="white"/>
          <w:lang w:val="en-GB"/>
        </w:rPr>
        <w:t>The chapter has presented the background in the context of studying the impact of COVID-19 emergency clinical training on the level of competency among the staff within the UK healthcare industry. The evidence has provided insights into the history of development of the emergency training, identified the main theoretical concepts like competency-based training and resilience theory, as well as discussed, the international practices showing both common issues and potential solutions</w:t>
      </w:r>
      <w:r w:rsidR="007A373A">
        <w:rPr>
          <w:rFonts w:eastAsia="Times New Roman" w:cs="Arial"/>
          <w:highlight w:val="white"/>
          <w:lang w:val="en-GB"/>
        </w:rPr>
        <w:t xml:space="preserve"> (</w:t>
      </w:r>
      <w:r w:rsidR="007A373A" w:rsidRPr="00EF2814">
        <w:rPr>
          <w:rFonts w:eastAsia="Times New Roman" w:cs="Arial"/>
          <w:highlight w:val="white"/>
          <w:lang w:val="en-GB"/>
        </w:rPr>
        <w:t>Thefederation.uk</w:t>
      </w:r>
      <w:r w:rsidR="007A373A">
        <w:rPr>
          <w:rFonts w:eastAsia="Times New Roman" w:cs="Arial"/>
          <w:highlight w:val="white"/>
          <w:lang w:val="en-GB"/>
        </w:rPr>
        <w:t xml:space="preserve">, </w:t>
      </w:r>
      <w:r w:rsidR="007A373A" w:rsidRPr="00EF2814">
        <w:rPr>
          <w:rFonts w:eastAsia="Times New Roman" w:cs="Arial"/>
          <w:highlight w:val="white"/>
          <w:lang w:val="en-GB"/>
        </w:rPr>
        <w:t>2026)</w:t>
      </w:r>
      <w:r w:rsidRPr="00EF2814">
        <w:rPr>
          <w:rFonts w:eastAsia="Times New Roman" w:cs="Arial"/>
          <w:highlight w:val="white"/>
          <w:lang w:val="en-GB"/>
        </w:rPr>
        <w:t>. The UK situation has been analysed through national policies, regulatory frameworks and local activities</w:t>
      </w:r>
      <w:r w:rsidR="007A373A">
        <w:rPr>
          <w:rFonts w:eastAsia="Times New Roman" w:cs="Arial"/>
          <w:highlight w:val="white"/>
          <w:lang w:val="en-GB"/>
        </w:rPr>
        <w:t xml:space="preserve"> </w:t>
      </w:r>
      <w:r w:rsidR="007A373A" w:rsidRPr="00EF2814">
        <w:rPr>
          <w:rFonts w:eastAsia="Times New Roman" w:cs="Arial"/>
          <w:highlight w:val="white"/>
          <w:lang w:val="en-GB"/>
        </w:rPr>
        <w:t>(GOV.UK, 2024; Legislation 2022)</w:t>
      </w:r>
      <w:r w:rsidRPr="00EF2814">
        <w:rPr>
          <w:rFonts w:eastAsia="Times New Roman" w:cs="Arial"/>
          <w:highlight w:val="white"/>
          <w:lang w:val="en-GB"/>
        </w:rPr>
        <w:t>. Further information evidenced centralised guidance, which has been redefined to suit the local demands.</w:t>
      </w:r>
    </w:p>
    <w:p w14:paraId="66B44737" w14:textId="6B257159" w:rsidR="00B346F4" w:rsidRPr="00EF2814" w:rsidRDefault="00B346F4" w:rsidP="00B346F4">
      <w:pPr>
        <w:spacing w:before="240" w:after="0"/>
        <w:rPr>
          <w:rFonts w:cs="Arial"/>
          <w:lang w:val="en-GB"/>
        </w:rPr>
      </w:pPr>
      <w:r w:rsidRPr="00EF2814">
        <w:rPr>
          <w:rFonts w:eastAsia="Times New Roman" w:cs="Arial"/>
          <w:highlight w:val="white"/>
          <w:lang w:val="en-GB"/>
        </w:rPr>
        <w:t xml:space="preserve">Overall, these viewpoints lay a good groundwork for the research. The following chapter, Methodology, would expand on this background, providing the research design, data gathering procedures and methods of data analysis. Contextual information herein would be used to make </w:t>
      </w:r>
      <w:r w:rsidRPr="00EF2814">
        <w:rPr>
          <w:rFonts w:eastAsia="Times New Roman" w:cs="Arial"/>
          <w:highlight w:val="white"/>
          <w:lang w:val="en-GB"/>
        </w:rPr>
        <w:lastRenderedPageBreak/>
        <w:t>methodological decisions that identify the theoretical rigour and practical relevance gathered from the study.</w:t>
      </w:r>
    </w:p>
    <w:p w14:paraId="2126C3F1" w14:textId="3DD7D312" w:rsidR="00126B52" w:rsidRPr="00EF2814" w:rsidRDefault="00126B52" w:rsidP="008C02E0">
      <w:pPr>
        <w:spacing w:before="240" w:after="0"/>
        <w:rPr>
          <w:rFonts w:cs="Arial"/>
          <w:b/>
          <w:sz w:val="28"/>
          <w:szCs w:val="40"/>
          <w:highlight w:val="white"/>
          <w:lang w:val="en-GB"/>
        </w:rPr>
      </w:pPr>
    </w:p>
    <w:p w14:paraId="7F4648AF" w14:textId="233050C7" w:rsidR="00126B52" w:rsidRPr="00EF2814" w:rsidRDefault="00126B52" w:rsidP="008C02E0">
      <w:pPr>
        <w:spacing w:before="240" w:after="0"/>
        <w:rPr>
          <w:rFonts w:cs="Arial"/>
          <w:b/>
          <w:bCs/>
          <w:sz w:val="28"/>
          <w:szCs w:val="28"/>
          <w:lang w:val="en-GB"/>
        </w:rPr>
      </w:pPr>
      <w:r w:rsidRPr="00EF2814">
        <w:rPr>
          <w:rFonts w:cs="Arial"/>
          <w:b/>
          <w:bCs/>
          <w:sz w:val="28"/>
          <w:szCs w:val="28"/>
          <w:lang w:val="en-GB"/>
        </w:rPr>
        <w:br w:type="page"/>
      </w:r>
    </w:p>
    <w:p w14:paraId="489BBCE1" w14:textId="0AA1E120" w:rsidR="00ED1049" w:rsidRPr="00EF2814" w:rsidRDefault="00ED1049" w:rsidP="008C02E0">
      <w:pPr>
        <w:pStyle w:val="Heading1"/>
        <w:spacing w:before="240" w:line="360" w:lineRule="auto"/>
        <w:rPr>
          <w:lang w:val="en-GB"/>
        </w:rPr>
      </w:pPr>
      <w:bookmarkStart w:id="59" w:name="_Toc222234376"/>
      <w:bookmarkStart w:id="60" w:name="_Toc222909342"/>
      <w:r w:rsidRPr="00EF2814">
        <w:rPr>
          <w:lang w:val="en-GB"/>
        </w:rPr>
        <w:lastRenderedPageBreak/>
        <w:t>References</w:t>
      </w:r>
      <w:bookmarkEnd w:id="59"/>
      <w:bookmarkEnd w:id="60"/>
    </w:p>
    <w:p w14:paraId="3E5DB182" w14:textId="431959BA" w:rsidR="00871971" w:rsidRPr="00C326DE" w:rsidRDefault="00871971" w:rsidP="00B346F4">
      <w:pPr>
        <w:spacing w:before="240"/>
        <w:rPr>
          <w:lang w:val="en-GB"/>
        </w:rPr>
      </w:pPr>
      <w:r w:rsidRPr="00C326DE">
        <w:rPr>
          <w:lang w:val="en-GB"/>
        </w:rPr>
        <w:t>Accipio</w:t>
      </w:r>
      <w:r w:rsidRPr="00367F55">
        <w:rPr>
          <w:lang w:val="en-GB"/>
        </w:rPr>
        <w:t>,</w:t>
      </w:r>
      <w:r w:rsidRPr="00C326DE">
        <w:rPr>
          <w:lang w:val="en-GB"/>
        </w:rPr>
        <w:t xml:space="preserve"> (2026) </w:t>
      </w:r>
      <w:r w:rsidRPr="00C326DE">
        <w:rPr>
          <w:i/>
          <w:iCs/>
          <w:lang w:val="en-GB"/>
        </w:rPr>
        <w:t>Welcome To Zscaler Directory Authentication</w:t>
      </w:r>
      <w:r w:rsidRPr="00C326DE">
        <w:rPr>
          <w:lang w:val="en-GB"/>
        </w:rPr>
        <w:t xml:space="preserve">. [online] Available at: </w:t>
      </w:r>
      <w:hyperlink r:id="rId20" w:history="1">
        <w:r w:rsidRPr="00C326DE">
          <w:rPr>
            <w:rStyle w:val="Hyperlink"/>
            <w:lang w:val="en-GB"/>
          </w:rPr>
          <w:t>https://www.accipio.com/case-studies/department-of-health-and-social-care/</w:t>
        </w:r>
      </w:hyperlink>
      <w:r w:rsidRPr="00367F55">
        <w:rPr>
          <w:lang w:val="en-GB"/>
        </w:rPr>
        <w:t xml:space="preserve"> </w:t>
      </w:r>
      <w:r w:rsidRPr="00C326DE">
        <w:rPr>
          <w:lang w:val="en-GB"/>
        </w:rPr>
        <w:t>[Accessed</w:t>
      </w:r>
      <w:r w:rsidR="00AE4FBE">
        <w:rPr>
          <w:lang w:val="en-GB"/>
        </w:rPr>
        <w:t xml:space="preserve"> </w:t>
      </w:r>
      <w:r w:rsidRPr="00C326DE">
        <w:rPr>
          <w:lang w:val="en-GB"/>
        </w:rPr>
        <w:t xml:space="preserve">7 </w:t>
      </w:r>
      <w:r w:rsidRPr="00367F55">
        <w:rPr>
          <w:lang w:val="en-GB"/>
        </w:rPr>
        <w:t>February</w:t>
      </w:r>
      <w:r w:rsidRPr="00C326DE">
        <w:rPr>
          <w:lang w:val="en-GB"/>
        </w:rPr>
        <w:t xml:space="preserve"> 202</w:t>
      </w:r>
      <w:r w:rsidR="00AE4FBE">
        <w:rPr>
          <w:lang w:val="en-GB"/>
        </w:rPr>
        <w:t>6]</w:t>
      </w:r>
    </w:p>
    <w:p w14:paraId="2B6F8F1C" w14:textId="77777777" w:rsidR="00871971" w:rsidRPr="00367F55" w:rsidRDefault="00871971" w:rsidP="00B346F4">
      <w:pPr>
        <w:spacing w:before="240"/>
        <w:rPr>
          <w:lang w:val="en-GB"/>
        </w:rPr>
      </w:pPr>
      <w:r w:rsidRPr="00ED156F">
        <w:rPr>
          <w:lang w:val="en-GB"/>
        </w:rPr>
        <w:t xml:space="preserve">Boutros, P., Kassem, N., Nieder, J., Jaramillo, C., von Petersdorff, J., Walsh, F.J., Bärnighausen, T. and Barteit, S. (2023) </w:t>
      </w:r>
      <w:r w:rsidRPr="00367F55">
        <w:rPr>
          <w:lang w:val="en-GB"/>
        </w:rPr>
        <w:t>‘</w:t>
      </w:r>
      <w:r w:rsidRPr="00ED156F">
        <w:rPr>
          <w:lang w:val="en-GB"/>
        </w:rPr>
        <w:t>Education and Training Adaptations for Health Workers during the COVID-19 Pandemic: A Scoping Review of Lessons Learned and Innovations.</w:t>
      </w:r>
      <w:r w:rsidRPr="00367F55">
        <w:rPr>
          <w:lang w:val="en-GB"/>
        </w:rPr>
        <w:t>’</w:t>
      </w:r>
      <w:r w:rsidRPr="00ED156F">
        <w:rPr>
          <w:lang w:val="en-GB"/>
        </w:rPr>
        <w:t xml:space="preserve"> </w:t>
      </w:r>
      <w:r w:rsidRPr="00ED156F">
        <w:rPr>
          <w:i/>
          <w:iCs/>
          <w:lang w:val="en-GB"/>
        </w:rPr>
        <w:t>Healthcare</w:t>
      </w:r>
      <w:r w:rsidRPr="00ED156F">
        <w:rPr>
          <w:lang w:val="en-GB"/>
        </w:rPr>
        <w:t xml:space="preserve">, [online] 11(21), p.2902. </w:t>
      </w:r>
      <w:r w:rsidRPr="000F7FD4">
        <w:rPr>
          <w:lang w:val="en-GB"/>
        </w:rPr>
        <w:t xml:space="preserve">Available at: </w:t>
      </w:r>
      <w:hyperlink r:id="rId21" w:history="1">
        <w:r w:rsidRPr="00ED156F">
          <w:rPr>
            <w:rStyle w:val="Hyperlink"/>
            <w:lang w:val="en-GB"/>
          </w:rPr>
          <w:t>https://doi.org/10.3390/healthcare11212902</w:t>
        </w:r>
      </w:hyperlink>
      <w:r w:rsidRPr="00367F55">
        <w:rPr>
          <w:lang w:val="en-GB"/>
        </w:rPr>
        <w:t xml:space="preserve"> </w:t>
      </w:r>
    </w:p>
    <w:p w14:paraId="71D1F890" w14:textId="77777777" w:rsidR="00871971" w:rsidRPr="001069CB" w:rsidRDefault="00871971" w:rsidP="00000B16">
      <w:pPr>
        <w:widowControl w:val="0"/>
        <w:autoSpaceDE w:val="0"/>
        <w:autoSpaceDN w:val="0"/>
        <w:adjustRightInd w:val="0"/>
        <w:spacing w:before="240" w:after="0"/>
        <w:rPr>
          <w:rFonts w:cs="Arial"/>
        </w:rPr>
      </w:pPr>
      <w:r w:rsidRPr="001069CB">
        <w:rPr>
          <w:rFonts w:cs="Arial"/>
        </w:rPr>
        <w:t xml:space="preserve">Carrillo, I., Skoumalová, I., Ireen Bruus, Klemm, V., Guerra-Paiva, S., Bojana Knežević, Jankauskiene, A., Dragana Jocic, Tella, S., Buttigieg, S.C., Einav Srulovici, Andrea Madarasová Gecková, Kaja Põlluste, Reinhard Strametz, Sousa, P., Odalovic, M. and José Joaquín Mira (2024) ‘Psychological Safety Competency Training During the Clinical Internship From the Perspective of Health Care Trainee Mentors in 11 Pan-European Countries: Mixed Methods Observational Study’, </w:t>
      </w:r>
      <w:r w:rsidRPr="001069CB">
        <w:rPr>
          <w:rFonts w:cs="Arial"/>
          <w:i/>
          <w:iCs/>
        </w:rPr>
        <w:t>JMIR Medical Education</w:t>
      </w:r>
      <w:r w:rsidRPr="001069CB">
        <w:rPr>
          <w:rFonts w:cs="Arial"/>
        </w:rPr>
        <w:t xml:space="preserve">, 10, pp. e64125–e64125. Available at: </w:t>
      </w:r>
      <w:hyperlink r:id="rId22" w:history="1">
        <w:r w:rsidRPr="001069CB">
          <w:rPr>
            <w:rFonts w:cs="Arial"/>
          </w:rPr>
          <w:t>https://doi.org/10.2196/64125</w:t>
        </w:r>
      </w:hyperlink>
      <w:r w:rsidRPr="001069CB">
        <w:rPr>
          <w:rFonts w:cs="Arial"/>
        </w:rPr>
        <w:t>.</w:t>
      </w:r>
    </w:p>
    <w:p w14:paraId="1F39B2E3" w14:textId="77777777" w:rsidR="00871971" w:rsidRPr="00000B16" w:rsidRDefault="00871971" w:rsidP="00000B16">
      <w:pPr>
        <w:widowControl w:val="0"/>
        <w:autoSpaceDE w:val="0"/>
        <w:autoSpaceDN w:val="0"/>
        <w:adjustRightInd w:val="0"/>
        <w:spacing w:before="240" w:after="0"/>
        <w:rPr>
          <w:rFonts w:cs="Arial"/>
        </w:rPr>
      </w:pPr>
      <w:r w:rsidRPr="001069CB">
        <w:rPr>
          <w:rFonts w:cs="Arial"/>
        </w:rPr>
        <w:t xml:space="preserve">Chapwanya, O. (2025) ‘Assessment of United Kingdom (UK) further education student perceptions of the significance of ChatGPT on learning experiences in business studies: An integrative literature review’, </w:t>
      </w:r>
      <w:r w:rsidRPr="001069CB">
        <w:rPr>
          <w:rFonts w:cs="Arial"/>
          <w:i/>
          <w:iCs/>
        </w:rPr>
        <w:t>Studies in Technology Enhanced Learning</w:t>
      </w:r>
      <w:r w:rsidRPr="001069CB">
        <w:rPr>
          <w:rFonts w:cs="Arial"/>
        </w:rPr>
        <w:t xml:space="preserve">, 4(1). Available at: </w:t>
      </w:r>
      <w:hyperlink r:id="rId23" w:history="1">
        <w:r w:rsidRPr="001069CB">
          <w:rPr>
            <w:rFonts w:cs="Arial"/>
          </w:rPr>
          <w:t>https://doi.org/10.21428/8c225f6e.a48744da</w:t>
        </w:r>
      </w:hyperlink>
      <w:r w:rsidRPr="001069CB">
        <w:rPr>
          <w:rFonts w:cs="Arial"/>
        </w:rPr>
        <w:t>.</w:t>
      </w:r>
    </w:p>
    <w:p w14:paraId="03906AA3" w14:textId="77777777" w:rsidR="00871971" w:rsidRPr="00433DA1" w:rsidRDefault="00871971" w:rsidP="00B346F4">
      <w:pPr>
        <w:spacing w:before="240"/>
        <w:rPr>
          <w:lang w:val="en-GB"/>
        </w:rPr>
      </w:pPr>
      <w:r w:rsidRPr="00433DA1">
        <w:rPr>
          <w:lang w:val="en-GB"/>
        </w:rPr>
        <w:t xml:space="preserve">Chelwest (2022) </w:t>
      </w:r>
      <w:r w:rsidRPr="00433DA1">
        <w:rPr>
          <w:i/>
          <w:iCs/>
          <w:lang w:val="en-GB"/>
        </w:rPr>
        <w:t>Simulation</w:t>
      </w:r>
      <w:r w:rsidRPr="00433DA1">
        <w:rPr>
          <w:lang w:val="en-GB"/>
        </w:rPr>
        <w:t xml:space="preserve">. [online] Chelsea and Westminster Hospital NHS Foundation Trust. Available at: </w:t>
      </w:r>
      <w:hyperlink r:id="rId24" w:history="1">
        <w:r w:rsidRPr="00433DA1">
          <w:rPr>
            <w:rStyle w:val="Hyperlink"/>
            <w:lang w:val="en-GB"/>
          </w:rPr>
          <w:t>https://www.chelwest.nhs.uk/professionals/clinical-learning-development/simulation</w:t>
        </w:r>
      </w:hyperlink>
      <w:r w:rsidRPr="00367F55">
        <w:rPr>
          <w:lang w:val="en-GB"/>
        </w:rPr>
        <w:t xml:space="preserve"> </w:t>
      </w:r>
      <w:r w:rsidRPr="00C326DE">
        <w:rPr>
          <w:lang w:val="en-GB"/>
        </w:rPr>
        <w:t xml:space="preserve">[Accessed 7 </w:t>
      </w:r>
      <w:r w:rsidRPr="00367F55">
        <w:rPr>
          <w:lang w:val="en-GB"/>
        </w:rPr>
        <w:t>February</w:t>
      </w:r>
      <w:r w:rsidRPr="00C326DE">
        <w:rPr>
          <w:lang w:val="en-GB"/>
        </w:rPr>
        <w:t xml:space="preserve"> 2026]</w:t>
      </w:r>
    </w:p>
    <w:p w14:paraId="56579D38" w14:textId="77777777" w:rsidR="00871971" w:rsidRPr="001069CB" w:rsidRDefault="00871971" w:rsidP="00000B16">
      <w:pPr>
        <w:widowControl w:val="0"/>
        <w:autoSpaceDE w:val="0"/>
        <w:autoSpaceDN w:val="0"/>
        <w:adjustRightInd w:val="0"/>
        <w:spacing w:before="240" w:after="0"/>
        <w:rPr>
          <w:rFonts w:cs="Arial"/>
        </w:rPr>
      </w:pPr>
      <w:r w:rsidRPr="001069CB">
        <w:rPr>
          <w:rFonts w:cs="Arial"/>
        </w:rPr>
        <w:t xml:space="preserve">Cheong, H., Lyons, A., Houghton, R. and Majumdar, A. (2023) ‘Secondary Qualitative Research Methodology Using Online Data within the Context of Social Sciences’, </w:t>
      </w:r>
      <w:r w:rsidRPr="001069CB">
        <w:rPr>
          <w:rFonts w:cs="Arial"/>
          <w:i/>
          <w:iCs/>
        </w:rPr>
        <w:t>International Journal of Qualitative Methods</w:t>
      </w:r>
      <w:r w:rsidRPr="001069CB">
        <w:rPr>
          <w:rFonts w:cs="Arial"/>
        </w:rPr>
        <w:t>, 22(1), pp. 1–19.</w:t>
      </w:r>
    </w:p>
    <w:p w14:paraId="7A375B69" w14:textId="77777777" w:rsidR="00871971" w:rsidRPr="00367F55" w:rsidRDefault="00871971" w:rsidP="00B346F4">
      <w:pPr>
        <w:spacing w:before="240"/>
        <w:rPr>
          <w:lang w:val="en-GB"/>
        </w:rPr>
      </w:pPr>
      <w:r w:rsidRPr="0061730B">
        <w:rPr>
          <w:lang w:val="en-GB"/>
        </w:rPr>
        <w:t>Choudry, M.I., Stewart, K. and Woodhead, T. (20</w:t>
      </w:r>
      <w:r w:rsidRPr="00367F55">
        <w:rPr>
          <w:lang w:val="en-GB"/>
        </w:rPr>
        <w:t>2</w:t>
      </w:r>
      <w:r w:rsidRPr="0061730B">
        <w:rPr>
          <w:lang w:val="en-GB"/>
        </w:rPr>
        <w:t xml:space="preserve">6). </w:t>
      </w:r>
      <w:r w:rsidRPr="00367F55">
        <w:rPr>
          <w:lang w:val="en-GB"/>
        </w:rPr>
        <w:t>‘</w:t>
      </w:r>
      <w:r w:rsidRPr="0061730B">
        <w:rPr>
          <w:lang w:val="en-GB"/>
        </w:rPr>
        <w:t>The Royal College of Physician’s Quality Improvement Hub – how can it help physicians to improve patient care?</w:t>
      </w:r>
      <w:r w:rsidRPr="00367F55">
        <w:rPr>
          <w:lang w:val="en-GB"/>
        </w:rPr>
        <w:t>’</w:t>
      </w:r>
      <w:r w:rsidRPr="0061730B">
        <w:rPr>
          <w:lang w:val="en-GB"/>
        </w:rPr>
        <w:t xml:space="preserve"> </w:t>
      </w:r>
      <w:r w:rsidRPr="0061730B">
        <w:rPr>
          <w:i/>
          <w:iCs/>
          <w:lang w:val="en-GB"/>
        </w:rPr>
        <w:t>Future Hospital Journal</w:t>
      </w:r>
      <w:r w:rsidRPr="0061730B">
        <w:rPr>
          <w:lang w:val="en-GB"/>
        </w:rPr>
        <w:t xml:space="preserve">, 3(3), pp.211–216. </w:t>
      </w:r>
      <w:r w:rsidRPr="00070CEE">
        <w:rPr>
          <w:lang w:val="en-GB"/>
        </w:rPr>
        <w:t xml:space="preserve">Available at: </w:t>
      </w:r>
      <w:hyperlink r:id="rId25" w:history="1">
        <w:r w:rsidRPr="0061730B">
          <w:rPr>
            <w:rStyle w:val="Hyperlink"/>
            <w:lang w:val="en-GB"/>
          </w:rPr>
          <w:t>https://doi.org/10.7861/futurehosp.3-3-211</w:t>
        </w:r>
      </w:hyperlink>
      <w:r w:rsidRPr="00367F55">
        <w:rPr>
          <w:lang w:val="en-GB"/>
        </w:rPr>
        <w:t xml:space="preserve"> </w:t>
      </w:r>
    </w:p>
    <w:p w14:paraId="38BAC4D4" w14:textId="77777777" w:rsidR="00871971" w:rsidRPr="00367F55" w:rsidRDefault="00871971" w:rsidP="00B346F4">
      <w:pPr>
        <w:spacing w:before="240"/>
        <w:rPr>
          <w:lang w:val="en-GB"/>
        </w:rPr>
      </w:pPr>
      <w:r w:rsidRPr="001B3448">
        <w:rPr>
          <w:lang w:val="en-GB"/>
        </w:rPr>
        <w:lastRenderedPageBreak/>
        <w:t xml:space="preserve">Egan, L.A., Park, H.R., Lam, J. and Gatt, J.M. (2024) </w:t>
      </w:r>
      <w:r w:rsidRPr="00367F55">
        <w:rPr>
          <w:lang w:val="en-GB"/>
        </w:rPr>
        <w:t>‘</w:t>
      </w:r>
      <w:r w:rsidRPr="001B3448">
        <w:rPr>
          <w:lang w:val="en-GB"/>
        </w:rPr>
        <w:t>Resilience to Stress and Adversity: A Narrative Review of the Role of Positive Affect.</w:t>
      </w:r>
      <w:r w:rsidRPr="00367F55">
        <w:rPr>
          <w:lang w:val="en-GB"/>
        </w:rPr>
        <w:t>’</w:t>
      </w:r>
      <w:r w:rsidRPr="001B3448">
        <w:rPr>
          <w:lang w:val="en-GB"/>
        </w:rPr>
        <w:t xml:space="preserve"> </w:t>
      </w:r>
      <w:r w:rsidRPr="001B3448">
        <w:rPr>
          <w:i/>
          <w:iCs/>
          <w:lang w:val="en-GB"/>
        </w:rPr>
        <w:t>Psychology Research and Behavior Management</w:t>
      </w:r>
      <w:r w:rsidRPr="001B3448">
        <w:rPr>
          <w:lang w:val="en-GB"/>
        </w:rPr>
        <w:t xml:space="preserve">, [online] 17, pp.2011–2038. </w:t>
      </w:r>
      <w:r w:rsidRPr="00C16169">
        <w:rPr>
          <w:lang w:val="en-GB"/>
        </w:rPr>
        <w:t xml:space="preserve">Available at: </w:t>
      </w:r>
      <w:hyperlink r:id="rId26" w:history="1">
        <w:r w:rsidRPr="001B3448">
          <w:rPr>
            <w:rStyle w:val="Hyperlink"/>
            <w:lang w:val="en-GB"/>
          </w:rPr>
          <w:t>https://doi.org/10.2147/PRBM.S391403</w:t>
        </w:r>
      </w:hyperlink>
      <w:r w:rsidRPr="00367F55">
        <w:rPr>
          <w:lang w:val="en-GB"/>
        </w:rPr>
        <w:t xml:space="preserve"> </w:t>
      </w:r>
    </w:p>
    <w:p w14:paraId="701DD241" w14:textId="77777777" w:rsidR="00871971" w:rsidRPr="001069CB" w:rsidRDefault="00871971" w:rsidP="00000B16">
      <w:pPr>
        <w:widowControl w:val="0"/>
        <w:autoSpaceDE w:val="0"/>
        <w:autoSpaceDN w:val="0"/>
        <w:adjustRightInd w:val="0"/>
        <w:spacing w:before="240" w:after="0"/>
        <w:rPr>
          <w:rFonts w:cs="Arial"/>
        </w:rPr>
      </w:pPr>
      <w:r w:rsidRPr="001069CB">
        <w:rPr>
          <w:rFonts w:cs="Arial"/>
        </w:rPr>
        <w:t xml:space="preserve">Falk, A.-C. and Lindström, V. (2022) ‘Self-reported clinical competence before entering advanced level training in acute and prehospital emergency care among registered nurses in Sweden’, </w:t>
      </w:r>
      <w:r w:rsidRPr="001069CB">
        <w:rPr>
          <w:rFonts w:cs="Arial"/>
          <w:i/>
          <w:iCs/>
        </w:rPr>
        <w:t>International Emergency Nursing</w:t>
      </w:r>
      <w:r w:rsidRPr="001069CB">
        <w:rPr>
          <w:rFonts w:cs="Arial"/>
        </w:rPr>
        <w:t xml:space="preserve">, 61, p. 101146. Available at: </w:t>
      </w:r>
      <w:hyperlink r:id="rId27" w:history="1">
        <w:r w:rsidRPr="001069CB">
          <w:rPr>
            <w:rFonts w:cs="Arial"/>
          </w:rPr>
          <w:t>https://doi.org/10.1016/j.ienj.2022.101146</w:t>
        </w:r>
      </w:hyperlink>
      <w:r w:rsidRPr="001069CB">
        <w:rPr>
          <w:rFonts w:cs="Arial"/>
        </w:rPr>
        <w:t>.</w:t>
      </w:r>
    </w:p>
    <w:p w14:paraId="4317EE44" w14:textId="77777777" w:rsidR="00871971" w:rsidRPr="00934A33" w:rsidRDefault="00871971" w:rsidP="00B346F4">
      <w:pPr>
        <w:spacing w:before="240"/>
        <w:rPr>
          <w:lang w:val="en-GB"/>
        </w:rPr>
      </w:pPr>
      <w:r w:rsidRPr="00934A33">
        <w:rPr>
          <w:lang w:val="en-GB"/>
        </w:rPr>
        <w:t xml:space="preserve">Filip, R., Puscaselu, R.G., Anchidin-Norocel, L., Dimian, M. and Savage, W.K. (2022) </w:t>
      </w:r>
      <w:r w:rsidRPr="00367F55">
        <w:rPr>
          <w:lang w:val="en-GB"/>
        </w:rPr>
        <w:t>‘</w:t>
      </w:r>
      <w:r w:rsidRPr="00934A33">
        <w:rPr>
          <w:lang w:val="en-GB"/>
        </w:rPr>
        <w:t>Global Challenges to Public Health Care Systems during the COVID-19 Pandemic: a Review of Pandemic Measures and Problems.</w:t>
      </w:r>
      <w:r w:rsidRPr="00367F55">
        <w:rPr>
          <w:lang w:val="en-GB"/>
        </w:rPr>
        <w:t>’</w:t>
      </w:r>
      <w:r w:rsidRPr="00934A33">
        <w:rPr>
          <w:lang w:val="en-GB"/>
        </w:rPr>
        <w:t xml:space="preserve"> </w:t>
      </w:r>
      <w:r w:rsidRPr="00934A33">
        <w:rPr>
          <w:i/>
          <w:iCs/>
          <w:lang w:val="en-GB"/>
        </w:rPr>
        <w:t>Journal of Personalized Medicine</w:t>
      </w:r>
      <w:r w:rsidRPr="00934A33">
        <w:rPr>
          <w:lang w:val="en-GB"/>
        </w:rPr>
        <w:t>, [online] 12(8), p.1295.</w:t>
      </w:r>
      <w:r w:rsidRPr="00367F55">
        <w:rPr>
          <w:lang w:val="en-GB"/>
        </w:rPr>
        <w:t xml:space="preserve"> </w:t>
      </w:r>
      <w:r w:rsidRPr="000F7FD4">
        <w:rPr>
          <w:lang w:val="en-GB"/>
        </w:rPr>
        <w:t xml:space="preserve">Available at: </w:t>
      </w:r>
      <w:hyperlink r:id="rId28" w:history="1">
        <w:r w:rsidRPr="00934A33">
          <w:rPr>
            <w:rStyle w:val="Hyperlink"/>
            <w:lang w:val="en-GB"/>
          </w:rPr>
          <w:t>https://doi.org/10.3390/jpm12081295</w:t>
        </w:r>
      </w:hyperlink>
      <w:r w:rsidRPr="00367F55">
        <w:rPr>
          <w:lang w:val="en-GB"/>
        </w:rPr>
        <w:t xml:space="preserve"> </w:t>
      </w:r>
    </w:p>
    <w:p w14:paraId="081C7ADA" w14:textId="77777777" w:rsidR="00871971" w:rsidRPr="000F0728" w:rsidRDefault="00871971" w:rsidP="00B346F4">
      <w:pPr>
        <w:spacing w:before="240"/>
        <w:rPr>
          <w:lang w:val="en-GB"/>
        </w:rPr>
      </w:pPr>
      <w:r w:rsidRPr="000F0728">
        <w:rPr>
          <w:lang w:val="en-GB"/>
        </w:rPr>
        <w:t xml:space="preserve">GMC (2021) </w:t>
      </w:r>
      <w:r w:rsidRPr="000F0728">
        <w:rPr>
          <w:i/>
          <w:iCs/>
          <w:lang w:val="en-GB"/>
        </w:rPr>
        <w:t>General Medical Council</w:t>
      </w:r>
      <w:r w:rsidRPr="000F0728">
        <w:rPr>
          <w:lang w:val="en-GB"/>
        </w:rPr>
        <w:t xml:space="preserve">. [online] Gmc-uk.org. Available at: </w:t>
      </w:r>
      <w:hyperlink r:id="rId29" w:history="1">
        <w:r w:rsidRPr="000F0728">
          <w:rPr>
            <w:rStyle w:val="Hyperlink"/>
            <w:lang w:val="en-GB"/>
          </w:rPr>
          <w:t>https://www.gmc-uk.org/</w:t>
        </w:r>
      </w:hyperlink>
      <w:r w:rsidRPr="00367F55">
        <w:rPr>
          <w:lang w:val="en-GB"/>
        </w:rPr>
        <w:t xml:space="preserve"> [Accessed 7 February 2026]</w:t>
      </w:r>
    </w:p>
    <w:p w14:paraId="47A1AFFF" w14:textId="77777777" w:rsidR="00871971" w:rsidRPr="0063390E" w:rsidRDefault="00871971" w:rsidP="00B346F4">
      <w:pPr>
        <w:spacing w:before="240"/>
        <w:rPr>
          <w:lang w:val="en-GB"/>
        </w:rPr>
      </w:pPr>
      <w:r w:rsidRPr="0063390E">
        <w:rPr>
          <w:lang w:val="en-GB"/>
        </w:rPr>
        <w:t>GOV.UK (20</w:t>
      </w:r>
      <w:r w:rsidRPr="00367F55">
        <w:rPr>
          <w:lang w:val="en-GB"/>
        </w:rPr>
        <w:t>2</w:t>
      </w:r>
      <w:r w:rsidRPr="0063390E">
        <w:rPr>
          <w:lang w:val="en-GB"/>
        </w:rPr>
        <w:t>4)</w:t>
      </w:r>
      <w:r w:rsidRPr="00367F55">
        <w:rPr>
          <w:lang w:val="en-GB"/>
        </w:rPr>
        <w:t xml:space="preserve"> </w:t>
      </w:r>
      <w:r w:rsidRPr="0063390E">
        <w:rPr>
          <w:i/>
          <w:iCs/>
          <w:lang w:val="en-GB"/>
        </w:rPr>
        <w:t>Care Act 2014</w:t>
      </w:r>
      <w:r w:rsidRPr="0063390E">
        <w:rPr>
          <w:lang w:val="en-GB"/>
        </w:rPr>
        <w:t xml:space="preserve">. [online] Legislation.gov.uk. Available at: </w:t>
      </w:r>
      <w:hyperlink r:id="rId30" w:history="1">
        <w:r w:rsidRPr="0063390E">
          <w:rPr>
            <w:rStyle w:val="Hyperlink"/>
            <w:lang w:val="en-GB"/>
          </w:rPr>
          <w:t>https://www.legislation.gov.uk/id/ukpga/2014/23</w:t>
        </w:r>
      </w:hyperlink>
      <w:r w:rsidRPr="00367F55">
        <w:rPr>
          <w:lang w:val="en-GB"/>
        </w:rPr>
        <w:t xml:space="preserve"> </w:t>
      </w:r>
      <w:r w:rsidRPr="009276E7">
        <w:rPr>
          <w:lang w:val="en-GB"/>
        </w:rPr>
        <w:t xml:space="preserve">[Accessed 7 </w:t>
      </w:r>
      <w:r w:rsidRPr="00367F55">
        <w:rPr>
          <w:lang w:val="en-GB"/>
        </w:rPr>
        <w:t>February</w:t>
      </w:r>
      <w:r w:rsidRPr="009276E7">
        <w:rPr>
          <w:lang w:val="en-GB"/>
        </w:rPr>
        <w:t>. 2026].</w:t>
      </w:r>
    </w:p>
    <w:p w14:paraId="20E9A953" w14:textId="77777777" w:rsidR="00871971" w:rsidRPr="001D20ED" w:rsidRDefault="00871971" w:rsidP="00B346F4">
      <w:pPr>
        <w:spacing w:before="240"/>
        <w:rPr>
          <w:lang w:val="en-GB"/>
        </w:rPr>
      </w:pPr>
      <w:r w:rsidRPr="001D20ED">
        <w:rPr>
          <w:lang w:val="en-GB"/>
        </w:rPr>
        <w:t>GOV.UK (20</w:t>
      </w:r>
      <w:r w:rsidRPr="00367F55">
        <w:rPr>
          <w:lang w:val="en-GB"/>
        </w:rPr>
        <w:t>2</w:t>
      </w:r>
      <w:r w:rsidRPr="001D20ED">
        <w:rPr>
          <w:lang w:val="en-GB"/>
        </w:rPr>
        <w:t xml:space="preserve">6) </w:t>
      </w:r>
      <w:r w:rsidRPr="001D20ED">
        <w:rPr>
          <w:i/>
          <w:iCs/>
          <w:lang w:val="en-GB"/>
        </w:rPr>
        <w:t>Health Education England</w:t>
      </w:r>
      <w:r w:rsidRPr="001D20ED">
        <w:rPr>
          <w:lang w:val="en-GB"/>
        </w:rPr>
        <w:t xml:space="preserve">. [online] GOV.UK. Available at: </w:t>
      </w:r>
      <w:hyperlink r:id="rId31" w:history="1">
        <w:r w:rsidRPr="001D20ED">
          <w:rPr>
            <w:rStyle w:val="Hyperlink"/>
            <w:lang w:val="en-GB"/>
          </w:rPr>
          <w:t>https://www.gov.uk/government/organisations/health-education-england</w:t>
        </w:r>
      </w:hyperlink>
      <w:r w:rsidRPr="00367F55">
        <w:rPr>
          <w:lang w:val="en-GB"/>
        </w:rPr>
        <w:t xml:space="preserve"> [Accessed 7 February 2026]</w:t>
      </w:r>
    </w:p>
    <w:p w14:paraId="3F1186E8" w14:textId="77777777" w:rsidR="00871971" w:rsidRPr="00603314" w:rsidRDefault="00871971" w:rsidP="00B346F4">
      <w:pPr>
        <w:spacing w:before="240"/>
        <w:rPr>
          <w:lang w:val="en-GB"/>
        </w:rPr>
      </w:pPr>
      <w:r w:rsidRPr="00603314">
        <w:rPr>
          <w:lang w:val="en-GB"/>
        </w:rPr>
        <w:t xml:space="preserve">Hartley, H., Dunning, A., Murray, J., Simms-Ellis, R., Unsworth, K., Grange, A., Dunn, M., Marran, J., Joseph, O., Essler, P., Archibong, U., Johnson, J. and Lawton, R. (2025) </w:t>
      </w:r>
      <w:r w:rsidRPr="00367F55">
        <w:rPr>
          <w:lang w:val="en-GB"/>
        </w:rPr>
        <w:t>‘</w:t>
      </w:r>
      <w:r w:rsidRPr="00603314">
        <w:rPr>
          <w:lang w:val="en-GB"/>
        </w:rPr>
        <w:t>The impact of redeployment during COVID-19 on nurse well-being, performance and retention: a mixed-methods study (REDEPLOY).</w:t>
      </w:r>
      <w:r w:rsidRPr="00367F55">
        <w:rPr>
          <w:lang w:val="en-GB"/>
        </w:rPr>
        <w:t>’</w:t>
      </w:r>
      <w:r w:rsidRPr="00603314">
        <w:rPr>
          <w:lang w:val="en-GB"/>
        </w:rPr>
        <w:t xml:space="preserve"> </w:t>
      </w:r>
      <w:r w:rsidRPr="00603314">
        <w:rPr>
          <w:i/>
          <w:iCs/>
          <w:lang w:val="en-GB"/>
        </w:rPr>
        <w:t>Health and Social Care Delivery Research</w:t>
      </w:r>
      <w:r w:rsidRPr="00603314">
        <w:rPr>
          <w:lang w:val="en-GB"/>
        </w:rPr>
        <w:t xml:space="preserve">, pp.1–50. </w:t>
      </w:r>
      <w:r w:rsidRPr="00367F55">
        <w:rPr>
          <w:lang w:val="en-GB"/>
        </w:rPr>
        <w:t xml:space="preserve">Available at: </w:t>
      </w:r>
      <w:hyperlink r:id="rId32" w:history="1">
        <w:r w:rsidRPr="00603314">
          <w:rPr>
            <w:rStyle w:val="Hyperlink"/>
            <w:lang w:val="en-GB"/>
          </w:rPr>
          <w:t>https://doi.org/10.3310/ewpe7103</w:t>
        </w:r>
      </w:hyperlink>
      <w:r w:rsidRPr="00367F55">
        <w:rPr>
          <w:lang w:val="en-GB"/>
        </w:rPr>
        <w:t xml:space="preserve"> </w:t>
      </w:r>
    </w:p>
    <w:p w14:paraId="1E713D23" w14:textId="77777777" w:rsidR="00871971" w:rsidRPr="005F4765" w:rsidRDefault="00871971" w:rsidP="00B346F4">
      <w:pPr>
        <w:spacing w:before="240"/>
        <w:rPr>
          <w:lang w:val="en-GB"/>
        </w:rPr>
      </w:pPr>
      <w:r w:rsidRPr="005F4765">
        <w:rPr>
          <w:lang w:val="en-GB"/>
        </w:rPr>
        <w:t>Haynes, A., Gilchrist, H., Oliveira, J.S. and Tiedemann, A. (2021)</w:t>
      </w:r>
      <w:r w:rsidRPr="00367F55">
        <w:rPr>
          <w:lang w:val="en-GB"/>
        </w:rPr>
        <w:t xml:space="preserve"> ‘</w:t>
      </w:r>
      <w:r w:rsidRPr="005F4765">
        <w:rPr>
          <w:lang w:val="en-GB"/>
        </w:rPr>
        <w:t>Using Realist Evaluation to Understand Process Outcomes in a COVID-19-Impacted Yoga Intervention Trial: A Worked Example.</w:t>
      </w:r>
      <w:r w:rsidRPr="00367F55">
        <w:rPr>
          <w:lang w:val="en-GB"/>
        </w:rPr>
        <w:t>’</w:t>
      </w:r>
      <w:r w:rsidRPr="005F4765">
        <w:rPr>
          <w:lang w:val="en-GB"/>
        </w:rPr>
        <w:t xml:space="preserve"> </w:t>
      </w:r>
      <w:r w:rsidRPr="005F4765">
        <w:rPr>
          <w:i/>
          <w:iCs/>
          <w:lang w:val="en-GB"/>
        </w:rPr>
        <w:t>International Journal of Environmental Research and Public Health</w:t>
      </w:r>
      <w:r w:rsidRPr="005F4765">
        <w:rPr>
          <w:lang w:val="en-GB"/>
        </w:rPr>
        <w:t xml:space="preserve">, 18(17), p.9065. </w:t>
      </w:r>
      <w:r w:rsidRPr="00C16169">
        <w:rPr>
          <w:lang w:val="en-GB"/>
        </w:rPr>
        <w:t xml:space="preserve">Available at: </w:t>
      </w:r>
      <w:hyperlink r:id="rId33" w:history="1">
        <w:r w:rsidRPr="005F4765">
          <w:rPr>
            <w:rStyle w:val="Hyperlink"/>
            <w:lang w:val="en-GB"/>
          </w:rPr>
          <w:t>https://doi.org/10.3390/ijerph18179065</w:t>
        </w:r>
      </w:hyperlink>
      <w:r w:rsidRPr="00367F55">
        <w:rPr>
          <w:lang w:val="en-GB"/>
        </w:rPr>
        <w:t xml:space="preserve"> </w:t>
      </w:r>
    </w:p>
    <w:p w14:paraId="79432CCC" w14:textId="77777777" w:rsidR="00871971" w:rsidRPr="00367F55" w:rsidRDefault="00871971" w:rsidP="00B346F4">
      <w:pPr>
        <w:spacing w:before="240"/>
        <w:rPr>
          <w:lang w:val="en-GB"/>
        </w:rPr>
      </w:pPr>
      <w:r w:rsidRPr="00C16169">
        <w:rPr>
          <w:lang w:val="en-GB"/>
        </w:rPr>
        <w:lastRenderedPageBreak/>
        <w:t xml:space="preserve">Hussein, A.A. (2024) </w:t>
      </w:r>
      <w:r w:rsidRPr="00367F55">
        <w:rPr>
          <w:lang w:val="en-GB"/>
        </w:rPr>
        <w:t>‘</w:t>
      </w:r>
      <w:r w:rsidRPr="00C16169">
        <w:rPr>
          <w:lang w:val="en-GB"/>
        </w:rPr>
        <w:t>Competency-Based Training: Skills Development.</w:t>
      </w:r>
      <w:r w:rsidRPr="00367F55">
        <w:rPr>
          <w:lang w:val="en-GB"/>
        </w:rPr>
        <w:t xml:space="preserve">’ </w:t>
      </w:r>
      <w:r w:rsidRPr="00C16169">
        <w:rPr>
          <w:lang w:val="en-GB"/>
        </w:rPr>
        <w:t xml:space="preserve">Available at: </w:t>
      </w:r>
      <w:hyperlink r:id="rId34" w:history="1">
        <w:r w:rsidRPr="00C16169">
          <w:rPr>
            <w:rStyle w:val="Hyperlink"/>
            <w:lang w:val="en-GB"/>
          </w:rPr>
          <w:t>https://www.researchgate.net/publication/382594147_Competency-Based_Training_Skills_Development</w:t>
        </w:r>
      </w:hyperlink>
      <w:r w:rsidRPr="00367F55">
        <w:rPr>
          <w:lang w:val="en-GB"/>
        </w:rPr>
        <w:t xml:space="preserve"> [Accessed 7 February 2026]</w:t>
      </w:r>
    </w:p>
    <w:p w14:paraId="211A7A15" w14:textId="77777777" w:rsidR="00871971" w:rsidRDefault="00871971" w:rsidP="002F2670">
      <w:pPr>
        <w:widowControl w:val="0"/>
        <w:autoSpaceDE w:val="0"/>
        <w:autoSpaceDN w:val="0"/>
        <w:adjustRightInd w:val="0"/>
        <w:spacing w:before="240" w:after="0"/>
        <w:rPr>
          <w:lang w:val="en-IN"/>
        </w:rPr>
      </w:pPr>
      <w:r w:rsidRPr="002F2670">
        <w:rPr>
          <w:lang w:val="en-IN"/>
        </w:rPr>
        <w:t xml:space="preserve">Kuhlmann, E., Ungureanu, M., Georg, Cossmann, A., Leonie Mac Fehr, Klawitter, S., Mikuteit, M., Müller, F., Thilo, N., Brinzac, M. and Dopfer-Jablonka, A. (2023) </w:t>
      </w:r>
      <w:r>
        <w:rPr>
          <w:lang w:val="en-IN"/>
        </w:rPr>
        <w:t>‘</w:t>
      </w:r>
      <w:r w:rsidRPr="002F2670">
        <w:rPr>
          <w:lang w:val="en-IN"/>
        </w:rPr>
        <w:t>Migrant healthcare workers during COVID-19: bringing an intersectional health system-related approach into pandemic protection.</w:t>
      </w:r>
      <w:r>
        <w:rPr>
          <w:lang w:val="en-IN"/>
        </w:rPr>
        <w:t>’</w:t>
      </w:r>
      <w:r w:rsidRPr="002F2670">
        <w:rPr>
          <w:lang w:val="en-IN"/>
        </w:rPr>
        <w:t xml:space="preserve"> A German case study. </w:t>
      </w:r>
      <w:r w:rsidRPr="002F2670">
        <w:rPr>
          <w:i/>
          <w:iCs/>
          <w:lang w:val="en-IN"/>
        </w:rPr>
        <w:t>Frontiers in Public Health</w:t>
      </w:r>
      <w:r w:rsidRPr="002F2670">
        <w:rPr>
          <w:lang w:val="en-IN"/>
        </w:rPr>
        <w:t xml:space="preserve">, 11. </w:t>
      </w:r>
      <w:r w:rsidRPr="000F0728">
        <w:rPr>
          <w:lang w:val="en-GB"/>
        </w:rPr>
        <w:t xml:space="preserve">Available at: </w:t>
      </w:r>
      <w:hyperlink r:id="rId35" w:history="1">
        <w:r w:rsidRPr="002F2670">
          <w:rPr>
            <w:rStyle w:val="Hyperlink"/>
            <w:lang w:val="en-IN"/>
          </w:rPr>
          <w:t>https://doi.org/10.3389/fpubh.2023.1152862</w:t>
        </w:r>
      </w:hyperlink>
      <w:r>
        <w:rPr>
          <w:lang w:val="en-IN"/>
        </w:rPr>
        <w:t xml:space="preserve"> </w:t>
      </w:r>
    </w:p>
    <w:p w14:paraId="0FCA47BB" w14:textId="77777777" w:rsidR="00871971" w:rsidRPr="00367F55" w:rsidRDefault="00871971" w:rsidP="00B346F4">
      <w:pPr>
        <w:spacing w:before="240"/>
        <w:rPr>
          <w:lang w:val="en-GB"/>
        </w:rPr>
      </w:pPr>
      <w:r w:rsidRPr="006B463D">
        <w:rPr>
          <w:lang w:val="en-GB"/>
        </w:rPr>
        <w:t xml:space="preserve">Lamberti-Castronuovo, A., Parotto, E., Della Corte, F., Hubloue, I., Ragazzoni, L. and Valente, M. (2022) </w:t>
      </w:r>
      <w:r w:rsidRPr="00367F55">
        <w:rPr>
          <w:lang w:val="en-GB"/>
        </w:rPr>
        <w:t>‘</w:t>
      </w:r>
      <w:r w:rsidRPr="006B463D">
        <w:rPr>
          <w:lang w:val="en-GB"/>
        </w:rPr>
        <w:t>The COVID-19 pandemic response and its impact on post-corona health emergency and disaster risk management in Italy.</w:t>
      </w:r>
      <w:r w:rsidRPr="00367F55">
        <w:rPr>
          <w:lang w:val="en-GB"/>
        </w:rPr>
        <w:t>’</w:t>
      </w:r>
      <w:r w:rsidRPr="006B463D">
        <w:rPr>
          <w:lang w:val="en-GB"/>
        </w:rPr>
        <w:t xml:space="preserve"> </w:t>
      </w:r>
      <w:r w:rsidRPr="006B463D">
        <w:rPr>
          <w:i/>
          <w:iCs/>
          <w:lang w:val="en-GB"/>
        </w:rPr>
        <w:t>Frontiers in Public Health</w:t>
      </w:r>
      <w:r w:rsidRPr="006B463D">
        <w:rPr>
          <w:lang w:val="en-GB"/>
        </w:rPr>
        <w:t xml:space="preserve">, 10. </w:t>
      </w:r>
      <w:r w:rsidRPr="00E34282">
        <w:rPr>
          <w:lang w:val="en-GB"/>
        </w:rPr>
        <w:t xml:space="preserve">Available at: </w:t>
      </w:r>
      <w:hyperlink r:id="rId36" w:history="1">
        <w:r w:rsidRPr="006B463D">
          <w:rPr>
            <w:rStyle w:val="Hyperlink"/>
            <w:lang w:val="en-GB"/>
          </w:rPr>
          <w:t>https://doi.org/10.3389/fpubh.2022.1034196</w:t>
        </w:r>
      </w:hyperlink>
      <w:r w:rsidRPr="00367F55">
        <w:rPr>
          <w:lang w:val="en-GB"/>
        </w:rPr>
        <w:t xml:space="preserve"> </w:t>
      </w:r>
    </w:p>
    <w:p w14:paraId="5E2E8B14" w14:textId="77777777" w:rsidR="00871971" w:rsidRPr="00367F55" w:rsidRDefault="00871971" w:rsidP="00B346F4">
      <w:pPr>
        <w:spacing w:before="240"/>
        <w:rPr>
          <w:lang w:val="en-GB"/>
        </w:rPr>
      </w:pPr>
      <w:r w:rsidRPr="00B66BD5">
        <w:rPr>
          <w:lang w:val="en-GB"/>
        </w:rPr>
        <w:t xml:space="preserve">Lefroy, J., Bialan, J., Moult, A., Hay, F., Stapleton, C., Thompson, J., Diggory, K., Mustafa, N., Farrington, J., Aynsley, S.A., Jacklin, S., Winterton, A. and Cope, N. (2023) </w:t>
      </w:r>
      <w:r w:rsidRPr="00367F55">
        <w:rPr>
          <w:lang w:val="en-GB"/>
        </w:rPr>
        <w:t>‘</w:t>
      </w:r>
      <w:r w:rsidRPr="00B66BD5">
        <w:rPr>
          <w:lang w:val="en-GB"/>
        </w:rPr>
        <w:t>Training healthcare professionals to be ready for practice in an era of social distancing: a realist evaluation.</w:t>
      </w:r>
      <w:r w:rsidRPr="00367F55">
        <w:rPr>
          <w:lang w:val="en-GB"/>
        </w:rPr>
        <w:t>’</w:t>
      </w:r>
      <w:r w:rsidRPr="00B66BD5">
        <w:rPr>
          <w:lang w:val="en-GB"/>
        </w:rPr>
        <w:t xml:space="preserve"> </w:t>
      </w:r>
      <w:r w:rsidRPr="00B66BD5">
        <w:rPr>
          <w:i/>
          <w:iCs/>
          <w:lang w:val="en-GB"/>
        </w:rPr>
        <w:t>Advances in Health Sciences Education</w:t>
      </w:r>
      <w:r w:rsidRPr="00B66BD5">
        <w:rPr>
          <w:lang w:val="en-GB"/>
        </w:rPr>
        <w:t xml:space="preserve">. </w:t>
      </w:r>
      <w:r w:rsidRPr="000F7FD4">
        <w:rPr>
          <w:lang w:val="en-GB"/>
        </w:rPr>
        <w:t xml:space="preserve">Available at: </w:t>
      </w:r>
      <w:hyperlink r:id="rId37" w:history="1">
        <w:r w:rsidRPr="00B66BD5">
          <w:rPr>
            <w:rStyle w:val="Hyperlink"/>
            <w:lang w:val="en-GB"/>
          </w:rPr>
          <w:t>https://doi.org/10.1007/s10459-023-10297-w</w:t>
        </w:r>
      </w:hyperlink>
      <w:r w:rsidRPr="00367F55">
        <w:rPr>
          <w:lang w:val="en-GB"/>
        </w:rPr>
        <w:t xml:space="preserve"> </w:t>
      </w:r>
    </w:p>
    <w:p w14:paraId="3A9A564F" w14:textId="77777777" w:rsidR="00871971" w:rsidRPr="000D2DB4" w:rsidRDefault="00871971" w:rsidP="00B346F4">
      <w:pPr>
        <w:spacing w:before="240"/>
        <w:rPr>
          <w:lang w:val="en-GB"/>
        </w:rPr>
      </w:pPr>
      <w:r w:rsidRPr="000D2DB4">
        <w:rPr>
          <w:lang w:val="en-GB"/>
        </w:rPr>
        <w:t>Legislation (20</w:t>
      </w:r>
      <w:r w:rsidRPr="00367F55">
        <w:rPr>
          <w:lang w:val="en-GB"/>
        </w:rPr>
        <w:t>2</w:t>
      </w:r>
      <w:r w:rsidRPr="000D2DB4">
        <w:rPr>
          <w:lang w:val="en-GB"/>
        </w:rPr>
        <w:t xml:space="preserve">2) </w:t>
      </w:r>
      <w:r w:rsidRPr="000D2DB4">
        <w:rPr>
          <w:i/>
          <w:iCs/>
          <w:lang w:val="en-GB"/>
        </w:rPr>
        <w:t>Health and Social Care Act 2012</w:t>
      </w:r>
      <w:r w:rsidRPr="000D2DB4">
        <w:rPr>
          <w:lang w:val="en-GB"/>
        </w:rPr>
        <w:t xml:space="preserve">. [online] Legislation.gov.uk. Available at: </w:t>
      </w:r>
      <w:hyperlink r:id="rId38" w:history="1">
        <w:r w:rsidRPr="000D2DB4">
          <w:rPr>
            <w:rStyle w:val="Hyperlink"/>
            <w:lang w:val="en-GB"/>
          </w:rPr>
          <w:t>https://www.legislation.gov.uk/id/ukpga/2012/7</w:t>
        </w:r>
      </w:hyperlink>
      <w:r w:rsidRPr="00367F55">
        <w:rPr>
          <w:lang w:val="en-GB"/>
        </w:rPr>
        <w:t xml:space="preserve"> </w:t>
      </w:r>
      <w:r w:rsidRPr="009276E7">
        <w:rPr>
          <w:lang w:val="en-GB"/>
        </w:rPr>
        <w:t xml:space="preserve">[Accessed 7 </w:t>
      </w:r>
      <w:r w:rsidRPr="00367F55">
        <w:rPr>
          <w:lang w:val="en-GB"/>
        </w:rPr>
        <w:t>February</w:t>
      </w:r>
      <w:r w:rsidRPr="009276E7">
        <w:rPr>
          <w:lang w:val="en-GB"/>
        </w:rPr>
        <w:t>. 2026].</w:t>
      </w:r>
    </w:p>
    <w:p w14:paraId="4DEDD895" w14:textId="77777777" w:rsidR="00871971" w:rsidRDefault="00871971" w:rsidP="00000B16">
      <w:pPr>
        <w:widowControl w:val="0"/>
        <w:autoSpaceDE w:val="0"/>
        <w:autoSpaceDN w:val="0"/>
        <w:adjustRightInd w:val="0"/>
        <w:spacing w:before="240" w:after="0"/>
        <w:rPr>
          <w:rFonts w:cs="Arial"/>
        </w:rPr>
      </w:pPr>
      <w:r w:rsidRPr="001069CB">
        <w:rPr>
          <w:rFonts w:cs="Arial"/>
        </w:rPr>
        <w:t xml:space="preserve">Leung, C., Olufunlayo, T., Olateju, Z., MacArthur, C. and Taylor, B. (2022) ‘Perceptions and experiences of maternity care workers during COVID-19 pandemic in Lagos State, Nigeria; a qualitative study’, </w:t>
      </w:r>
      <w:r w:rsidRPr="001069CB">
        <w:rPr>
          <w:rFonts w:cs="Arial"/>
          <w:i/>
          <w:iCs/>
        </w:rPr>
        <w:t>BMC Health Services Research</w:t>
      </w:r>
      <w:r w:rsidRPr="001069CB">
        <w:rPr>
          <w:rFonts w:cs="Arial"/>
        </w:rPr>
        <w:t xml:space="preserve">, 22(1). Available at: </w:t>
      </w:r>
      <w:hyperlink r:id="rId39" w:history="1">
        <w:r w:rsidRPr="001069CB">
          <w:rPr>
            <w:rFonts w:cs="Arial"/>
          </w:rPr>
          <w:t>https://doi.org/10.1186/s12913-022-08009-y</w:t>
        </w:r>
      </w:hyperlink>
      <w:r w:rsidRPr="001069CB">
        <w:rPr>
          <w:rFonts w:cs="Arial"/>
        </w:rPr>
        <w:t>.</w:t>
      </w:r>
    </w:p>
    <w:p w14:paraId="389ABBB3" w14:textId="77777777" w:rsidR="00871971" w:rsidRPr="00406759" w:rsidRDefault="00871971" w:rsidP="00B346F4">
      <w:pPr>
        <w:spacing w:before="240"/>
        <w:rPr>
          <w:lang w:val="en-GB"/>
        </w:rPr>
      </w:pPr>
      <w:r w:rsidRPr="00406759">
        <w:rPr>
          <w:lang w:val="en-GB"/>
        </w:rPr>
        <w:t xml:space="preserve">Ma, J., Zhang, Y., Li, J., Qu, W. and Zhou, Z. (2025) </w:t>
      </w:r>
      <w:r w:rsidRPr="00367F55">
        <w:rPr>
          <w:lang w:val="en-GB"/>
        </w:rPr>
        <w:t>‘</w:t>
      </w:r>
      <w:r w:rsidRPr="00406759">
        <w:rPr>
          <w:lang w:val="en-GB"/>
        </w:rPr>
        <w:t>Spillover effects of military healthcare reform on civilian hospitals in China.</w:t>
      </w:r>
      <w:r w:rsidRPr="00367F55">
        <w:rPr>
          <w:lang w:val="en-GB"/>
        </w:rPr>
        <w:t>’</w:t>
      </w:r>
      <w:r w:rsidRPr="00406759">
        <w:rPr>
          <w:lang w:val="en-GB"/>
        </w:rPr>
        <w:t xml:space="preserve"> </w:t>
      </w:r>
      <w:r w:rsidRPr="00406759">
        <w:rPr>
          <w:i/>
          <w:iCs/>
          <w:lang w:val="en-GB"/>
        </w:rPr>
        <w:t>Frontiers in Public Health</w:t>
      </w:r>
      <w:r w:rsidRPr="00406759">
        <w:rPr>
          <w:lang w:val="en-GB"/>
        </w:rPr>
        <w:t xml:space="preserve">, 13. </w:t>
      </w:r>
      <w:r w:rsidRPr="00E34282">
        <w:rPr>
          <w:lang w:val="en-GB"/>
        </w:rPr>
        <w:t xml:space="preserve">Available at: </w:t>
      </w:r>
      <w:hyperlink r:id="rId40" w:history="1">
        <w:r w:rsidRPr="00406759">
          <w:rPr>
            <w:rStyle w:val="Hyperlink"/>
            <w:lang w:val="en-GB"/>
          </w:rPr>
          <w:t>https://doi.org/10.3389/fpubh.2025.1702059</w:t>
        </w:r>
      </w:hyperlink>
      <w:r w:rsidRPr="00367F55">
        <w:rPr>
          <w:lang w:val="en-GB"/>
        </w:rPr>
        <w:t xml:space="preserve"> </w:t>
      </w:r>
    </w:p>
    <w:p w14:paraId="231F8743" w14:textId="77777777" w:rsidR="00871971" w:rsidRPr="00367F55" w:rsidRDefault="00871971" w:rsidP="00B346F4">
      <w:pPr>
        <w:spacing w:before="240"/>
        <w:rPr>
          <w:lang w:val="en-GB"/>
        </w:rPr>
      </w:pPr>
      <w:r w:rsidRPr="00B60E0A">
        <w:rPr>
          <w:lang w:val="en-GB"/>
        </w:rPr>
        <w:t xml:space="preserve">Maddock, J., Parsons, S., Di Gessa, G., Green, M.J., Thompson, E.J., Stevenson, A.J., Kwong, A.S., McElroy, E., Santorelli, G., Silverwood, R.J., Captur, G., Chaturvedi, N., Steves, C.J., Steptoe, A., Patalay, P., Ploubidis, G.B. and Katikireddi, S.V. (2022) </w:t>
      </w:r>
      <w:r w:rsidRPr="00367F55">
        <w:rPr>
          <w:lang w:val="en-GB"/>
        </w:rPr>
        <w:t>‘</w:t>
      </w:r>
      <w:r w:rsidRPr="00B60E0A">
        <w:rPr>
          <w:lang w:val="en-GB"/>
        </w:rPr>
        <w:t xml:space="preserve">Inequalities in healthcare disruptions during the COVID-19 pandemic: evidence from 12 UK population-based longitudinal </w:t>
      </w:r>
      <w:r w:rsidRPr="00B60E0A">
        <w:rPr>
          <w:lang w:val="en-GB"/>
        </w:rPr>
        <w:lastRenderedPageBreak/>
        <w:t>studies.</w:t>
      </w:r>
      <w:r w:rsidRPr="00367F55">
        <w:rPr>
          <w:lang w:val="en-GB"/>
        </w:rPr>
        <w:t>’</w:t>
      </w:r>
      <w:r w:rsidRPr="00B60E0A">
        <w:rPr>
          <w:lang w:val="en-GB"/>
        </w:rPr>
        <w:t xml:space="preserve"> </w:t>
      </w:r>
      <w:r w:rsidRPr="00B60E0A">
        <w:rPr>
          <w:i/>
          <w:iCs/>
          <w:lang w:val="en-GB"/>
        </w:rPr>
        <w:t>BMJ Open</w:t>
      </w:r>
      <w:r w:rsidRPr="00B60E0A">
        <w:rPr>
          <w:lang w:val="en-GB"/>
        </w:rPr>
        <w:t xml:space="preserve">, 12(10), p.e064981. </w:t>
      </w:r>
      <w:r w:rsidRPr="00433DA1">
        <w:rPr>
          <w:lang w:val="en-GB"/>
        </w:rPr>
        <w:t xml:space="preserve">Available at: </w:t>
      </w:r>
      <w:hyperlink r:id="rId41" w:history="1">
        <w:r w:rsidRPr="00B60E0A">
          <w:rPr>
            <w:rStyle w:val="Hyperlink"/>
            <w:lang w:val="en-GB"/>
          </w:rPr>
          <w:t>https://doi.org/10.1136/bmjopen-2022-064981</w:t>
        </w:r>
      </w:hyperlink>
      <w:r w:rsidRPr="00367F55">
        <w:rPr>
          <w:lang w:val="en-GB"/>
        </w:rPr>
        <w:t xml:space="preserve"> </w:t>
      </w:r>
    </w:p>
    <w:p w14:paraId="0B94E8E3" w14:textId="77777777" w:rsidR="00871971" w:rsidRPr="005207FF" w:rsidRDefault="00871971" w:rsidP="00B346F4">
      <w:pPr>
        <w:spacing w:before="240"/>
        <w:rPr>
          <w:lang w:val="en-GB"/>
        </w:rPr>
      </w:pPr>
      <w:r w:rsidRPr="005207FF">
        <w:rPr>
          <w:lang w:val="en-GB"/>
        </w:rPr>
        <w:t xml:space="preserve">Malloch, M., Cairns, L., Evans, K. and O’Connor, B. (2021) </w:t>
      </w:r>
      <w:r w:rsidRPr="005207FF">
        <w:rPr>
          <w:i/>
          <w:iCs/>
          <w:lang w:val="en-GB"/>
        </w:rPr>
        <w:t>The SAGE Handbook of Workplace Learning</w:t>
      </w:r>
      <w:r w:rsidRPr="005207FF">
        <w:rPr>
          <w:lang w:val="en-GB"/>
        </w:rPr>
        <w:t xml:space="preserve">. 1 Oliver’s Yard, 55 City Road, London EC1Y 1SP United Kingdom: SAGE Publications Ltd. </w:t>
      </w:r>
      <w:r w:rsidRPr="00C16169">
        <w:rPr>
          <w:lang w:val="en-GB"/>
        </w:rPr>
        <w:t xml:space="preserve">Available at: </w:t>
      </w:r>
      <w:hyperlink r:id="rId42" w:history="1">
        <w:r w:rsidRPr="005207FF">
          <w:rPr>
            <w:rStyle w:val="Hyperlink"/>
            <w:lang w:val="en-GB"/>
          </w:rPr>
          <w:t>https://doi.org/10.4135/9781446200940</w:t>
        </w:r>
      </w:hyperlink>
      <w:r w:rsidRPr="00367F55">
        <w:rPr>
          <w:lang w:val="en-GB"/>
        </w:rPr>
        <w:t xml:space="preserve"> </w:t>
      </w:r>
    </w:p>
    <w:p w14:paraId="6AB7143E" w14:textId="77777777" w:rsidR="00871971" w:rsidRPr="002F2670" w:rsidRDefault="00871971" w:rsidP="002F2670">
      <w:pPr>
        <w:widowControl w:val="0"/>
        <w:autoSpaceDE w:val="0"/>
        <w:autoSpaceDN w:val="0"/>
        <w:adjustRightInd w:val="0"/>
        <w:spacing w:before="240" w:after="0"/>
        <w:rPr>
          <w:lang w:val="en-IN"/>
        </w:rPr>
      </w:pPr>
      <w:r w:rsidRPr="00E36761">
        <w:rPr>
          <w:lang w:val="en-IN"/>
        </w:rPr>
        <w:t xml:space="preserve">Moore, H., Watson, R., Farnworth, A., Giles, K., Tomson, D. and Thomson, R. (2023) </w:t>
      </w:r>
      <w:r>
        <w:rPr>
          <w:lang w:val="en-IN"/>
        </w:rPr>
        <w:t>‘</w:t>
      </w:r>
      <w:r w:rsidRPr="00E36761">
        <w:rPr>
          <w:lang w:val="en-IN"/>
        </w:rPr>
        <w:t>Inclusion of person-centred care in UK postgraduate medical education curricula: Interviews and documentary analysis.</w:t>
      </w:r>
      <w:r>
        <w:rPr>
          <w:lang w:val="en-IN"/>
        </w:rPr>
        <w:t>’</w:t>
      </w:r>
      <w:r w:rsidRPr="00E36761">
        <w:rPr>
          <w:lang w:val="en-IN"/>
        </w:rPr>
        <w:t xml:space="preserve"> </w:t>
      </w:r>
      <w:r w:rsidRPr="00E36761">
        <w:rPr>
          <w:i/>
          <w:iCs/>
          <w:lang w:val="en-IN"/>
        </w:rPr>
        <w:t>BMC Medical Education</w:t>
      </w:r>
      <w:r w:rsidRPr="00E36761">
        <w:rPr>
          <w:lang w:val="en-IN"/>
        </w:rPr>
        <w:t xml:space="preserve">, [online] 23(1). </w:t>
      </w:r>
      <w:r w:rsidRPr="000F0728">
        <w:rPr>
          <w:lang w:val="en-GB"/>
        </w:rPr>
        <w:t xml:space="preserve">Available at: </w:t>
      </w:r>
      <w:hyperlink r:id="rId43" w:history="1">
        <w:r w:rsidRPr="00E36761">
          <w:rPr>
            <w:rStyle w:val="Hyperlink"/>
            <w:lang w:val="en-IN"/>
          </w:rPr>
          <w:t>https://doi.org/10.1186/s12909-023-04730-2</w:t>
        </w:r>
      </w:hyperlink>
      <w:r>
        <w:rPr>
          <w:lang w:val="en-IN"/>
        </w:rPr>
        <w:t xml:space="preserve"> </w:t>
      </w:r>
    </w:p>
    <w:p w14:paraId="0C908F2E" w14:textId="77777777" w:rsidR="00871971" w:rsidRPr="009276E7" w:rsidRDefault="00871971" w:rsidP="00B346F4">
      <w:pPr>
        <w:spacing w:before="240"/>
        <w:rPr>
          <w:lang w:val="en-GB"/>
        </w:rPr>
      </w:pPr>
      <w:r w:rsidRPr="009276E7">
        <w:rPr>
          <w:lang w:val="en-GB"/>
        </w:rPr>
        <w:t xml:space="preserve">NHS (2022) </w:t>
      </w:r>
      <w:r w:rsidRPr="009276E7">
        <w:rPr>
          <w:i/>
          <w:iCs/>
          <w:lang w:val="en-GB"/>
        </w:rPr>
        <w:t>Infection management at HEE | NHS England | Workforce, training and education</w:t>
      </w:r>
      <w:r w:rsidRPr="009276E7">
        <w:rPr>
          <w:lang w:val="en-GB"/>
        </w:rPr>
        <w:t xml:space="preserve">. [online] NHS England | Workforce, training and education. Available at: </w:t>
      </w:r>
      <w:hyperlink r:id="rId44" w:history="1">
        <w:r w:rsidRPr="009276E7">
          <w:rPr>
            <w:rStyle w:val="Hyperlink"/>
            <w:lang w:val="en-GB"/>
          </w:rPr>
          <w:t>https://www.hee.nhs.uk/our-work/infection-management-hee</w:t>
        </w:r>
      </w:hyperlink>
      <w:r w:rsidRPr="00367F55">
        <w:rPr>
          <w:lang w:val="en-GB"/>
        </w:rPr>
        <w:t xml:space="preserve"> </w:t>
      </w:r>
      <w:r w:rsidRPr="009276E7">
        <w:rPr>
          <w:lang w:val="en-GB"/>
        </w:rPr>
        <w:t xml:space="preserve">[Accessed 7 </w:t>
      </w:r>
      <w:r w:rsidRPr="00367F55">
        <w:rPr>
          <w:lang w:val="en-GB"/>
        </w:rPr>
        <w:t>February</w:t>
      </w:r>
      <w:r w:rsidRPr="009276E7">
        <w:rPr>
          <w:lang w:val="en-GB"/>
        </w:rPr>
        <w:t>. 2026].</w:t>
      </w:r>
    </w:p>
    <w:p w14:paraId="20D18678" w14:textId="77777777" w:rsidR="00871971" w:rsidRPr="00367F55" w:rsidRDefault="00871971" w:rsidP="00B346F4">
      <w:pPr>
        <w:spacing w:before="240"/>
        <w:rPr>
          <w:lang w:val="en-GB"/>
        </w:rPr>
      </w:pPr>
      <w:r w:rsidRPr="00FD5E36">
        <w:rPr>
          <w:lang w:val="en-GB"/>
        </w:rPr>
        <w:t xml:space="preserve">NHS England (2024) </w:t>
      </w:r>
      <w:r w:rsidRPr="00FD5E36">
        <w:rPr>
          <w:i/>
          <w:iCs/>
          <w:lang w:val="en-GB"/>
        </w:rPr>
        <w:t>NHS England - NHS Long Term Workforce Plan</w:t>
      </w:r>
      <w:r w:rsidRPr="00FD5E36">
        <w:rPr>
          <w:lang w:val="en-GB"/>
        </w:rPr>
        <w:t xml:space="preserve">. [online] NHS England. Available at: </w:t>
      </w:r>
      <w:hyperlink r:id="rId45" w:history="1">
        <w:r w:rsidRPr="00FD5E36">
          <w:rPr>
            <w:rStyle w:val="Hyperlink"/>
            <w:lang w:val="en-GB"/>
          </w:rPr>
          <w:t>https://www.england.nhs.uk/long-read/nhs-long-term-workforce-plan-2/</w:t>
        </w:r>
      </w:hyperlink>
      <w:r w:rsidRPr="00367F55">
        <w:rPr>
          <w:lang w:val="en-GB"/>
        </w:rPr>
        <w:t xml:space="preserve"> [Accessed 7 February 2026]</w:t>
      </w:r>
    </w:p>
    <w:p w14:paraId="21206A42" w14:textId="77777777" w:rsidR="00871971" w:rsidRDefault="00871971" w:rsidP="00B346F4">
      <w:pPr>
        <w:widowControl w:val="0"/>
        <w:autoSpaceDE w:val="0"/>
        <w:autoSpaceDN w:val="0"/>
        <w:adjustRightInd w:val="0"/>
        <w:spacing w:before="240" w:after="0"/>
        <w:rPr>
          <w:lang w:val="en-GB"/>
        </w:rPr>
      </w:pPr>
      <w:r>
        <w:rPr>
          <w:rFonts w:cs="Arial"/>
          <w:lang w:val="en-IN"/>
        </w:rPr>
        <w:t>P</w:t>
      </w:r>
      <w:r w:rsidRPr="002569E2">
        <w:rPr>
          <w:rFonts w:cs="Arial"/>
          <w:lang w:val="en-IN"/>
        </w:rPr>
        <w:t>arliament.uk</w:t>
      </w:r>
      <w:r>
        <w:rPr>
          <w:rFonts w:cs="Arial"/>
          <w:lang w:val="en-IN"/>
        </w:rPr>
        <w:t xml:space="preserve">, (2022) </w:t>
      </w:r>
      <w:r w:rsidRPr="004D1FCA">
        <w:rPr>
          <w:rFonts w:cs="Arial"/>
          <w:lang w:val="en-IN"/>
        </w:rPr>
        <w:t>Staff shortages in the NHS and social care sectors</w:t>
      </w:r>
      <w:r>
        <w:rPr>
          <w:rFonts w:cs="Arial"/>
          <w:lang w:val="en-IN"/>
        </w:rPr>
        <w:t xml:space="preserve">. </w:t>
      </w:r>
      <w:r w:rsidRPr="000F0728">
        <w:rPr>
          <w:lang w:val="en-GB"/>
        </w:rPr>
        <w:t xml:space="preserve">Available at: </w:t>
      </w:r>
      <w:hyperlink r:id="rId46" w:history="1">
        <w:r w:rsidRPr="00CB3FA1">
          <w:rPr>
            <w:rStyle w:val="Hyperlink"/>
            <w:rFonts w:cs="Arial"/>
          </w:rPr>
          <w:t>https://lordslibrary.parliament.uk/staff-shortages-in-the-nhs-and-social-care-sectors/</w:t>
        </w:r>
      </w:hyperlink>
      <w:r>
        <w:rPr>
          <w:rFonts w:cs="Arial"/>
        </w:rPr>
        <w:t xml:space="preserve"> </w:t>
      </w:r>
      <w:r w:rsidRPr="00367F55">
        <w:rPr>
          <w:lang w:val="en-GB"/>
        </w:rPr>
        <w:t xml:space="preserve">[Accessed </w:t>
      </w:r>
      <w:r>
        <w:rPr>
          <w:lang w:val="en-GB"/>
        </w:rPr>
        <w:t>4</w:t>
      </w:r>
      <w:r w:rsidRPr="00367F55">
        <w:rPr>
          <w:lang w:val="en-GB"/>
        </w:rPr>
        <w:t xml:space="preserve"> </w:t>
      </w:r>
      <w:r>
        <w:rPr>
          <w:lang w:val="en-GB"/>
        </w:rPr>
        <w:t>March</w:t>
      </w:r>
      <w:r w:rsidRPr="00367F55">
        <w:rPr>
          <w:lang w:val="en-GB"/>
        </w:rPr>
        <w:t xml:space="preserve"> 2026]</w:t>
      </w:r>
    </w:p>
    <w:p w14:paraId="73993672" w14:textId="77777777" w:rsidR="00871971" w:rsidRPr="007B731D" w:rsidRDefault="00871971" w:rsidP="00B346F4">
      <w:pPr>
        <w:spacing w:before="240"/>
        <w:rPr>
          <w:lang w:val="en-GB"/>
        </w:rPr>
      </w:pPr>
      <w:r w:rsidRPr="007B731D">
        <w:rPr>
          <w:lang w:val="en-GB"/>
        </w:rPr>
        <w:t>Philpott, M., O’Reilly, K., Bermudez, L., de Morais, H. and Filtz, T.M. (2022)</w:t>
      </w:r>
      <w:r w:rsidRPr="00367F55">
        <w:rPr>
          <w:lang w:val="en-GB"/>
        </w:rPr>
        <w:t xml:space="preserve"> ‘</w:t>
      </w:r>
      <w:r w:rsidRPr="007B731D">
        <w:rPr>
          <w:lang w:val="en-GB"/>
        </w:rPr>
        <w:t>Professional Student Education and Training During the COVID-19 Pandemic.</w:t>
      </w:r>
      <w:r w:rsidRPr="00367F55">
        <w:rPr>
          <w:lang w:val="en-GB"/>
        </w:rPr>
        <w:t>’</w:t>
      </w:r>
      <w:r w:rsidRPr="007B731D">
        <w:rPr>
          <w:lang w:val="en-GB"/>
        </w:rPr>
        <w:t xml:space="preserve"> </w:t>
      </w:r>
      <w:r w:rsidRPr="007B731D">
        <w:rPr>
          <w:i/>
          <w:iCs/>
          <w:lang w:val="en-GB"/>
        </w:rPr>
        <w:t>Applied Biosafety</w:t>
      </w:r>
      <w:r w:rsidRPr="007B731D">
        <w:rPr>
          <w:lang w:val="en-GB"/>
        </w:rPr>
        <w:t xml:space="preserve">. </w:t>
      </w:r>
      <w:r w:rsidRPr="00C16169">
        <w:rPr>
          <w:lang w:val="en-GB"/>
        </w:rPr>
        <w:t xml:space="preserve">Available at: </w:t>
      </w:r>
      <w:hyperlink r:id="rId47" w:history="1">
        <w:r w:rsidRPr="007B731D">
          <w:rPr>
            <w:rStyle w:val="Hyperlink"/>
            <w:lang w:val="en-GB"/>
          </w:rPr>
          <w:t>https://doi.org/10.1089/apb.2022.0017</w:t>
        </w:r>
      </w:hyperlink>
      <w:r w:rsidRPr="00367F55">
        <w:rPr>
          <w:lang w:val="en-GB"/>
        </w:rPr>
        <w:t xml:space="preserve"> </w:t>
      </w:r>
    </w:p>
    <w:p w14:paraId="57CAB6C3" w14:textId="77777777" w:rsidR="00871971" w:rsidRPr="00FD5E36" w:rsidRDefault="00871971" w:rsidP="00B346F4">
      <w:pPr>
        <w:spacing w:before="240"/>
        <w:rPr>
          <w:lang w:val="en-GB"/>
        </w:rPr>
      </w:pPr>
      <w:r w:rsidRPr="00367F55">
        <w:rPr>
          <w:lang w:val="en-GB"/>
        </w:rPr>
        <w:t xml:space="preserve">Rcog, (2026) Effect of the COVID-19 pandemic on training. </w:t>
      </w:r>
      <w:r w:rsidRPr="00FD5E36">
        <w:rPr>
          <w:lang w:val="en-GB"/>
        </w:rPr>
        <w:t xml:space="preserve">Available at: </w:t>
      </w:r>
      <w:hyperlink r:id="rId48" w:history="1">
        <w:r w:rsidRPr="009F708C">
          <w:rPr>
            <w:rStyle w:val="Hyperlink"/>
            <w:lang w:val="en-GB"/>
          </w:rPr>
          <w:t>https://www.rcog.org.uk/media/r5mjf400/tef-2021-report-covid-19.pdf</w:t>
        </w:r>
      </w:hyperlink>
      <w:r>
        <w:rPr>
          <w:lang w:val="en-GB"/>
        </w:rPr>
        <w:t xml:space="preserve"> </w:t>
      </w:r>
      <w:r w:rsidRPr="00367F55">
        <w:rPr>
          <w:lang w:val="en-GB"/>
        </w:rPr>
        <w:t>[Accessed 7 February 2026]</w:t>
      </w:r>
    </w:p>
    <w:p w14:paraId="16D240B7" w14:textId="77777777" w:rsidR="00871971" w:rsidRPr="00806B3F" w:rsidRDefault="00871971" w:rsidP="00B346F4">
      <w:pPr>
        <w:spacing w:before="240"/>
        <w:rPr>
          <w:lang w:val="en-GB"/>
        </w:rPr>
      </w:pPr>
      <w:r w:rsidRPr="00806B3F">
        <w:rPr>
          <w:lang w:val="en-GB"/>
        </w:rPr>
        <w:t>Seam, N., Lee, A.J., Vennero, M. and Emlet, L. (20</w:t>
      </w:r>
      <w:r w:rsidRPr="00367F55">
        <w:rPr>
          <w:lang w:val="en-GB"/>
        </w:rPr>
        <w:t>20</w:t>
      </w:r>
      <w:r w:rsidRPr="00806B3F">
        <w:rPr>
          <w:lang w:val="en-GB"/>
        </w:rPr>
        <w:t xml:space="preserve">) </w:t>
      </w:r>
      <w:r w:rsidRPr="00367F55">
        <w:rPr>
          <w:lang w:val="en-GB"/>
        </w:rPr>
        <w:t>‘</w:t>
      </w:r>
      <w:r w:rsidRPr="00806B3F">
        <w:rPr>
          <w:lang w:val="en-GB"/>
        </w:rPr>
        <w:t>Simulation Training in the ICU.</w:t>
      </w:r>
      <w:r w:rsidRPr="00367F55">
        <w:rPr>
          <w:lang w:val="en-GB"/>
        </w:rPr>
        <w:t>’</w:t>
      </w:r>
      <w:r w:rsidRPr="00806B3F">
        <w:rPr>
          <w:lang w:val="en-GB"/>
        </w:rPr>
        <w:t xml:space="preserve"> </w:t>
      </w:r>
      <w:r w:rsidRPr="00806B3F">
        <w:rPr>
          <w:i/>
          <w:iCs/>
          <w:lang w:val="en-GB"/>
        </w:rPr>
        <w:t>Chest</w:t>
      </w:r>
      <w:r w:rsidRPr="00806B3F">
        <w:rPr>
          <w:lang w:val="en-GB"/>
        </w:rPr>
        <w:t>, [online] 156(6).</w:t>
      </w:r>
      <w:r w:rsidRPr="00367F55">
        <w:rPr>
          <w:lang w:val="en-GB"/>
        </w:rPr>
        <w:t xml:space="preserve"> </w:t>
      </w:r>
      <w:r w:rsidRPr="00E34282">
        <w:rPr>
          <w:lang w:val="en-GB"/>
        </w:rPr>
        <w:t xml:space="preserve">Available at: </w:t>
      </w:r>
      <w:hyperlink r:id="rId49" w:history="1">
        <w:r w:rsidRPr="00806B3F">
          <w:rPr>
            <w:rStyle w:val="Hyperlink"/>
            <w:lang w:val="en-GB"/>
          </w:rPr>
          <w:t>https://doi.org/10.1016/j.chest.2019.07.011</w:t>
        </w:r>
      </w:hyperlink>
      <w:r w:rsidRPr="00367F55">
        <w:rPr>
          <w:lang w:val="en-GB"/>
        </w:rPr>
        <w:t xml:space="preserve"> </w:t>
      </w:r>
    </w:p>
    <w:p w14:paraId="1B097936" w14:textId="77777777" w:rsidR="00871971" w:rsidRPr="000F7FD4" w:rsidRDefault="00871971" w:rsidP="00B346F4">
      <w:pPr>
        <w:spacing w:before="240"/>
        <w:rPr>
          <w:lang w:val="en-GB"/>
        </w:rPr>
      </w:pPr>
      <w:r w:rsidRPr="00367F55">
        <w:rPr>
          <w:lang w:val="en-GB"/>
        </w:rPr>
        <w:lastRenderedPageBreak/>
        <w:t>S</w:t>
      </w:r>
      <w:r w:rsidRPr="000F7FD4">
        <w:rPr>
          <w:lang w:val="en-GB"/>
        </w:rPr>
        <w:t>killsforhealth</w:t>
      </w:r>
      <w:r w:rsidRPr="00367F55">
        <w:rPr>
          <w:lang w:val="en-GB"/>
        </w:rPr>
        <w:t xml:space="preserve">, (2026) </w:t>
      </w:r>
      <w:r w:rsidRPr="000F7FD4">
        <w:rPr>
          <w:lang w:val="en-GB"/>
        </w:rPr>
        <w:t>Mental Health Core Skills Education and Training Framework</w:t>
      </w:r>
      <w:r w:rsidRPr="00367F55">
        <w:rPr>
          <w:lang w:val="en-GB"/>
        </w:rPr>
        <w:t xml:space="preserve">. </w:t>
      </w:r>
      <w:r w:rsidRPr="000F7FD4">
        <w:rPr>
          <w:lang w:val="en-GB"/>
        </w:rPr>
        <w:t xml:space="preserve">Available at: </w:t>
      </w:r>
      <w:hyperlink r:id="rId50" w:history="1">
        <w:r w:rsidRPr="000F7FD4">
          <w:rPr>
            <w:rStyle w:val="Hyperlink"/>
            <w:lang w:val="en-GB"/>
          </w:rPr>
          <w:t>https://www.skillsforhealth.org.uk/images/services/cstf/Mental%20Health%20CSTF.pdf</w:t>
        </w:r>
      </w:hyperlink>
      <w:r w:rsidRPr="00367F55">
        <w:rPr>
          <w:lang w:val="en-GB"/>
        </w:rPr>
        <w:t xml:space="preserve"> [Accessed 7 February 2026]</w:t>
      </w:r>
    </w:p>
    <w:p w14:paraId="557BC018" w14:textId="77777777" w:rsidR="00871971" w:rsidRDefault="00871971" w:rsidP="00000B16">
      <w:pPr>
        <w:widowControl w:val="0"/>
        <w:autoSpaceDE w:val="0"/>
        <w:autoSpaceDN w:val="0"/>
        <w:adjustRightInd w:val="0"/>
        <w:spacing w:before="240" w:after="0"/>
        <w:rPr>
          <w:rFonts w:cs="Arial"/>
        </w:rPr>
      </w:pPr>
      <w:r w:rsidRPr="001069CB">
        <w:rPr>
          <w:rFonts w:cs="Arial"/>
        </w:rPr>
        <w:t xml:space="preserve">Stark, N., Hayirli, T., Bhanja, A., Kerrissey, M., Hardy, J. and Peabody, C.R. (2022) ‘Unprecedented Training: Experience of Residents During the COVID-19 Pandemic’, </w:t>
      </w:r>
      <w:r w:rsidRPr="001069CB">
        <w:rPr>
          <w:rFonts w:cs="Arial"/>
          <w:i/>
          <w:iCs/>
        </w:rPr>
        <w:t>Annals of Emergency Medicine</w:t>
      </w:r>
      <w:r w:rsidRPr="001069CB">
        <w:rPr>
          <w:rFonts w:cs="Arial"/>
        </w:rPr>
        <w:t xml:space="preserve"> [Preprint]. Available at: </w:t>
      </w:r>
      <w:hyperlink r:id="rId51" w:history="1">
        <w:r w:rsidRPr="001069CB">
          <w:rPr>
            <w:rFonts w:cs="Arial"/>
          </w:rPr>
          <w:t>https://doi.org/10.1016/j.annemergmed.2022.01.022</w:t>
        </w:r>
      </w:hyperlink>
      <w:r w:rsidRPr="001069CB">
        <w:rPr>
          <w:rFonts w:cs="Arial"/>
        </w:rPr>
        <w:t>.</w:t>
      </w:r>
    </w:p>
    <w:p w14:paraId="07852A65" w14:textId="77777777" w:rsidR="00871971" w:rsidRPr="00070CEE" w:rsidRDefault="00871971" w:rsidP="00B346F4">
      <w:pPr>
        <w:spacing w:before="240"/>
        <w:rPr>
          <w:lang w:val="en-GB"/>
        </w:rPr>
      </w:pPr>
      <w:r w:rsidRPr="00367F55">
        <w:rPr>
          <w:lang w:val="en-GB"/>
        </w:rPr>
        <w:t>T</w:t>
      </w:r>
      <w:r w:rsidRPr="00070CEE">
        <w:rPr>
          <w:lang w:val="en-GB"/>
        </w:rPr>
        <w:t>hefederation.uk</w:t>
      </w:r>
      <w:r w:rsidRPr="00367F55">
        <w:rPr>
          <w:lang w:val="en-GB"/>
        </w:rPr>
        <w:t xml:space="preserve">, (2026) </w:t>
      </w:r>
      <w:r w:rsidRPr="00070CEE">
        <w:rPr>
          <w:lang w:val="en-GB"/>
        </w:rPr>
        <w:t xml:space="preserve">Enhancing UK Core Medical Training through simulation-based education: an evidence-based approach A report from the joint JRCPTB/HEE Expert Group on Simulation in Core Medical Training. (2016). Available at: </w:t>
      </w:r>
      <w:hyperlink r:id="rId52" w:history="1">
        <w:r w:rsidRPr="00070CEE">
          <w:rPr>
            <w:rStyle w:val="Hyperlink"/>
            <w:lang w:val="en-GB"/>
          </w:rPr>
          <w:t>https://www.thefederation.uk/sites/default/files/HEE_Report_FINAL.pdf</w:t>
        </w:r>
      </w:hyperlink>
      <w:r w:rsidRPr="00367F55">
        <w:rPr>
          <w:lang w:val="en-GB"/>
        </w:rPr>
        <w:t xml:space="preserve"> [Accessed 7 February 2026]</w:t>
      </w:r>
    </w:p>
    <w:p w14:paraId="1AB817B8" w14:textId="77777777" w:rsidR="00871971" w:rsidRPr="00720E59" w:rsidRDefault="00871971" w:rsidP="00B346F4">
      <w:pPr>
        <w:spacing w:before="240"/>
        <w:rPr>
          <w:lang w:val="en-GB"/>
        </w:rPr>
      </w:pPr>
      <w:r w:rsidRPr="00720E59">
        <w:rPr>
          <w:lang w:val="en-GB"/>
        </w:rPr>
        <w:t xml:space="preserve">Vera San Juan, N., Clark, S.E., Camilleri, M., Jeans, J.P., Monkhouse, A., Chisnall, G. and Vindrola-Padros, C. (2022) </w:t>
      </w:r>
      <w:r w:rsidRPr="00367F55">
        <w:rPr>
          <w:lang w:val="en-GB"/>
        </w:rPr>
        <w:t>‘</w:t>
      </w:r>
      <w:r w:rsidRPr="00720E59">
        <w:rPr>
          <w:lang w:val="en-GB"/>
        </w:rPr>
        <w:t>Training and redeployment of healthcare workers to intensive care units (ICUs) during the COVID-19 pandemic: a systematic review.</w:t>
      </w:r>
      <w:r w:rsidRPr="00367F55">
        <w:rPr>
          <w:lang w:val="en-GB"/>
        </w:rPr>
        <w:t>’</w:t>
      </w:r>
      <w:r w:rsidRPr="00720E59">
        <w:rPr>
          <w:lang w:val="en-GB"/>
        </w:rPr>
        <w:t xml:space="preserve"> </w:t>
      </w:r>
      <w:r w:rsidRPr="00720E59">
        <w:rPr>
          <w:i/>
          <w:iCs/>
          <w:lang w:val="en-GB"/>
        </w:rPr>
        <w:t>BMJ Open</w:t>
      </w:r>
      <w:r w:rsidRPr="00720E59">
        <w:rPr>
          <w:lang w:val="en-GB"/>
        </w:rPr>
        <w:t xml:space="preserve">, 12(1), p.e050038. </w:t>
      </w:r>
      <w:r w:rsidRPr="000F7FD4">
        <w:rPr>
          <w:lang w:val="en-GB"/>
        </w:rPr>
        <w:t xml:space="preserve">Available at: </w:t>
      </w:r>
      <w:hyperlink r:id="rId53" w:history="1">
        <w:r w:rsidRPr="00720E59">
          <w:rPr>
            <w:rStyle w:val="Hyperlink"/>
            <w:lang w:val="en-GB"/>
          </w:rPr>
          <w:t>https://doi.org/10.1136/bmjopen-2021-050038</w:t>
        </w:r>
      </w:hyperlink>
      <w:r w:rsidRPr="00367F55">
        <w:rPr>
          <w:lang w:val="en-GB"/>
        </w:rPr>
        <w:t xml:space="preserve"> </w:t>
      </w:r>
    </w:p>
    <w:p w14:paraId="2372BC12" w14:textId="77777777" w:rsidR="00871971" w:rsidRPr="00E34282" w:rsidRDefault="00871971" w:rsidP="00B346F4">
      <w:pPr>
        <w:spacing w:before="240"/>
        <w:rPr>
          <w:lang w:val="en-GB"/>
        </w:rPr>
      </w:pPr>
      <w:r w:rsidRPr="00E34282">
        <w:rPr>
          <w:lang w:val="en-GB"/>
        </w:rPr>
        <w:t xml:space="preserve">WHO (2020) </w:t>
      </w:r>
      <w:r w:rsidRPr="00E34282">
        <w:rPr>
          <w:i/>
          <w:iCs/>
          <w:lang w:val="en-GB"/>
        </w:rPr>
        <w:t>EQUIP - Ensuring Quality in Psychological Support</w:t>
      </w:r>
      <w:r w:rsidRPr="00E34282">
        <w:rPr>
          <w:lang w:val="en-GB"/>
        </w:rPr>
        <w:t xml:space="preserve">. [online] www.who.int. Available at: </w:t>
      </w:r>
      <w:hyperlink r:id="rId54" w:history="1">
        <w:r w:rsidRPr="00E34282">
          <w:rPr>
            <w:rStyle w:val="Hyperlink"/>
            <w:lang w:val="en-GB"/>
          </w:rPr>
          <w:t>https://www.who.int/teams/mental-health-and-substance-use/treatment-care/equip-ensuring-quality-in-psychological-support</w:t>
        </w:r>
      </w:hyperlink>
      <w:r w:rsidRPr="00367F55">
        <w:rPr>
          <w:lang w:val="en-GB"/>
        </w:rPr>
        <w:t xml:space="preserve"> [Accessed 7 February 2026]</w:t>
      </w:r>
    </w:p>
    <w:p w14:paraId="03A5CA4C" w14:textId="77777777" w:rsidR="00871971" w:rsidRPr="008E5B78" w:rsidRDefault="00871971" w:rsidP="00B346F4">
      <w:pPr>
        <w:spacing w:before="240"/>
        <w:rPr>
          <w:lang w:val="en-GB"/>
        </w:rPr>
      </w:pPr>
      <w:r w:rsidRPr="008E5B78">
        <w:rPr>
          <w:lang w:val="en-GB"/>
        </w:rPr>
        <w:t xml:space="preserve">WHO (2021) </w:t>
      </w:r>
      <w:r w:rsidRPr="008E5B78">
        <w:rPr>
          <w:i/>
          <w:iCs/>
          <w:lang w:val="en-GB"/>
        </w:rPr>
        <w:t>Welcome to OpenWHO</w:t>
      </w:r>
      <w:r w:rsidRPr="008E5B78">
        <w:rPr>
          <w:lang w:val="en-GB"/>
        </w:rPr>
        <w:t xml:space="preserve">. [online] openwho.org. Available at: </w:t>
      </w:r>
      <w:hyperlink r:id="rId55" w:history="1">
        <w:r w:rsidRPr="008E5B78">
          <w:rPr>
            <w:rStyle w:val="Hyperlink"/>
            <w:lang w:val="en-GB"/>
          </w:rPr>
          <w:t>https://openwho.org/</w:t>
        </w:r>
      </w:hyperlink>
      <w:r w:rsidRPr="00367F55">
        <w:rPr>
          <w:lang w:val="en-GB"/>
        </w:rPr>
        <w:t xml:space="preserve"> [Accessed 7 February 2026]</w:t>
      </w:r>
    </w:p>
    <w:p w14:paraId="0A4E6B3A" w14:textId="77777777" w:rsidR="00871971" w:rsidRDefault="00871971" w:rsidP="00B346F4">
      <w:pPr>
        <w:widowControl w:val="0"/>
        <w:autoSpaceDE w:val="0"/>
        <w:autoSpaceDN w:val="0"/>
        <w:adjustRightInd w:val="0"/>
        <w:spacing w:before="240" w:after="0"/>
        <w:rPr>
          <w:lang w:val="en-GB"/>
        </w:rPr>
      </w:pPr>
      <w:r w:rsidRPr="00D82666">
        <w:rPr>
          <w:lang w:val="en-GB"/>
        </w:rPr>
        <w:t xml:space="preserve">Wise, J. (2022) </w:t>
      </w:r>
      <w:r w:rsidRPr="00367F55">
        <w:rPr>
          <w:lang w:val="en-GB"/>
        </w:rPr>
        <w:t>‘</w:t>
      </w:r>
      <w:r w:rsidRPr="00D82666">
        <w:rPr>
          <w:lang w:val="en-GB"/>
        </w:rPr>
        <w:t>Burnout among trainees is at all time high, GMC survey shows.</w:t>
      </w:r>
      <w:r w:rsidRPr="00367F55">
        <w:rPr>
          <w:lang w:val="en-GB"/>
        </w:rPr>
        <w:t>’</w:t>
      </w:r>
      <w:r w:rsidRPr="00D82666">
        <w:rPr>
          <w:lang w:val="en-GB"/>
        </w:rPr>
        <w:t xml:space="preserve"> </w:t>
      </w:r>
      <w:r w:rsidRPr="00D82666">
        <w:rPr>
          <w:i/>
          <w:iCs/>
          <w:lang w:val="en-GB"/>
        </w:rPr>
        <w:t>BMJ</w:t>
      </w:r>
      <w:r w:rsidRPr="00D82666">
        <w:rPr>
          <w:lang w:val="en-GB"/>
        </w:rPr>
        <w:t xml:space="preserve">, p.o1796. </w:t>
      </w:r>
      <w:r w:rsidRPr="000F0728">
        <w:rPr>
          <w:lang w:val="en-GB"/>
        </w:rPr>
        <w:t xml:space="preserve">Available at: </w:t>
      </w:r>
      <w:hyperlink r:id="rId56" w:history="1">
        <w:r w:rsidRPr="00D82666">
          <w:rPr>
            <w:rStyle w:val="Hyperlink"/>
            <w:lang w:val="en-GB"/>
          </w:rPr>
          <w:t>https://doi.org/10.1136/bmj.o1796</w:t>
        </w:r>
      </w:hyperlink>
      <w:r w:rsidRPr="00367F55">
        <w:rPr>
          <w:lang w:val="en-GB"/>
        </w:rPr>
        <w:t xml:space="preserve"> [Accessed 7 February 2026]</w:t>
      </w:r>
    </w:p>
    <w:p w14:paraId="45C68244" w14:textId="77777777" w:rsidR="002F2670" w:rsidRDefault="002F2670" w:rsidP="00B346F4">
      <w:pPr>
        <w:widowControl w:val="0"/>
        <w:autoSpaceDE w:val="0"/>
        <w:autoSpaceDN w:val="0"/>
        <w:adjustRightInd w:val="0"/>
        <w:spacing w:before="240" w:after="0"/>
        <w:rPr>
          <w:lang w:val="en-GB"/>
        </w:rPr>
      </w:pPr>
    </w:p>
    <w:p w14:paraId="724AFA23" w14:textId="34AC4DDD" w:rsidR="004D1FCA" w:rsidRPr="004D1FCA" w:rsidRDefault="004D1FCA" w:rsidP="00B346F4">
      <w:pPr>
        <w:widowControl w:val="0"/>
        <w:autoSpaceDE w:val="0"/>
        <w:autoSpaceDN w:val="0"/>
        <w:adjustRightInd w:val="0"/>
        <w:spacing w:before="240" w:after="0"/>
        <w:rPr>
          <w:rFonts w:cs="Arial"/>
          <w:lang w:val="en-IN"/>
        </w:rPr>
      </w:pPr>
    </w:p>
    <w:p w14:paraId="28D9C0BF" w14:textId="77777777" w:rsidR="005F7D75" w:rsidRPr="00EF2814" w:rsidRDefault="005F7D75" w:rsidP="00AD2E14">
      <w:pPr>
        <w:spacing w:after="0"/>
        <w:rPr>
          <w:noProof/>
          <w:lang w:val="en-GB"/>
        </w:rPr>
      </w:pPr>
    </w:p>
    <w:p w14:paraId="5407F508" w14:textId="77777777" w:rsidR="005F7D75" w:rsidRPr="00EF2814" w:rsidRDefault="005F7D75" w:rsidP="00AD2E14">
      <w:pPr>
        <w:spacing w:after="0"/>
        <w:rPr>
          <w:noProof/>
          <w:lang w:val="en-GB"/>
        </w:rPr>
      </w:pPr>
    </w:p>
    <w:p w14:paraId="2A4EA882" w14:textId="77777777" w:rsidR="005F7D75" w:rsidRPr="00EF2814" w:rsidRDefault="005F7D75" w:rsidP="00AD2E14">
      <w:pPr>
        <w:spacing w:after="0"/>
        <w:rPr>
          <w:noProof/>
          <w:lang w:val="en-GB"/>
        </w:rPr>
      </w:pPr>
    </w:p>
    <w:p w14:paraId="03F0D60E" w14:textId="09E1D8B5" w:rsidR="00582081" w:rsidRPr="00EF2814" w:rsidRDefault="00582081" w:rsidP="00AD2E14">
      <w:pPr>
        <w:spacing w:after="0"/>
        <w:rPr>
          <w:rFonts w:ascii="Aptos" w:hAnsi="Aptos" w:cs="Arial"/>
          <w:sz w:val="28"/>
          <w:szCs w:val="28"/>
          <w:lang w:val="en-GB"/>
        </w:rPr>
      </w:pPr>
    </w:p>
    <w:sectPr w:rsidR="00582081" w:rsidRPr="00EF2814" w:rsidSect="001E544F">
      <w:pgSz w:w="12240" w:h="15840" w:code="1"/>
      <w:pgMar w:top="1440" w:right="1440" w:bottom="1440" w:left="144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E3B62" w14:textId="77777777" w:rsidR="00DC2E0F" w:rsidRDefault="00DC2E0F" w:rsidP="00D210FA">
      <w:pPr>
        <w:spacing w:after="0"/>
      </w:pPr>
      <w:r>
        <w:separator/>
      </w:r>
    </w:p>
  </w:endnote>
  <w:endnote w:type="continuationSeparator" w:id="0">
    <w:p w14:paraId="251B2CFF" w14:textId="77777777" w:rsidR="00DC2E0F" w:rsidRDefault="00DC2E0F"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7604137"/>
      <w:docPartObj>
        <w:docPartGallery w:val="Page Numbers (Bottom of Page)"/>
        <w:docPartUnique/>
      </w:docPartObj>
    </w:sdtPr>
    <w:sdtEndPr>
      <w:rPr>
        <w:rFonts w:cs="Arial"/>
      </w:rPr>
    </w:sdtEndPr>
    <w:sdtContent>
      <w:sdt>
        <w:sdtPr>
          <w:rPr>
            <w:rFonts w:cs="Arial"/>
          </w:rPr>
          <w:id w:val="178861391"/>
          <w:docPartObj>
            <w:docPartGallery w:val="Page Numbers (Top of Page)"/>
            <w:docPartUnique/>
          </w:docPartObj>
        </w:sdtPr>
        <w:sdtContent>
          <w:p w14:paraId="012D7AE9" w14:textId="1125D79F" w:rsidR="009F715E" w:rsidRPr="00F77FF9" w:rsidRDefault="009F715E">
            <w:pPr>
              <w:pStyle w:val="Footer"/>
              <w:jc w:val="right"/>
              <w:rPr>
                <w:rFonts w:cs="Arial"/>
              </w:rPr>
            </w:pPr>
            <w:r w:rsidRPr="00F77FF9">
              <w:rPr>
                <w:rFonts w:cs="Arial"/>
              </w:rPr>
              <w:t xml:space="preserve">Page </w:t>
            </w:r>
            <w:r w:rsidRPr="00F77FF9">
              <w:rPr>
                <w:rFonts w:cs="Arial"/>
                <w:b/>
                <w:bCs/>
              </w:rPr>
              <w:fldChar w:fldCharType="begin"/>
            </w:r>
            <w:r w:rsidRPr="00F77FF9">
              <w:rPr>
                <w:rFonts w:cs="Arial"/>
                <w:b/>
                <w:bCs/>
              </w:rPr>
              <w:instrText xml:space="preserve"> PAGE </w:instrText>
            </w:r>
            <w:r w:rsidRPr="00F77FF9">
              <w:rPr>
                <w:rFonts w:cs="Arial"/>
                <w:b/>
                <w:bCs/>
              </w:rPr>
              <w:fldChar w:fldCharType="separate"/>
            </w:r>
            <w:r w:rsidR="00BA794B">
              <w:rPr>
                <w:rFonts w:cs="Arial"/>
                <w:b/>
                <w:bCs/>
                <w:noProof/>
              </w:rPr>
              <w:t>21</w:t>
            </w:r>
            <w:r w:rsidRPr="00F77FF9">
              <w:rPr>
                <w:rFonts w:cs="Arial"/>
                <w:b/>
                <w:bCs/>
              </w:rPr>
              <w:fldChar w:fldCharType="end"/>
            </w:r>
            <w:r w:rsidRPr="00F77FF9">
              <w:rPr>
                <w:rFonts w:cs="Arial"/>
              </w:rPr>
              <w:t xml:space="preserve"> of </w:t>
            </w:r>
            <w:r w:rsidRPr="00F77FF9">
              <w:rPr>
                <w:rFonts w:cs="Arial"/>
                <w:b/>
                <w:bCs/>
              </w:rPr>
              <w:fldChar w:fldCharType="begin"/>
            </w:r>
            <w:r w:rsidRPr="00F77FF9">
              <w:rPr>
                <w:rFonts w:cs="Arial"/>
                <w:b/>
                <w:bCs/>
              </w:rPr>
              <w:instrText xml:space="preserve"> NUMPAGES  </w:instrText>
            </w:r>
            <w:r w:rsidRPr="00F77FF9">
              <w:rPr>
                <w:rFonts w:cs="Arial"/>
                <w:b/>
                <w:bCs/>
              </w:rPr>
              <w:fldChar w:fldCharType="separate"/>
            </w:r>
            <w:r w:rsidR="00BA794B">
              <w:rPr>
                <w:rFonts w:cs="Arial"/>
                <w:b/>
                <w:bCs/>
                <w:noProof/>
              </w:rPr>
              <w:t>22</w:t>
            </w:r>
            <w:r w:rsidRPr="00F77FF9">
              <w:rPr>
                <w:rFonts w:cs="Arial"/>
                <w:b/>
                <w:bCs/>
              </w:rPr>
              <w:fldChar w:fldCharType="end"/>
            </w:r>
          </w:p>
        </w:sdtContent>
      </w:sdt>
    </w:sdtContent>
  </w:sdt>
  <w:p w14:paraId="4059FDA3" w14:textId="77777777" w:rsidR="009F715E" w:rsidRDefault="009F7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89B729" w14:textId="77777777" w:rsidR="00DC2E0F" w:rsidRDefault="00DC2E0F" w:rsidP="00D210FA">
      <w:pPr>
        <w:spacing w:after="0"/>
      </w:pPr>
      <w:r>
        <w:separator/>
      </w:r>
    </w:p>
  </w:footnote>
  <w:footnote w:type="continuationSeparator" w:id="0">
    <w:p w14:paraId="0F671C5B" w14:textId="77777777" w:rsidR="00DC2E0F" w:rsidRDefault="00DC2E0F"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9F715E" w:rsidRDefault="009F715E">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9F715E" w:rsidRDefault="009F715E">
    <w:pPr>
      <w:pStyle w:val="Header"/>
    </w:pPr>
  </w:p>
  <w:p w14:paraId="68BF0258" w14:textId="683785A9" w:rsidR="009F715E" w:rsidRDefault="009F71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66480B"/>
    <w:multiLevelType w:val="multilevel"/>
    <w:tmpl w:val="038C8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437641D"/>
    <w:multiLevelType w:val="multilevel"/>
    <w:tmpl w:val="D26C31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AEE7C01"/>
    <w:multiLevelType w:val="multilevel"/>
    <w:tmpl w:val="1116E9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0397EBD"/>
    <w:multiLevelType w:val="multilevel"/>
    <w:tmpl w:val="C706B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6805841"/>
    <w:multiLevelType w:val="multilevel"/>
    <w:tmpl w:val="E7BCA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9CD7383"/>
    <w:multiLevelType w:val="multilevel"/>
    <w:tmpl w:val="5726E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C5775E3"/>
    <w:multiLevelType w:val="multilevel"/>
    <w:tmpl w:val="AFE80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ABF0EB1"/>
    <w:multiLevelType w:val="multilevel"/>
    <w:tmpl w:val="83968F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3116526D"/>
    <w:multiLevelType w:val="multilevel"/>
    <w:tmpl w:val="C5B07E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7125B11"/>
    <w:multiLevelType w:val="multilevel"/>
    <w:tmpl w:val="EBBAF4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9202FE2"/>
    <w:multiLevelType w:val="multilevel"/>
    <w:tmpl w:val="417CB3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3A342CF0"/>
    <w:multiLevelType w:val="multilevel"/>
    <w:tmpl w:val="38E047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3F4150AE"/>
    <w:multiLevelType w:val="hybridMultilevel"/>
    <w:tmpl w:val="CE3460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419952CE"/>
    <w:multiLevelType w:val="multilevel"/>
    <w:tmpl w:val="E90E42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B873A61"/>
    <w:multiLevelType w:val="multilevel"/>
    <w:tmpl w:val="D242E6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4F442F02"/>
    <w:multiLevelType w:val="multilevel"/>
    <w:tmpl w:val="3BB86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6" w15:restartNumberingAfterBreak="0">
    <w:nsid w:val="63FE4B6D"/>
    <w:multiLevelType w:val="multilevel"/>
    <w:tmpl w:val="B5063E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5F41D07"/>
    <w:multiLevelType w:val="multilevel"/>
    <w:tmpl w:val="843C72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704556F8"/>
    <w:multiLevelType w:val="multilevel"/>
    <w:tmpl w:val="4C1410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70B51AB8"/>
    <w:multiLevelType w:val="multilevel"/>
    <w:tmpl w:val="6336AE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749E34CF"/>
    <w:multiLevelType w:val="multilevel"/>
    <w:tmpl w:val="2E1C35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654B81"/>
    <w:multiLevelType w:val="multilevel"/>
    <w:tmpl w:val="ADECC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DA04611"/>
    <w:multiLevelType w:val="multilevel"/>
    <w:tmpl w:val="9ECA4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44084225">
    <w:abstractNumId w:val="11"/>
  </w:num>
  <w:num w:numId="2" w16cid:durableId="1461413977">
    <w:abstractNumId w:val="7"/>
  </w:num>
  <w:num w:numId="3" w16cid:durableId="1533954200">
    <w:abstractNumId w:val="34"/>
  </w:num>
  <w:num w:numId="4" w16cid:durableId="1216158856">
    <w:abstractNumId w:val="35"/>
  </w:num>
  <w:num w:numId="5" w16cid:durableId="1763868104">
    <w:abstractNumId w:val="16"/>
  </w:num>
  <w:num w:numId="6" w16cid:durableId="502621438">
    <w:abstractNumId w:val="14"/>
  </w:num>
  <w:num w:numId="7" w16cid:durableId="1227842807">
    <w:abstractNumId w:val="25"/>
  </w:num>
  <w:num w:numId="8" w16cid:durableId="1343975654">
    <w:abstractNumId w:val="22"/>
  </w:num>
  <w:num w:numId="9" w16cid:durableId="1695377220">
    <w:abstractNumId w:val="4"/>
  </w:num>
  <w:num w:numId="10" w16cid:durableId="962927685">
    <w:abstractNumId w:val="0"/>
  </w:num>
  <w:num w:numId="11" w16cid:durableId="902250963">
    <w:abstractNumId w:val="12"/>
  </w:num>
  <w:num w:numId="12" w16cid:durableId="277876588">
    <w:abstractNumId w:val="3"/>
  </w:num>
  <w:num w:numId="13" w16cid:durableId="1707565778">
    <w:abstractNumId w:val="31"/>
  </w:num>
  <w:num w:numId="14" w16cid:durableId="1033191531">
    <w:abstractNumId w:val="8"/>
  </w:num>
  <w:num w:numId="15" w16cid:durableId="178198595">
    <w:abstractNumId w:val="15"/>
  </w:num>
  <w:num w:numId="16" w16cid:durableId="216866187">
    <w:abstractNumId w:val="13"/>
  </w:num>
  <w:num w:numId="17" w16cid:durableId="888296805">
    <w:abstractNumId w:val="9"/>
  </w:num>
  <w:num w:numId="18" w16cid:durableId="702167323">
    <w:abstractNumId w:val="23"/>
  </w:num>
  <w:num w:numId="19" w16cid:durableId="1629045303">
    <w:abstractNumId w:val="10"/>
  </w:num>
  <w:num w:numId="20" w16cid:durableId="222984517">
    <w:abstractNumId w:val="30"/>
  </w:num>
  <w:num w:numId="21" w16cid:durableId="501624243">
    <w:abstractNumId w:val="5"/>
  </w:num>
  <w:num w:numId="22" w16cid:durableId="615983743">
    <w:abstractNumId w:val="32"/>
  </w:num>
  <w:num w:numId="23" w16cid:durableId="786434807">
    <w:abstractNumId w:val="33"/>
  </w:num>
  <w:num w:numId="24" w16cid:durableId="569121923">
    <w:abstractNumId w:val="18"/>
  </w:num>
  <w:num w:numId="25" w16cid:durableId="1768381351">
    <w:abstractNumId w:val="27"/>
  </w:num>
  <w:num w:numId="26" w16cid:durableId="1194615835">
    <w:abstractNumId w:val="19"/>
  </w:num>
  <w:num w:numId="27" w16cid:durableId="534394906">
    <w:abstractNumId w:val="29"/>
  </w:num>
  <w:num w:numId="28" w16cid:durableId="410322445">
    <w:abstractNumId w:val="28"/>
  </w:num>
  <w:num w:numId="29" w16cid:durableId="1474640453">
    <w:abstractNumId w:val="17"/>
  </w:num>
  <w:num w:numId="30" w16cid:durableId="873661602">
    <w:abstractNumId w:val="20"/>
  </w:num>
  <w:num w:numId="31" w16cid:durableId="1436052560">
    <w:abstractNumId w:val="21"/>
  </w:num>
  <w:num w:numId="32" w16cid:durableId="577904489">
    <w:abstractNumId w:val="6"/>
  </w:num>
  <w:num w:numId="33" w16cid:durableId="1506625569">
    <w:abstractNumId w:val="26"/>
  </w:num>
  <w:num w:numId="34" w16cid:durableId="2443402">
    <w:abstractNumId w:val="1"/>
  </w:num>
  <w:num w:numId="35" w16cid:durableId="1822456688">
    <w:abstractNumId w:val="2"/>
  </w:num>
  <w:num w:numId="36" w16cid:durableId="23783016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C19"/>
    <w:rsid w:val="00000B16"/>
    <w:rsid w:val="00002366"/>
    <w:rsid w:val="00023293"/>
    <w:rsid w:val="000317A6"/>
    <w:rsid w:val="000355AE"/>
    <w:rsid w:val="00061977"/>
    <w:rsid w:val="00063B85"/>
    <w:rsid w:val="000702A0"/>
    <w:rsid w:val="0008782A"/>
    <w:rsid w:val="000A0594"/>
    <w:rsid w:val="000A065A"/>
    <w:rsid w:val="000C4A3D"/>
    <w:rsid w:val="000E56ED"/>
    <w:rsid w:val="001043D7"/>
    <w:rsid w:val="001069CB"/>
    <w:rsid w:val="00106E4C"/>
    <w:rsid w:val="00106FC5"/>
    <w:rsid w:val="00120DEC"/>
    <w:rsid w:val="00123C19"/>
    <w:rsid w:val="00124633"/>
    <w:rsid w:val="00126B52"/>
    <w:rsid w:val="00133E20"/>
    <w:rsid w:val="00142DC1"/>
    <w:rsid w:val="001527B8"/>
    <w:rsid w:val="00154856"/>
    <w:rsid w:val="00173E41"/>
    <w:rsid w:val="0018543F"/>
    <w:rsid w:val="00186002"/>
    <w:rsid w:val="00192A69"/>
    <w:rsid w:val="001A246A"/>
    <w:rsid w:val="001A2DAB"/>
    <w:rsid w:val="001A4E86"/>
    <w:rsid w:val="001B49A1"/>
    <w:rsid w:val="001C55B6"/>
    <w:rsid w:val="001D544E"/>
    <w:rsid w:val="001D6CC4"/>
    <w:rsid w:val="001E544F"/>
    <w:rsid w:val="001F75C5"/>
    <w:rsid w:val="00203113"/>
    <w:rsid w:val="00206405"/>
    <w:rsid w:val="00211CD2"/>
    <w:rsid w:val="002167F4"/>
    <w:rsid w:val="00220699"/>
    <w:rsid w:val="002318C6"/>
    <w:rsid w:val="002341AD"/>
    <w:rsid w:val="00241566"/>
    <w:rsid w:val="00242E23"/>
    <w:rsid w:val="002519B7"/>
    <w:rsid w:val="00253267"/>
    <w:rsid w:val="002569E2"/>
    <w:rsid w:val="00267668"/>
    <w:rsid w:val="002823CD"/>
    <w:rsid w:val="00287787"/>
    <w:rsid w:val="00291685"/>
    <w:rsid w:val="0029329C"/>
    <w:rsid w:val="00293AF8"/>
    <w:rsid w:val="002B0A3D"/>
    <w:rsid w:val="002B1A73"/>
    <w:rsid w:val="002D1FA2"/>
    <w:rsid w:val="002D744B"/>
    <w:rsid w:val="002F2670"/>
    <w:rsid w:val="002F26AB"/>
    <w:rsid w:val="002F2D57"/>
    <w:rsid w:val="002F6E8D"/>
    <w:rsid w:val="003007A7"/>
    <w:rsid w:val="00312873"/>
    <w:rsid w:val="00322850"/>
    <w:rsid w:val="003257E1"/>
    <w:rsid w:val="00325DEC"/>
    <w:rsid w:val="00342FE7"/>
    <w:rsid w:val="00346FFA"/>
    <w:rsid w:val="00371AE8"/>
    <w:rsid w:val="00375DD4"/>
    <w:rsid w:val="00385494"/>
    <w:rsid w:val="00385798"/>
    <w:rsid w:val="003A3069"/>
    <w:rsid w:val="003C20B5"/>
    <w:rsid w:val="003C50AB"/>
    <w:rsid w:val="003D5E3F"/>
    <w:rsid w:val="003E545F"/>
    <w:rsid w:val="003F03D2"/>
    <w:rsid w:val="003F1E1A"/>
    <w:rsid w:val="004045E5"/>
    <w:rsid w:val="00421496"/>
    <w:rsid w:val="00422C27"/>
    <w:rsid w:val="00430A01"/>
    <w:rsid w:val="0044367C"/>
    <w:rsid w:val="0044412C"/>
    <w:rsid w:val="004500EA"/>
    <w:rsid w:val="004642F0"/>
    <w:rsid w:val="00471BA1"/>
    <w:rsid w:val="00476B07"/>
    <w:rsid w:val="004869D8"/>
    <w:rsid w:val="004905BD"/>
    <w:rsid w:val="00490CC9"/>
    <w:rsid w:val="00491B19"/>
    <w:rsid w:val="004A1D43"/>
    <w:rsid w:val="004A5E6F"/>
    <w:rsid w:val="004A6850"/>
    <w:rsid w:val="004C4233"/>
    <w:rsid w:val="004D1FCA"/>
    <w:rsid w:val="004D4B19"/>
    <w:rsid w:val="004D68CE"/>
    <w:rsid w:val="004E1EEE"/>
    <w:rsid w:val="004E48A2"/>
    <w:rsid w:val="00500564"/>
    <w:rsid w:val="0051102B"/>
    <w:rsid w:val="00516CC0"/>
    <w:rsid w:val="005259C9"/>
    <w:rsid w:val="0053102F"/>
    <w:rsid w:val="005475F0"/>
    <w:rsid w:val="005578F0"/>
    <w:rsid w:val="00567C52"/>
    <w:rsid w:val="00582081"/>
    <w:rsid w:val="005838BC"/>
    <w:rsid w:val="00595B72"/>
    <w:rsid w:val="005B1B4C"/>
    <w:rsid w:val="005B57E1"/>
    <w:rsid w:val="005C2540"/>
    <w:rsid w:val="005E2236"/>
    <w:rsid w:val="005E31A6"/>
    <w:rsid w:val="005E61E0"/>
    <w:rsid w:val="005F0F31"/>
    <w:rsid w:val="005F18E7"/>
    <w:rsid w:val="005F7D75"/>
    <w:rsid w:val="006024ED"/>
    <w:rsid w:val="0061793F"/>
    <w:rsid w:val="0062123A"/>
    <w:rsid w:val="0064251A"/>
    <w:rsid w:val="006529DC"/>
    <w:rsid w:val="006605F8"/>
    <w:rsid w:val="006632FC"/>
    <w:rsid w:val="006650B7"/>
    <w:rsid w:val="006652E3"/>
    <w:rsid w:val="006676A1"/>
    <w:rsid w:val="006833BD"/>
    <w:rsid w:val="00693F8D"/>
    <w:rsid w:val="00694FE6"/>
    <w:rsid w:val="006B1FC8"/>
    <w:rsid w:val="006B271B"/>
    <w:rsid w:val="006B67A0"/>
    <w:rsid w:val="006D2642"/>
    <w:rsid w:val="006E2D42"/>
    <w:rsid w:val="006F104A"/>
    <w:rsid w:val="006F283F"/>
    <w:rsid w:val="00720FEE"/>
    <w:rsid w:val="00724E15"/>
    <w:rsid w:val="00724F3A"/>
    <w:rsid w:val="00726759"/>
    <w:rsid w:val="007331C6"/>
    <w:rsid w:val="00742191"/>
    <w:rsid w:val="00745D56"/>
    <w:rsid w:val="00745EED"/>
    <w:rsid w:val="00746D97"/>
    <w:rsid w:val="00764B6F"/>
    <w:rsid w:val="00774045"/>
    <w:rsid w:val="00783D2C"/>
    <w:rsid w:val="007A33D2"/>
    <w:rsid w:val="007A373A"/>
    <w:rsid w:val="007B69E2"/>
    <w:rsid w:val="007C3BFC"/>
    <w:rsid w:val="007C563F"/>
    <w:rsid w:val="007C7319"/>
    <w:rsid w:val="007D43B3"/>
    <w:rsid w:val="007F20B4"/>
    <w:rsid w:val="007F2C45"/>
    <w:rsid w:val="007F520B"/>
    <w:rsid w:val="007F525E"/>
    <w:rsid w:val="00800407"/>
    <w:rsid w:val="00802FF1"/>
    <w:rsid w:val="00820CB5"/>
    <w:rsid w:val="00825397"/>
    <w:rsid w:val="0082695D"/>
    <w:rsid w:val="0083044C"/>
    <w:rsid w:val="00835FAC"/>
    <w:rsid w:val="00840100"/>
    <w:rsid w:val="00846694"/>
    <w:rsid w:val="0085182D"/>
    <w:rsid w:val="00854F07"/>
    <w:rsid w:val="00860545"/>
    <w:rsid w:val="00867E5F"/>
    <w:rsid w:val="008709F5"/>
    <w:rsid w:val="00871971"/>
    <w:rsid w:val="00877A91"/>
    <w:rsid w:val="00884E86"/>
    <w:rsid w:val="00890534"/>
    <w:rsid w:val="00891124"/>
    <w:rsid w:val="008918D9"/>
    <w:rsid w:val="00891DF5"/>
    <w:rsid w:val="008927FF"/>
    <w:rsid w:val="008B0F18"/>
    <w:rsid w:val="008B6379"/>
    <w:rsid w:val="008B6733"/>
    <w:rsid w:val="008C02E0"/>
    <w:rsid w:val="008C1616"/>
    <w:rsid w:val="008E3921"/>
    <w:rsid w:val="008E7F30"/>
    <w:rsid w:val="0090027B"/>
    <w:rsid w:val="0090119E"/>
    <w:rsid w:val="00905238"/>
    <w:rsid w:val="00931C60"/>
    <w:rsid w:val="00934A4E"/>
    <w:rsid w:val="0094702A"/>
    <w:rsid w:val="00951B8A"/>
    <w:rsid w:val="00953ADF"/>
    <w:rsid w:val="009553B1"/>
    <w:rsid w:val="00967DAB"/>
    <w:rsid w:val="0098500B"/>
    <w:rsid w:val="00990E76"/>
    <w:rsid w:val="00991A53"/>
    <w:rsid w:val="00996F4E"/>
    <w:rsid w:val="009C6120"/>
    <w:rsid w:val="009D2D31"/>
    <w:rsid w:val="009D4264"/>
    <w:rsid w:val="009E2D12"/>
    <w:rsid w:val="009E7268"/>
    <w:rsid w:val="009F715E"/>
    <w:rsid w:val="009F71FE"/>
    <w:rsid w:val="009F7FCC"/>
    <w:rsid w:val="00A02049"/>
    <w:rsid w:val="00A133ED"/>
    <w:rsid w:val="00A14513"/>
    <w:rsid w:val="00A16716"/>
    <w:rsid w:val="00A24DD5"/>
    <w:rsid w:val="00A27B05"/>
    <w:rsid w:val="00A27D8D"/>
    <w:rsid w:val="00A31F33"/>
    <w:rsid w:val="00A43101"/>
    <w:rsid w:val="00A70A62"/>
    <w:rsid w:val="00A71DA8"/>
    <w:rsid w:val="00A90A7A"/>
    <w:rsid w:val="00AA3852"/>
    <w:rsid w:val="00AB1210"/>
    <w:rsid w:val="00AB5409"/>
    <w:rsid w:val="00AB770D"/>
    <w:rsid w:val="00AD2E14"/>
    <w:rsid w:val="00AD4371"/>
    <w:rsid w:val="00AD772C"/>
    <w:rsid w:val="00AE4FBE"/>
    <w:rsid w:val="00AF10F2"/>
    <w:rsid w:val="00AF2088"/>
    <w:rsid w:val="00AF28B1"/>
    <w:rsid w:val="00AF5FB0"/>
    <w:rsid w:val="00AF7848"/>
    <w:rsid w:val="00B0080A"/>
    <w:rsid w:val="00B0538C"/>
    <w:rsid w:val="00B13EC9"/>
    <w:rsid w:val="00B14C71"/>
    <w:rsid w:val="00B15DE2"/>
    <w:rsid w:val="00B17F48"/>
    <w:rsid w:val="00B346F4"/>
    <w:rsid w:val="00B376E4"/>
    <w:rsid w:val="00B37AB8"/>
    <w:rsid w:val="00B418DE"/>
    <w:rsid w:val="00B47985"/>
    <w:rsid w:val="00B47FE7"/>
    <w:rsid w:val="00B56361"/>
    <w:rsid w:val="00B67824"/>
    <w:rsid w:val="00B70B38"/>
    <w:rsid w:val="00BA25BC"/>
    <w:rsid w:val="00BA794B"/>
    <w:rsid w:val="00BA7FEB"/>
    <w:rsid w:val="00BC594A"/>
    <w:rsid w:val="00BD4469"/>
    <w:rsid w:val="00BE0794"/>
    <w:rsid w:val="00BE0A7C"/>
    <w:rsid w:val="00BE15BA"/>
    <w:rsid w:val="00BF4C80"/>
    <w:rsid w:val="00C06416"/>
    <w:rsid w:val="00C13153"/>
    <w:rsid w:val="00C15F95"/>
    <w:rsid w:val="00C20ED0"/>
    <w:rsid w:val="00C31D85"/>
    <w:rsid w:val="00C348A8"/>
    <w:rsid w:val="00C34FA0"/>
    <w:rsid w:val="00C44247"/>
    <w:rsid w:val="00C4426F"/>
    <w:rsid w:val="00C46111"/>
    <w:rsid w:val="00C47DCC"/>
    <w:rsid w:val="00C73CBD"/>
    <w:rsid w:val="00C80714"/>
    <w:rsid w:val="00C83332"/>
    <w:rsid w:val="00C95E04"/>
    <w:rsid w:val="00CA3CC4"/>
    <w:rsid w:val="00CA46CA"/>
    <w:rsid w:val="00CB2531"/>
    <w:rsid w:val="00CB2962"/>
    <w:rsid w:val="00CB6244"/>
    <w:rsid w:val="00CC0A8F"/>
    <w:rsid w:val="00CC24B6"/>
    <w:rsid w:val="00CD3A64"/>
    <w:rsid w:val="00CD7D0E"/>
    <w:rsid w:val="00CE08CD"/>
    <w:rsid w:val="00D02196"/>
    <w:rsid w:val="00D05236"/>
    <w:rsid w:val="00D0664A"/>
    <w:rsid w:val="00D07937"/>
    <w:rsid w:val="00D120B1"/>
    <w:rsid w:val="00D2064C"/>
    <w:rsid w:val="00D210FA"/>
    <w:rsid w:val="00D30F1D"/>
    <w:rsid w:val="00D408D7"/>
    <w:rsid w:val="00D45258"/>
    <w:rsid w:val="00D47C9D"/>
    <w:rsid w:val="00D543E3"/>
    <w:rsid w:val="00D57231"/>
    <w:rsid w:val="00D57F61"/>
    <w:rsid w:val="00D64655"/>
    <w:rsid w:val="00D667E3"/>
    <w:rsid w:val="00D8379A"/>
    <w:rsid w:val="00D87B48"/>
    <w:rsid w:val="00D91203"/>
    <w:rsid w:val="00D94FD1"/>
    <w:rsid w:val="00DA30F0"/>
    <w:rsid w:val="00DB2A48"/>
    <w:rsid w:val="00DC2E0F"/>
    <w:rsid w:val="00DE0C62"/>
    <w:rsid w:val="00E02977"/>
    <w:rsid w:val="00E118CF"/>
    <w:rsid w:val="00E16A54"/>
    <w:rsid w:val="00E1782A"/>
    <w:rsid w:val="00E364C9"/>
    <w:rsid w:val="00E366C6"/>
    <w:rsid w:val="00E36761"/>
    <w:rsid w:val="00E41692"/>
    <w:rsid w:val="00E55D74"/>
    <w:rsid w:val="00E61623"/>
    <w:rsid w:val="00E66391"/>
    <w:rsid w:val="00E81234"/>
    <w:rsid w:val="00E837CB"/>
    <w:rsid w:val="00E9037E"/>
    <w:rsid w:val="00E94094"/>
    <w:rsid w:val="00E9692B"/>
    <w:rsid w:val="00EA120D"/>
    <w:rsid w:val="00EA49C3"/>
    <w:rsid w:val="00EB0489"/>
    <w:rsid w:val="00EB5E14"/>
    <w:rsid w:val="00EB6F36"/>
    <w:rsid w:val="00ED1049"/>
    <w:rsid w:val="00EE19D9"/>
    <w:rsid w:val="00EE1D04"/>
    <w:rsid w:val="00EF26FC"/>
    <w:rsid w:val="00EF2814"/>
    <w:rsid w:val="00F0469E"/>
    <w:rsid w:val="00F20316"/>
    <w:rsid w:val="00F26D36"/>
    <w:rsid w:val="00F37523"/>
    <w:rsid w:val="00F43A60"/>
    <w:rsid w:val="00F441B8"/>
    <w:rsid w:val="00F50168"/>
    <w:rsid w:val="00F50D34"/>
    <w:rsid w:val="00F52F83"/>
    <w:rsid w:val="00F61360"/>
    <w:rsid w:val="00F77FF9"/>
    <w:rsid w:val="00FC538A"/>
    <w:rsid w:val="00FE2B9F"/>
    <w:rsid w:val="00FE4768"/>
    <w:rsid w:val="00FE558D"/>
    <w:rsid w:val="00FF3CF0"/>
    <w:rsid w:val="00FF4076"/>
    <w:rsid w:val="00FF5D0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2E0"/>
    <w:pPr>
      <w:spacing w:line="360" w:lineRule="auto"/>
      <w:jc w:val="both"/>
    </w:pPr>
    <w:rPr>
      <w:rFonts w:ascii="Arial" w:hAnsi="Arial"/>
    </w:rPr>
  </w:style>
  <w:style w:type="paragraph" w:styleId="Heading1">
    <w:name w:val="heading 1"/>
    <w:basedOn w:val="Normal"/>
    <w:next w:val="Normal"/>
    <w:link w:val="Heading1Char"/>
    <w:uiPriority w:val="9"/>
    <w:qFormat/>
    <w:rsid w:val="008C02E0"/>
    <w:pPr>
      <w:spacing w:after="0" w:line="480" w:lineRule="auto"/>
      <w:outlineLvl w:val="0"/>
    </w:pPr>
    <w:rPr>
      <w:b/>
      <w:spacing w:val="10"/>
      <w:sz w:val="28"/>
    </w:rPr>
  </w:style>
  <w:style w:type="paragraph" w:styleId="Heading2">
    <w:name w:val="heading 2"/>
    <w:basedOn w:val="Normal"/>
    <w:next w:val="Normal"/>
    <w:link w:val="Heading2Char"/>
    <w:autoRedefine/>
    <w:uiPriority w:val="9"/>
    <w:qFormat/>
    <w:rsid w:val="001F75C5"/>
    <w:pPr>
      <w:spacing w:before="240" w:after="0"/>
      <w:outlineLvl w:val="1"/>
    </w:pPr>
    <w:rPr>
      <w:b/>
      <w:spacing w:val="10"/>
      <w:sz w:val="24"/>
    </w:rPr>
  </w:style>
  <w:style w:type="paragraph" w:styleId="Heading3">
    <w:name w:val="heading 3"/>
    <w:basedOn w:val="Normal"/>
    <w:next w:val="Normal"/>
    <w:link w:val="Heading3Char"/>
    <w:uiPriority w:val="9"/>
    <w:semiHidden/>
    <w:qFormat/>
    <w:rsid w:val="00745E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8C02E0"/>
    <w:rPr>
      <w:rFonts w:ascii="Arial" w:hAnsi="Arial"/>
      <w:b/>
      <w:spacing w:val="10"/>
      <w:sz w:val="28"/>
    </w:rPr>
  </w:style>
  <w:style w:type="character" w:customStyle="1" w:styleId="Hashtag1">
    <w:name w:val="Hashtag1"/>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customStyle="1" w:styleId="UnresolvedMention1">
    <w:name w:val="Unresolved Mention1"/>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1F75C5"/>
    <w:rPr>
      <w:rFonts w:ascii="Arial" w:hAnsi="Arial"/>
      <w:b/>
      <w:spacing w:val="10"/>
      <w:sz w:val="24"/>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rsid w:val="00C46111"/>
    <w:pPr>
      <w:spacing w:after="0"/>
    </w:pPr>
  </w:style>
  <w:style w:type="character" w:customStyle="1" w:styleId="FooterChar">
    <w:name w:val="Footer Char"/>
    <w:basedOn w:val="DefaultParagraphFont"/>
    <w:link w:val="Footer"/>
    <w:uiPriority w:val="99"/>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unhideWhenUsed/>
    <w:rsid w:val="00A133ED"/>
    <w:pPr>
      <w:spacing w:before="100" w:beforeAutospacing="1" w:after="100" w:afterAutospacing="1"/>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106E4C"/>
    <w:rPr>
      <w:color w:val="0563C1" w:themeColor="hyperlink"/>
      <w:u w:val="single"/>
    </w:rPr>
  </w:style>
  <w:style w:type="paragraph" w:styleId="TOCHeading">
    <w:name w:val="TOC Heading"/>
    <w:basedOn w:val="Heading1"/>
    <w:next w:val="Normal"/>
    <w:uiPriority w:val="39"/>
    <w:unhideWhenUsed/>
    <w:qFormat/>
    <w:rsid w:val="00BC594A"/>
    <w:pPr>
      <w:keepNext/>
      <w:keepLines/>
      <w:spacing w:before="240" w:line="259" w:lineRule="auto"/>
      <w:outlineLvl w:val="9"/>
    </w:pPr>
    <w:rPr>
      <w:rFonts w:asciiTheme="majorHAnsi" w:eastAsiaTheme="majorEastAsia" w:hAnsiTheme="majorHAnsi" w:cstheme="majorBidi"/>
      <w:b w:val="0"/>
      <w:color w:val="2F5496" w:themeColor="accent1" w:themeShade="BF"/>
      <w:spacing w:val="0"/>
      <w:szCs w:val="32"/>
    </w:rPr>
  </w:style>
  <w:style w:type="paragraph" w:styleId="TOC1">
    <w:name w:val="toc 1"/>
    <w:basedOn w:val="Normal"/>
    <w:next w:val="Normal"/>
    <w:autoRedefine/>
    <w:uiPriority w:val="39"/>
    <w:unhideWhenUsed/>
    <w:rsid w:val="00BC594A"/>
    <w:pPr>
      <w:spacing w:after="100"/>
    </w:pPr>
  </w:style>
  <w:style w:type="paragraph" w:styleId="TOC2">
    <w:name w:val="toc 2"/>
    <w:basedOn w:val="Normal"/>
    <w:next w:val="Normal"/>
    <w:autoRedefine/>
    <w:uiPriority w:val="39"/>
    <w:unhideWhenUsed/>
    <w:rsid w:val="00BC594A"/>
    <w:pPr>
      <w:spacing w:after="100"/>
      <w:ind w:left="220"/>
    </w:pPr>
  </w:style>
  <w:style w:type="character" w:customStyle="1" w:styleId="Heading3Char">
    <w:name w:val="Heading 3 Char"/>
    <w:basedOn w:val="DefaultParagraphFont"/>
    <w:link w:val="Heading3"/>
    <w:uiPriority w:val="9"/>
    <w:semiHidden/>
    <w:rsid w:val="00745EE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F6E8D"/>
    <w:pPr>
      <w:spacing w:after="100"/>
      <w:ind w:left="440"/>
    </w:pPr>
  </w:style>
  <w:style w:type="character" w:styleId="UnresolvedMention">
    <w:name w:val="Unresolved Mention"/>
    <w:basedOn w:val="DefaultParagraphFont"/>
    <w:uiPriority w:val="99"/>
    <w:semiHidden/>
    <w:unhideWhenUsed/>
    <w:rsid w:val="004D1F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365956473">
      <w:bodyDiv w:val="1"/>
      <w:marLeft w:val="0"/>
      <w:marRight w:val="0"/>
      <w:marTop w:val="0"/>
      <w:marBottom w:val="0"/>
      <w:divBdr>
        <w:top w:val="none" w:sz="0" w:space="0" w:color="auto"/>
        <w:left w:val="none" w:sz="0" w:space="0" w:color="auto"/>
        <w:bottom w:val="none" w:sz="0" w:space="0" w:color="auto"/>
        <w:right w:val="none" w:sz="0" w:space="0" w:color="auto"/>
      </w:divBdr>
    </w:div>
    <w:div w:id="443811393">
      <w:bodyDiv w:val="1"/>
      <w:marLeft w:val="0"/>
      <w:marRight w:val="0"/>
      <w:marTop w:val="0"/>
      <w:marBottom w:val="0"/>
      <w:divBdr>
        <w:top w:val="none" w:sz="0" w:space="0" w:color="auto"/>
        <w:left w:val="none" w:sz="0" w:space="0" w:color="auto"/>
        <w:bottom w:val="none" w:sz="0" w:space="0" w:color="auto"/>
        <w:right w:val="none" w:sz="0" w:space="0" w:color="auto"/>
      </w:divBdr>
      <w:divsChild>
        <w:div w:id="206113193">
          <w:marLeft w:val="0"/>
          <w:marRight w:val="0"/>
          <w:marTop w:val="0"/>
          <w:marBottom w:val="0"/>
          <w:divBdr>
            <w:top w:val="none" w:sz="0" w:space="0" w:color="auto"/>
            <w:left w:val="none" w:sz="0" w:space="0" w:color="auto"/>
            <w:bottom w:val="none" w:sz="0" w:space="0" w:color="auto"/>
            <w:right w:val="none" w:sz="0" w:space="0" w:color="auto"/>
          </w:divBdr>
        </w:div>
      </w:divsChild>
    </w:div>
    <w:div w:id="601111422">
      <w:bodyDiv w:val="1"/>
      <w:marLeft w:val="0"/>
      <w:marRight w:val="0"/>
      <w:marTop w:val="0"/>
      <w:marBottom w:val="0"/>
      <w:divBdr>
        <w:top w:val="none" w:sz="0" w:space="0" w:color="auto"/>
        <w:left w:val="none" w:sz="0" w:space="0" w:color="auto"/>
        <w:bottom w:val="none" w:sz="0" w:space="0" w:color="auto"/>
        <w:right w:val="none" w:sz="0" w:space="0" w:color="auto"/>
      </w:divBdr>
    </w:div>
    <w:div w:id="798690361">
      <w:bodyDiv w:val="1"/>
      <w:marLeft w:val="0"/>
      <w:marRight w:val="0"/>
      <w:marTop w:val="0"/>
      <w:marBottom w:val="0"/>
      <w:divBdr>
        <w:top w:val="none" w:sz="0" w:space="0" w:color="auto"/>
        <w:left w:val="none" w:sz="0" w:space="0" w:color="auto"/>
        <w:bottom w:val="none" w:sz="0" w:space="0" w:color="auto"/>
        <w:right w:val="none" w:sz="0" w:space="0" w:color="auto"/>
      </w:divBdr>
      <w:divsChild>
        <w:div w:id="2016414605">
          <w:marLeft w:val="0"/>
          <w:marRight w:val="0"/>
          <w:marTop w:val="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937786641">
      <w:bodyDiv w:val="1"/>
      <w:marLeft w:val="0"/>
      <w:marRight w:val="0"/>
      <w:marTop w:val="0"/>
      <w:marBottom w:val="0"/>
      <w:divBdr>
        <w:top w:val="none" w:sz="0" w:space="0" w:color="auto"/>
        <w:left w:val="none" w:sz="0" w:space="0" w:color="auto"/>
        <w:bottom w:val="none" w:sz="0" w:space="0" w:color="auto"/>
        <w:right w:val="none" w:sz="0" w:space="0" w:color="auto"/>
      </w:divBdr>
    </w:div>
    <w:div w:id="964120208">
      <w:bodyDiv w:val="1"/>
      <w:marLeft w:val="0"/>
      <w:marRight w:val="0"/>
      <w:marTop w:val="0"/>
      <w:marBottom w:val="0"/>
      <w:divBdr>
        <w:top w:val="none" w:sz="0" w:space="0" w:color="auto"/>
        <w:left w:val="none" w:sz="0" w:space="0" w:color="auto"/>
        <w:bottom w:val="none" w:sz="0" w:space="0" w:color="auto"/>
        <w:right w:val="none" w:sz="0" w:space="0" w:color="auto"/>
      </w:divBdr>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583879732">
      <w:bodyDiv w:val="1"/>
      <w:marLeft w:val="0"/>
      <w:marRight w:val="0"/>
      <w:marTop w:val="0"/>
      <w:marBottom w:val="0"/>
      <w:divBdr>
        <w:top w:val="none" w:sz="0" w:space="0" w:color="auto"/>
        <w:left w:val="none" w:sz="0" w:space="0" w:color="auto"/>
        <w:bottom w:val="none" w:sz="0" w:space="0" w:color="auto"/>
        <w:right w:val="none" w:sz="0" w:space="0" w:color="auto"/>
      </w:divBdr>
    </w:div>
    <w:div w:id="1678381171">
      <w:bodyDiv w:val="1"/>
      <w:marLeft w:val="0"/>
      <w:marRight w:val="0"/>
      <w:marTop w:val="0"/>
      <w:marBottom w:val="0"/>
      <w:divBdr>
        <w:top w:val="none" w:sz="0" w:space="0" w:color="auto"/>
        <w:left w:val="none" w:sz="0" w:space="0" w:color="auto"/>
        <w:bottom w:val="none" w:sz="0" w:space="0" w:color="auto"/>
        <w:right w:val="none" w:sz="0" w:space="0" w:color="auto"/>
      </w:divBdr>
    </w:div>
    <w:div w:id="1953200424">
      <w:bodyDiv w:val="1"/>
      <w:marLeft w:val="0"/>
      <w:marRight w:val="0"/>
      <w:marTop w:val="0"/>
      <w:marBottom w:val="0"/>
      <w:divBdr>
        <w:top w:val="none" w:sz="0" w:space="0" w:color="auto"/>
        <w:left w:val="none" w:sz="0" w:space="0" w:color="auto"/>
        <w:bottom w:val="none" w:sz="0" w:space="0" w:color="auto"/>
        <w:right w:val="none" w:sz="0" w:space="0" w:color="auto"/>
      </w:divBdr>
      <w:divsChild>
        <w:div w:id="989945025">
          <w:marLeft w:val="0"/>
          <w:marRight w:val="0"/>
          <w:marTop w:val="0"/>
          <w:marBottom w:val="0"/>
          <w:divBdr>
            <w:top w:val="none" w:sz="0" w:space="0" w:color="auto"/>
            <w:left w:val="none" w:sz="0" w:space="0" w:color="auto"/>
            <w:bottom w:val="none" w:sz="0" w:space="0" w:color="auto"/>
            <w:right w:val="none" w:sz="0" w:space="0" w:color="auto"/>
          </w:divBdr>
        </w:div>
      </w:divsChild>
    </w:div>
    <w:div w:id="1954818817">
      <w:bodyDiv w:val="1"/>
      <w:marLeft w:val="0"/>
      <w:marRight w:val="0"/>
      <w:marTop w:val="0"/>
      <w:marBottom w:val="0"/>
      <w:divBdr>
        <w:top w:val="none" w:sz="0" w:space="0" w:color="auto"/>
        <w:left w:val="none" w:sz="0" w:space="0" w:color="auto"/>
        <w:bottom w:val="none" w:sz="0" w:space="0" w:color="auto"/>
        <w:right w:val="none" w:sz="0" w:space="0" w:color="auto"/>
      </w:divBdr>
      <w:divsChild>
        <w:div w:id="1205412552">
          <w:marLeft w:val="0"/>
          <w:marRight w:val="0"/>
          <w:marTop w:val="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hyperlink" Target="https://doi.org/10.2147/PRBM.S391403" TargetMode="External"/><Relationship Id="rId39" Type="http://schemas.openxmlformats.org/officeDocument/2006/relationships/hyperlink" Target="https://doi.org/10.1186/s12913-022-08009-y" TargetMode="External"/><Relationship Id="rId21" Type="http://schemas.openxmlformats.org/officeDocument/2006/relationships/hyperlink" Target="https://doi.org/10.3390/healthcare11212902" TargetMode="External"/><Relationship Id="rId34" Type="http://schemas.openxmlformats.org/officeDocument/2006/relationships/hyperlink" Target="https://www.researchgate.net/publication/382594147_Competency-Based_Training_Skills_Development" TargetMode="External"/><Relationship Id="rId42" Type="http://schemas.openxmlformats.org/officeDocument/2006/relationships/hyperlink" Target="https://doi.org/10.4135/9781446200940" TargetMode="External"/><Relationship Id="rId47" Type="http://schemas.openxmlformats.org/officeDocument/2006/relationships/hyperlink" Target="https://doi.org/10.1089/apb.2022.0017" TargetMode="External"/><Relationship Id="rId50" Type="http://schemas.openxmlformats.org/officeDocument/2006/relationships/hyperlink" Target="https://www.skillsforhealth.org.uk/images/services/cstf/Mental%20Health%20CSTF.pdf" TargetMode="External"/><Relationship Id="rId55" Type="http://schemas.openxmlformats.org/officeDocument/2006/relationships/hyperlink" Target="https://openwho.org/"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gmc-uk.org/" TargetMode="External"/><Relationship Id="rId11" Type="http://schemas.openxmlformats.org/officeDocument/2006/relationships/image" Target="media/image1.png"/><Relationship Id="rId24" Type="http://schemas.openxmlformats.org/officeDocument/2006/relationships/hyperlink" Target="https://www.chelwest.nhs.uk/professionals/clinical-learning-development/simulation" TargetMode="External"/><Relationship Id="rId32" Type="http://schemas.openxmlformats.org/officeDocument/2006/relationships/hyperlink" Target="https://doi.org/10.3310/ewpe7103" TargetMode="External"/><Relationship Id="rId37" Type="http://schemas.openxmlformats.org/officeDocument/2006/relationships/hyperlink" Target="https://doi.org/10.1007/s10459-023-10297-w" TargetMode="External"/><Relationship Id="rId40" Type="http://schemas.openxmlformats.org/officeDocument/2006/relationships/hyperlink" Target="https://doi.org/10.3389/fpubh.2025.1702059" TargetMode="External"/><Relationship Id="rId45" Type="http://schemas.openxmlformats.org/officeDocument/2006/relationships/hyperlink" Target="https://www.england.nhs.uk/long-read/nhs-long-term-workforce-plan-2/" TargetMode="External"/><Relationship Id="rId53" Type="http://schemas.openxmlformats.org/officeDocument/2006/relationships/hyperlink" Target="https://doi.org/10.1136/bmjopen-2021-050038"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doi.org/10.2196/64125" TargetMode="External"/><Relationship Id="rId27" Type="http://schemas.openxmlformats.org/officeDocument/2006/relationships/hyperlink" Target="https://doi.org/10.1016/j.ienj.2022.101146" TargetMode="External"/><Relationship Id="rId30" Type="http://schemas.openxmlformats.org/officeDocument/2006/relationships/hyperlink" Target="https://www.legislation.gov.uk/id/ukpga/2014/23" TargetMode="External"/><Relationship Id="rId35" Type="http://schemas.openxmlformats.org/officeDocument/2006/relationships/hyperlink" Target="https://doi.org/10.3389/fpubh.2023.1152862" TargetMode="External"/><Relationship Id="rId43" Type="http://schemas.openxmlformats.org/officeDocument/2006/relationships/hyperlink" Target="https://doi.org/10.1186/s12909-023-04730-2" TargetMode="External"/><Relationship Id="rId48" Type="http://schemas.openxmlformats.org/officeDocument/2006/relationships/hyperlink" Target="https://www.rcog.org.uk/media/r5mjf400/tef-2021-report-covid-19.pdf" TargetMode="External"/><Relationship Id="rId56" Type="http://schemas.openxmlformats.org/officeDocument/2006/relationships/hyperlink" Target="https://doi.org/10.1136/bmj.o1796" TargetMode="External"/><Relationship Id="rId8" Type="http://schemas.openxmlformats.org/officeDocument/2006/relationships/webSettings" Target="webSettings.xml"/><Relationship Id="rId51" Type="http://schemas.openxmlformats.org/officeDocument/2006/relationships/hyperlink" Target="https://doi.org/10.1016/j.annemergmed.2022.01.022"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4.png"/><Relationship Id="rId25" Type="http://schemas.openxmlformats.org/officeDocument/2006/relationships/hyperlink" Target="https://doi.org/10.7861/futurehosp.3-3-211" TargetMode="External"/><Relationship Id="rId33" Type="http://schemas.openxmlformats.org/officeDocument/2006/relationships/hyperlink" Target="https://doi.org/10.3390/ijerph18179065" TargetMode="External"/><Relationship Id="rId38" Type="http://schemas.openxmlformats.org/officeDocument/2006/relationships/hyperlink" Target="https://www.legislation.gov.uk/id/ukpga/2012/7" TargetMode="External"/><Relationship Id="rId46" Type="http://schemas.openxmlformats.org/officeDocument/2006/relationships/hyperlink" Target="https://lordslibrary.parliament.uk/staff-shortages-in-the-nhs-and-social-care-sectors/" TargetMode="External"/><Relationship Id="rId20" Type="http://schemas.openxmlformats.org/officeDocument/2006/relationships/hyperlink" Target="https://www.accipio.com/case-studies/department-of-health-and-social-care/" TargetMode="External"/><Relationship Id="rId41" Type="http://schemas.openxmlformats.org/officeDocument/2006/relationships/hyperlink" Target="https://doi.org/10.1136/bmjopen-2022-064981" TargetMode="External"/><Relationship Id="rId54" Type="http://schemas.openxmlformats.org/officeDocument/2006/relationships/hyperlink" Target="https://www.who.int/teams/mental-health-and-substance-use/treatment-care/equip-ensuring-quality-in-psychological-suppor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hyperlink" Target="https://doi.org/10.21428/8c225f6e.a48744da" TargetMode="External"/><Relationship Id="rId28" Type="http://schemas.openxmlformats.org/officeDocument/2006/relationships/hyperlink" Target="https://doi.org/10.3390/jpm12081295" TargetMode="External"/><Relationship Id="rId36" Type="http://schemas.openxmlformats.org/officeDocument/2006/relationships/hyperlink" Target="https://doi.org/10.3389/fpubh.2022.1034196" TargetMode="External"/><Relationship Id="rId49" Type="http://schemas.openxmlformats.org/officeDocument/2006/relationships/hyperlink" Target="https://doi.org/10.1016/j.chest.2019.07.011"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www.gov.uk/government/organisations/health-education-england" TargetMode="External"/><Relationship Id="rId44" Type="http://schemas.openxmlformats.org/officeDocument/2006/relationships/hyperlink" Target="https://www.hee.nhs.uk/our-work/infection-management-hee" TargetMode="External"/><Relationship Id="rId52" Type="http://schemas.openxmlformats.org/officeDocument/2006/relationships/hyperlink" Target="https://www.thefederation.uk/sites/default/files/HEE_Report_FINAL.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BAF95C-F98F-4FF4-B67E-A5246EB5EF54}">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24</Pages>
  <Words>5411</Words>
  <Characters>33874</Characters>
  <Application>Microsoft Office Word</Application>
  <DocSecurity>0</DocSecurity>
  <Lines>564</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2024-08-13T19:18:00Z</dcterms:created>
  <dcterms:modified xsi:type="dcterms:W3CDTF">2026-03-09T19:28:00Z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