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49126C" w14:textId="4DAFA4A8" w:rsidR="00B719AA" w:rsidRDefault="006D3794">
      <w:pPr>
        <w:rPr>
          <w:color w:val="000000" w:themeColor="text1"/>
        </w:rPr>
      </w:pPr>
      <w:r w:rsidRPr="009B3E40">
        <w:rPr>
          <w:color w:val="000000" w:themeColor="text1"/>
        </w:rPr>
        <w:t>Contract law is</w:t>
      </w:r>
      <w:r w:rsidR="00F24B42" w:rsidRPr="009B3E40">
        <w:rPr>
          <w:color w:val="000000" w:themeColor="text1"/>
        </w:rPr>
        <w:t xml:space="preserve"> the foundation </w:t>
      </w:r>
      <w:r w:rsidR="00F668C9" w:rsidRPr="009B3E40">
        <w:rPr>
          <w:color w:val="000000" w:themeColor="text1"/>
        </w:rPr>
        <w:t xml:space="preserve">of </w:t>
      </w:r>
      <w:r w:rsidR="006963CE" w:rsidRPr="009B3E40">
        <w:rPr>
          <w:color w:val="000000" w:themeColor="text1"/>
        </w:rPr>
        <w:t>personal interactions and commerce a</w:t>
      </w:r>
      <w:r w:rsidR="00C376E0" w:rsidRPr="009B3E40">
        <w:rPr>
          <w:color w:val="000000" w:themeColor="text1"/>
        </w:rPr>
        <w:t>like</w:t>
      </w:r>
      <w:sdt>
        <w:sdtPr>
          <w:rPr>
            <w:color w:val="000000" w:themeColor="text1"/>
          </w:rPr>
          <w:id w:val="-668068"/>
          <w:citation/>
        </w:sdtPr>
        <w:sdtContent>
          <w:r w:rsidR="008D3F77" w:rsidRPr="009B3E40">
            <w:rPr>
              <w:color w:val="000000" w:themeColor="text1"/>
            </w:rPr>
            <w:fldChar w:fldCharType="begin"/>
          </w:r>
          <w:r w:rsidR="008D3F77" w:rsidRPr="009B3E40">
            <w:rPr>
              <w:color w:val="000000" w:themeColor="text1"/>
            </w:rPr>
            <w:instrText xml:space="preserve"> CITATION Fin233 \l 2057 </w:instrText>
          </w:r>
          <w:r w:rsidR="008D3F77" w:rsidRPr="009B3E40">
            <w:rPr>
              <w:color w:val="000000" w:themeColor="text1"/>
            </w:rPr>
            <w:fldChar w:fldCharType="separate"/>
          </w:r>
          <w:r w:rsidR="008D3F77" w:rsidRPr="009B3E40">
            <w:rPr>
              <w:noProof/>
              <w:color w:val="000000" w:themeColor="text1"/>
            </w:rPr>
            <w:t xml:space="preserve"> </w:t>
          </w:r>
          <w:r w:rsidR="008D3F77" w:rsidRPr="009B3E40">
            <w:rPr>
              <w:rFonts w:eastAsiaTheme="minorHAnsi"/>
              <w:noProof/>
              <w:color w:val="000000" w:themeColor="text1"/>
            </w:rPr>
            <w:t>(Finch &amp; Farfinski, 2023)</w:t>
          </w:r>
          <w:r w:rsidR="008D3F77" w:rsidRPr="009B3E40">
            <w:rPr>
              <w:color w:val="000000" w:themeColor="text1"/>
            </w:rPr>
            <w:fldChar w:fldCharType="end"/>
          </w:r>
        </w:sdtContent>
      </w:sdt>
      <w:r w:rsidR="006963CE" w:rsidRPr="009B3E40">
        <w:rPr>
          <w:color w:val="000000" w:themeColor="text1"/>
        </w:rPr>
        <w:t>.</w:t>
      </w:r>
      <w:r w:rsidR="006A69A4" w:rsidRPr="009B3E40">
        <w:rPr>
          <w:color w:val="000000" w:themeColor="text1"/>
        </w:rPr>
        <w:t xml:space="preserve"> </w:t>
      </w:r>
      <w:r w:rsidR="003948CA" w:rsidRPr="009B3E40">
        <w:rPr>
          <w:color w:val="000000" w:themeColor="text1"/>
        </w:rPr>
        <w:t>It</w:t>
      </w:r>
      <w:r w:rsidR="00B75977" w:rsidRPr="009B3E40">
        <w:rPr>
          <w:color w:val="000000" w:themeColor="text1"/>
        </w:rPr>
        <w:t xml:space="preserve"> </w:t>
      </w:r>
      <w:r w:rsidR="00FE049A" w:rsidRPr="009B3E40">
        <w:rPr>
          <w:color w:val="000000" w:themeColor="text1"/>
        </w:rPr>
        <w:t>allow</w:t>
      </w:r>
      <w:r w:rsidR="00A83525" w:rsidRPr="009B3E40">
        <w:rPr>
          <w:color w:val="000000" w:themeColor="text1"/>
        </w:rPr>
        <w:t>s</w:t>
      </w:r>
      <w:r w:rsidR="00FE049A" w:rsidRPr="009B3E40">
        <w:rPr>
          <w:color w:val="000000" w:themeColor="text1"/>
        </w:rPr>
        <w:t xml:space="preserve"> for clear distinction between legally bi</w:t>
      </w:r>
      <w:r w:rsidR="001E146A" w:rsidRPr="009B3E40">
        <w:rPr>
          <w:color w:val="000000" w:themeColor="text1"/>
        </w:rPr>
        <w:t>nding contracts and casual agreements</w:t>
      </w:r>
      <w:r w:rsidR="0070223A" w:rsidRPr="009B3E40">
        <w:rPr>
          <w:color w:val="000000" w:themeColor="text1"/>
        </w:rPr>
        <w:t xml:space="preserve">, </w:t>
      </w:r>
      <w:r w:rsidR="00EB5A1D" w:rsidRPr="009B3E40">
        <w:rPr>
          <w:color w:val="000000" w:themeColor="text1"/>
        </w:rPr>
        <w:t xml:space="preserve">protecting </w:t>
      </w:r>
      <w:r w:rsidR="0042680A" w:rsidRPr="009B3E40">
        <w:rPr>
          <w:color w:val="000000" w:themeColor="text1"/>
        </w:rPr>
        <w:t>individuals</w:t>
      </w:r>
      <w:r w:rsidR="00A13263" w:rsidRPr="009B3E40">
        <w:rPr>
          <w:color w:val="000000" w:themeColor="text1"/>
        </w:rPr>
        <w:t xml:space="preserve"> from unintentional legal obligation</w:t>
      </w:r>
      <w:r w:rsidR="00A629A8" w:rsidRPr="009B3E40">
        <w:rPr>
          <w:color w:val="000000" w:themeColor="text1"/>
        </w:rPr>
        <w:t>s</w:t>
      </w:r>
      <w:r w:rsidR="00A13263" w:rsidRPr="009B3E40">
        <w:rPr>
          <w:color w:val="000000" w:themeColor="text1"/>
        </w:rPr>
        <w:t>.</w:t>
      </w:r>
      <w:r w:rsidR="00200564" w:rsidRPr="009B3E40">
        <w:rPr>
          <w:color w:val="000000" w:themeColor="text1"/>
        </w:rPr>
        <w:t xml:space="preserve"> In </w:t>
      </w:r>
      <w:r w:rsidR="00A924E6" w:rsidRPr="009B3E40">
        <w:rPr>
          <w:color w:val="000000" w:themeColor="text1"/>
        </w:rPr>
        <w:t>commercial</w:t>
      </w:r>
      <w:r w:rsidR="00950CB3" w:rsidRPr="009B3E40">
        <w:rPr>
          <w:color w:val="000000" w:themeColor="text1"/>
        </w:rPr>
        <w:t xml:space="preserve"> </w:t>
      </w:r>
      <w:r w:rsidR="00A924E6" w:rsidRPr="009B3E40">
        <w:rPr>
          <w:color w:val="000000" w:themeColor="text1"/>
        </w:rPr>
        <w:t>context</w:t>
      </w:r>
      <w:r w:rsidR="00950CB3" w:rsidRPr="009B3E40">
        <w:rPr>
          <w:color w:val="000000" w:themeColor="text1"/>
        </w:rPr>
        <w:t xml:space="preserve">, there is a presumption </w:t>
      </w:r>
      <w:r w:rsidR="00A924E6" w:rsidRPr="009B3E40">
        <w:rPr>
          <w:color w:val="000000" w:themeColor="text1"/>
        </w:rPr>
        <w:t>of legal</w:t>
      </w:r>
      <w:r w:rsidR="00090323" w:rsidRPr="009B3E40">
        <w:rPr>
          <w:color w:val="000000" w:themeColor="text1"/>
        </w:rPr>
        <w:t xml:space="preserve"> intent due to the </w:t>
      </w:r>
      <w:r w:rsidR="000F5F57" w:rsidRPr="009B3E40">
        <w:rPr>
          <w:color w:val="000000" w:themeColor="text1"/>
        </w:rPr>
        <w:t>intensity</w:t>
      </w:r>
      <w:r w:rsidR="00090323" w:rsidRPr="009B3E40">
        <w:rPr>
          <w:color w:val="000000" w:themeColor="text1"/>
        </w:rPr>
        <w:t xml:space="preserve"> of business deals</w:t>
      </w:r>
      <w:sdt>
        <w:sdtPr>
          <w:rPr>
            <w:color w:val="000000" w:themeColor="text1"/>
          </w:rPr>
          <w:id w:val="1733118438"/>
          <w:citation/>
        </w:sdtPr>
        <w:sdtContent>
          <w:r w:rsidR="00DE0696" w:rsidRPr="009B3E40">
            <w:rPr>
              <w:color w:val="000000" w:themeColor="text1"/>
            </w:rPr>
            <w:fldChar w:fldCharType="begin"/>
          </w:r>
          <w:r w:rsidR="00DE0696" w:rsidRPr="009B3E40">
            <w:rPr>
              <w:color w:val="000000" w:themeColor="text1"/>
            </w:rPr>
            <w:instrText xml:space="preserve"> CITATION Pet05 \l 2057 </w:instrText>
          </w:r>
          <w:r w:rsidR="00DE0696" w:rsidRPr="009B3E40">
            <w:rPr>
              <w:color w:val="000000" w:themeColor="text1"/>
            </w:rPr>
            <w:fldChar w:fldCharType="separate"/>
          </w:r>
          <w:r w:rsidR="00DE0696" w:rsidRPr="009B3E40">
            <w:rPr>
              <w:noProof/>
              <w:color w:val="000000" w:themeColor="text1"/>
            </w:rPr>
            <w:t xml:space="preserve"> </w:t>
          </w:r>
          <w:r w:rsidR="00DE0696" w:rsidRPr="009B3E40">
            <w:rPr>
              <w:rFonts w:eastAsiaTheme="minorHAnsi"/>
              <w:noProof/>
              <w:color w:val="000000" w:themeColor="text1"/>
            </w:rPr>
            <w:t>(Goodrich, 2005)</w:t>
          </w:r>
          <w:r w:rsidR="00DE0696" w:rsidRPr="009B3E40">
            <w:rPr>
              <w:color w:val="000000" w:themeColor="text1"/>
            </w:rPr>
            <w:fldChar w:fldCharType="end"/>
          </w:r>
        </w:sdtContent>
      </w:sdt>
      <w:r w:rsidR="00090323" w:rsidRPr="009B3E40">
        <w:rPr>
          <w:color w:val="000000" w:themeColor="text1"/>
        </w:rPr>
        <w:t>.</w:t>
      </w:r>
      <w:r w:rsidR="00564EF6" w:rsidRPr="009B3E40">
        <w:rPr>
          <w:color w:val="000000" w:themeColor="text1"/>
        </w:rPr>
        <w:t xml:space="preserve"> </w:t>
      </w:r>
      <w:r w:rsidR="00CD42A8" w:rsidRPr="009B3E40">
        <w:rPr>
          <w:color w:val="000000" w:themeColor="text1"/>
        </w:rPr>
        <w:t>In contrast</w:t>
      </w:r>
      <w:r w:rsidR="00564EF6" w:rsidRPr="009B3E40">
        <w:rPr>
          <w:color w:val="000000" w:themeColor="text1"/>
        </w:rPr>
        <w:t xml:space="preserve">, </w:t>
      </w:r>
      <w:r w:rsidR="00DD4529" w:rsidRPr="009B3E40">
        <w:rPr>
          <w:color w:val="000000" w:themeColor="text1"/>
        </w:rPr>
        <w:t>casual domestic agreements sometimes lack intent</w:t>
      </w:r>
      <w:r w:rsidR="00DE7D02" w:rsidRPr="009B3E40">
        <w:rPr>
          <w:color w:val="000000" w:themeColor="text1"/>
        </w:rPr>
        <w:t xml:space="preserve">, potentially leading to </w:t>
      </w:r>
      <w:r w:rsidR="00CD42A8" w:rsidRPr="009B3E40">
        <w:rPr>
          <w:color w:val="000000" w:themeColor="text1"/>
        </w:rPr>
        <w:t>the</w:t>
      </w:r>
      <w:r w:rsidR="00DE7D02" w:rsidRPr="009B3E40">
        <w:rPr>
          <w:color w:val="000000" w:themeColor="text1"/>
        </w:rPr>
        <w:t xml:space="preserve"> risk of dispute</w:t>
      </w:r>
      <w:sdt>
        <w:sdtPr>
          <w:rPr>
            <w:color w:val="000000" w:themeColor="text1"/>
          </w:rPr>
          <w:id w:val="595828279"/>
          <w:citation/>
        </w:sdtPr>
        <w:sdtContent>
          <w:r w:rsidR="00DE0696" w:rsidRPr="009B3E40">
            <w:rPr>
              <w:color w:val="000000" w:themeColor="text1"/>
            </w:rPr>
            <w:fldChar w:fldCharType="begin"/>
          </w:r>
          <w:r w:rsidR="00DE0696" w:rsidRPr="009B3E40">
            <w:rPr>
              <w:color w:val="000000" w:themeColor="text1"/>
            </w:rPr>
            <w:instrText xml:space="preserve"> CITATION Nig10 \l 2057 </w:instrText>
          </w:r>
          <w:r w:rsidR="00DE0696" w:rsidRPr="009B3E40">
            <w:rPr>
              <w:color w:val="000000" w:themeColor="text1"/>
            </w:rPr>
            <w:fldChar w:fldCharType="separate"/>
          </w:r>
          <w:r w:rsidR="00DE0696" w:rsidRPr="009B3E40">
            <w:rPr>
              <w:noProof/>
              <w:color w:val="000000" w:themeColor="text1"/>
            </w:rPr>
            <w:t xml:space="preserve"> </w:t>
          </w:r>
          <w:r w:rsidR="00DE0696" w:rsidRPr="009B3E40">
            <w:rPr>
              <w:rFonts w:eastAsiaTheme="minorHAnsi"/>
              <w:noProof/>
              <w:color w:val="000000" w:themeColor="text1"/>
            </w:rPr>
            <w:t>(jameson, 2010)</w:t>
          </w:r>
          <w:r w:rsidR="00DE0696" w:rsidRPr="009B3E40">
            <w:rPr>
              <w:color w:val="000000" w:themeColor="text1"/>
            </w:rPr>
            <w:fldChar w:fldCharType="end"/>
          </w:r>
        </w:sdtContent>
      </w:sdt>
      <w:r w:rsidR="00DE7D02" w:rsidRPr="009B3E40">
        <w:rPr>
          <w:color w:val="000000" w:themeColor="text1"/>
        </w:rPr>
        <w:t xml:space="preserve">. This essay aims to critically </w:t>
      </w:r>
      <w:r w:rsidR="004251C1" w:rsidRPr="009B3E40">
        <w:rPr>
          <w:color w:val="000000" w:themeColor="text1"/>
        </w:rPr>
        <w:t>evaluate the role of intention to create legal relations</w:t>
      </w:r>
      <w:r w:rsidR="00CD42A8" w:rsidRPr="009B3E40">
        <w:rPr>
          <w:color w:val="000000" w:themeColor="text1"/>
        </w:rPr>
        <w:t xml:space="preserve"> (ITC</w:t>
      </w:r>
      <w:r w:rsidR="00C55DE1" w:rsidRPr="009B3E40">
        <w:rPr>
          <w:color w:val="000000" w:themeColor="text1"/>
        </w:rPr>
        <w:t>L</w:t>
      </w:r>
      <w:r w:rsidR="00CD42A8" w:rsidRPr="009B3E40">
        <w:rPr>
          <w:color w:val="000000" w:themeColor="text1"/>
        </w:rPr>
        <w:t>R)</w:t>
      </w:r>
      <w:r w:rsidR="00DA52DC" w:rsidRPr="009B3E40">
        <w:rPr>
          <w:color w:val="000000" w:themeColor="text1"/>
        </w:rPr>
        <w:t xml:space="preserve"> by looking at its</w:t>
      </w:r>
      <w:r w:rsidR="005E4338" w:rsidRPr="009B3E40">
        <w:rPr>
          <w:color w:val="000000" w:themeColor="text1"/>
        </w:rPr>
        <w:t xml:space="preserve"> significance</w:t>
      </w:r>
      <w:r w:rsidR="00993B05" w:rsidRPr="009B3E40">
        <w:rPr>
          <w:color w:val="000000" w:themeColor="text1"/>
        </w:rPr>
        <w:t xml:space="preserve"> in the law</w:t>
      </w:r>
      <w:r w:rsidR="00CD42A8" w:rsidRPr="009B3E40">
        <w:rPr>
          <w:color w:val="000000" w:themeColor="text1"/>
        </w:rPr>
        <w:t>.</w:t>
      </w:r>
      <w:r w:rsidR="001008A2" w:rsidRPr="009B3E40">
        <w:rPr>
          <w:color w:val="000000" w:themeColor="text1"/>
        </w:rPr>
        <w:t xml:space="preserve"> </w:t>
      </w:r>
      <w:r w:rsidR="00F17B35" w:rsidRPr="009B3E40">
        <w:rPr>
          <w:color w:val="000000" w:themeColor="text1"/>
        </w:rPr>
        <w:t>The findings will conclude that although providing a degree of protection to individuals,</w:t>
      </w:r>
      <w:r w:rsidR="006F6C4E" w:rsidRPr="009B3E40">
        <w:rPr>
          <w:color w:val="000000" w:themeColor="text1"/>
        </w:rPr>
        <w:t xml:space="preserve"> </w:t>
      </w:r>
      <w:r w:rsidR="008A2B56" w:rsidRPr="009B3E40">
        <w:rPr>
          <w:color w:val="000000" w:themeColor="text1"/>
        </w:rPr>
        <w:t>the</w:t>
      </w:r>
      <w:r w:rsidR="001A6786" w:rsidRPr="009B3E40">
        <w:rPr>
          <w:color w:val="000000" w:themeColor="text1"/>
        </w:rPr>
        <w:t xml:space="preserve">re are notable </w:t>
      </w:r>
      <w:r w:rsidR="0023305E" w:rsidRPr="009B3E40">
        <w:rPr>
          <w:color w:val="000000" w:themeColor="text1"/>
        </w:rPr>
        <w:t>fl</w:t>
      </w:r>
      <w:r w:rsidR="00AB5981" w:rsidRPr="009B3E40">
        <w:rPr>
          <w:color w:val="000000" w:themeColor="text1"/>
        </w:rPr>
        <w:t>aws</w:t>
      </w:r>
      <w:r w:rsidR="0023305E" w:rsidRPr="009B3E40">
        <w:rPr>
          <w:color w:val="000000" w:themeColor="text1"/>
        </w:rPr>
        <w:t xml:space="preserve"> when considering subjective contexts</w:t>
      </w:r>
      <w:r w:rsidR="00921316" w:rsidRPr="009B3E40">
        <w:rPr>
          <w:color w:val="000000" w:themeColor="text1"/>
        </w:rPr>
        <w:t xml:space="preserve"> such as social and </w:t>
      </w:r>
      <w:r w:rsidR="00B437FC" w:rsidRPr="009B3E40">
        <w:rPr>
          <w:color w:val="000000" w:themeColor="text1"/>
        </w:rPr>
        <w:t>familial</w:t>
      </w:r>
      <w:r w:rsidR="00921316" w:rsidRPr="009B3E40">
        <w:rPr>
          <w:color w:val="000000" w:themeColor="text1"/>
        </w:rPr>
        <w:t xml:space="preserve"> agreements</w:t>
      </w:r>
      <w:r w:rsidR="00AB5981" w:rsidRPr="009B3E40">
        <w:rPr>
          <w:color w:val="000000" w:themeColor="text1"/>
        </w:rPr>
        <w:t xml:space="preserve">. This will be achieved by </w:t>
      </w:r>
      <w:r w:rsidR="00422591" w:rsidRPr="009B3E40">
        <w:rPr>
          <w:color w:val="000000" w:themeColor="text1"/>
        </w:rPr>
        <w:t xml:space="preserve">a view </w:t>
      </w:r>
      <w:r w:rsidR="00D55D55" w:rsidRPr="009B3E40">
        <w:rPr>
          <w:color w:val="000000" w:themeColor="text1"/>
        </w:rPr>
        <w:t>of the formation of contracts, an overview of the concept of the intention to create legal relations</w:t>
      </w:r>
      <w:r w:rsidR="00FD576D" w:rsidRPr="009B3E40">
        <w:rPr>
          <w:color w:val="000000" w:themeColor="text1"/>
        </w:rPr>
        <w:t xml:space="preserve">, a contextual analysis </w:t>
      </w:r>
      <w:r w:rsidR="0028727F" w:rsidRPr="009B3E40">
        <w:rPr>
          <w:color w:val="000000" w:themeColor="text1"/>
        </w:rPr>
        <w:t>with case law examples</w:t>
      </w:r>
      <w:r w:rsidR="00255F4D" w:rsidRPr="009B3E40">
        <w:rPr>
          <w:color w:val="000000" w:themeColor="text1"/>
        </w:rPr>
        <w:t>,</w:t>
      </w:r>
      <w:r w:rsidR="00DF2C8F" w:rsidRPr="009B3E40">
        <w:rPr>
          <w:color w:val="000000" w:themeColor="text1"/>
        </w:rPr>
        <w:t xml:space="preserve"> </w:t>
      </w:r>
      <w:r w:rsidR="00AB5981" w:rsidRPr="009B3E40">
        <w:rPr>
          <w:color w:val="000000" w:themeColor="text1"/>
        </w:rPr>
        <w:t>an examination of both the advantages and disadvantages</w:t>
      </w:r>
      <w:r w:rsidR="00BE77AD" w:rsidRPr="009B3E40">
        <w:rPr>
          <w:color w:val="000000" w:themeColor="text1"/>
        </w:rPr>
        <w:t xml:space="preserve"> of </w:t>
      </w:r>
      <w:r w:rsidR="00D216F3" w:rsidRPr="009B3E40">
        <w:rPr>
          <w:color w:val="000000" w:themeColor="text1"/>
        </w:rPr>
        <w:t>each</w:t>
      </w:r>
      <w:r w:rsidR="00BE77AD" w:rsidRPr="009B3E40">
        <w:rPr>
          <w:color w:val="000000" w:themeColor="text1"/>
        </w:rPr>
        <w:t xml:space="preserve"> principle</w:t>
      </w:r>
      <w:r w:rsidR="00DF2C8F" w:rsidRPr="009B3E40">
        <w:rPr>
          <w:color w:val="000000" w:themeColor="text1"/>
        </w:rPr>
        <w:t xml:space="preserve"> and finally </w:t>
      </w:r>
      <w:r w:rsidR="00D2041A" w:rsidRPr="009B3E40">
        <w:rPr>
          <w:color w:val="000000" w:themeColor="text1"/>
        </w:rPr>
        <w:t>an evaluation of potential reform.</w:t>
      </w:r>
    </w:p>
    <w:p w14:paraId="019EDC2E" w14:textId="77777777" w:rsidR="009B3E40" w:rsidRPr="009B3E40" w:rsidRDefault="009B3E40">
      <w:pPr>
        <w:rPr>
          <w:color w:val="000000" w:themeColor="text1"/>
        </w:rPr>
      </w:pPr>
    </w:p>
    <w:p w14:paraId="2F00167D" w14:textId="40A3582A" w:rsidR="00A73CB8" w:rsidRPr="009B3E40" w:rsidRDefault="00650B48">
      <w:pPr>
        <w:rPr>
          <w:color w:val="000000" w:themeColor="text1"/>
        </w:rPr>
      </w:pPr>
      <w:r w:rsidRPr="009B3E40">
        <w:rPr>
          <w:color w:val="000000" w:themeColor="text1"/>
        </w:rPr>
        <w:t>To</w:t>
      </w:r>
      <w:r w:rsidR="00A73CB8" w:rsidRPr="009B3E40">
        <w:rPr>
          <w:color w:val="000000" w:themeColor="text1"/>
        </w:rPr>
        <w:t xml:space="preserve"> be considered legally binding</w:t>
      </w:r>
      <w:r w:rsidR="00C47491" w:rsidRPr="009B3E40">
        <w:rPr>
          <w:color w:val="000000" w:themeColor="text1"/>
        </w:rPr>
        <w:t xml:space="preserve"> a contract must contain four key elements. Firstly, a valid offer must be made.</w:t>
      </w:r>
      <w:r w:rsidR="005041E1" w:rsidRPr="009B3E40">
        <w:rPr>
          <w:color w:val="000000" w:themeColor="text1"/>
        </w:rPr>
        <w:t xml:space="preserve"> Storer v Manchester City Council (1974)</w:t>
      </w:r>
      <w:r w:rsidR="002C1BD5" w:rsidRPr="009B3E40">
        <w:rPr>
          <w:color w:val="000000" w:themeColor="text1"/>
        </w:rPr>
        <w:t xml:space="preserve"> defines an offer as </w:t>
      </w:r>
      <w:r w:rsidR="00D75275" w:rsidRPr="009B3E40">
        <w:rPr>
          <w:color w:val="000000" w:themeColor="text1"/>
        </w:rPr>
        <w:t>a show of intent to create a contract based upon specific terms</w:t>
      </w:r>
      <w:r w:rsidR="004F221A" w:rsidRPr="009B3E40">
        <w:rPr>
          <w:color w:val="000000" w:themeColor="text1"/>
        </w:rPr>
        <w:t xml:space="preserve"> with a view of creating a legally binding contract once </w:t>
      </w:r>
      <w:r w:rsidR="00AE7290" w:rsidRPr="009B3E40">
        <w:rPr>
          <w:color w:val="000000" w:themeColor="text1"/>
        </w:rPr>
        <w:t>if accepted.</w:t>
      </w:r>
      <w:r w:rsidR="00A521DC" w:rsidRPr="009B3E40">
        <w:rPr>
          <w:color w:val="000000" w:themeColor="text1"/>
        </w:rPr>
        <w:t xml:space="preserve"> </w:t>
      </w:r>
      <w:r w:rsidR="00BB1372" w:rsidRPr="009B3E40">
        <w:rPr>
          <w:color w:val="000000" w:themeColor="text1"/>
        </w:rPr>
        <w:t>It must be communicated to the offeree as established in</w:t>
      </w:r>
      <w:r w:rsidR="00BA1817" w:rsidRPr="009B3E40">
        <w:rPr>
          <w:color w:val="000000" w:themeColor="text1"/>
        </w:rPr>
        <w:t xml:space="preserve"> Taylor v Laird (1856)</w:t>
      </w:r>
      <w:r w:rsidR="00905673" w:rsidRPr="009B3E40">
        <w:rPr>
          <w:color w:val="000000" w:themeColor="text1"/>
        </w:rPr>
        <w:t xml:space="preserve">. </w:t>
      </w:r>
      <w:r w:rsidR="001804F3" w:rsidRPr="009B3E40">
        <w:rPr>
          <w:color w:val="000000" w:themeColor="text1"/>
        </w:rPr>
        <w:t>Secondly, acceptance must take place. Acceptance must be finalised and directly mirror the offer</w:t>
      </w:r>
      <w:r w:rsidR="00205C2A" w:rsidRPr="009B3E40">
        <w:rPr>
          <w:color w:val="000000" w:themeColor="text1"/>
        </w:rPr>
        <w:t xml:space="preserve"> as established in Hyde v Wrench (1840)</w:t>
      </w:r>
      <w:r w:rsidR="000779BB" w:rsidRPr="009B3E40">
        <w:rPr>
          <w:color w:val="000000" w:themeColor="text1"/>
        </w:rPr>
        <w:t>.</w:t>
      </w:r>
      <w:r w:rsidR="00361677" w:rsidRPr="009B3E40">
        <w:rPr>
          <w:color w:val="000000" w:themeColor="text1"/>
        </w:rPr>
        <w:t xml:space="preserve"> </w:t>
      </w:r>
      <w:r w:rsidR="00C860F8" w:rsidRPr="009B3E40">
        <w:rPr>
          <w:color w:val="000000" w:themeColor="text1"/>
        </w:rPr>
        <w:t xml:space="preserve"> In cases where a negotiation of</w:t>
      </w:r>
      <w:r w:rsidR="001562F3" w:rsidRPr="009B3E40">
        <w:rPr>
          <w:color w:val="000000" w:themeColor="text1"/>
        </w:rPr>
        <w:t xml:space="preserve"> the </w:t>
      </w:r>
      <w:r w:rsidR="00031C29" w:rsidRPr="009B3E40">
        <w:rPr>
          <w:color w:val="000000" w:themeColor="text1"/>
        </w:rPr>
        <w:t xml:space="preserve">standard </w:t>
      </w:r>
      <w:r w:rsidRPr="009B3E40">
        <w:rPr>
          <w:color w:val="000000" w:themeColor="text1"/>
        </w:rPr>
        <w:t>terms of</w:t>
      </w:r>
      <w:r w:rsidR="001562F3" w:rsidRPr="009B3E40">
        <w:rPr>
          <w:color w:val="000000" w:themeColor="text1"/>
        </w:rPr>
        <w:t xml:space="preserve"> agreement </w:t>
      </w:r>
      <w:r w:rsidR="00C860F8" w:rsidRPr="009B3E40">
        <w:rPr>
          <w:color w:val="000000" w:themeColor="text1"/>
        </w:rPr>
        <w:t>takes place,</w:t>
      </w:r>
      <w:r w:rsidR="00AF5817" w:rsidRPr="009B3E40">
        <w:rPr>
          <w:color w:val="000000" w:themeColor="text1"/>
        </w:rPr>
        <w:t xml:space="preserve"> BRS v Arthur v </w:t>
      </w:r>
      <w:proofErr w:type="spellStart"/>
      <w:r w:rsidR="00AF5817" w:rsidRPr="009B3E40">
        <w:rPr>
          <w:color w:val="000000" w:themeColor="text1"/>
        </w:rPr>
        <w:t>Crutchley</w:t>
      </w:r>
      <w:proofErr w:type="spellEnd"/>
      <w:r w:rsidR="00AF5817" w:rsidRPr="009B3E40">
        <w:rPr>
          <w:color w:val="000000" w:themeColor="text1"/>
        </w:rPr>
        <w:t xml:space="preserve"> Ltd (1968) </w:t>
      </w:r>
      <w:r w:rsidR="00ED3D0C" w:rsidRPr="009B3E40">
        <w:rPr>
          <w:color w:val="000000" w:themeColor="text1"/>
        </w:rPr>
        <w:t>find</w:t>
      </w:r>
      <w:r w:rsidR="001562F3" w:rsidRPr="009B3E40">
        <w:rPr>
          <w:color w:val="000000" w:themeColor="text1"/>
        </w:rPr>
        <w:t>s</w:t>
      </w:r>
      <w:r w:rsidR="00ED3D0C" w:rsidRPr="009B3E40">
        <w:rPr>
          <w:color w:val="000000" w:themeColor="text1"/>
        </w:rPr>
        <w:t xml:space="preserve"> that the last party</w:t>
      </w:r>
      <w:r w:rsidR="00EA65B5" w:rsidRPr="009B3E40">
        <w:rPr>
          <w:color w:val="000000" w:themeColor="text1"/>
        </w:rPr>
        <w:t xml:space="preserve"> to present </w:t>
      </w:r>
      <w:r w:rsidR="0059485E" w:rsidRPr="009B3E40">
        <w:rPr>
          <w:color w:val="000000" w:themeColor="text1"/>
        </w:rPr>
        <w:t xml:space="preserve">a form which is then actioned provides the </w:t>
      </w:r>
      <w:r w:rsidR="00431032" w:rsidRPr="009B3E40">
        <w:rPr>
          <w:color w:val="000000" w:themeColor="text1"/>
        </w:rPr>
        <w:t>binding</w:t>
      </w:r>
      <w:r w:rsidR="0059485E" w:rsidRPr="009B3E40">
        <w:rPr>
          <w:color w:val="000000" w:themeColor="text1"/>
        </w:rPr>
        <w:t xml:space="preserve"> terms.</w:t>
      </w:r>
      <w:r w:rsidR="00ED3D0C" w:rsidRPr="009B3E40">
        <w:rPr>
          <w:color w:val="000000" w:themeColor="text1"/>
        </w:rPr>
        <w:t xml:space="preserve"> </w:t>
      </w:r>
      <w:r w:rsidR="00361677" w:rsidRPr="009B3E40">
        <w:rPr>
          <w:color w:val="000000" w:themeColor="text1"/>
        </w:rPr>
        <w:t xml:space="preserve">Acceptance must also be communicated to the offeror as </w:t>
      </w:r>
      <w:r w:rsidR="00D0363E" w:rsidRPr="009B3E40">
        <w:rPr>
          <w:color w:val="000000" w:themeColor="text1"/>
        </w:rPr>
        <w:t>seen in Entores v Miles Far East Corp (1955)</w:t>
      </w:r>
      <w:r w:rsidR="00CD1C66" w:rsidRPr="009B3E40">
        <w:rPr>
          <w:color w:val="000000" w:themeColor="text1"/>
        </w:rPr>
        <w:t xml:space="preserve"> and </w:t>
      </w:r>
      <w:r w:rsidR="00A14093" w:rsidRPr="009B3E40">
        <w:rPr>
          <w:color w:val="000000" w:themeColor="text1"/>
        </w:rPr>
        <w:t xml:space="preserve">must take place during the specified acceptance period </w:t>
      </w:r>
      <w:r w:rsidR="00246715" w:rsidRPr="009B3E40">
        <w:rPr>
          <w:color w:val="000000" w:themeColor="text1"/>
        </w:rPr>
        <w:t>as found in Routledge v Grant (</w:t>
      </w:r>
      <w:r w:rsidR="008045C0" w:rsidRPr="009B3E40">
        <w:rPr>
          <w:color w:val="000000" w:themeColor="text1"/>
        </w:rPr>
        <w:t>1828).</w:t>
      </w:r>
      <w:r w:rsidR="00031C29" w:rsidRPr="009B3E40">
        <w:rPr>
          <w:color w:val="000000" w:themeColor="text1"/>
        </w:rPr>
        <w:t xml:space="preserve"> </w:t>
      </w:r>
    </w:p>
    <w:p w14:paraId="6972315A" w14:textId="77777777" w:rsidR="005B068B" w:rsidRPr="009B3E40" w:rsidRDefault="005B068B">
      <w:pPr>
        <w:rPr>
          <w:color w:val="000000" w:themeColor="text1"/>
        </w:rPr>
      </w:pPr>
    </w:p>
    <w:p w14:paraId="00C50465" w14:textId="2704425A" w:rsidR="005C1508" w:rsidRPr="009B3E40" w:rsidRDefault="00625798">
      <w:pPr>
        <w:rPr>
          <w:color w:val="000000" w:themeColor="text1"/>
        </w:rPr>
      </w:pPr>
      <w:r w:rsidRPr="009B3E40">
        <w:rPr>
          <w:color w:val="000000" w:themeColor="text1"/>
        </w:rPr>
        <w:t>Following offer and acceptance, a legally binding contract requires certainty.</w:t>
      </w:r>
      <w:r w:rsidR="00C23EC3" w:rsidRPr="009B3E40">
        <w:rPr>
          <w:color w:val="000000" w:themeColor="text1"/>
        </w:rPr>
        <w:t xml:space="preserve"> The case of </w:t>
      </w:r>
      <w:proofErr w:type="spellStart"/>
      <w:r w:rsidR="00C23EC3" w:rsidRPr="009B3E40">
        <w:rPr>
          <w:color w:val="000000" w:themeColor="text1"/>
        </w:rPr>
        <w:t>Guthing</w:t>
      </w:r>
      <w:proofErr w:type="spellEnd"/>
      <w:r w:rsidR="00C23EC3" w:rsidRPr="009B3E40">
        <w:rPr>
          <w:color w:val="000000" w:themeColor="text1"/>
        </w:rPr>
        <w:t xml:space="preserve"> v Lynn (1831)</w:t>
      </w:r>
      <w:r w:rsidR="000B6A72" w:rsidRPr="009B3E40">
        <w:rPr>
          <w:color w:val="000000" w:themeColor="text1"/>
        </w:rPr>
        <w:t xml:space="preserve"> found that a contract cannot be held as enforceable if it lacks certainty.</w:t>
      </w:r>
      <w:r w:rsidR="00247F3B" w:rsidRPr="009B3E40">
        <w:rPr>
          <w:color w:val="000000" w:themeColor="text1"/>
        </w:rPr>
        <w:t xml:space="preserve"> The definition of certainty </w:t>
      </w:r>
      <w:r w:rsidR="0053724C" w:rsidRPr="009B3E40">
        <w:rPr>
          <w:color w:val="000000" w:themeColor="text1"/>
        </w:rPr>
        <w:t xml:space="preserve">depends upon the facts of a case and therefore relies heavily upon judicial </w:t>
      </w:r>
      <w:r w:rsidR="008B383F" w:rsidRPr="009B3E40">
        <w:rPr>
          <w:color w:val="000000" w:themeColor="text1"/>
        </w:rPr>
        <w:t xml:space="preserve">discretion. However, </w:t>
      </w:r>
      <w:r w:rsidR="00970B3A" w:rsidRPr="009B3E40">
        <w:rPr>
          <w:color w:val="000000" w:themeColor="text1"/>
        </w:rPr>
        <w:t xml:space="preserve">it </w:t>
      </w:r>
      <w:r w:rsidR="00BE4DD9" w:rsidRPr="009B3E40">
        <w:rPr>
          <w:color w:val="000000" w:themeColor="text1"/>
        </w:rPr>
        <w:t xml:space="preserve">is most commonly </w:t>
      </w:r>
      <w:r w:rsidR="004148E5" w:rsidRPr="009B3E40">
        <w:rPr>
          <w:color w:val="000000" w:themeColor="text1"/>
        </w:rPr>
        <w:t>seen in</w:t>
      </w:r>
      <w:r w:rsidR="008020EF" w:rsidRPr="009B3E40">
        <w:rPr>
          <w:color w:val="000000" w:themeColor="text1"/>
        </w:rPr>
        <w:t xml:space="preserve"> two instances, where terms are deemed too vague as seen in </w:t>
      </w:r>
      <w:proofErr w:type="spellStart"/>
      <w:r w:rsidR="008020EF" w:rsidRPr="009B3E40">
        <w:rPr>
          <w:color w:val="000000" w:themeColor="text1"/>
        </w:rPr>
        <w:t>Mileform</w:t>
      </w:r>
      <w:proofErr w:type="spellEnd"/>
      <w:r w:rsidR="008020EF" w:rsidRPr="009B3E40">
        <w:rPr>
          <w:color w:val="000000" w:themeColor="text1"/>
        </w:rPr>
        <w:t xml:space="preserve"> v Interserve Security (2013)</w:t>
      </w:r>
      <w:r w:rsidR="00C44C78" w:rsidRPr="009B3E40">
        <w:rPr>
          <w:color w:val="000000" w:themeColor="text1"/>
        </w:rPr>
        <w:t xml:space="preserve"> or whereby there are incomplete terms</w:t>
      </w:r>
      <w:r w:rsidR="00424CFB" w:rsidRPr="009B3E40">
        <w:rPr>
          <w:color w:val="000000" w:themeColor="text1"/>
        </w:rPr>
        <w:t xml:space="preserve"> as demonstrated in Grow </w:t>
      </w:r>
      <w:proofErr w:type="gramStart"/>
      <w:r w:rsidR="00424CFB" w:rsidRPr="009B3E40">
        <w:rPr>
          <w:color w:val="000000" w:themeColor="text1"/>
        </w:rPr>
        <w:t>With</w:t>
      </w:r>
      <w:proofErr w:type="gramEnd"/>
      <w:r w:rsidR="00424CFB" w:rsidRPr="009B3E40">
        <w:rPr>
          <w:color w:val="000000" w:themeColor="text1"/>
        </w:rPr>
        <w:t xml:space="preserve"> Us Ltd v Green Thumb (UK)</w:t>
      </w:r>
      <w:r w:rsidR="00FD32B7" w:rsidRPr="009B3E40">
        <w:rPr>
          <w:color w:val="000000" w:themeColor="text1"/>
        </w:rPr>
        <w:t xml:space="preserve"> Ltd (2006). The final</w:t>
      </w:r>
      <w:r w:rsidR="00392322" w:rsidRPr="009B3E40">
        <w:rPr>
          <w:color w:val="000000" w:themeColor="text1"/>
        </w:rPr>
        <w:t xml:space="preserve"> requirement</w:t>
      </w:r>
      <w:r w:rsidR="00D6039D" w:rsidRPr="009B3E40">
        <w:rPr>
          <w:color w:val="000000" w:themeColor="text1"/>
        </w:rPr>
        <w:t xml:space="preserve"> is an </w:t>
      </w:r>
      <w:r w:rsidR="001312A7" w:rsidRPr="009B3E40">
        <w:rPr>
          <w:color w:val="000000" w:themeColor="text1"/>
        </w:rPr>
        <w:t>ITC</w:t>
      </w:r>
      <w:r w:rsidR="00C55DE1" w:rsidRPr="009B3E40">
        <w:rPr>
          <w:color w:val="000000" w:themeColor="text1"/>
        </w:rPr>
        <w:t>L</w:t>
      </w:r>
      <w:r w:rsidR="001312A7" w:rsidRPr="009B3E40">
        <w:rPr>
          <w:color w:val="000000" w:themeColor="text1"/>
        </w:rPr>
        <w:t>R</w:t>
      </w:r>
      <w:r w:rsidR="00D6039D" w:rsidRPr="009B3E40">
        <w:rPr>
          <w:color w:val="000000" w:themeColor="text1"/>
        </w:rPr>
        <w:t>.</w:t>
      </w:r>
      <w:r w:rsidR="008E3A39" w:rsidRPr="009B3E40">
        <w:rPr>
          <w:color w:val="000000" w:themeColor="text1"/>
        </w:rPr>
        <w:t xml:space="preserve"> I</w:t>
      </w:r>
      <w:r w:rsidR="001312A7" w:rsidRPr="009B3E40">
        <w:rPr>
          <w:color w:val="000000" w:themeColor="text1"/>
        </w:rPr>
        <w:t>TC</w:t>
      </w:r>
      <w:r w:rsidR="00C55DE1" w:rsidRPr="009B3E40">
        <w:rPr>
          <w:color w:val="000000" w:themeColor="text1"/>
        </w:rPr>
        <w:t>L</w:t>
      </w:r>
      <w:r w:rsidR="001312A7" w:rsidRPr="009B3E40">
        <w:rPr>
          <w:color w:val="000000" w:themeColor="text1"/>
        </w:rPr>
        <w:t xml:space="preserve">R </w:t>
      </w:r>
      <w:r w:rsidR="004E2435" w:rsidRPr="009B3E40">
        <w:rPr>
          <w:color w:val="000000" w:themeColor="text1"/>
        </w:rPr>
        <w:t xml:space="preserve">is defined </w:t>
      </w:r>
      <w:r w:rsidR="0076104D" w:rsidRPr="009B3E40">
        <w:rPr>
          <w:color w:val="000000" w:themeColor="text1"/>
        </w:rPr>
        <w:t xml:space="preserve">as </w:t>
      </w:r>
      <w:r w:rsidR="009F7B85" w:rsidRPr="009B3E40">
        <w:rPr>
          <w:color w:val="000000" w:themeColor="text1"/>
        </w:rPr>
        <w:t xml:space="preserve">the </w:t>
      </w:r>
      <w:r w:rsidR="001D0B83" w:rsidRPr="009B3E40">
        <w:rPr>
          <w:color w:val="000000" w:themeColor="text1"/>
        </w:rPr>
        <w:t>i</w:t>
      </w:r>
      <w:r w:rsidR="00C27DDD" w:rsidRPr="009B3E40">
        <w:rPr>
          <w:color w:val="000000" w:themeColor="text1"/>
        </w:rPr>
        <w:t xml:space="preserve">ntent to </w:t>
      </w:r>
      <w:r w:rsidR="001D0B83" w:rsidRPr="009B3E40">
        <w:rPr>
          <w:color w:val="000000" w:themeColor="text1"/>
        </w:rPr>
        <w:t xml:space="preserve">create a legally binding contract between </w:t>
      </w:r>
      <w:r w:rsidR="009F7B85" w:rsidRPr="009B3E40">
        <w:rPr>
          <w:color w:val="000000" w:themeColor="text1"/>
        </w:rPr>
        <w:t xml:space="preserve">all involved </w:t>
      </w:r>
      <w:r w:rsidR="00C2180B" w:rsidRPr="009B3E40">
        <w:rPr>
          <w:color w:val="000000" w:themeColor="text1"/>
        </w:rPr>
        <w:t>parties</w:t>
      </w:r>
      <w:r w:rsidR="00675EFD" w:rsidRPr="009B3E40">
        <w:rPr>
          <w:color w:val="000000" w:themeColor="text1"/>
        </w:rPr>
        <w:t>.</w:t>
      </w:r>
      <w:sdt>
        <w:sdtPr>
          <w:rPr>
            <w:color w:val="000000" w:themeColor="text1"/>
          </w:rPr>
          <w:id w:val="-670480304"/>
          <w:citation/>
        </w:sdtPr>
        <w:sdtContent>
          <w:r w:rsidR="00E34FB1" w:rsidRPr="009B3E40">
            <w:rPr>
              <w:color w:val="000000" w:themeColor="text1"/>
            </w:rPr>
            <w:fldChar w:fldCharType="begin"/>
          </w:r>
          <w:r w:rsidR="00E34FB1" w:rsidRPr="009B3E40">
            <w:rPr>
              <w:color w:val="000000" w:themeColor="text1"/>
            </w:rPr>
            <w:instrText xml:space="preserve"> CITATION Pet05 \l 2057 </w:instrText>
          </w:r>
          <w:r w:rsidR="00E34FB1" w:rsidRPr="009B3E40">
            <w:rPr>
              <w:color w:val="000000" w:themeColor="text1"/>
            </w:rPr>
            <w:fldChar w:fldCharType="separate"/>
          </w:r>
          <w:r w:rsidR="00E34FB1" w:rsidRPr="009B3E40">
            <w:rPr>
              <w:noProof/>
              <w:color w:val="000000" w:themeColor="text1"/>
            </w:rPr>
            <w:t xml:space="preserve"> </w:t>
          </w:r>
          <w:r w:rsidR="00E34FB1" w:rsidRPr="009B3E40">
            <w:rPr>
              <w:rFonts w:eastAsiaTheme="minorHAnsi"/>
              <w:noProof/>
              <w:color w:val="000000" w:themeColor="text1"/>
            </w:rPr>
            <w:t>(Goodrich, 2005)</w:t>
          </w:r>
          <w:r w:rsidR="00E34FB1" w:rsidRPr="009B3E40">
            <w:rPr>
              <w:color w:val="000000" w:themeColor="text1"/>
            </w:rPr>
            <w:fldChar w:fldCharType="end"/>
          </w:r>
        </w:sdtContent>
      </w:sdt>
      <w:r w:rsidR="006E1DD2" w:rsidRPr="009B3E40">
        <w:rPr>
          <w:color w:val="000000" w:themeColor="text1"/>
        </w:rPr>
        <w:t>. Although generally accepted as</w:t>
      </w:r>
      <w:r w:rsidR="0024593B" w:rsidRPr="009B3E40">
        <w:rPr>
          <w:color w:val="000000" w:themeColor="text1"/>
        </w:rPr>
        <w:t xml:space="preserve"> </w:t>
      </w:r>
      <w:r w:rsidR="002D493B" w:rsidRPr="009B3E40">
        <w:rPr>
          <w:color w:val="000000" w:themeColor="text1"/>
        </w:rPr>
        <w:t xml:space="preserve">a </w:t>
      </w:r>
      <w:r w:rsidR="00E24C3D" w:rsidRPr="009B3E40">
        <w:rPr>
          <w:color w:val="000000" w:themeColor="text1"/>
        </w:rPr>
        <w:t xml:space="preserve">foundational </w:t>
      </w:r>
      <w:r w:rsidR="002D493B" w:rsidRPr="009B3E40">
        <w:rPr>
          <w:color w:val="000000" w:themeColor="text1"/>
        </w:rPr>
        <w:t>element of a contract</w:t>
      </w:r>
      <w:r w:rsidR="0024593B" w:rsidRPr="009B3E40">
        <w:rPr>
          <w:color w:val="000000" w:themeColor="text1"/>
        </w:rPr>
        <w:t xml:space="preserve">, </w:t>
      </w:r>
      <w:r w:rsidR="00F24C2E" w:rsidRPr="009B3E40">
        <w:rPr>
          <w:color w:val="000000" w:themeColor="text1"/>
        </w:rPr>
        <w:t xml:space="preserve">its position as a </w:t>
      </w:r>
      <w:r w:rsidR="00D16A7C" w:rsidRPr="009B3E40">
        <w:rPr>
          <w:color w:val="000000" w:themeColor="text1"/>
        </w:rPr>
        <w:t xml:space="preserve">strictly </w:t>
      </w:r>
      <w:r w:rsidR="00C70C95" w:rsidRPr="009B3E40">
        <w:rPr>
          <w:color w:val="000000" w:themeColor="text1"/>
        </w:rPr>
        <w:t xml:space="preserve">necessary </w:t>
      </w:r>
      <w:r w:rsidR="00D16A7C" w:rsidRPr="009B3E40">
        <w:rPr>
          <w:color w:val="000000" w:themeColor="text1"/>
        </w:rPr>
        <w:t>elem</w:t>
      </w:r>
      <w:r w:rsidR="003B20C8" w:rsidRPr="009B3E40">
        <w:rPr>
          <w:color w:val="000000" w:themeColor="text1"/>
        </w:rPr>
        <w:t>en</w:t>
      </w:r>
      <w:r w:rsidR="00D16A7C" w:rsidRPr="009B3E40">
        <w:rPr>
          <w:color w:val="000000" w:themeColor="text1"/>
        </w:rPr>
        <w:t>t of a contra</w:t>
      </w:r>
      <w:r w:rsidR="003B20C8" w:rsidRPr="009B3E40">
        <w:rPr>
          <w:color w:val="000000" w:themeColor="text1"/>
        </w:rPr>
        <w:t>ct is widely challenged</w:t>
      </w:r>
      <w:r w:rsidR="00165F7A" w:rsidRPr="009B3E40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287963259"/>
          <w:citation/>
        </w:sdtPr>
        <w:sdtContent>
          <w:r w:rsidR="00165F7A" w:rsidRPr="009B3E40">
            <w:rPr>
              <w:color w:val="000000" w:themeColor="text1"/>
            </w:rPr>
            <w:fldChar w:fldCharType="begin"/>
          </w:r>
          <w:r w:rsidR="00165F7A" w:rsidRPr="009B3E40">
            <w:rPr>
              <w:color w:val="000000" w:themeColor="text1"/>
            </w:rPr>
            <w:instrText xml:space="preserve"> CITATION Ric21 \l 2057 </w:instrText>
          </w:r>
          <w:r w:rsidR="00165F7A" w:rsidRPr="009B3E40">
            <w:rPr>
              <w:color w:val="000000" w:themeColor="text1"/>
            </w:rPr>
            <w:fldChar w:fldCharType="separate"/>
          </w:r>
          <w:r w:rsidR="00165F7A" w:rsidRPr="009B3E40">
            <w:rPr>
              <w:rFonts w:eastAsiaTheme="minorHAnsi"/>
              <w:noProof/>
              <w:color w:val="000000" w:themeColor="text1"/>
            </w:rPr>
            <w:t>(Hay, 2021)</w:t>
          </w:r>
          <w:r w:rsidR="00165F7A" w:rsidRPr="009B3E40">
            <w:rPr>
              <w:color w:val="000000" w:themeColor="text1"/>
            </w:rPr>
            <w:fldChar w:fldCharType="end"/>
          </w:r>
        </w:sdtContent>
      </w:sdt>
      <w:r w:rsidR="00165F7A" w:rsidRPr="009B3E40">
        <w:rPr>
          <w:color w:val="000000" w:themeColor="text1"/>
        </w:rPr>
        <w:t>.</w:t>
      </w:r>
      <w:r w:rsidR="0099550A" w:rsidRPr="009B3E40">
        <w:rPr>
          <w:color w:val="000000" w:themeColor="text1"/>
        </w:rPr>
        <w:t xml:space="preserve"> </w:t>
      </w:r>
      <w:r w:rsidR="00530B4D" w:rsidRPr="009B3E40">
        <w:rPr>
          <w:color w:val="000000" w:themeColor="text1"/>
        </w:rPr>
        <w:t>Early critics put forward t</w:t>
      </w:r>
      <w:r w:rsidR="00C85A82" w:rsidRPr="009B3E40">
        <w:rPr>
          <w:color w:val="000000" w:themeColor="text1"/>
        </w:rPr>
        <w:t xml:space="preserve">hat if consideration has been established, </w:t>
      </w:r>
      <w:r w:rsidR="003C1EB0" w:rsidRPr="009B3E40">
        <w:rPr>
          <w:color w:val="000000" w:themeColor="text1"/>
        </w:rPr>
        <w:t>their perspective of it</w:t>
      </w:r>
      <w:r w:rsidR="00B25DBA" w:rsidRPr="009B3E40">
        <w:rPr>
          <w:color w:val="000000" w:themeColor="text1"/>
        </w:rPr>
        <w:t>s legal enforcement is irrelevant</w:t>
      </w:r>
      <w:sdt>
        <w:sdtPr>
          <w:rPr>
            <w:color w:val="000000" w:themeColor="text1"/>
          </w:rPr>
          <w:id w:val="1094677451"/>
          <w:citation/>
        </w:sdtPr>
        <w:sdtContent>
          <w:r w:rsidR="00A95B2D" w:rsidRPr="009B3E40">
            <w:rPr>
              <w:color w:val="000000" w:themeColor="text1"/>
            </w:rPr>
            <w:fldChar w:fldCharType="begin"/>
          </w:r>
          <w:r w:rsidR="00A95B2D" w:rsidRPr="009B3E40">
            <w:rPr>
              <w:color w:val="000000" w:themeColor="text1"/>
            </w:rPr>
            <w:instrText xml:space="preserve"> CITATION Nig10 \l 2057 </w:instrText>
          </w:r>
          <w:r w:rsidR="00A95B2D" w:rsidRPr="009B3E40">
            <w:rPr>
              <w:color w:val="000000" w:themeColor="text1"/>
            </w:rPr>
            <w:fldChar w:fldCharType="separate"/>
          </w:r>
          <w:r w:rsidR="00A95B2D" w:rsidRPr="009B3E40">
            <w:rPr>
              <w:noProof/>
              <w:color w:val="000000" w:themeColor="text1"/>
            </w:rPr>
            <w:t xml:space="preserve"> </w:t>
          </w:r>
          <w:r w:rsidR="00A95B2D" w:rsidRPr="009B3E40">
            <w:rPr>
              <w:rFonts w:eastAsiaTheme="minorHAnsi"/>
              <w:noProof/>
              <w:color w:val="000000" w:themeColor="text1"/>
            </w:rPr>
            <w:t>(jameson, 2010)</w:t>
          </w:r>
          <w:r w:rsidR="00A95B2D" w:rsidRPr="009B3E40">
            <w:rPr>
              <w:color w:val="000000" w:themeColor="text1"/>
            </w:rPr>
            <w:fldChar w:fldCharType="end"/>
          </w:r>
        </w:sdtContent>
      </w:sdt>
      <w:r w:rsidR="00A95B2D" w:rsidRPr="009B3E40">
        <w:rPr>
          <w:color w:val="000000" w:themeColor="text1"/>
        </w:rPr>
        <w:t>.</w:t>
      </w:r>
      <w:r w:rsidR="009E7349" w:rsidRPr="009B3E40">
        <w:rPr>
          <w:color w:val="000000" w:themeColor="text1"/>
        </w:rPr>
        <w:t xml:space="preserve"> Proponents of the </w:t>
      </w:r>
      <w:r w:rsidR="00877625" w:rsidRPr="009B3E40">
        <w:rPr>
          <w:color w:val="000000" w:themeColor="text1"/>
        </w:rPr>
        <w:t xml:space="preserve">factor contend that each party must be sufficiently </w:t>
      </w:r>
      <w:r w:rsidR="003219DD" w:rsidRPr="009B3E40">
        <w:rPr>
          <w:color w:val="000000" w:themeColor="text1"/>
        </w:rPr>
        <w:t xml:space="preserve">aware of the legal implications of their agreement, therefore deeming </w:t>
      </w:r>
      <w:r w:rsidR="001A3731" w:rsidRPr="009B3E40">
        <w:rPr>
          <w:color w:val="000000" w:themeColor="text1"/>
        </w:rPr>
        <w:t>ITCHR</w:t>
      </w:r>
      <w:r w:rsidR="003219DD" w:rsidRPr="009B3E40">
        <w:rPr>
          <w:color w:val="000000" w:themeColor="text1"/>
        </w:rPr>
        <w:t xml:space="preserve"> as a key element of a legally binding contract</w:t>
      </w:r>
      <w:sdt>
        <w:sdtPr>
          <w:rPr>
            <w:color w:val="000000" w:themeColor="text1"/>
          </w:rPr>
          <w:id w:val="-84542438"/>
          <w:citation/>
        </w:sdtPr>
        <w:sdtContent>
          <w:r w:rsidR="009F707B" w:rsidRPr="009B3E40">
            <w:rPr>
              <w:color w:val="000000" w:themeColor="text1"/>
            </w:rPr>
            <w:fldChar w:fldCharType="begin"/>
          </w:r>
          <w:r w:rsidR="009F707B" w:rsidRPr="009B3E40">
            <w:rPr>
              <w:color w:val="000000" w:themeColor="text1"/>
            </w:rPr>
            <w:instrText xml:space="preserve"> CITATION Fra16 \l 2057 </w:instrText>
          </w:r>
          <w:r w:rsidR="009F707B" w:rsidRPr="009B3E40">
            <w:rPr>
              <w:color w:val="000000" w:themeColor="text1"/>
            </w:rPr>
            <w:fldChar w:fldCharType="separate"/>
          </w:r>
          <w:r w:rsidR="009F707B" w:rsidRPr="009B3E40">
            <w:rPr>
              <w:noProof/>
              <w:color w:val="000000" w:themeColor="text1"/>
            </w:rPr>
            <w:t xml:space="preserve"> </w:t>
          </w:r>
          <w:r w:rsidR="009F707B" w:rsidRPr="009B3E40">
            <w:rPr>
              <w:rFonts w:eastAsiaTheme="minorHAnsi"/>
              <w:noProof/>
              <w:color w:val="000000" w:themeColor="text1"/>
            </w:rPr>
            <w:t>(Garratt, 2016)</w:t>
          </w:r>
          <w:r w:rsidR="009F707B" w:rsidRPr="009B3E40">
            <w:rPr>
              <w:color w:val="000000" w:themeColor="text1"/>
            </w:rPr>
            <w:fldChar w:fldCharType="end"/>
          </w:r>
        </w:sdtContent>
      </w:sdt>
      <w:r w:rsidR="003219DD" w:rsidRPr="009B3E40">
        <w:rPr>
          <w:color w:val="000000" w:themeColor="text1"/>
        </w:rPr>
        <w:t>.</w:t>
      </w:r>
    </w:p>
    <w:p w14:paraId="2281C7D4" w14:textId="77777777" w:rsidR="008B1A73" w:rsidRPr="009B3E40" w:rsidRDefault="008B1A73">
      <w:pPr>
        <w:rPr>
          <w:color w:val="000000" w:themeColor="text1"/>
        </w:rPr>
      </w:pPr>
    </w:p>
    <w:p w14:paraId="35EADD10" w14:textId="07F37009" w:rsidR="00426DF5" w:rsidRPr="009B3E40" w:rsidRDefault="00A36C3A">
      <w:pPr>
        <w:rPr>
          <w:color w:val="000000" w:themeColor="text1"/>
        </w:rPr>
      </w:pPr>
      <w:r w:rsidRPr="009B3E40">
        <w:rPr>
          <w:color w:val="000000" w:themeColor="text1"/>
        </w:rPr>
        <w:t>I</w:t>
      </w:r>
      <w:r w:rsidR="006F6242" w:rsidRPr="009B3E40">
        <w:rPr>
          <w:color w:val="000000" w:themeColor="text1"/>
        </w:rPr>
        <w:t>n practice,</w:t>
      </w:r>
      <w:r w:rsidRPr="009B3E40">
        <w:rPr>
          <w:color w:val="000000" w:themeColor="text1"/>
        </w:rPr>
        <w:t xml:space="preserve"> finding</w:t>
      </w:r>
      <w:r w:rsidR="006F6242" w:rsidRPr="009B3E40">
        <w:rPr>
          <w:color w:val="000000" w:themeColor="text1"/>
        </w:rPr>
        <w:t xml:space="preserve"> IT</w:t>
      </w:r>
      <w:r w:rsidR="00A0131D" w:rsidRPr="009B3E40">
        <w:rPr>
          <w:color w:val="000000" w:themeColor="text1"/>
        </w:rPr>
        <w:t>C</w:t>
      </w:r>
      <w:r w:rsidR="00383A26" w:rsidRPr="009B3E40">
        <w:rPr>
          <w:color w:val="000000" w:themeColor="text1"/>
        </w:rPr>
        <w:t>L</w:t>
      </w:r>
      <w:r w:rsidR="00A0131D" w:rsidRPr="009B3E40">
        <w:rPr>
          <w:color w:val="000000" w:themeColor="text1"/>
        </w:rPr>
        <w:t>R</w:t>
      </w:r>
      <w:r w:rsidR="006F6242" w:rsidRPr="009B3E40">
        <w:rPr>
          <w:color w:val="000000" w:themeColor="text1"/>
        </w:rPr>
        <w:t xml:space="preserve"> </w:t>
      </w:r>
      <w:r w:rsidR="009769D0" w:rsidRPr="009B3E40">
        <w:rPr>
          <w:color w:val="000000" w:themeColor="text1"/>
        </w:rPr>
        <w:t>questions fact</w:t>
      </w:r>
      <w:r w:rsidR="006F6242" w:rsidRPr="009B3E40">
        <w:rPr>
          <w:color w:val="000000" w:themeColor="text1"/>
        </w:rPr>
        <w:t>. However,</w:t>
      </w:r>
      <w:r w:rsidR="00A820D7" w:rsidRPr="009B3E40">
        <w:rPr>
          <w:color w:val="000000" w:themeColor="text1"/>
        </w:rPr>
        <w:t xml:space="preserve"> rather </w:t>
      </w:r>
      <w:r w:rsidR="00501E2A" w:rsidRPr="009B3E40">
        <w:rPr>
          <w:color w:val="000000" w:themeColor="text1"/>
        </w:rPr>
        <w:t>than attempting</w:t>
      </w:r>
      <w:r w:rsidR="00A820D7" w:rsidRPr="009B3E40">
        <w:rPr>
          <w:color w:val="000000" w:themeColor="text1"/>
        </w:rPr>
        <w:t xml:space="preserve"> to identify the thought process of each party</w:t>
      </w:r>
      <w:r w:rsidR="00BC7862" w:rsidRPr="009B3E40">
        <w:rPr>
          <w:color w:val="000000" w:themeColor="text1"/>
        </w:rPr>
        <w:t xml:space="preserve">, the court </w:t>
      </w:r>
      <w:r w:rsidR="0098666C" w:rsidRPr="009B3E40">
        <w:rPr>
          <w:color w:val="000000" w:themeColor="text1"/>
        </w:rPr>
        <w:t xml:space="preserve">balances </w:t>
      </w:r>
      <w:r w:rsidR="002B69B6" w:rsidRPr="009B3E40">
        <w:rPr>
          <w:color w:val="000000" w:themeColor="text1"/>
        </w:rPr>
        <w:t>the facts of the case against the thought process of a ‘reasonable’ person</w:t>
      </w:r>
      <w:r w:rsidR="0049308B" w:rsidRPr="009B3E40">
        <w:rPr>
          <w:color w:val="000000" w:themeColor="text1"/>
        </w:rPr>
        <w:t xml:space="preserve"> in an objective test</w:t>
      </w:r>
      <w:r w:rsidR="002B69B6" w:rsidRPr="009B3E40">
        <w:rPr>
          <w:color w:val="000000" w:themeColor="text1"/>
        </w:rPr>
        <w:t xml:space="preserve">. </w:t>
      </w:r>
      <w:r w:rsidR="00A865E1" w:rsidRPr="009B3E40">
        <w:rPr>
          <w:color w:val="000000" w:themeColor="text1"/>
        </w:rPr>
        <w:t>Essentially</w:t>
      </w:r>
      <w:r w:rsidR="002B69B6" w:rsidRPr="009B3E40">
        <w:rPr>
          <w:color w:val="000000" w:themeColor="text1"/>
        </w:rPr>
        <w:t xml:space="preserve">, </w:t>
      </w:r>
      <w:r w:rsidR="00501E2A" w:rsidRPr="009B3E40">
        <w:rPr>
          <w:color w:val="000000" w:themeColor="text1"/>
        </w:rPr>
        <w:t>this means</w:t>
      </w:r>
      <w:r w:rsidR="0049308B" w:rsidRPr="009B3E40">
        <w:rPr>
          <w:color w:val="000000" w:themeColor="text1"/>
        </w:rPr>
        <w:t xml:space="preserve"> that</w:t>
      </w:r>
      <w:r w:rsidR="00501E2A" w:rsidRPr="009B3E40">
        <w:rPr>
          <w:color w:val="000000" w:themeColor="text1"/>
        </w:rPr>
        <w:t xml:space="preserve"> a judgement will be made </w:t>
      </w:r>
      <w:r w:rsidR="0049308B" w:rsidRPr="009B3E40">
        <w:rPr>
          <w:color w:val="000000" w:themeColor="text1"/>
        </w:rPr>
        <w:t xml:space="preserve">based upon </w:t>
      </w:r>
      <w:r w:rsidR="00501E2A" w:rsidRPr="009B3E40">
        <w:rPr>
          <w:color w:val="000000" w:themeColor="text1"/>
        </w:rPr>
        <w:t>whether the average person would see the proposed agreement as legally binding</w:t>
      </w:r>
      <w:r w:rsidR="0049308B" w:rsidRPr="009B3E40">
        <w:rPr>
          <w:color w:val="000000" w:themeColor="text1"/>
        </w:rPr>
        <w:t xml:space="preserve">. </w:t>
      </w:r>
      <w:r w:rsidR="0098396C" w:rsidRPr="009B3E40">
        <w:rPr>
          <w:color w:val="000000" w:themeColor="text1"/>
        </w:rPr>
        <w:t>This is seen in the case</w:t>
      </w:r>
      <w:r w:rsidR="00936C98" w:rsidRPr="009B3E40">
        <w:rPr>
          <w:color w:val="000000" w:themeColor="text1"/>
        </w:rPr>
        <w:t xml:space="preserve"> of Smith v Hughes (1871) and more recently confirmed in</w:t>
      </w:r>
      <w:r w:rsidR="0098396C" w:rsidRPr="009B3E40">
        <w:rPr>
          <w:color w:val="000000" w:themeColor="text1"/>
        </w:rPr>
        <w:t xml:space="preserve"> RTS Flexible Systems Ltd v </w:t>
      </w:r>
      <w:proofErr w:type="spellStart"/>
      <w:r w:rsidR="0098396C" w:rsidRPr="009B3E40">
        <w:rPr>
          <w:color w:val="000000" w:themeColor="text1"/>
        </w:rPr>
        <w:t>Molkerei</w:t>
      </w:r>
      <w:proofErr w:type="spellEnd"/>
      <w:r w:rsidR="0098396C" w:rsidRPr="009B3E40">
        <w:rPr>
          <w:color w:val="000000" w:themeColor="text1"/>
        </w:rPr>
        <w:t xml:space="preserve"> Alois Muller (2010</w:t>
      </w:r>
      <w:r w:rsidR="00D12E8E" w:rsidRPr="009B3E40">
        <w:rPr>
          <w:color w:val="000000" w:themeColor="text1"/>
        </w:rPr>
        <w:t>)</w:t>
      </w:r>
      <w:r w:rsidR="00373AE7" w:rsidRPr="009B3E40">
        <w:rPr>
          <w:color w:val="000000" w:themeColor="text1"/>
        </w:rPr>
        <w:t xml:space="preserve">. These cases consolidate the principle that </w:t>
      </w:r>
      <w:r w:rsidR="00FF40A9" w:rsidRPr="009B3E40">
        <w:rPr>
          <w:color w:val="000000" w:themeColor="text1"/>
        </w:rPr>
        <w:t>IT</w:t>
      </w:r>
      <w:r w:rsidR="00A0131D" w:rsidRPr="009B3E40">
        <w:rPr>
          <w:color w:val="000000" w:themeColor="text1"/>
        </w:rPr>
        <w:t>CLR</w:t>
      </w:r>
      <w:r w:rsidR="00383A26" w:rsidRPr="009B3E40">
        <w:rPr>
          <w:color w:val="000000" w:themeColor="text1"/>
        </w:rPr>
        <w:t xml:space="preserve"> </w:t>
      </w:r>
      <w:r w:rsidR="00FF40A9" w:rsidRPr="009B3E40">
        <w:rPr>
          <w:color w:val="000000" w:themeColor="text1"/>
        </w:rPr>
        <w:t xml:space="preserve">is </w:t>
      </w:r>
      <w:r w:rsidR="00E867C0" w:rsidRPr="009B3E40">
        <w:rPr>
          <w:color w:val="000000" w:themeColor="text1"/>
        </w:rPr>
        <w:t>found</w:t>
      </w:r>
      <w:r w:rsidR="001A782D" w:rsidRPr="009B3E40">
        <w:rPr>
          <w:color w:val="000000" w:themeColor="text1"/>
        </w:rPr>
        <w:t xml:space="preserve"> if a reasonable person would assume</w:t>
      </w:r>
      <w:r w:rsidR="005A0C52" w:rsidRPr="009B3E40">
        <w:rPr>
          <w:color w:val="000000" w:themeColor="text1"/>
        </w:rPr>
        <w:t xml:space="preserve"> its place</w:t>
      </w:r>
      <w:r w:rsidR="005D3C15" w:rsidRPr="009B3E40">
        <w:rPr>
          <w:color w:val="000000" w:themeColor="text1"/>
        </w:rPr>
        <w:t xml:space="preserve">. </w:t>
      </w:r>
      <w:r w:rsidR="00187B39" w:rsidRPr="009B3E40">
        <w:rPr>
          <w:color w:val="000000" w:themeColor="text1"/>
        </w:rPr>
        <w:t>The case of Albert v Motor insurer’s Bureau</w:t>
      </w:r>
      <w:r w:rsidR="008F4A62" w:rsidRPr="009B3E40">
        <w:rPr>
          <w:color w:val="000000" w:themeColor="text1"/>
        </w:rPr>
        <w:t xml:space="preserve"> (1971)</w:t>
      </w:r>
      <w:r w:rsidR="00187B39" w:rsidRPr="009B3E40">
        <w:rPr>
          <w:color w:val="000000" w:themeColor="text1"/>
        </w:rPr>
        <w:t xml:space="preserve"> further clarified</w:t>
      </w:r>
      <w:r w:rsidR="00652F42" w:rsidRPr="009B3E40">
        <w:rPr>
          <w:color w:val="000000" w:themeColor="text1"/>
        </w:rPr>
        <w:t xml:space="preserve"> the meaning of IT</w:t>
      </w:r>
      <w:r w:rsidR="00A0131D" w:rsidRPr="009B3E40">
        <w:rPr>
          <w:color w:val="000000" w:themeColor="text1"/>
        </w:rPr>
        <w:t>CLR</w:t>
      </w:r>
      <w:r w:rsidR="00652F42" w:rsidRPr="009B3E40">
        <w:rPr>
          <w:color w:val="000000" w:themeColor="text1"/>
        </w:rPr>
        <w:t xml:space="preserve"> by specifying that </w:t>
      </w:r>
      <w:r w:rsidR="00F02374" w:rsidRPr="009B3E40">
        <w:rPr>
          <w:color w:val="000000" w:themeColor="text1"/>
        </w:rPr>
        <w:t>determining IT</w:t>
      </w:r>
      <w:r w:rsidR="00383A26" w:rsidRPr="009B3E40">
        <w:rPr>
          <w:color w:val="000000" w:themeColor="text1"/>
        </w:rPr>
        <w:t>CLR</w:t>
      </w:r>
      <w:r w:rsidR="00F02374" w:rsidRPr="009B3E40">
        <w:rPr>
          <w:color w:val="000000" w:themeColor="text1"/>
        </w:rPr>
        <w:t xml:space="preserve"> is a question of whether the parties were aware</w:t>
      </w:r>
      <w:r w:rsidR="000C1ECA" w:rsidRPr="009B3E40">
        <w:rPr>
          <w:color w:val="000000" w:themeColor="text1"/>
        </w:rPr>
        <w:t xml:space="preserve"> they </w:t>
      </w:r>
      <w:r w:rsidR="000C1ECA" w:rsidRPr="009B3E40">
        <w:rPr>
          <w:color w:val="000000" w:themeColor="text1"/>
        </w:rPr>
        <w:lastRenderedPageBreak/>
        <w:t xml:space="preserve">were entering </w:t>
      </w:r>
      <w:r w:rsidR="00650B48" w:rsidRPr="009B3E40">
        <w:rPr>
          <w:color w:val="000000" w:themeColor="text1"/>
        </w:rPr>
        <w:t>into</w:t>
      </w:r>
      <w:r w:rsidR="000C1ECA" w:rsidRPr="009B3E40">
        <w:rPr>
          <w:color w:val="000000" w:themeColor="text1"/>
        </w:rPr>
        <w:t xml:space="preserve"> a legally binding agreement and not whether they were aware </w:t>
      </w:r>
      <w:r w:rsidR="00A0653E" w:rsidRPr="009B3E40">
        <w:rPr>
          <w:color w:val="000000" w:themeColor="text1"/>
        </w:rPr>
        <w:t>of a potential legal action should a breach occur.</w:t>
      </w:r>
      <w:r w:rsidR="0062140B" w:rsidRPr="009B3E40">
        <w:rPr>
          <w:color w:val="000000" w:themeColor="text1"/>
        </w:rPr>
        <w:t xml:space="preserve"> </w:t>
      </w:r>
    </w:p>
    <w:p w14:paraId="36D36D3C" w14:textId="77777777" w:rsidR="00F81895" w:rsidRPr="009B3E40" w:rsidRDefault="00F81895">
      <w:pPr>
        <w:rPr>
          <w:color w:val="000000" w:themeColor="text1"/>
        </w:rPr>
      </w:pPr>
    </w:p>
    <w:p w14:paraId="58A305CE" w14:textId="63191F91" w:rsidR="001C45E6" w:rsidRPr="009B3E40" w:rsidRDefault="001434BE">
      <w:pPr>
        <w:rPr>
          <w:color w:val="000000" w:themeColor="text1"/>
        </w:rPr>
      </w:pPr>
      <w:r w:rsidRPr="009B3E40">
        <w:rPr>
          <w:color w:val="000000" w:themeColor="text1"/>
        </w:rPr>
        <w:t>T</w:t>
      </w:r>
      <w:r w:rsidR="00EC1F27" w:rsidRPr="009B3E40">
        <w:rPr>
          <w:color w:val="000000" w:themeColor="text1"/>
        </w:rPr>
        <w:t xml:space="preserve">he burden of proof is determined by consideration of </w:t>
      </w:r>
      <w:r w:rsidR="005F49D7" w:rsidRPr="009B3E40">
        <w:rPr>
          <w:color w:val="000000" w:themeColor="text1"/>
        </w:rPr>
        <w:t xml:space="preserve">whether an implied </w:t>
      </w:r>
      <w:r w:rsidR="00B02945" w:rsidRPr="009B3E40">
        <w:rPr>
          <w:color w:val="000000" w:themeColor="text1"/>
        </w:rPr>
        <w:t>or expressly stated contract has taken place. Th</w:t>
      </w:r>
      <w:r w:rsidR="006167AD" w:rsidRPr="009B3E40">
        <w:rPr>
          <w:color w:val="000000" w:themeColor="text1"/>
        </w:rPr>
        <w:t>e case of New Hampshire v MGN</w:t>
      </w:r>
      <w:r w:rsidR="00495D6C" w:rsidRPr="009B3E40">
        <w:rPr>
          <w:color w:val="000000" w:themeColor="text1"/>
        </w:rPr>
        <w:t xml:space="preserve">, The Times (1995) supports this, </w:t>
      </w:r>
      <w:r w:rsidR="003F6E51" w:rsidRPr="009B3E40">
        <w:rPr>
          <w:color w:val="000000" w:themeColor="text1"/>
        </w:rPr>
        <w:t>confirming that in</w:t>
      </w:r>
      <w:r w:rsidR="00B02945" w:rsidRPr="009B3E40">
        <w:rPr>
          <w:color w:val="000000" w:themeColor="text1"/>
        </w:rPr>
        <w:t xml:space="preserve"> cases of implied contract, the burden is placed upon </w:t>
      </w:r>
      <w:r w:rsidR="00956551" w:rsidRPr="009B3E40">
        <w:rPr>
          <w:color w:val="000000" w:themeColor="text1"/>
        </w:rPr>
        <w:t>the defendant</w:t>
      </w:r>
      <w:r w:rsidR="006167AD" w:rsidRPr="009B3E40">
        <w:rPr>
          <w:color w:val="000000" w:themeColor="text1"/>
        </w:rPr>
        <w:t xml:space="preserve"> to prove that the agreement was not intended to be legally b</w:t>
      </w:r>
      <w:r w:rsidR="00956551" w:rsidRPr="009B3E40">
        <w:rPr>
          <w:color w:val="000000" w:themeColor="text1"/>
        </w:rPr>
        <w:t>inding</w:t>
      </w:r>
      <w:r w:rsidR="003F6E51" w:rsidRPr="009B3E40">
        <w:rPr>
          <w:color w:val="000000" w:themeColor="text1"/>
        </w:rPr>
        <w:t>.</w:t>
      </w:r>
      <w:r w:rsidR="00DC47BD" w:rsidRPr="009B3E40">
        <w:rPr>
          <w:color w:val="000000" w:themeColor="text1"/>
        </w:rPr>
        <w:t xml:space="preserve"> </w:t>
      </w:r>
      <w:r w:rsidR="001C45E6" w:rsidRPr="009B3E40">
        <w:rPr>
          <w:color w:val="000000" w:themeColor="text1"/>
        </w:rPr>
        <w:t>Despite the burden of proof generally falling to the discerning party,</w:t>
      </w:r>
      <w:r w:rsidR="00DC47BD" w:rsidRPr="009B3E40">
        <w:rPr>
          <w:color w:val="000000" w:themeColor="text1"/>
        </w:rPr>
        <w:t xml:space="preserve"> there are three differentiating presumptions to be made</w:t>
      </w:r>
      <w:r w:rsidR="00956551" w:rsidRPr="009B3E40">
        <w:rPr>
          <w:color w:val="000000" w:themeColor="text1"/>
        </w:rPr>
        <w:t xml:space="preserve"> when determining </w:t>
      </w:r>
      <w:r w:rsidR="002C4F31" w:rsidRPr="009B3E40">
        <w:rPr>
          <w:color w:val="000000" w:themeColor="text1"/>
        </w:rPr>
        <w:t>IT</w:t>
      </w:r>
      <w:r w:rsidR="00383A26" w:rsidRPr="009B3E40">
        <w:rPr>
          <w:color w:val="000000" w:themeColor="text1"/>
        </w:rPr>
        <w:t>CLR</w:t>
      </w:r>
      <w:r w:rsidR="002C4F31" w:rsidRPr="009B3E40">
        <w:rPr>
          <w:color w:val="000000" w:themeColor="text1"/>
        </w:rPr>
        <w:t>. These are generally categorised as</w:t>
      </w:r>
      <w:r w:rsidR="00493B91" w:rsidRPr="009B3E40">
        <w:rPr>
          <w:color w:val="000000" w:themeColor="text1"/>
        </w:rPr>
        <w:t xml:space="preserve"> domestic, social and commercial </w:t>
      </w:r>
      <w:r w:rsidR="00032D38" w:rsidRPr="009B3E40">
        <w:rPr>
          <w:color w:val="000000" w:themeColor="text1"/>
        </w:rPr>
        <w:t>presumptions.</w:t>
      </w:r>
      <w:r w:rsidR="00F55CDD" w:rsidRPr="009B3E40">
        <w:rPr>
          <w:color w:val="000000" w:themeColor="text1"/>
        </w:rPr>
        <w:t xml:space="preserve"> </w:t>
      </w:r>
      <w:r w:rsidR="00BA4E3C" w:rsidRPr="009B3E40">
        <w:rPr>
          <w:color w:val="000000" w:themeColor="text1"/>
        </w:rPr>
        <w:t>As a</w:t>
      </w:r>
      <w:r w:rsidR="00653D2E" w:rsidRPr="009B3E40">
        <w:rPr>
          <w:color w:val="000000" w:themeColor="text1"/>
        </w:rPr>
        <w:t xml:space="preserve">n </w:t>
      </w:r>
      <w:r w:rsidR="003560ED" w:rsidRPr="009B3E40">
        <w:rPr>
          <w:color w:val="000000" w:themeColor="text1"/>
        </w:rPr>
        <w:t>originating example</w:t>
      </w:r>
      <w:r w:rsidR="00BA4E3C" w:rsidRPr="009B3E40">
        <w:rPr>
          <w:color w:val="000000" w:themeColor="text1"/>
        </w:rPr>
        <w:t xml:space="preserve">, the </w:t>
      </w:r>
      <w:r w:rsidR="00605C09" w:rsidRPr="009B3E40">
        <w:rPr>
          <w:color w:val="000000" w:themeColor="text1"/>
        </w:rPr>
        <w:t xml:space="preserve">commercial </w:t>
      </w:r>
      <w:r w:rsidR="00BA4E3C" w:rsidRPr="009B3E40">
        <w:rPr>
          <w:color w:val="000000" w:themeColor="text1"/>
        </w:rPr>
        <w:t xml:space="preserve">case of </w:t>
      </w:r>
      <w:proofErr w:type="spellStart"/>
      <w:r w:rsidR="00BA4E3C" w:rsidRPr="009B3E40">
        <w:rPr>
          <w:color w:val="000000" w:themeColor="text1"/>
        </w:rPr>
        <w:t>Carlil</w:t>
      </w:r>
      <w:proofErr w:type="spellEnd"/>
      <w:r w:rsidR="00BA4E3C" w:rsidRPr="009B3E40">
        <w:rPr>
          <w:color w:val="000000" w:themeColor="text1"/>
        </w:rPr>
        <w:t xml:space="preserve"> v Carbolic Smoke Ball Company </w:t>
      </w:r>
      <w:r w:rsidR="00605C09" w:rsidRPr="009B3E40">
        <w:rPr>
          <w:color w:val="000000" w:themeColor="text1"/>
        </w:rPr>
        <w:t>(1893) shows a nod to the importance of IT</w:t>
      </w:r>
      <w:r w:rsidR="00383A26" w:rsidRPr="009B3E40">
        <w:rPr>
          <w:color w:val="000000" w:themeColor="text1"/>
        </w:rPr>
        <w:t>CLR</w:t>
      </w:r>
      <w:r w:rsidR="00605C09" w:rsidRPr="009B3E40">
        <w:rPr>
          <w:color w:val="000000" w:themeColor="text1"/>
        </w:rPr>
        <w:t xml:space="preserve">. </w:t>
      </w:r>
      <w:r w:rsidR="00823115" w:rsidRPr="009B3E40">
        <w:rPr>
          <w:color w:val="000000" w:themeColor="text1"/>
        </w:rPr>
        <w:t>However, the case is</w:t>
      </w:r>
      <w:r w:rsidR="003B35B0" w:rsidRPr="009B3E40">
        <w:rPr>
          <w:color w:val="000000" w:themeColor="text1"/>
        </w:rPr>
        <w:t xml:space="preserve"> juxtaposed by the outcome of Balfour v Balfour (1919), a domestic case whereby the courts </w:t>
      </w:r>
      <w:r w:rsidR="00AF1D17" w:rsidRPr="009B3E40">
        <w:rPr>
          <w:color w:val="000000" w:themeColor="text1"/>
        </w:rPr>
        <w:t xml:space="preserve">held that agreements made between family members cannot be seen to be legally </w:t>
      </w:r>
      <w:r w:rsidR="00B0676E" w:rsidRPr="009B3E40">
        <w:rPr>
          <w:color w:val="000000" w:themeColor="text1"/>
        </w:rPr>
        <w:t xml:space="preserve">enforceable. </w:t>
      </w:r>
    </w:p>
    <w:p w14:paraId="6A6D23F7" w14:textId="77777777" w:rsidR="00EF2E29" w:rsidRPr="009B3E40" w:rsidRDefault="00EF2E29">
      <w:pPr>
        <w:rPr>
          <w:color w:val="000000" w:themeColor="text1"/>
        </w:rPr>
      </w:pPr>
    </w:p>
    <w:p w14:paraId="51B6E069" w14:textId="25F550D2" w:rsidR="00653D2E" w:rsidRPr="009B3E40" w:rsidRDefault="00846E46">
      <w:pPr>
        <w:rPr>
          <w:color w:val="000000" w:themeColor="text1"/>
        </w:rPr>
      </w:pPr>
      <w:r w:rsidRPr="009B3E40">
        <w:rPr>
          <w:color w:val="000000" w:themeColor="text1"/>
        </w:rPr>
        <w:t xml:space="preserve">Generally, there is a presumption against </w:t>
      </w:r>
      <w:r w:rsidR="00866082" w:rsidRPr="009B3E40">
        <w:rPr>
          <w:color w:val="000000" w:themeColor="text1"/>
        </w:rPr>
        <w:t>IT</w:t>
      </w:r>
      <w:r w:rsidR="00383A26" w:rsidRPr="009B3E40">
        <w:rPr>
          <w:color w:val="000000" w:themeColor="text1"/>
        </w:rPr>
        <w:t>CLR</w:t>
      </w:r>
      <w:r w:rsidR="00866082" w:rsidRPr="009B3E40">
        <w:rPr>
          <w:color w:val="000000" w:themeColor="text1"/>
        </w:rPr>
        <w:t xml:space="preserve"> in domestic scenarios</w:t>
      </w:r>
      <w:r w:rsidR="003560ED" w:rsidRPr="009B3E40">
        <w:rPr>
          <w:color w:val="000000" w:themeColor="text1"/>
        </w:rPr>
        <w:t xml:space="preserve">. This is because </w:t>
      </w:r>
      <w:r w:rsidR="006E1A6F" w:rsidRPr="009B3E40">
        <w:rPr>
          <w:color w:val="000000" w:themeColor="text1"/>
        </w:rPr>
        <w:t>for the upkeep of public i</w:t>
      </w:r>
      <w:r w:rsidR="00FE79B8" w:rsidRPr="009B3E40">
        <w:rPr>
          <w:color w:val="000000" w:themeColor="text1"/>
        </w:rPr>
        <w:t xml:space="preserve">nterest, </w:t>
      </w:r>
      <w:r w:rsidR="000A257F" w:rsidRPr="009B3E40">
        <w:rPr>
          <w:color w:val="000000" w:themeColor="text1"/>
        </w:rPr>
        <w:t xml:space="preserve">household arrangements are </w:t>
      </w:r>
      <w:r w:rsidR="002D0EA8" w:rsidRPr="009B3E40">
        <w:rPr>
          <w:color w:val="000000" w:themeColor="text1"/>
        </w:rPr>
        <w:t xml:space="preserve">ordinarily </w:t>
      </w:r>
      <w:r w:rsidR="004952D8" w:rsidRPr="009B3E40">
        <w:rPr>
          <w:color w:val="000000" w:themeColor="text1"/>
        </w:rPr>
        <w:t>kept far</w:t>
      </w:r>
      <w:r w:rsidR="002D0EA8" w:rsidRPr="009B3E40">
        <w:rPr>
          <w:color w:val="000000" w:themeColor="text1"/>
        </w:rPr>
        <w:t xml:space="preserve"> from judicial enforcement irrespective of </w:t>
      </w:r>
      <w:r w:rsidR="005A606B" w:rsidRPr="009B3E40">
        <w:rPr>
          <w:color w:val="000000" w:themeColor="text1"/>
        </w:rPr>
        <w:t>whether the other elements of a binding contract are present.</w:t>
      </w:r>
      <w:r w:rsidR="004952D8" w:rsidRPr="009B3E40">
        <w:rPr>
          <w:color w:val="000000" w:themeColor="text1"/>
        </w:rPr>
        <w:t xml:space="preserve"> The case of </w:t>
      </w:r>
      <w:r w:rsidR="00DD1814" w:rsidRPr="009B3E40">
        <w:rPr>
          <w:color w:val="000000" w:themeColor="text1"/>
        </w:rPr>
        <w:t>Cohen v Cohen (1929) supports this,</w:t>
      </w:r>
      <w:r w:rsidR="00B63451" w:rsidRPr="009B3E40">
        <w:rPr>
          <w:color w:val="000000" w:themeColor="text1"/>
        </w:rPr>
        <w:t xml:space="preserve"> by finding that an agreement between a married couple</w:t>
      </w:r>
      <w:r w:rsidR="001566A9" w:rsidRPr="009B3E40">
        <w:rPr>
          <w:color w:val="000000" w:themeColor="text1"/>
        </w:rPr>
        <w:t xml:space="preserve"> on a dress allowance was not a legally binding contract.</w:t>
      </w:r>
      <w:r w:rsidR="00DC2BE9" w:rsidRPr="009B3E40">
        <w:rPr>
          <w:color w:val="000000" w:themeColor="text1"/>
        </w:rPr>
        <w:t xml:space="preserve"> This presumption of </w:t>
      </w:r>
      <w:r w:rsidR="00456D71" w:rsidRPr="009B3E40">
        <w:rPr>
          <w:color w:val="000000" w:themeColor="text1"/>
        </w:rPr>
        <w:t>no IT</w:t>
      </w:r>
      <w:r w:rsidR="00383A26" w:rsidRPr="009B3E40">
        <w:rPr>
          <w:color w:val="000000" w:themeColor="text1"/>
        </w:rPr>
        <w:t xml:space="preserve">CLR </w:t>
      </w:r>
      <w:r w:rsidR="00456D71" w:rsidRPr="009B3E40">
        <w:rPr>
          <w:color w:val="000000" w:themeColor="text1"/>
        </w:rPr>
        <w:t xml:space="preserve">in domestic relations is further supported by the case of Jones v </w:t>
      </w:r>
      <w:proofErr w:type="spellStart"/>
      <w:r w:rsidR="00456D71" w:rsidRPr="009B3E40">
        <w:rPr>
          <w:color w:val="000000" w:themeColor="text1"/>
        </w:rPr>
        <w:t>Padavatton</w:t>
      </w:r>
      <w:proofErr w:type="spellEnd"/>
      <w:r w:rsidR="00456D71" w:rsidRPr="009B3E40">
        <w:rPr>
          <w:color w:val="000000" w:themeColor="text1"/>
        </w:rPr>
        <w:t xml:space="preserve"> (1969)</w:t>
      </w:r>
      <w:r w:rsidR="00D27FA6" w:rsidRPr="009B3E40">
        <w:rPr>
          <w:color w:val="000000" w:themeColor="text1"/>
        </w:rPr>
        <w:t xml:space="preserve"> whereby </w:t>
      </w:r>
      <w:r w:rsidR="007407B5" w:rsidRPr="009B3E40">
        <w:rPr>
          <w:color w:val="000000" w:themeColor="text1"/>
        </w:rPr>
        <w:t xml:space="preserve">a mother </w:t>
      </w:r>
      <w:r w:rsidR="009D734D" w:rsidRPr="009B3E40">
        <w:rPr>
          <w:color w:val="000000" w:themeColor="text1"/>
        </w:rPr>
        <w:t>agreed to provide free accommodation to her daughter if she agreed to</w:t>
      </w:r>
      <w:r w:rsidR="00BA6E54" w:rsidRPr="009B3E40">
        <w:rPr>
          <w:color w:val="000000" w:themeColor="text1"/>
        </w:rPr>
        <w:t xml:space="preserve"> leave her occupation. The court held that </w:t>
      </w:r>
      <w:r w:rsidR="00CD49B2" w:rsidRPr="009B3E40">
        <w:rPr>
          <w:color w:val="000000" w:themeColor="text1"/>
        </w:rPr>
        <w:t xml:space="preserve">this was merely a domestic agreement </w:t>
      </w:r>
      <w:r w:rsidR="00870F2A" w:rsidRPr="009B3E40">
        <w:rPr>
          <w:color w:val="000000" w:themeColor="text1"/>
        </w:rPr>
        <w:t>without intention</w:t>
      </w:r>
      <w:r w:rsidR="00CD49B2" w:rsidRPr="009B3E40">
        <w:rPr>
          <w:color w:val="000000" w:themeColor="text1"/>
        </w:rPr>
        <w:t xml:space="preserve"> to be legally bound.</w:t>
      </w:r>
      <w:r w:rsidR="00426DF5" w:rsidRPr="009B3E40">
        <w:rPr>
          <w:color w:val="000000" w:themeColor="text1"/>
        </w:rPr>
        <w:t xml:space="preserve"> Despite a consensus against IT</w:t>
      </w:r>
      <w:r w:rsidR="00383A26" w:rsidRPr="009B3E40">
        <w:rPr>
          <w:color w:val="000000" w:themeColor="text1"/>
        </w:rPr>
        <w:t>CLR</w:t>
      </w:r>
      <w:r w:rsidR="00426DF5" w:rsidRPr="009B3E40">
        <w:rPr>
          <w:color w:val="000000" w:themeColor="text1"/>
        </w:rPr>
        <w:t xml:space="preserve"> in domestic scenarios, there are caveats.</w:t>
      </w:r>
    </w:p>
    <w:p w14:paraId="2E723263" w14:textId="77777777" w:rsidR="00190DD7" w:rsidRPr="009B3E40" w:rsidRDefault="00190DD7">
      <w:pPr>
        <w:rPr>
          <w:color w:val="000000" w:themeColor="text1"/>
        </w:rPr>
      </w:pPr>
    </w:p>
    <w:p w14:paraId="5B370C48" w14:textId="272AB47F" w:rsidR="00426DF5" w:rsidRPr="009B3E40" w:rsidRDefault="00443225">
      <w:pPr>
        <w:rPr>
          <w:color w:val="000000" w:themeColor="text1"/>
        </w:rPr>
      </w:pPr>
      <w:r w:rsidRPr="009B3E40">
        <w:rPr>
          <w:color w:val="000000" w:themeColor="text1"/>
        </w:rPr>
        <w:t xml:space="preserve">When considering the precedence of domestic cases, the </w:t>
      </w:r>
      <w:r w:rsidR="005A3293" w:rsidRPr="009B3E40">
        <w:rPr>
          <w:color w:val="000000" w:themeColor="text1"/>
        </w:rPr>
        <w:t>question</w:t>
      </w:r>
      <w:r w:rsidRPr="009B3E40">
        <w:rPr>
          <w:color w:val="000000" w:themeColor="text1"/>
        </w:rPr>
        <w:t xml:space="preserve"> of cohabitation </w:t>
      </w:r>
      <w:r w:rsidR="005A3293" w:rsidRPr="009B3E40">
        <w:rPr>
          <w:color w:val="000000" w:themeColor="text1"/>
        </w:rPr>
        <w:t>can be a key deciphering factor.</w:t>
      </w:r>
      <w:r w:rsidR="00162A34" w:rsidRPr="009B3E40">
        <w:rPr>
          <w:color w:val="000000" w:themeColor="text1"/>
        </w:rPr>
        <w:t xml:space="preserve"> Cohabitation is viewed as a </w:t>
      </w:r>
      <w:r w:rsidR="00820373" w:rsidRPr="009B3E40">
        <w:rPr>
          <w:color w:val="000000" w:themeColor="text1"/>
        </w:rPr>
        <w:t>necessary</w:t>
      </w:r>
      <w:r w:rsidR="00162A34" w:rsidRPr="009B3E40">
        <w:rPr>
          <w:color w:val="000000" w:themeColor="text1"/>
        </w:rPr>
        <w:t xml:space="preserve"> factor when deciding </w:t>
      </w:r>
      <w:r w:rsidR="00820373" w:rsidRPr="009B3E40">
        <w:rPr>
          <w:color w:val="000000" w:themeColor="text1"/>
        </w:rPr>
        <w:t>the presence of IT</w:t>
      </w:r>
      <w:r w:rsidR="00383A26" w:rsidRPr="009B3E40">
        <w:rPr>
          <w:color w:val="000000" w:themeColor="text1"/>
        </w:rPr>
        <w:t>CLR</w:t>
      </w:r>
      <w:r w:rsidR="00E43D91" w:rsidRPr="009B3E40">
        <w:rPr>
          <w:color w:val="000000" w:themeColor="text1"/>
        </w:rPr>
        <w:t>.</w:t>
      </w:r>
      <w:r w:rsidR="00820373" w:rsidRPr="009B3E40">
        <w:rPr>
          <w:color w:val="000000" w:themeColor="text1"/>
        </w:rPr>
        <w:t xml:space="preserve"> </w:t>
      </w:r>
      <w:r w:rsidR="00455F08" w:rsidRPr="009B3E40">
        <w:rPr>
          <w:color w:val="000000" w:themeColor="text1"/>
        </w:rPr>
        <w:t xml:space="preserve">This means that </w:t>
      </w:r>
      <w:r w:rsidR="00ED5362" w:rsidRPr="009B3E40">
        <w:rPr>
          <w:color w:val="000000" w:themeColor="text1"/>
        </w:rPr>
        <w:t xml:space="preserve">in cases where </w:t>
      </w:r>
      <w:r w:rsidR="00DD1F8A" w:rsidRPr="009B3E40">
        <w:rPr>
          <w:color w:val="000000" w:themeColor="text1"/>
        </w:rPr>
        <w:t>each</w:t>
      </w:r>
      <w:r w:rsidR="00ED5362" w:rsidRPr="009B3E40">
        <w:rPr>
          <w:color w:val="000000" w:themeColor="text1"/>
        </w:rPr>
        <w:t xml:space="preserve"> party resides in separate dwellings, there is a presumption of IT</w:t>
      </w:r>
      <w:r w:rsidR="00383A26" w:rsidRPr="009B3E40">
        <w:rPr>
          <w:color w:val="000000" w:themeColor="text1"/>
        </w:rPr>
        <w:t>CLR</w:t>
      </w:r>
      <w:r w:rsidR="00ED5362" w:rsidRPr="009B3E40">
        <w:rPr>
          <w:color w:val="000000" w:themeColor="text1"/>
        </w:rPr>
        <w:t xml:space="preserve"> despite </w:t>
      </w:r>
      <w:r w:rsidR="00DD1F8A" w:rsidRPr="009B3E40">
        <w:rPr>
          <w:color w:val="000000" w:themeColor="text1"/>
        </w:rPr>
        <w:t xml:space="preserve">the nature of the relationship. </w:t>
      </w:r>
      <w:r w:rsidR="00820373" w:rsidRPr="009B3E40">
        <w:rPr>
          <w:color w:val="000000" w:themeColor="text1"/>
        </w:rPr>
        <w:t xml:space="preserve">An example of this lays within </w:t>
      </w:r>
      <w:r w:rsidR="0042550D" w:rsidRPr="009B3E40">
        <w:rPr>
          <w:color w:val="000000" w:themeColor="text1"/>
        </w:rPr>
        <w:t xml:space="preserve">Merritt v Merritt (1970) whereby </w:t>
      </w:r>
      <w:r w:rsidR="002B65E6" w:rsidRPr="009B3E40">
        <w:rPr>
          <w:color w:val="000000" w:themeColor="text1"/>
        </w:rPr>
        <w:t>a married but since separated couple</w:t>
      </w:r>
      <w:r w:rsidR="00FC300A" w:rsidRPr="009B3E40">
        <w:rPr>
          <w:color w:val="000000" w:themeColor="text1"/>
        </w:rPr>
        <w:t xml:space="preserve"> came to a</w:t>
      </w:r>
      <w:r w:rsidR="003C55CB" w:rsidRPr="009B3E40">
        <w:rPr>
          <w:color w:val="000000" w:themeColor="text1"/>
        </w:rPr>
        <w:t xml:space="preserve">n agreement that if the wife were to pay an agreed sum each month, </w:t>
      </w:r>
      <w:r w:rsidR="000510E4" w:rsidRPr="009B3E40">
        <w:rPr>
          <w:color w:val="000000" w:themeColor="text1"/>
        </w:rPr>
        <w:t>she would hold ownership of the marital home. The court found that this agreement was legally binding</w:t>
      </w:r>
      <w:r w:rsidR="004524AE" w:rsidRPr="009B3E40">
        <w:rPr>
          <w:color w:val="000000" w:themeColor="text1"/>
        </w:rPr>
        <w:t xml:space="preserve">. </w:t>
      </w:r>
      <w:r w:rsidR="004B35A3" w:rsidRPr="009B3E40">
        <w:rPr>
          <w:color w:val="000000" w:themeColor="text1"/>
        </w:rPr>
        <w:t xml:space="preserve">This </w:t>
      </w:r>
      <w:r w:rsidR="00F901CB" w:rsidRPr="009B3E40">
        <w:rPr>
          <w:color w:val="000000" w:themeColor="text1"/>
        </w:rPr>
        <w:t xml:space="preserve">presumption is supported further by the case of </w:t>
      </w:r>
      <w:proofErr w:type="spellStart"/>
      <w:r w:rsidR="00F901CB" w:rsidRPr="009B3E40">
        <w:rPr>
          <w:color w:val="000000" w:themeColor="text1"/>
        </w:rPr>
        <w:t>Popiw</w:t>
      </w:r>
      <w:proofErr w:type="spellEnd"/>
      <w:r w:rsidR="00F901CB" w:rsidRPr="009B3E40">
        <w:rPr>
          <w:color w:val="000000" w:themeColor="text1"/>
        </w:rPr>
        <w:t xml:space="preserve"> v </w:t>
      </w:r>
      <w:proofErr w:type="spellStart"/>
      <w:r w:rsidR="00F901CB" w:rsidRPr="009B3E40">
        <w:rPr>
          <w:color w:val="000000" w:themeColor="text1"/>
        </w:rPr>
        <w:t>Popiw</w:t>
      </w:r>
      <w:proofErr w:type="spellEnd"/>
      <w:r w:rsidR="00F901CB" w:rsidRPr="009B3E40">
        <w:rPr>
          <w:color w:val="000000" w:themeColor="text1"/>
        </w:rPr>
        <w:t xml:space="preserve"> (1959) where</w:t>
      </w:r>
      <w:r w:rsidR="00730AF0" w:rsidRPr="009B3E40">
        <w:rPr>
          <w:color w:val="000000" w:themeColor="text1"/>
        </w:rPr>
        <w:t xml:space="preserve"> similarly the court argued in favour of </w:t>
      </w:r>
      <w:r w:rsidR="0067096F" w:rsidRPr="009B3E40">
        <w:rPr>
          <w:color w:val="000000" w:themeColor="text1"/>
        </w:rPr>
        <w:t>an</w:t>
      </w:r>
      <w:r w:rsidR="00730AF0" w:rsidRPr="009B3E40">
        <w:rPr>
          <w:color w:val="000000" w:themeColor="text1"/>
        </w:rPr>
        <w:t xml:space="preserve"> IT</w:t>
      </w:r>
      <w:r w:rsidR="00383A26" w:rsidRPr="009B3E40">
        <w:rPr>
          <w:color w:val="000000" w:themeColor="text1"/>
        </w:rPr>
        <w:t>CLR</w:t>
      </w:r>
      <w:r w:rsidR="00730AF0" w:rsidRPr="009B3E40">
        <w:rPr>
          <w:color w:val="000000" w:themeColor="text1"/>
        </w:rPr>
        <w:t xml:space="preserve"> between </w:t>
      </w:r>
      <w:r w:rsidR="00BE1EF2" w:rsidRPr="009B3E40">
        <w:rPr>
          <w:color w:val="000000" w:themeColor="text1"/>
        </w:rPr>
        <w:t>separated spouses despite the presence of their marriage.</w:t>
      </w:r>
    </w:p>
    <w:p w14:paraId="256B5E23" w14:textId="77777777" w:rsidR="00190DD7" w:rsidRPr="009B3E40" w:rsidRDefault="00190DD7">
      <w:pPr>
        <w:rPr>
          <w:color w:val="000000" w:themeColor="text1"/>
        </w:rPr>
      </w:pPr>
    </w:p>
    <w:p w14:paraId="236FE271" w14:textId="061ACC0E" w:rsidR="00383A26" w:rsidRPr="009B3E40" w:rsidRDefault="00E64D85">
      <w:pPr>
        <w:rPr>
          <w:color w:val="000000" w:themeColor="text1"/>
        </w:rPr>
      </w:pPr>
      <w:r w:rsidRPr="009B3E40">
        <w:rPr>
          <w:color w:val="000000" w:themeColor="text1"/>
        </w:rPr>
        <w:t xml:space="preserve">In instances where commercial </w:t>
      </w:r>
      <w:r w:rsidR="00846D6B" w:rsidRPr="009B3E40">
        <w:rPr>
          <w:color w:val="000000" w:themeColor="text1"/>
        </w:rPr>
        <w:t xml:space="preserve">characteristics </w:t>
      </w:r>
      <w:r w:rsidRPr="009B3E40">
        <w:rPr>
          <w:color w:val="000000" w:themeColor="text1"/>
        </w:rPr>
        <w:t xml:space="preserve">and domestic relations crossover, </w:t>
      </w:r>
      <w:r w:rsidR="008E16F7" w:rsidRPr="009B3E40">
        <w:rPr>
          <w:color w:val="000000" w:themeColor="text1"/>
        </w:rPr>
        <w:t>the presumption of ITCLR favours the commercial aspect of the relationship.</w:t>
      </w:r>
      <w:r w:rsidR="00BE03F0" w:rsidRPr="009B3E40">
        <w:rPr>
          <w:color w:val="000000" w:themeColor="text1"/>
        </w:rPr>
        <w:t xml:space="preserve"> </w:t>
      </w:r>
      <w:r w:rsidR="00730E0F" w:rsidRPr="009B3E40">
        <w:rPr>
          <w:color w:val="000000" w:themeColor="text1"/>
        </w:rPr>
        <w:t>This indicates that</w:t>
      </w:r>
      <w:r w:rsidR="008F462B" w:rsidRPr="009B3E40">
        <w:rPr>
          <w:color w:val="000000" w:themeColor="text1"/>
        </w:rPr>
        <w:t xml:space="preserve"> ag</w:t>
      </w:r>
      <w:r w:rsidR="00363B2E" w:rsidRPr="009B3E40">
        <w:rPr>
          <w:color w:val="000000" w:themeColor="text1"/>
        </w:rPr>
        <w:t>reements relating to commercial partnerships, asset allocation or family business</w:t>
      </w:r>
      <w:r w:rsidR="00B44F72" w:rsidRPr="009B3E40">
        <w:rPr>
          <w:color w:val="000000" w:themeColor="text1"/>
        </w:rPr>
        <w:t>es</w:t>
      </w:r>
      <w:r w:rsidR="00363B2E" w:rsidRPr="009B3E40">
        <w:rPr>
          <w:color w:val="000000" w:themeColor="text1"/>
        </w:rPr>
        <w:t xml:space="preserve"> are </w:t>
      </w:r>
      <w:r w:rsidR="000810CC" w:rsidRPr="009B3E40">
        <w:rPr>
          <w:color w:val="000000" w:themeColor="text1"/>
        </w:rPr>
        <w:t xml:space="preserve">typically deemed as legally enforceable irrespective </w:t>
      </w:r>
      <w:r w:rsidR="00F63F8D" w:rsidRPr="009B3E40">
        <w:rPr>
          <w:color w:val="000000" w:themeColor="text1"/>
        </w:rPr>
        <w:t>of the</w:t>
      </w:r>
      <w:r w:rsidR="00B44F72" w:rsidRPr="009B3E40">
        <w:rPr>
          <w:color w:val="000000" w:themeColor="text1"/>
        </w:rPr>
        <w:t xml:space="preserve"> nature of the </w:t>
      </w:r>
      <w:r w:rsidR="000810CC" w:rsidRPr="009B3E40">
        <w:rPr>
          <w:color w:val="000000" w:themeColor="text1"/>
        </w:rPr>
        <w:t>relationship</w:t>
      </w:r>
      <w:r w:rsidR="00BC0E77" w:rsidRPr="009B3E40">
        <w:rPr>
          <w:color w:val="000000" w:themeColor="text1"/>
        </w:rPr>
        <w:t xml:space="preserve"> as confirmed in the case of </w:t>
      </w:r>
      <w:proofErr w:type="spellStart"/>
      <w:r w:rsidR="00BC0E77" w:rsidRPr="009B3E40">
        <w:rPr>
          <w:color w:val="000000" w:themeColor="text1"/>
        </w:rPr>
        <w:t>Granatino</w:t>
      </w:r>
      <w:proofErr w:type="spellEnd"/>
      <w:r w:rsidR="00BC0E77" w:rsidRPr="009B3E40">
        <w:rPr>
          <w:color w:val="000000" w:themeColor="text1"/>
        </w:rPr>
        <w:t xml:space="preserve"> v </w:t>
      </w:r>
      <w:proofErr w:type="spellStart"/>
      <w:r w:rsidR="00BC0E77" w:rsidRPr="009B3E40">
        <w:rPr>
          <w:color w:val="000000" w:themeColor="text1"/>
        </w:rPr>
        <w:t>Radmacher</w:t>
      </w:r>
      <w:proofErr w:type="spellEnd"/>
      <w:r w:rsidR="00BC0E77" w:rsidRPr="009B3E40">
        <w:rPr>
          <w:color w:val="000000" w:themeColor="text1"/>
        </w:rPr>
        <w:t xml:space="preserve"> (2010)</w:t>
      </w:r>
      <w:r w:rsidR="00635561" w:rsidRPr="009B3E40">
        <w:rPr>
          <w:color w:val="000000" w:themeColor="text1"/>
        </w:rPr>
        <w:t xml:space="preserve">. </w:t>
      </w:r>
      <w:r w:rsidR="008016B1" w:rsidRPr="009B3E40">
        <w:rPr>
          <w:color w:val="000000" w:themeColor="text1"/>
        </w:rPr>
        <w:t xml:space="preserve">Similarly, </w:t>
      </w:r>
      <w:r w:rsidR="007230D2" w:rsidRPr="009B3E40">
        <w:rPr>
          <w:color w:val="000000" w:themeColor="text1"/>
        </w:rPr>
        <w:t xml:space="preserve">if </w:t>
      </w:r>
      <w:r w:rsidR="005364F0" w:rsidRPr="009B3E40">
        <w:rPr>
          <w:color w:val="000000" w:themeColor="text1"/>
        </w:rPr>
        <w:t>one</w:t>
      </w:r>
      <w:r w:rsidR="007230D2" w:rsidRPr="009B3E40">
        <w:rPr>
          <w:color w:val="000000" w:themeColor="text1"/>
        </w:rPr>
        <w:t xml:space="preserve"> party faces a detriment at the expense of </w:t>
      </w:r>
      <w:r w:rsidR="00A11A8A" w:rsidRPr="009B3E40">
        <w:rPr>
          <w:color w:val="000000" w:themeColor="text1"/>
        </w:rPr>
        <w:t xml:space="preserve">the agreement, </w:t>
      </w:r>
      <w:r w:rsidR="00800F8F" w:rsidRPr="009B3E40">
        <w:rPr>
          <w:color w:val="000000" w:themeColor="text1"/>
        </w:rPr>
        <w:t xml:space="preserve">there is a presumption of ITCLR </w:t>
      </w:r>
      <w:r w:rsidR="003659B9" w:rsidRPr="009B3E40">
        <w:rPr>
          <w:color w:val="000000" w:themeColor="text1"/>
        </w:rPr>
        <w:t>despite the presence of a domestic relationship. This is exampled in</w:t>
      </w:r>
      <w:r w:rsidR="001012B9" w:rsidRPr="009B3E40">
        <w:rPr>
          <w:color w:val="000000" w:themeColor="text1"/>
        </w:rPr>
        <w:t xml:space="preserve"> </w:t>
      </w:r>
      <w:r w:rsidR="00F709FB" w:rsidRPr="009B3E40">
        <w:rPr>
          <w:color w:val="000000" w:themeColor="text1"/>
        </w:rPr>
        <w:t>Eves v Eves (1975)</w:t>
      </w:r>
      <w:r w:rsidR="00B462A0" w:rsidRPr="009B3E40">
        <w:rPr>
          <w:color w:val="000000" w:themeColor="text1"/>
        </w:rPr>
        <w:t xml:space="preserve"> whereby a promise of</w:t>
      </w:r>
      <w:r w:rsidR="00FD34BF" w:rsidRPr="009B3E40">
        <w:rPr>
          <w:color w:val="000000" w:themeColor="text1"/>
        </w:rPr>
        <w:t xml:space="preserve"> vested interest in an asset fo</w:t>
      </w:r>
      <w:r w:rsidR="00D53A56" w:rsidRPr="009B3E40">
        <w:rPr>
          <w:color w:val="000000" w:themeColor="text1"/>
        </w:rPr>
        <w:t>llowing agreed contribution from one party</w:t>
      </w:r>
      <w:r w:rsidR="003F11CA" w:rsidRPr="009B3E40">
        <w:rPr>
          <w:color w:val="000000" w:themeColor="text1"/>
        </w:rPr>
        <w:t xml:space="preserve"> was presumed as legally binding</w:t>
      </w:r>
      <w:r w:rsidR="0065518C" w:rsidRPr="009B3E40">
        <w:rPr>
          <w:color w:val="000000" w:themeColor="text1"/>
        </w:rPr>
        <w:t>.</w:t>
      </w:r>
      <w:r w:rsidR="0052747D" w:rsidRPr="009B3E40">
        <w:rPr>
          <w:color w:val="000000" w:themeColor="text1"/>
        </w:rPr>
        <w:t xml:space="preserve"> This case also highlights the importance of preestablished cohabitation in domestic scenarios as </w:t>
      </w:r>
      <w:r w:rsidR="0092039A" w:rsidRPr="009B3E40">
        <w:rPr>
          <w:color w:val="000000" w:themeColor="text1"/>
        </w:rPr>
        <w:t xml:space="preserve">its outcome </w:t>
      </w:r>
      <w:r w:rsidR="00E353DA" w:rsidRPr="009B3E40">
        <w:rPr>
          <w:color w:val="000000" w:themeColor="text1"/>
        </w:rPr>
        <w:t xml:space="preserve">directly </w:t>
      </w:r>
      <w:r w:rsidR="00053CAC" w:rsidRPr="009B3E40">
        <w:rPr>
          <w:color w:val="000000" w:themeColor="text1"/>
        </w:rPr>
        <w:t xml:space="preserve">conflicts </w:t>
      </w:r>
      <w:r w:rsidR="00E353DA" w:rsidRPr="009B3E40">
        <w:rPr>
          <w:color w:val="000000" w:themeColor="text1"/>
        </w:rPr>
        <w:t xml:space="preserve">with </w:t>
      </w:r>
      <w:r w:rsidR="00053CAC" w:rsidRPr="009B3E40">
        <w:rPr>
          <w:color w:val="000000" w:themeColor="text1"/>
        </w:rPr>
        <w:t>the</w:t>
      </w:r>
      <w:r w:rsidR="0092039A" w:rsidRPr="009B3E40">
        <w:rPr>
          <w:color w:val="000000" w:themeColor="text1"/>
        </w:rPr>
        <w:t xml:space="preserve"> </w:t>
      </w:r>
      <w:r w:rsidR="008B682B" w:rsidRPr="009B3E40">
        <w:rPr>
          <w:color w:val="000000" w:themeColor="text1"/>
        </w:rPr>
        <w:t>case of Pettit</w:t>
      </w:r>
      <w:r w:rsidR="00996C3D" w:rsidRPr="009B3E40">
        <w:rPr>
          <w:color w:val="000000" w:themeColor="text1"/>
        </w:rPr>
        <w:t>t</w:t>
      </w:r>
      <w:r w:rsidR="008B682B" w:rsidRPr="009B3E40">
        <w:rPr>
          <w:color w:val="000000" w:themeColor="text1"/>
        </w:rPr>
        <w:t xml:space="preserve"> v Pettitt </w:t>
      </w:r>
      <w:r w:rsidR="0092039A" w:rsidRPr="009B3E40">
        <w:rPr>
          <w:color w:val="000000" w:themeColor="text1"/>
        </w:rPr>
        <w:t>(1970</w:t>
      </w:r>
      <w:r w:rsidR="00E353DA" w:rsidRPr="009B3E40">
        <w:rPr>
          <w:color w:val="000000" w:themeColor="text1"/>
        </w:rPr>
        <w:t>),</w:t>
      </w:r>
      <w:r w:rsidR="0092039A" w:rsidRPr="009B3E40">
        <w:rPr>
          <w:color w:val="000000" w:themeColor="text1"/>
        </w:rPr>
        <w:t xml:space="preserve"> whereby the spouses were not cohabiting </w:t>
      </w:r>
      <w:r w:rsidR="00996C3D" w:rsidRPr="009B3E40">
        <w:rPr>
          <w:color w:val="000000" w:themeColor="text1"/>
        </w:rPr>
        <w:t xml:space="preserve">and faced similar </w:t>
      </w:r>
      <w:r w:rsidR="00F30161" w:rsidRPr="009B3E40">
        <w:rPr>
          <w:color w:val="000000" w:themeColor="text1"/>
        </w:rPr>
        <w:t>conflict,</w:t>
      </w:r>
      <w:r w:rsidR="0092039A" w:rsidRPr="009B3E40">
        <w:rPr>
          <w:color w:val="000000" w:themeColor="text1"/>
        </w:rPr>
        <w:t xml:space="preserve"> </w:t>
      </w:r>
      <w:r w:rsidR="00996C3D" w:rsidRPr="009B3E40">
        <w:rPr>
          <w:color w:val="000000" w:themeColor="text1"/>
        </w:rPr>
        <w:t xml:space="preserve">but ITCLR was not </w:t>
      </w:r>
      <w:r w:rsidR="00F63F8D" w:rsidRPr="009B3E40">
        <w:rPr>
          <w:color w:val="000000" w:themeColor="text1"/>
        </w:rPr>
        <w:t>found</w:t>
      </w:r>
      <w:r w:rsidR="0092039A" w:rsidRPr="009B3E40">
        <w:rPr>
          <w:color w:val="000000" w:themeColor="text1"/>
        </w:rPr>
        <w:t>.</w:t>
      </w:r>
    </w:p>
    <w:p w14:paraId="47E00A21" w14:textId="77777777" w:rsidR="00F81895" w:rsidRPr="009B3E40" w:rsidRDefault="00F81895">
      <w:pPr>
        <w:rPr>
          <w:color w:val="000000" w:themeColor="text1"/>
        </w:rPr>
      </w:pPr>
    </w:p>
    <w:p w14:paraId="41E998D1" w14:textId="3D5AAEE9" w:rsidR="00BC3DB4" w:rsidRPr="009B3E40" w:rsidRDefault="000607AE">
      <w:pPr>
        <w:rPr>
          <w:color w:val="000000" w:themeColor="text1"/>
        </w:rPr>
      </w:pPr>
      <w:r w:rsidRPr="009B3E40">
        <w:rPr>
          <w:color w:val="000000" w:themeColor="text1"/>
        </w:rPr>
        <w:lastRenderedPageBreak/>
        <w:t>Outside of familial relationships, similar precedence applies to social agreements.</w:t>
      </w:r>
      <w:r w:rsidR="000036B4" w:rsidRPr="009B3E40">
        <w:rPr>
          <w:color w:val="000000" w:themeColor="text1"/>
        </w:rPr>
        <w:t xml:space="preserve"> Typically, there is a presumption against </w:t>
      </w:r>
      <w:r w:rsidR="00243C89" w:rsidRPr="009B3E40">
        <w:rPr>
          <w:color w:val="000000" w:themeColor="text1"/>
        </w:rPr>
        <w:t>ITCLR in social agreements</w:t>
      </w:r>
      <w:r w:rsidR="000B6669" w:rsidRPr="009B3E40">
        <w:rPr>
          <w:color w:val="000000" w:themeColor="text1"/>
        </w:rPr>
        <w:t>. This principle is shown in Lens v Devonshire Club (1914)</w:t>
      </w:r>
      <w:r w:rsidR="00E360DD" w:rsidRPr="009B3E40">
        <w:rPr>
          <w:color w:val="000000" w:themeColor="text1"/>
        </w:rPr>
        <w:t xml:space="preserve"> with the</w:t>
      </w:r>
      <w:r w:rsidR="002446C7" w:rsidRPr="009B3E40">
        <w:rPr>
          <w:color w:val="000000" w:themeColor="text1"/>
        </w:rPr>
        <w:t xml:space="preserve"> club found to not have ITCLR by refusing to provide the promised prize to</w:t>
      </w:r>
      <w:r w:rsidR="00403F79" w:rsidRPr="009B3E40">
        <w:rPr>
          <w:color w:val="000000" w:themeColor="text1"/>
        </w:rPr>
        <w:t xml:space="preserve"> the winner of their </w:t>
      </w:r>
      <w:r w:rsidR="00F0354B" w:rsidRPr="009B3E40">
        <w:rPr>
          <w:color w:val="000000" w:themeColor="text1"/>
        </w:rPr>
        <w:t>sports tournament.</w:t>
      </w:r>
      <w:r w:rsidR="00227559" w:rsidRPr="009B3E40">
        <w:rPr>
          <w:color w:val="000000" w:themeColor="text1"/>
        </w:rPr>
        <w:t xml:space="preserve"> Other views of this principle are seen </w:t>
      </w:r>
      <w:r w:rsidR="00D90AAA" w:rsidRPr="009B3E40">
        <w:rPr>
          <w:color w:val="000000" w:themeColor="text1"/>
        </w:rPr>
        <w:t>when an agreement is made to provide a performance between friends (</w:t>
      </w:r>
      <w:r w:rsidR="00CF60A3" w:rsidRPr="009B3E40">
        <w:rPr>
          <w:color w:val="000000" w:themeColor="text1"/>
        </w:rPr>
        <w:t>Hadley v Kemp (1999), fee free accommodation to a best friend (</w:t>
      </w:r>
      <w:r w:rsidR="00A246A8" w:rsidRPr="009B3E40">
        <w:rPr>
          <w:color w:val="000000" w:themeColor="text1"/>
        </w:rPr>
        <w:t>Heslop v Burns (1974) and an arranged carpool (</w:t>
      </w:r>
      <w:r w:rsidR="0039732B" w:rsidRPr="009B3E40">
        <w:rPr>
          <w:color w:val="000000" w:themeColor="text1"/>
        </w:rPr>
        <w:t xml:space="preserve">Wyatt v </w:t>
      </w:r>
      <w:proofErr w:type="spellStart"/>
      <w:r w:rsidR="0039732B" w:rsidRPr="009B3E40">
        <w:rPr>
          <w:color w:val="000000" w:themeColor="text1"/>
        </w:rPr>
        <w:t>Kreglinger</w:t>
      </w:r>
      <w:proofErr w:type="spellEnd"/>
      <w:r w:rsidR="0039732B" w:rsidRPr="009B3E40">
        <w:rPr>
          <w:color w:val="000000" w:themeColor="text1"/>
        </w:rPr>
        <w:t xml:space="preserve"> &amp; </w:t>
      </w:r>
      <w:proofErr w:type="spellStart"/>
      <w:r w:rsidR="0039732B" w:rsidRPr="009B3E40">
        <w:rPr>
          <w:color w:val="000000" w:themeColor="text1"/>
        </w:rPr>
        <w:t>Fernau</w:t>
      </w:r>
      <w:proofErr w:type="spellEnd"/>
      <w:r w:rsidR="0039732B" w:rsidRPr="009B3E40">
        <w:rPr>
          <w:color w:val="000000" w:themeColor="text1"/>
        </w:rPr>
        <w:t xml:space="preserve"> (1933)</w:t>
      </w:r>
      <w:r w:rsidR="00F30161" w:rsidRPr="009B3E40">
        <w:rPr>
          <w:color w:val="000000" w:themeColor="text1"/>
        </w:rPr>
        <w:t>.</w:t>
      </w:r>
      <w:r w:rsidR="00202741" w:rsidRPr="009B3E40">
        <w:rPr>
          <w:color w:val="000000" w:themeColor="text1"/>
        </w:rPr>
        <w:t xml:space="preserve"> Despite the varied list of examples, in keeping with domestic scenarios</w:t>
      </w:r>
      <w:r w:rsidR="00A14B2B" w:rsidRPr="009B3E40">
        <w:rPr>
          <w:color w:val="000000" w:themeColor="text1"/>
        </w:rPr>
        <w:t xml:space="preserve">, </w:t>
      </w:r>
      <w:r w:rsidR="00DC41E9" w:rsidRPr="009B3E40">
        <w:rPr>
          <w:color w:val="000000" w:themeColor="text1"/>
        </w:rPr>
        <w:t>social</w:t>
      </w:r>
      <w:r w:rsidR="00A14B2B" w:rsidRPr="009B3E40">
        <w:rPr>
          <w:color w:val="000000" w:themeColor="text1"/>
        </w:rPr>
        <w:t xml:space="preserve"> scenarios are </w:t>
      </w:r>
      <w:r w:rsidR="00DC41E9" w:rsidRPr="009B3E40">
        <w:rPr>
          <w:color w:val="000000" w:themeColor="text1"/>
        </w:rPr>
        <w:t>not exhaustive or binding</w:t>
      </w:r>
      <w:r w:rsidR="00EE3833" w:rsidRPr="009B3E40">
        <w:rPr>
          <w:color w:val="000000" w:themeColor="text1"/>
        </w:rPr>
        <w:t xml:space="preserve"> and are left to the discretion of the court following a test of reasonableness.</w:t>
      </w:r>
      <w:r w:rsidR="00B47D4C" w:rsidRPr="009B3E40">
        <w:rPr>
          <w:color w:val="000000" w:themeColor="text1"/>
        </w:rPr>
        <w:t xml:space="preserve"> Th</w:t>
      </w:r>
      <w:r w:rsidR="004650CC" w:rsidRPr="009B3E40">
        <w:rPr>
          <w:color w:val="000000" w:themeColor="text1"/>
        </w:rPr>
        <w:t>is</w:t>
      </w:r>
      <w:r w:rsidR="00B47D4C" w:rsidRPr="009B3E40">
        <w:rPr>
          <w:color w:val="000000" w:themeColor="text1"/>
        </w:rPr>
        <w:t xml:space="preserve"> emphasis on discretion displayed </w:t>
      </w:r>
      <w:r w:rsidR="00FF74FB" w:rsidRPr="009B3E40">
        <w:rPr>
          <w:color w:val="000000" w:themeColor="text1"/>
        </w:rPr>
        <w:t>demonstrates the point of contention for unassumed ITCLR in domestic and social agreements.</w:t>
      </w:r>
    </w:p>
    <w:p w14:paraId="0E81405B" w14:textId="77777777" w:rsidR="0017588B" w:rsidRPr="009B3E40" w:rsidRDefault="0017588B">
      <w:pPr>
        <w:rPr>
          <w:color w:val="000000" w:themeColor="text1"/>
        </w:rPr>
      </w:pPr>
    </w:p>
    <w:p w14:paraId="328B0487" w14:textId="1DD03033" w:rsidR="005B5E2D" w:rsidRPr="009B3E40" w:rsidRDefault="00870155">
      <w:pPr>
        <w:rPr>
          <w:color w:val="000000" w:themeColor="text1"/>
        </w:rPr>
      </w:pPr>
      <w:r w:rsidRPr="009B3E40">
        <w:rPr>
          <w:color w:val="000000" w:themeColor="text1"/>
        </w:rPr>
        <w:t xml:space="preserve">In keeping with public </w:t>
      </w:r>
      <w:r w:rsidR="004650CC" w:rsidRPr="009B3E40">
        <w:rPr>
          <w:color w:val="000000" w:themeColor="text1"/>
        </w:rPr>
        <w:t xml:space="preserve">interest, the </w:t>
      </w:r>
      <w:r w:rsidR="00D663C5" w:rsidRPr="009B3E40">
        <w:rPr>
          <w:color w:val="000000" w:themeColor="text1"/>
        </w:rPr>
        <w:t xml:space="preserve">general </w:t>
      </w:r>
      <w:r w:rsidR="004650CC" w:rsidRPr="009B3E40">
        <w:rPr>
          <w:color w:val="000000" w:themeColor="text1"/>
        </w:rPr>
        <w:t xml:space="preserve">presumption against ITCLR in social agreements </w:t>
      </w:r>
      <w:r w:rsidR="00EE66C1" w:rsidRPr="009B3E40">
        <w:rPr>
          <w:color w:val="000000" w:themeColor="text1"/>
        </w:rPr>
        <w:t xml:space="preserve">can be seen as positive. </w:t>
      </w:r>
      <w:r w:rsidR="00653642" w:rsidRPr="009B3E40">
        <w:rPr>
          <w:color w:val="000000" w:themeColor="text1"/>
        </w:rPr>
        <w:t xml:space="preserve">This on the grounds that it affords protection </w:t>
      </w:r>
      <w:r w:rsidR="00E01FFE" w:rsidRPr="009B3E40">
        <w:rPr>
          <w:color w:val="000000" w:themeColor="text1"/>
        </w:rPr>
        <w:t xml:space="preserve">to individuals who may inadvertently </w:t>
      </w:r>
      <w:r w:rsidR="000C12EB" w:rsidRPr="009B3E40">
        <w:rPr>
          <w:color w:val="000000" w:themeColor="text1"/>
        </w:rPr>
        <w:t>enter</w:t>
      </w:r>
      <w:r w:rsidR="00E01FFE" w:rsidRPr="009B3E40">
        <w:rPr>
          <w:color w:val="000000" w:themeColor="text1"/>
        </w:rPr>
        <w:t xml:space="preserve"> legal </w:t>
      </w:r>
      <w:r w:rsidR="000C12EB" w:rsidRPr="009B3E40">
        <w:rPr>
          <w:color w:val="000000" w:themeColor="text1"/>
        </w:rPr>
        <w:t xml:space="preserve">obligations. </w:t>
      </w:r>
      <w:r w:rsidR="00D2026F" w:rsidRPr="009B3E40">
        <w:rPr>
          <w:color w:val="000000" w:themeColor="text1"/>
        </w:rPr>
        <w:t>This entails the avoidance of costly legal</w:t>
      </w:r>
      <w:r w:rsidR="00BF4ED5" w:rsidRPr="009B3E40">
        <w:rPr>
          <w:color w:val="000000" w:themeColor="text1"/>
        </w:rPr>
        <w:t xml:space="preserve"> battles and promotes reconciliation amongst </w:t>
      </w:r>
      <w:r w:rsidR="00855486" w:rsidRPr="009B3E40">
        <w:rPr>
          <w:color w:val="000000" w:themeColor="text1"/>
        </w:rPr>
        <w:t>closely</w:t>
      </w:r>
      <w:r w:rsidR="00BF4ED5" w:rsidRPr="009B3E40">
        <w:rPr>
          <w:color w:val="000000" w:themeColor="text1"/>
        </w:rPr>
        <w:t xml:space="preserve"> related parties </w:t>
      </w:r>
      <w:r w:rsidR="00DF6462" w:rsidRPr="009B3E40">
        <w:rPr>
          <w:color w:val="000000" w:themeColor="text1"/>
        </w:rPr>
        <w:t xml:space="preserve">by the requirement to settle agreements </w:t>
      </w:r>
      <w:r w:rsidR="00D11030" w:rsidRPr="009B3E40">
        <w:rPr>
          <w:color w:val="000000" w:themeColor="text1"/>
        </w:rPr>
        <w:t>without the pressures</w:t>
      </w:r>
      <w:r w:rsidR="00DF6462" w:rsidRPr="009B3E40">
        <w:rPr>
          <w:color w:val="000000" w:themeColor="text1"/>
        </w:rPr>
        <w:t xml:space="preserve"> of </w:t>
      </w:r>
      <w:r w:rsidR="00B9096A" w:rsidRPr="009B3E40">
        <w:rPr>
          <w:color w:val="000000" w:themeColor="text1"/>
        </w:rPr>
        <w:t>a court setting.</w:t>
      </w:r>
      <w:r w:rsidR="003115EF" w:rsidRPr="009B3E40">
        <w:rPr>
          <w:color w:val="000000" w:themeColor="text1"/>
        </w:rPr>
        <w:t xml:space="preserve"> However, this</w:t>
      </w:r>
      <w:r w:rsidR="00CC10CD" w:rsidRPr="009B3E40">
        <w:rPr>
          <w:color w:val="000000" w:themeColor="text1"/>
        </w:rPr>
        <w:t xml:space="preserve"> presumption also allows ambiguity. T</w:t>
      </w:r>
      <w:r w:rsidR="00C81FD3" w:rsidRPr="009B3E40">
        <w:rPr>
          <w:color w:val="000000" w:themeColor="text1"/>
        </w:rPr>
        <w:t>his translates to inconsistent and unpredictable outcomes</w:t>
      </w:r>
      <w:r w:rsidR="000627F7" w:rsidRPr="009B3E40">
        <w:rPr>
          <w:color w:val="000000" w:themeColor="text1"/>
        </w:rPr>
        <w:t xml:space="preserve"> for claimants as the court </w:t>
      </w:r>
      <w:r w:rsidR="008A0379" w:rsidRPr="009B3E40">
        <w:rPr>
          <w:color w:val="000000" w:themeColor="text1"/>
        </w:rPr>
        <w:t>must</w:t>
      </w:r>
      <w:r w:rsidR="000627F7" w:rsidRPr="009B3E40">
        <w:rPr>
          <w:color w:val="000000" w:themeColor="text1"/>
        </w:rPr>
        <w:t xml:space="preserve"> infer intention based upon the individual </w:t>
      </w:r>
      <w:r w:rsidR="008A0379" w:rsidRPr="009B3E40">
        <w:rPr>
          <w:color w:val="000000" w:themeColor="text1"/>
        </w:rPr>
        <w:t>circumstances of each case.</w:t>
      </w:r>
      <w:r w:rsidR="00B9096A" w:rsidRPr="009B3E40">
        <w:rPr>
          <w:color w:val="000000" w:themeColor="text1"/>
        </w:rPr>
        <w:t xml:space="preserve"> </w:t>
      </w:r>
      <w:r w:rsidR="00891F4C" w:rsidRPr="009B3E40">
        <w:rPr>
          <w:color w:val="000000" w:themeColor="text1"/>
        </w:rPr>
        <w:t>Despite</w:t>
      </w:r>
      <w:r w:rsidR="00583FDD" w:rsidRPr="009B3E40">
        <w:rPr>
          <w:color w:val="000000" w:themeColor="text1"/>
        </w:rPr>
        <w:t xml:space="preserve"> this</w:t>
      </w:r>
      <w:r w:rsidR="00B9096A" w:rsidRPr="009B3E40">
        <w:rPr>
          <w:color w:val="000000" w:themeColor="text1"/>
        </w:rPr>
        <w:t>,</w:t>
      </w:r>
      <w:r w:rsidR="00855486" w:rsidRPr="009B3E40">
        <w:rPr>
          <w:color w:val="000000" w:themeColor="text1"/>
        </w:rPr>
        <w:t xml:space="preserve"> the presumption </w:t>
      </w:r>
      <w:r w:rsidR="00E573C7" w:rsidRPr="009B3E40">
        <w:rPr>
          <w:color w:val="000000" w:themeColor="text1"/>
        </w:rPr>
        <w:t>can be argued to</w:t>
      </w:r>
      <w:r w:rsidR="00D11030" w:rsidRPr="009B3E40">
        <w:rPr>
          <w:color w:val="000000" w:themeColor="text1"/>
        </w:rPr>
        <w:t xml:space="preserve"> aid the efficiency of the c</w:t>
      </w:r>
      <w:r w:rsidR="00624852" w:rsidRPr="009B3E40">
        <w:rPr>
          <w:color w:val="000000" w:themeColor="text1"/>
        </w:rPr>
        <w:t>aseloads faced by courts.</w:t>
      </w:r>
      <w:r w:rsidR="00C001B5" w:rsidRPr="009B3E40">
        <w:rPr>
          <w:color w:val="000000" w:themeColor="text1"/>
        </w:rPr>
        <w:t xml:space="preserve"> With the </w:t>
      </w:r>
      <w:r w:rsidR="004A626A" w:rsidRPr="009B3E40">
        <w:rPr>
          <w:color w:val="000000" w:themeColor="text1"/>
        </w:rPr>
        <w:t>Civil courts facing the worst recorded delays in 2023,</w:t>
      </w:r>
      <w:r w:rsidR="00B437FC" w:rsidRPr="009B3E40">
        <w:rPr>
          <w:color w:val="000000" w:themeColor="text1"/>
        </w:rPr>
        <w:t xml:space="preserve"> </w:t>
      </w:r>
      <w:r w:rsidR="00E573C7" w:rsidRPr="009B3E40">
        <w:rPr>
          <w:color w:val="000000" w:themeColor="text1"/>
        </w:rPr>
        <w:t>proponents argue that the</w:t>
      </w:r>
      <w:r w:rsidR="00B437FC" w:rsidRPr="009B3E40">
        <w:rPr>
          <w:color w:val="000000" w:themeColor="text1"/>
        </w:rPr>
        <w:t xml:space="preserve"> presumption works to ensure that only </w:t>
      </w:r>
      <w:r w:rsidR="00520113" w:rsidRPr="009B3E40">
        <w:rPr>
          <w:color w:val="000000" w:themeColor="text1"/>
        </w:rPr>
        <w:t>serious and irreconcilable cases are brought to court</w:t>
      </w:r>
      <w:sdt>
        <w:sdtPr>
          <w:rPr>
            <w:color w:val="000000" w:themeColor="text1"/>
          </w:rPr>
          <w:id w:val="303593341"/>
          <w:citation/>
        </w:sdtPr>
        <w:sdtContent>
          <w:r w:rsidR="00520113" w:rsidRPr="009B3E40">
            <w:rPr>
              <w:color w:val="000000" w:themeColor="text1"/>
            </w:rPr>
            <w:fldChar w:fldCharType="begin"/>
          </w:r>
          <w:r w:rsidR="00520113" w:rsidRPr="009B3E40">
            <w:rPr>
              <w:color w:val="000000" w:themeColor="text1"/>
            </w:rPr>
            <w:instrText xml:space="preserve"> CITATION Cha23 \l 2057 </w:instrText>
          </w:r>
          <w:r w:rsidR="00520113" w:rsidRPr="009B3E40">
            <w:rPr>
              <w:color w:val="000000" w:themeColor="text1"/>
            </w:rPr>
            <w:fldChar w:fldCharType="separate"/>
          </w:r>
          <w:r w:rsidR="00520113" w:rsidRPr="009B3E40">
            <w:rPr>
              <w:noProof/>
              <w:color w:val="000000" w:themeColor="text1"/>
            </w:rPr>
            <w:t xml:space="preserve"> </w:t>
          </w:r>
          <w:r w:rsidR="00520113" w:rsidRPr="009B3E40">
            <w:rPr>
              <w:rFonts w:eastAsiaTheme="minorHAnsi"/>
              <w:noProof/>
              <w:color w:val="000000" w:themeColor="text1"/>
            </w:rPr>
            <w:t>(maloney, 2023)</w:t>
          </w:r>
          <w:r w:rsidR="00520113" w:rsidRPr="009B3E40">
            <w:rPr>
              <w:color w:val="000000" w:themeColor="text1"/>
            </w:rPr>
            <w:fldChar w:fldCharType="end"/>
          </w:r>
        </w:sdtContent>
      </w:sdt>
      <w:r w:rsidR="00520113" w:rsidRPr="009B3E40">
        <w:rPr>
          <w:color w:val="000000" w:themeColor="text1"/>
        </w:rPr>
        <w:t>.</w:t>
      </w:r>
      <w:r w:rsidR="003B7381" w:rsidRPr="009B3E40">
        <w:rPr>
          <w:color w:val="000000" w:themeColor="text1"/>
        </w:rPr>
        <w:t xml:space="preserve"> </w:t>
      </w:r>
      <w:r w:rsidR="00583FDD" w:rsidRPr="009B3E40">
        <w:rPr>
          <w:color w:val="000000" w:themeColor="text1"/>
        </w:rPr>
        <w:t xml:space="preserve"> Critics rebut this notion, arguing that</w:t>
      </w:r>
      <w:r w:rsidR="00D8257E" w:rsidRPr="009B3E40">
        <w:rPr>
          <w:color w:val="000000" w:themeColor="text1"/>
        </w:rPr>
        <w:t xml:space="preserve"> </w:t>
      </w:r>
      <w:r w:rsidR="008D3FF8" w:rsidRPr="009B3E40">
        <w:rPr>
          <w:color w:val="000000" w:themeColor="text1"/>
        </w:rPr>
        <w:t>without a presumption of ITCHR, pressure</w:t>
      </w:r>
      <w:r w:rsidR="00F90EA0" w:rsidRPr="009B3E40">
        <w:rPr>
          <w:color w:val="000000" w:themeColor="text1"/>
        </w:rPr>
        <w:t xml:space="preserve"> on the courts could be increased. This is due to cases being </w:t>
      </w:r>
      <w:r w:rsidR="00891F4C" w:rsidRPr="009B3E40">
        <w:rPr>
          <w:color w:val="000000" w:themeColor="text1"/>
        </w:rPr>
        <w:t>initiated to resolve disputes because of the lack of clarity over whether a binding contract could exist</w:t>
      </w:r>
      <w:sdt>
        <w:sdtPr>
          <w:rPr>
            <w:color w:val="000000" w:themeColor="text1"/>
          </w:rPr>
          <w:id w:val="-796535015"/>
          <w:citation/>
        </w:sdtPr>
        <w:sdtContent>
          <w:r w:rsidR="007F2FB5" w:rsidRPr="009B3E40">
            <w:rPr>
              <w:color w:val="000000" w:themeColor="text1"/>
            </w:rPr>
            <w:fldChar w:fldCharType="begin"/>
          </w:r>
          <w:r w:rsidR="007F2FB5" w:rsidRPr="009B3E40">
            <w:rPr>
              <w:color w:val="000000" w:themeColor="text1"/>
            </w:rPr>
            <w:instrText xml:space="preserve"> CITATION Fra16 \l 2057 </w:instrText>
          </w:r>
          <w:r w:rsidR="007F2FB5" w:rsidRPr="009B3E40">
            <w:rPr>
              <w:color w:val="000000" w:themeColor="text1"/>
            </w:rPr>
            <w:fldChar w:fldCharType="separate"/>
          </w:r>
          <w:r w:rsidR="007F2FB5" w:rsidRPr="009B3E40">
            <w:rPr>
              <w:noProof/>
              <w:color w:val="000000" w:themeColor="text1"/>
            </w:rPr>
            <w:t xml:space="preserve"> (Garratt, 2016)</w:t>
          </w:r>
          <w:r w:rsidR="007F2FB5" w:rsidRPr="009B3E40">
            <w:rPr>
              <w:color w:val="000000" w:themeColor="text1"/>
            </w:rPr>
            <w:fldChar w:fldCharType="end"/>
          </w:r>
        </w:sdtContent>
      </w:sdt>
      <w:r w:rsidR="00891F4C" w:rsidRPr="009B3E40">
        <w:rPr>
          <w:color w:val="000000" w:themeColor="text1"/>
        </w:rPr>
        <w:t>.</w:t>
      </w:r>
      <w:r w:rsidR="004E1349" w:rsidRPr="009B3E40">
        <w:rPr>
          <w:color w:val="000000" w:themeColor="text1"/>
        </w:rPr>
        <w:t xml:space="preserve"> </w:t>
      </w:r>
      <w:r w:rsidR="003F5DE8" w:rsidRPr="009B3E40">
        <w:rPr>
          <w:color w:val="000000" w:themeColor="text1"/>
        </w:rPr>
        <w:t xml:space="preserve"> Critics call for the </w:t>
      </w:r>
      <w:r w:rsidR="003A33B8" w:rsidRPr="009B3E40">
        <w:rPr>
          <w:color w:val="000000" w:themeColor="text1"/>
        </w:rPr>
        <w:t>enactment of statutory guidelines to provide social and domestic agreements with</w:t>
      </w:r>
      <w:r w:rsidR="003D46E1" w:rsidRPr="009B3E40">
        <w:rPr>
          <w:color w:val="000000" w:themeColor="text1"/>
        </w:rPr>
        <w:t xml:space="preserve"> further </w:t>
      </w:r>
      <w:r w:rsidR="00650B48" w:rsidRPr="009B3E40">
        <w:rPr>
          <w:color w:val="000000" w:themeColor="text1"/>
        </w:rPr>
        <w:t>clarity.</w:t>
      </w:r>
      <w:r w:rsidR="003D46E1" w:rsidRPr="009B3E40">
        <w:rPr>
          <w:color w:val="000000" w:themeColor="text1"/>
        </w:rPr>
        <w:t xml:space="preserve"> This could be done with amendments </w:t>
      </w:r>
      <w:r w:rsidR="00614A2C" w:rsidRPr="009B3E40">
        <w:rPr>
          <w:color w:val="000000" w:themeColor="text1"/>
        </w:rPr>
        <w:t>to existing</w:t>
      </w:r>
      <w:r w:rsidR="003D46E1" w:rsidRPr="009B3E40">
        <w:rPr>
          <w:color w:val="000000" w:themeColor="text1"/>
        </w:rPr>
        <w:t xml:space="preserve"> statute such as </w:t>
      </w:r>
      <w:r w:rsidR="005B1894" w:rsidRPr="009B3E40">
        <w:rPr>
          <w:color w:val="000000" w:themeColor="text1"/>
        </w:rPr>
        <w:t>the Law of Property (</w:t>
      </w:r>
      <w:r w:rsidR="00614A2C" w:rsidRPr="009B3E40">
        <w:rPr>
          <w:color w:val="000000" w:themeColor="text1"/>
        </w:rPr>
        <w:t xml:space="preserve">Miscellaneous Provisions Act) Act 1989). </w:t>
      </w:r>
      <w:r w:rsidR="00991CEB" w:rsidRPr="009B3E40">
        <w:rPr>
          <w:color w:val="000000" w:themeColor="text1"/>
        </w:rPr>
        <w:t xml:space="preserve">The issue of ambiguity is questioned further when </w:t>
      </w:r>
      <w:r w:rsidR="000D6218" w:rsidRPr="009B3E40">
        <w:rPr>
          <w:color w:val="000000" w:themeColor="text1"/>
        </w:rPr>
        <w:t>the direct contra</w:t>
      </w:r>
      <w:r w:rsidR="00B837AE" w:rsidRPr="009B3E40">
        <w:rPr>
          <w:color w:val="000000" w:themeColor="text1"/>
        </w:rPr>
        <w:t>s</w:t>
      </w:r>
      <w:r w:rsidR="000D6218" w:rsidRPr="009B3E40">
        <w:rPr>
          <w:color w:val="000000" w:themeColor="text1"/>
        </w:rPr>
        <w:t xml:space="preserve">t of commercial agreements </w:t>
      </w:r>
      <w:r w:rsidR="00F73061" w:rsidRPr="009B3E40">
        <w:rPr>
          <w:color w:val="000000" w:themeColor="text1"/>
        </w:rPr>
        <w:t>is</w:t>
      </w:r>
      <w:r w:rsidR="000D6218" w:rsidRPr="009B3E40">
        <w:rPr>
          <w:color w:val="000000" w:themeColor="text1"/>
        </w:rPr>
        <w:t xml:space="preserve"> considered.</w:t>
      </w:r>
      <w:r w:rsidR="007259BE" w:rsidRPr="009B3E40">
        <w:rPr>
          <w:color w:val="000000" w:themeColor="text1"/>
        </w:rPr>
        <w:t xml:space="preserve"> </w:t>
      </w:r>
    </w:p>
    <w:p w14:paraId="66B38E80" w14:textId="77777777" w:rsidR="007F2FB5" w:rsidRPr="009B3E40" w:rsidRDefault="007F2FB5">
      <w:pPr>
        <w:rPr>
          <w:color w:val="000000" w:themeColor="text1"/>
        </w:rPr>
      </w:pPr>
    </w:p>
    <w:p w14:paraId="46757C6D" w14:textId="3F001CE8" w:rsidR="000B5A9A" w:rsidRPr="009B3E40" w:rsidRDefault="00704699">
      <w:pPr>
        <w:rPr>
          <w:color w:val="000000" w:themeColor="text1"/>
        </w:rPr>
      </w:pPr>
      <w:r w:rsidRPr="009B3E40">
        <w:rPr>
          <w:color w:val="000000" w:themeColor="text1"/>
        </w:rPr>
        <w:t xml:space="preserve">Contrary to social and domestic agreements, commercial agreements </w:t>
      </w:r>
      <w:r w:rsidR="00BF37AE" w:rsidRPr="009B3E40">
        <w:rPr>
          <w:color w:val="000000" w:themeColor="text1"/>
        </w:rPr>
        <w:t>face a presumption in favour of ITCHR.</w:t>
      </w:r>
      <w:r w:rsidR="003B4397" w:rsidRPr="009B3E40">
        <w:rPr>
          <w:color w:val="000000" w:themeColor="text1"/>
        </w:rPr>
        <w:t xml:space="preserve"> This </w:t>
      </w:r>
      <w:r w:rsidR="008C4336" w:rsidRPr="009B3E40">
        <w:rPr>
          <w:color w:val="000000" w:themeColor="text1"/>
        </w:rPr>
        <w:t xml:space="preserve">means that the Courts will assume that </w:t>
      </w:r>
      <w:r w:rsidR="00967329" w:rsidRPr="009B3E40">
        <w:rPr>
          <w:color w:val="000000" w:themeColor="text1"/>
        </w:rPr>
        <w:t>a commercial agreement was made to be legally bound.</w:t>
      </w:r>
      <w:r w:rsidR="003534F7" w:rsidRPr="009B3E40">
        <w:rPr>
          <w:color w:val="000000" w:themeColor="text1"/>
        </w:rPr>
        <w:t xml:space="preserve"> </w:t>
      </w:r>
      <w:r w:rsidR="001845DD" w:rsidRPr="009B3E40">
        <w:rPr>
          <w:color w:val="000000" w:themeColor="text1"/>
        </w:rPr>
        <w:t xml:space="preserve">The presumption can be </w:t>
      </w:r>
      <w:r w:rsidR="00801C72" w:rsidRPr="009B3E40">
        <w:rPr>
          <w:color w:val="000000" w:themeColor="text1"/>
        </w:rPr>
        <w:t xml:space="preserve">seen </w:t>
      </w:r>
      <w:r w:rsidR="001845DD" w:rsidRPr="009B3E40">
        <w:rPr>
          <w:color w:val="000000" w:themeColor="text1"/>
        </w:rPr>
        <w:t xml:space="preserve">in </w:t>
      </w:r>
      <w:r w:rsidR="00430EC9" w:rsidRPr="009B3E40">
        <w:rPr>
          <w:color w:val="000000" w:themeColor="text1"/>
        </w:rPr>
        <w:t>cases</w:t>
      </w:r>
      <w:r w:rsidR="001845DD" w:rsidRPr="009B3E40">
        <w:rPr>
          <w:color w:val="000000" w:themeColor="text1"/>
        </w:rPr>
        <w:t xml:space="preserve"> such</w:t>
      </w:r>
      <w:r w:rsidR="007C09B7" w:rsidRPr="009B3E40">
        <w:rPr>
          <w:color w:val="000000" w:themeColor="text1"/>
        </w:rPr>
        <w:t xml:space="preserve"> as </w:t>
      </w:r>
      <w:r w:rsidR="001845DD" w:rsidRPr="009B3E40">
        <w:rPr>
          <w:color w:val="000000" w:themeColor="text1"/>
        </w:rPr>
        <w:t>Edwards v Sk</w:t>
      </w:r>
      <w:r w:rsidR="00243284" w:rsidRPr="009B3E40">
        <w:rPr>
          <w:color w:val="000000" w:themeColor="text1"/>
        </w:rPr>
        <w:t xml:space="preserve">yways (1969) </w:t>
      </w:r>
      <w:r w:rsidR="007666AD" w:rsidRPr="009B3E40">
        <w:rPr>
          <w:color w:val="000000" w:themeColor="text1"/>
        </w:rPr>
        <w:t>whereby the payment of a favour was found to be legally binding</w:t>
      </w:r>
      <w:r w:rsidR="007467E3" w:rsidRPr="009B3E40">
        <w:rPr>
          <w:color w:val="000000" w:themeColor="text1"/>
        </w:rPr>
        <w:t>. However, it was c</w:t>
      </w:r>
      <w:r w:rsidR="00801C72" w:rsidRPr="009B3E40">
        <w:rPr>
          <w:color w:val="000000" w:themeColor="text1"/>
        </w:rPr>
        <w:t xml:space="preserve">emented as precedence </w:t>
      </w:r>
      <w:r w:rsidR="007467E3" w:rsidRPr="009B3E40">
        <w:rPr>
          <w:color w:val="000000" w:themeColor="text1"/>
        </w:rPr>
        <w:t xml:space="preserve">in </w:t>
      </w:r>
      <w:r w:rsidR="00430EC9" w:rsidRPr="009B3E40">
        <w:rPr>
          <w:color w:val="000000" w:themeColor="text1"/>
        </w:rPr>
        <w:t xml:space="preserve">Esso Petroleum Ltd v </w:t>
      </w:r>
      <w:r w:rsidR="007C09B7" w:rsidRPr="009B3E40">
        <w:rPr>
          <w:color w:val="000000" w:themeColor="text1"/>
        </w:rPr>
        <w:t>Commissioners</w:t>
      </w:r>
      <w:r w:rsidR="00430EC9" w:rsidRPr="009B3E40">
        <w:rPr>
          <w:color w:val="000000" w:themeColor="text1"/>
        </w:rPr>
        <w:t xml:space="preserve"> of Customs and Excise (</w:t>
      </w:r>
      <w:r w:rsidR="00432962" w:rsidRPr="009B3E40">
        <w:rPr>
          <w:color w:val="000000" w:themeColor="text1"/>
        </w:rPr>
        <w:t>1976). In this case, Esso began a promotion</w:t>
      </w:r>
      <w:r w:rsidR="00286847" w:rsidRPr="009B3E40">
        <w:rPr>
          <w:color w:val="000000" w:themeColor="text1"/>
        </w:rPr>
        <w:t>al promise to provide coins with the purchase of petrol. When</w:t>
      </w:r>
      <w:r w:rsidR="00136FFC" w:rsidRPr="009B3E40">
        <w:rPr>
          <w:color w:val="000000" w:themeColor="text1"/>
        </w:rPr>
        <w:t xml:space="preserve"> the coins became susceptible to tax, </w:t>
      </w:r>
      <w:r w:rsidR="0075103D" w:rsidRPr="009B3E40">
        <w:rPr>
          <w:color w:val="000000" w:themeColor="text1"/>
        </w:rPr>
        <w:t xml:space="preserve">consideration of whether the coins were considered ITCHR or a </w:t>
      </w:r>
      <w:r w:rsidR="004D6163" w:rsidRPr="009B3E40">
        <w:rPr>
          <w:color w:val="000000" w:themeColor="text1"/>
        </w:rPr>
        <w:t>gift took place, with the courts ruling</w:t>
      </w:r>
      <w:r w:rsidR="00801C72" w:rsidRPr="009B3E40">
        <w:rPr>
          <w:color w:val="000000" w:themeColor="text1"/>
        </w:rPr>
        <w:t xml:space="preserve"> that ITCHR was present.</w:t>
      </w:r>
      <w:r w:rsidR="00CB3369" w:rsidRPr="009B3E40">
        <w:rPr>
          <w:color w:val="000000" w:themeColor="text1"/>
        </w:rPr>
        <w:t xml:space="preserve"> </w:t>
      </w:r>
      <w:r w:rsidR="0016108B" w:rsidRPr="009B3E40">
        <w:rPr>
          <w:color w:val="000000" w:themeColor="text1"/>
        </w:rPr>
        <w:t>This principle is upheld more recently in the modern case of Malcolm Charles Contracts Ltd v Crispin (2014)</w:t>
      </w:r>
      <w:r w:rsidR="0095117C" w:rsidRPr="009B3E40">
        <w:rPr>
          <w:color w:val="000000" w:themeColor="text1"/>
        </w:rPr>
        <w:t>. Here,</w:t>
      </w:r>
      <w:r w:rsidR="00B61EEB" w:rsidRPr="009B3E40">
        <w:rPr>
          <w:color w:val="000000" w:themeColor="text1"/>
        </w:rPr>
        <w:t xml:space="preserve"> the two contractors </w:t>
      </w:r>
      <w:r w:rsidR="00D507EB" w:rsidRPr="009B3E40">
        <w:rPr>
          <w:color w:val="000000" w:themeColor="text1"/>
        </w:rPr>
        <w:t>discussed a contract term to aid cost reduction. Despite this term not being finalised</w:t>
      </w:r>
      <w:r w:rsidR="00397D8B" w:rsidRPr="009B3E40">
        <w:rPr>
          <w:color w:val="000000" w:themeColor="text1"/>
        </w:rPr>
        <w:t xml:space="preserve">, the courts ruled that an ITCHR was </w:t>
      </w:r>
      <w:r w:rsidR="00CB6679" w:rsidRPr="009B3E40">
        <w:rPr>
          <w:color w:val="000000" w:themeColor="text1"/>
        </w:rPr>
        <w:t xml:space="preserve">present. In contrast to domestic and social </w:t>
      </w:r>
      <w:r w:rsidR="00F57760" w:rsidRPr="009B3E40">
        <w:rPr>
          <w:color w:val="000000" w:themeColor="text1"/>
        </w:rPr>
        <w:t>agreements, the</w:t>
      </w:r>
      <w:r w:rsidR="00CE6B2E" w:rsidRPr="009B3E40">
        <w:rPr>
          <w:color w:val="000000" w:themeColor="text1"/>
        </w:rPr>
        <w:t xml:space="preserve"> presumption of ITCHR is more ridged</w:t>
      </w:r>
      <w:r w:rsidR="00A23409" w:rsidRPr="009B3E40">
        <w:rPr>
          <w:color w:val="000000" w:themeColor="text1"/>
        </w:rPr>
        <w:t xml:space="preserve"> and certain. </w:t>
      </w:r>
      <w:r w:rsidR="00F57760" w:rsidRPr="009B3E40">
        <w:rPr>
          <w:color w:val="000000" w:themeColor="text1"/>
        </w:rPr>
        <w:t>However,</w:t>
      </w:r>
      <w:r w:rsidR="00A23409" w:rsidRPr="009B3E40">
        <w:rPr>
          <w:color w:val="000000" w:themeColor="text1"/>
        </w:rPr>
        <w:t xml:space="preserve"> there are still instances </w:t>
      </w:r>
      <w:r w:rsidR="00F57760" w:rsidRPr="009B3E40">
        <w:rPr>
          <w:color w:val="000000" w:themeColor="text1"/>
        </w:rPr>
        <w:t xml:space="preserve">of exception. </w:t>
      </w:r>
    </w:p>
    <w:p w14:paraId="38F91481" w14:textId="77777777" w:rsidR="007A4C07" w:rsidRPr="009B3E40" w:rsidRDefault="007A4C07">
      <w:pPr>
        <w:rPr>
          <w:color w:val="000000" w:themeColor="text1"/>
        </w:rPr>
      </w:pPr>
    </w:p>
    <w:p w14:paraId="5BDC0CC7" w14:textId="4A27610E" w:rsidR="000D6218" w:rsidRPr="009B3E40" w:rsidRDefault="00F57760">
      <w:pPr>
        <w:rPr>
          <w:color w:val="000000" w:themeColor="text1"/>
        </w:rPr>
      </w:pPr>
      <w:r w:rsidRPr="009B3E40">
        <w:rPr>
          <w:color w:val="000000" w:themeColor="text1"/>
        </w:rPr>
        <w:t>The most straightforward exemption to this presumption lays within trade unions</w:t>
      </w:r>
      <w:r w:rsidR="000C6EEF" w:rsidRPr="009B3E40">
        <w:rPr>
          <w:color w:val="000000" w:themeColor="text1"/>
        </w:rPr>
        <w:t xml:space="preserve"> and employers. </w:t>
      </w:r>
      <w:r w:rsidR="006F6243" w:rsidRPr="009B3E40">
        <w:rPr>
          <w:color w:val="000000" w:themeColor="text1"/>
        </w:rPr>
        <w:t xml:space="preserve">The case of Kaur v MG Rover (2005) confirms that </w:t>
      </w:r>
      <w:r w:rsidR="004E2B4D" w:rsidRPr="009B3E40">
        <w:rPr>
          <w:color w:val="000000" w:themeColor="text1"/>
        </w:rPr>
        <w:t xml:space="preserve">general agreements between union and employers are </w:t>
      </w:r>
      <w:r w:rsidR="003F4254" w:rsidRPr="009B3E40">
        <w:rPr>
          <w:color w:val="000000" w:themeColor="text1"/>
        </w:rPr>
        <w:t xml:space="preserve">not </w:t>
      </w:r>
      <w:proofErr w:type="gramStart"/>
      <w:r w:rsidR="003F4254" w:rsidRPr="009B3E40">
        <w:rPr>
          <w:color w:val="000000" w:themeColor="text1"/>
        </w:rPr>
        <w:t>deemed  legally</w:t>
      </w:r>
      <w:proofErr w:type="gramEnd"/>
      <w:r w:rsidR="003F4254" w:rsidRPr="009B3E40">
        <w:rPr>
          <w:color w:val="000000" w:themeColor="text1"/>
        </w:rPr>
        <w:t xml:space="preserve"> </w:t>
      </w:r>
      <w:r w:rsidR="000B5A9A" w:rsidRPr="009B3E40">
        <w:rPr>
          <w:color w:val="000000" w:themeColor="text1"/>
        </w:rPr>
        <w:t>binding</w:t>
      </w:r>
      <w:r w:rsidR="003F4254" w:rsidRPr="009B3E40">
        <w:rPr>
          <w:color w:val="000000" w:themeColor="text1"/>
        </w:rPr>
        <w:t>.</w:t>
      </w:r>
      <w:r w:rsidR="00FC5B2F" w:rsidRPr="009B3E40">
        <w:rPr>
          <w:color w:val="000000" w:themeColor="text1"/>
        </w:rPr>
        <w:t xml:space="preserve"> Another</w:t>
      </w:r>
      <w:r w:rsidR="007D4008" w:rsidRPr="009B3E40">
        <w:rPr>
          <w:color w:val="000000" w:themeColor="text1"/>
        </w:rPr>
        <w:t xml:space="preserve"> </w:t>
      </w:r>
      <w:r w:rsidR="00DD7C0E" w:rsidRPr="009B3E40">
        <w:rPr>
          <w:color w:val="000000" w:themeColor="text1"/>
        </w:rPr>
        <w:t>exemption</w:t>
      </w:r>
      <w:r w:rsidR="00FC5B2F" w:rsidRPr="009B3E40">
        <w:rPr>
          <w:color w:val="000000" w:themeColor="text1"/>
        </w:rPr>
        <w:t xml:space="preserve"> is </w:t>
      </w:r>
      <w:r w:rsidR="007D4008" w:rsidRPr="009B3E40">
        <w:rPr>
          <w:color w:val="000000" w:themeColor="text1"/>
        </w:rPr>
        <w:t>seen in the</w:t>
      </w:r>
      <w:r w:rsidR="00FC5B2F" w:rsidRPr="009B3E40">
        <w:rPr>
          <w:color w:val="000000" w:themeColor="text1"/>
        </w:rPr>
        <w:t xml:space="preserve"> use of an honour clause. </w:t>
      </w:r>
      <w:r w:rsidR="00CA4351" w:rsidRPr="009B3E40">
        <w:rPr>
          <w:color w:val="000000" w:themeColor="text1"/>
        </w:rPr>
        <w:t xml:space="preserve">Honour clauses are </w:t>
      </w:r>
      <w:r w:rsidR="00AE7D57" w:rsidRPr="009B3E40">
        <w:rPr>
          <w:color w:val="000000" w:themeColor="text1"/>
        </w:rPr>
        <w:t xml:space="preserve">express </w:t>
      </w:r>
      <w:r w:rsidR="00CA4351" w:rsidRPr="009B3E40">
        <w:rPr>
          <w:color w:val="000000" w:themeColor="text1"/>
        </w:rPr>
        <w:t xml:space="preserve">provisions that retain the right to withhold ITCHR </w:t>
      </w:r>
      <w:r w:rsidR="00472908" w:rsidRPr="009B3E40">
        <w:rPr>
          <w:color w:val="000000" w:themeColor="text1"/>
        </w:rPr>
        <w:t>in agreements</w:t>
      </w:r>
      <w:r w:rsidR="007413C6" w:rsidRPr="009B3E40">
        <w:rPr>
          <w:color w:val="000000" w:themeColor="text1"/>
        </w:rPr>
        <w:t xml:space="preserve">. Cases such as </w:t>
      </w:r>
      <w:r w:rsidR="00E75BA8" w:rsidRPr="009B3E40">
        <w:rPr>
          <w:color w:val="000000" w:themeColor="text1"/>
        </w:rPr>
        <w:t xml:space="preserve">Jones v </w:t>
      </w:r>
      <w:r w:rsidR="00650B48" w:rsidRPr="009B3E40">
        <w:rPr>
          <w:color w:val="000000" w:themeColor="text1"/>
        </w:rPr>
        <w:t>Vernon’s</w:t>
      </w:r>
      <w:r w:rsidR="00E75BA8" w:rsidRPr="009B3E40">
        <w:rPr>
          <w:color w:val="000000" w:themeColor="text1"/>
        </w:rPr>
        <w:t xml:space="preserve">’ Pools Ltd </w:t>
      </w:r>
      <w:r w:rsidR="0021745E" w:rsidRPr="009B3E40">
        <w:rPr>
          <w:color w:val="000000" w:themeColor="text1"/>
        </w:rPr>
        <w:t xml:space="preserve">(1938) </w:t>
      </w:r>
      <w:r w:rsidR="00E75BA8" w:rsidRPr="009B3E40">
        <w:rPr>
          <w:color w:val="000000" w:themeColor="text1"/>
        </w:rPr>
        <w:t xml:space="preserve">showcase the use of </w:t>
      </w:r>
      <w:r w:rsidR="007D4008" w:rsidRPr="009B3E40">
        <w:rPr>
          <w:color w:val="000000" w:themeColor="text1"/>
        </w:rPr>
        <w:t>honour clause</w:t>
      </w:r>
      <w:r w:rsidR="0021745E" w:rsidRPr="009B3E40">
        <w:rPr>
          <w:color w:val="000000" w:themeColor="text1"/>
        </w:rPr>
        <w:t>s</w:t>
      </w:r>
      <w:r w:rsidR="007D4008" w:rsidRPr="009B3E40">
        <w:rPr>
          <w:color w:val="000000" w:themeColor="text1"/>
        </w:rPr>
        <w:t>.</w:t>
      </w:r>
      <w:r w:rsidR="00AE7D57" w:rsidRPr="009B3E40">
        <w:rPr>
          <w:color w:val="000000" w:themeColor="text1"/>
        </w:rPr>
        <w:t xml:space="preserve"> </w:t>
      </w:r>
      <w:r w:rsidR="00C02C3E" w:rsidRPr="009B3E40">
        <w:rPr>
          <w:color w:val="000000" w:themeColor="text1"/>
        </w:rPr>
        <w:t xml:space="preserve">Furthermore, a presumption against ITCHR in commercial cases can be seen </w:t>
      </w:r>
      <w:r w:rsidR="00C02C3E" w:rsidRPr="009B3E40">
        <w:rPr>
          <w:color w:val="000000" w:themeColor="text1"/>
        </w:rPr>
        <w:lastRenderedPageBreak/>
        <w:t>in promises made prior</w:t>
      </w:r>
      <w:r w:rsidR="004C499E" w:rsidRPr="009B3E40">
        <w:rPr>
          <w:color w:val="000000" w:themeColor="text1"/>
        </w:rPr>
        <w:t xml:space="preserve"> to contract</w:t>
      </w:r>
      <w:r w:rsidR="00FB3FCB" w:rsidRPr="009B3E40">
        <w:rPr>
          <w:color w:val="000000" w:themeColor="text1"/>
        </w:rPr>
        <w:t xml:space="preserve"> as established in Kleinwort Benson Ltd v Malaysian Mining Corporation (1989)</w:t>
      </w:r>
      <w:r w:rsidR="006C1E72" w:rsidRPr="009B3E40">
        <w:rPr>
          <w:color w:val="000000" w:themeColor="text1"/>
        </w:rPr>
        <w:t xml:space="preserve">. The general presumption of ITCHR in commercial agreements </w:t>
      </w:r>
      <w:r w:rsidR="004A0F89" w:rsidRPr="009B3E40">
        <w:rPr>
          <w:color w:val="000000" w:themeColor="text1"/>
        </w:rPr>
        <w:t>can be beneficial. It provides stability in business environments</w:t>
      </w:r>
      <w:r w:rsidR="00725567" w:rsidRPr="009B3E40">
        <w:rPr>
          <w:color w:val="000000" w:themeColor="text1"/>
        </w:rPr>
        <w:t xml:space="preserve">, fostering trust in corporate </w:t>
      </w:r>
      <w:r w:rsidR="002A4AC4" w:rsidRPr="009B3E40">
        <w:rPr>
          <w:color w:val="000000" w:themeColor="text1"/>
        </w:rPr>
        <w:t>transactions</w:t>
      </w:r>
      <w:r w:rsidR="00725567" w:rsidRPr="009B3E40">
        <w:rPr>
          <w:color w:val="000000" w:themeColor="text1"/>
        </w:rPr>
        <w:t xml:space="preserve"> where stakes are high.</w:t>
      </w:r>
      <w:r w:rsidR="00016ACD" w:rsidRPr="009B3E40">
        <w:rPr>
          <w:color w:val="000000" w:themeColor="text1"/>
        </w:rPr>
        <w:t xml:space="preserve"> Due to </w:t>
      </w:r>
      <w:r w:rsidR="00FD4487" w:rsidRPr="009B3E40">
        <w:rPr>
          <w:color w:val="000000" w:themeColor="text1"/>
        </w:rPr>
        <w:t>the</w:t>
      </w:r>
      <w:r w:rsidR="00016ACD" w:rsidRPr="009B3E40">
        <w:rPr>
          <w:color w:val="000000" w:themeColor="text1"/>
        </w:rPr>
        <w:t xml:space="preserve"> ridged application, it contra</w:t>
      </w:r>
      <w:r w:rsidR="00B33F08" w:rsidRPr="009B3E40">
        <w:rPr>
          <w:color w:val="000000" w:themeColor="text1"/>
        </w:rPr>
        <w:t>s</w:t>
      </w:r>
      <w:r w:rsidR="00016ACD" w:rsidRPr="009B3E40">
        <w:rPr>
          <w:color w:val="000000" w:themeColor="text1"/>
        </w:rPr>
        <w:t xml:space="preserve">ts social and domestic agreements by providing </w:t>
      </w:r>
      <w:r w:rsidR="002A4AC4" w:rsidRPr="009B3E40">
        <w:rPr>
          <w:color w:val="000000" w:themeColor="text1"/>
        </w:rPr>
        <w:t>predictability</w:t>
      </w:r>
      <w:r w:rsidR="001704D9" w:rsidRPr="009B3E40">
        <w:rPr>
          <w:color w:val="000000" w:themeColor="text1"/>
        </w:rPr>
        <w:t xml:space="preserve"> thus reducing the risk of dispute.</w:t>
      </w:r>
    </w:p>
    <w:p w14:paraId="04A33CC3" w14:textId="215CAF18" w:rsidR="001704D9" w:rsidRPr="009B3E40" w:rsidRDefault="001704D9">
      <w:pPr>
        <w:rPr>
          <w:color w:val="000000" w:themeColor="text1"/>
        </w:rPr>
      </w:pPr>
      <w:r w:rsidRPr="009B3E40">
        <w:rPr>
          <w:color w:val="000000" w:themeColor="text1"/>
        </w:rPr>
        <w:t>Despite this,</w:t>
      </w:r>
      <w:r w:rsidR="0053465A" w:rsidRPr="009B3E40">
        <w:rPr>
          <w:color w:val="000000" w:themeColor="text1"/>
        </w:rPr>
        <w:t xml:space="preserve"> in a society </w:t>
      </w:r>
      <w:r w:rsidR="00B71359" w:rsidRPr="009B3E40">
        <w:rPr>
          <w:color w:val="000000" w:themeColor="text1"/>
        </w:rPr>
        <w:t>where flexi</w:t>
      </w:r>
      <w:r w:rsidR="00262EB8" w:rsidRPr="009B3E40">
        <w:rPr>
          <w:color w:val="000000" w:themeColor="text1"/>
        </w:rPr>
        <w:t>ble working arrangements and business startups are gaining popularity,</w:t>
      </w:r>
      <w:r w:rsidR="00956167" w:rsidRPr="009B3E40">
        <w:rPr>
          <w:color w:val="000000" w:themeColor="text1"/>
        </w:rPr>
        <w:t xml:space="preserve"> the presumption </w:t>
      </w:r>
      <w:r w:rsidR="00611B8A" w:rsidRPr="009B3E40">
        <w:rPr>
          <w:color w:val="000000" w:themeColor="text1"/>
        </w:rPr>
        <w:t xml:space="preserve">discourages the use of informal agreements. This can be detrimental in modern day </w:t>
      </w:r>
      <w:r w:rsidR="00AC4DA8" w:rsidRPr="009B3E40">
        <w:rPr>
          <w:color w:val="000000" w:themeColor="text1"/>
        </w:rPr>
        <w:t>business as</w:t>
      </w:r>
      <w:r w:rsidR="00907B7F" w:rsidRPr="009B3E40">
        <w:rPr>
          <w:color w:val="000000" w:themeColor="text1"/>
        </w:rPr>
        <w:t xml:space="preserve"> informal agreements </w:t>
      </w:r>
      <w:r w:rsidR="00B60DEF" w:rsidRPr="009B3E40">
        <w:rPr>
          <w:color w:val="000000" w:themeColor="text1"/>
        </w:rPr>
        <w:t xml:space="preserve">are </w:t>
      </w:r>
      <w:r w:rsidR="00907B7F" w:rsidRPr="009B3E40">
        <w:rPr>
          <w:color w:val="000000" w:themeColor="text1"/>
        </w:rPr>
        <w:t xml:space="preserve">used to promote innovation </w:t>
      </w:r>
      <w:r w:rsidR="004A1530" w:rsidRPr="009B3E40">
        <w:rPr>
          <w:color w:val="000000" w:themeColor="text1"/>
        </w:rPr>
        <w:t>and efficient</w:t>
      </w:r>
      <w:r w:rsidR="00852CCC" w:rsidRPr="009B3E40">
        <w:rPr>
          <w:color w:val="000000" w:themeColor="text1"/>
        </w:rPr>
        <w:t xml:space="preserve"> </w:t>
      </w:r>
      <w:r w:rsidR="00273748" w:rsidRPr="009B3E40">
        <w:rPr>
          <w:color w:val="000000" w:themeColor="text1"/>
        </w:rPr>
        <w:t>trial-based</w:t>
      </w:r>
      <w:r w:rsidR="00852CCC" w:rsidRPr="009B3E40">
        <w:rPr>
          <w:color w:val="000000" w:themeColor="text1"/>
        </w:rPr>
        <w:t xml:space="preserve"> decision making.</w:t>
      </w:r>
      <w:r w:rsidR="00E0676B" w:rsidRPr="009B3E40">
        <w:rPr>
          <w:color w:val="000000" w:themeColor="text1"/>
        </w:rPr>
        <w:t xml:space="preserve"> </w:t>
      </w:r>
      <w:r w:rsidR="00D74408" w:rsidRPr="009B3E40">
        <w:rPr>
          <w:color w:val="000000" w:themeColor="text1"/>
        </w:rPr>
        <w:t>Critics</w:t>
      </w:r>
      <w:r w:rsidR="00377408" w:rsidRPr="009B3E40">
        <w:rPr>
          <w:color w:val="000000" w:themeColor="text1"/>
        </w:rPr>
        <w:t xml:space="preserve"> argue that this could be mitigated by the development of guidelines for the development and enforcement of informal agreements in commercial </w:t>
      </w:r>
      <w:r w:rsidR="00BA77C6" w:rsidRPr="009B3E40">
        <w:rPr>
          <w:color w:val="000000" w:themeColor="text1"/>
        </w:rPr>
        <w:t>agreements. This would support modern business ideals</w:t>
      </w:r>
      <w:r w:rsidR="0045601F" w:rsidRPr="009B3E40">
        <w:rPr>
          <w:color w:val="000000" w:themeColor="text1"/>
        </w:rPr>
        <w:t xml:space="preserve"> to rely on informal agreements without fear of legal implications.</w:t>
      </w:r>
      <w:r w:rsidR="00EA7E7F" w:rsidRPr="009B3E40">
        <w:rPr>
          <w:color w:val="000000" w:themeColor="text1"/>
        </w:rPr>
        <w:t xml:space="preserve"> An example of this reform could see the formation of standardised framework</w:t>
      </w:r>
      <w:r w:rsidR="008E57F3" w:rsidRPr="009B3E40">
        <w:rPr>
          <w:color w:val="000000" w:themeColor="text1"/>
        </w:rPr>
        <w:t xml:space="preserve">, </w:t>
      </w:r>
      <w:r w:rsidR="00650B48" w:rsidRPr="009B3E40">
        <w:rPr>
          <w:color w:val="000000" w:themeColor="text1"/>
        </w:rPr>
        <w:t>like</w:t>
      </w:r>
      <w:r w:rsidR="008E57F3" w:rsidRPr="009B3E40">
        <w:rPr>
          <w:color w:val="000000" w:themeColor="text1"/>
        </w:rPr>
        <w:t xml:space="preserve"> the </w:t>
      </w:r>
      <w:r w:rsidR="00633D54" w:rsidRPr="009B3E40">
        <w:rPr>
          <w:color w:val="000000" w:themeColor="text1"/>
        </w:rPr>
        <w:t>existing use of letters of intent.</w:t>
      </w:r>
    </w:p>
    <w:p w14:paraId="6EE36807" w14:textId="77777777" w:rsidR="003B288F" w:rsidRPr="009B3E40" w:rsidRDefault="003B288F">
      <w:pPr>
        <w:rPr>
          <w:color w:val="000000" w:themeColor="text1"/>
        </w:rPr>
      </w:pPr>
    </w:p>
    <w:p w14:paraId="119CD259" w14:textId="7A6987DD" w:rsidR="003B288F" w:rsidRPr="009B3E40" w:rsidRDefault="00A36C3A">
      <w:pPr>
        <w:rPr>
          <w:color w:val="000000" w:themeColor="text1"/>
        </w:rPr>
      </w:pPr>
      <w:r w:rsidRPr="009B3E40">
        <w:rPr>
          <w:color w:val="000000" w:themeColor="text1"/>
        </w:rPr>
        <w:t>In summary,</w:t>
      </w:r>
      <w:r w:rsidR="00886D0C" w:rsidRPr="009B3E40">
        <w:rPr>
          <w:color w:val="000000" w:themeColor="text1"/>
        </w:rPr>
        <w:t xml:space="preserve"> ITCHR is </w:t>
      </w:r>
      <w:r w:rsidR="00FE426C" w:rsidRPr="009B3E40">
        <w:rPr>
          <w:color w:val="000000" w:themeColor="text1"/>
        </w:rPr>
        <w:t xml:space="preserve">widely seen as a key element of a binding contract. </w:t>
      </w:r>
      <w:r w:rsidR="001434BE" w:rsidRPr="009B3E40">
        <w:rPr>
          <w:color w:val="000000" w:themeColor="text1"/>
        </w:rPr>
        <w:t>Even in early examples such as Balfour and Carlil</w:t>
      </w:r>
      <w:r w:rsidR="006322BE" w:rsidRPr="009B3E40">
        <w:rPr>
          <w:color w:val="000000" w:themeColor="text1"/>
        </w:rPr>
        <w:t>l, the foundation of presumption</w:t>
      </w:r>
      <w:r w:rsidR="00EA0251" w:rsidRPr="009B3E40">
        <w:rPr>
          <w:color w:val="000000" w:themeColor="text1"/>
        </w:rPr>
        <w:t>s</w:t>
      </w:r>
      <w:r w:rsidR="006322BE" w:rsidRPr="009B3E40">
        <w:rPr>
          <w:color w:val="000000" w:themeColor="text1"/>
        </w:rPr>
        <w:t xml:space="preserve"> in cases can be seen to provide a </w:t>
      </w:r>
      <w:r w:rsidR="006E34D1" w:rsidRPr="009B3E40">
        <w:rPr>
          <w:color w:val="000000" w:themeColor="text1"/>
        </w:rPr>
        <w:t xml:space="preserve">trend of precedence, meaning that individuals are </w:t>
      </w:r>
      <w:r w:rsidR="00E36623" w:rsidRPr="009B3E40">
        <w:rPr>
          <w:color w:val="000000" w:themeColor="text1"/>
        </w:rPr>
        <w:t xml:space="preserve">generally </w:t>
      </w:r>
      <w:r w:rsidR="006E34D1" w:rsidRPr="009B3E40">
        <w:rPr>
          <w:color w:val="000000" w:themeColor="text1"/>
        </w:rPr>
        <w:t xml:space="preserve">aware of their </w:t>
      </w:r>
      <w:r w:rsidR="00EA0251" w:rsidRPr="009B3E40">
        <w:rPr>
          <w:color w:val="000000" w:themeColor="text1"/>
        </w:rPr>
        <w:t>obligations to the law</w:t>
      </w:r>
      <w:sdt>
        <w:sdtPr>
          <w:rPr>
            <w:color w:val="000000" w:themeColor="text1"/>
          </w:rPr>
          <w:id w:val="-246804459"/>
          <w:citation/>
        </w:sdtPr>
        <w:sdtContent>
          <w:r w:rsidR="009B3E40" w:rsidRPr="009B3E40">
            <w:rPr>
              <w:color w:val="000000" w:themeColor="text1"/>
            </w:rPr>
            <w:fldChar w:fldCharType="begin"/>
          </w:r>
          <w:r w:rsidR="009B3E40" w:rsidRPr="009B3E40">
            <w:rPr>
              <w:color w:val="000000" w:themeColor="text1"/>
            </w:rPr>
            <w:instrText xml:space="preserve"> CITATION Ric21 \l 2057 </w:instrText>
          </w:r>
          <w:r w:rsidR="009B3E40" w:rsidRPr="009B3E40">
            <w:rPr>
              <w:color w:val="000000" w:themeColor="text1"/>
            </w:rPr>
            <w:fldChar w:fldCharType="separate"/>
          </w:r>
          <w:r w:rsidR="009B3E40" w:rsidRPr="009B3E40">
            <w:rPr>
              <w:noProof/>
              <w:color w:val="000000" w:themeColor="text1"/>
            </w:rPr>
            <w:t xml:space="preserve"> (Hay, 2021)</w:t>
          </w:r>
          <w:r w:rsidR="009B3E40" w:rsidRPr="009B3E40">
            <w:rPr>
              <w:color w:val="000000" w:themeColor="text1"/>
            </w:rPr>
            <w:fldChar w:fldCharType="end"/>
          </w:r>
        </w:sdtContent>
      </w:sdt>
      <w:r w:rsidR="00EA0251" w:rsidRPr="009B3E40">
        <w:rPr>
          <w:color w:val="000000" w:themeColor="text1"/>
        </w:rPr>
        <w:t>.</w:t>
      </w:r>
      <w:r w:rsidR="00E36623" w:rsidRPr="009B3E40">
        <w:rPr>
          <w:color w:val="000000" w:themeColor="text1"/>
        </w:rPr>
        <w:t xml:space="preserve"> However, when considering familial </w:t>
      </w:r>
      <w:r w:rsidR="00764BC1" w:rsidRPr="009B3E40">
        <w:rPr>
          <w:color w:val="000000" w:themeColor="text1"/>
        </w:rPr>
        <w:t>agreements, the various</w:t>
      </w:r>
      <w:r w:rsidR="000D1809" w:rsidRPr="009B3E40">
        <w:rPr>
          <w:color w:val="000000" w:themeColor="text1"/>
        </w:rPr>
        <w:t xml:space="preserve"> caveats </w:t>
      </w:r>
      <w:r w:rsidR="00067AD7" w:rsidRPr="009B3E40">
        <w:rPr>
          <w:color w:val="000000" w:themeColor="text1"/>
        </w:rPr>
        <w:t xml:space="preserve">mean that complex scenarios such as those involving </w:t>
      </w:r>
      <w:r w:rsidR="00924456" w:rsidRPr="009B3E40">
        <w:rPr>
          <w:color w:val="000000" w:themeColor="text1"/>
        </w:rPr>
        <w:t xml:space="preserve">separated couples are ambiguous, leaving </w:t>
      </w:r>
      <w:r w:rsidR="004D0CB7" w:rsidRPr="009B3E40">
        <w:rPr>
          <w:color w:val="000000" w:themeColor="text1"/>
        </w:rPr>
        <w:t xml:space="preserve">parties to an agreement </w:t>
      </w:r>
      <w:r w:rsidR="00283643" w:rsidRPr="009B3E40">
        <w:rPr>
          <w:color w:val="000000" w:themeColor="text1"/>
        </w:rPr>
        <w:t>uncertain on whether their agreements have a legal basis.</w:t>
      </w:r>
      <w:r w:rsidR="004B0DA0" w:rsidRPr="009B3E40">
        <w:rPr>
          <w:color w:val="000000" w:themeColor="text1"/>
        </w:rPr>
        <w:t xml:space="preserve"> On the other hand, commercial ag</w:t>
      </w:r>
      <w:r w:rsidR="005401D6" w:rsidRPr="009B3E40">
        <w:rPr>
          <w:color w:val="000000" w:themeColor="text1"/>
        </w:rPr>
        <w:t>reements face opposite challenges</w:t>
      </w:r>
      <w:sdt>
        <w:sdtPr>
          <w:rPr>
            <w:color w:val="000000" w:themeColor="text1"/>
          </w:rPr>
          <w:id w:val="-259224938"/>
          <w:citation/>
        </w:sdtPr>
        <w:sdtContent>
          <w:r w:rsidR="009B3E40" w:rsidRPr="009B3E40">
            <w:rPr>
              <w:color w:val="000000" w:themeColor="text1"/>
            </w:rPr>
            <w:fldChar w:fldCharType="begin"/>
          </w:r>
          <w:r w:rsidR="009B3E40" w:rsidRPr="009B3E40">
            <w:rPr>
              <w:color w:val="000000" w:themeColor="text1"/>
            </w:rPr>
            <w:instrText xml:space="preserve"> CITATION Ric21 \l 2057 </w:instrText>
          </w:r>
          <w:r w:rsidR="009B3E40" w:rsidRPr="009B3E40">
            <w:rPr>
              <w:color w:val="000000" w:themeColor="text1"/>
            </w:rPr>
            <w:fldChar w:fldCharType="separate"/>
          </w:r>
          <w:r w:rsidR="009B3E40" w:rsidRPr="009B3E40">
            <w:rPr>
              <w:noProof/>
              <w:color w:val="000000" w:themeColor="text1"/>
            </w:rPr>
            <w:t xml:space="preserve"> (Hay, 2021)</w:t>
          </w:r>
          <w:r w:rsidR="009B3E40" w:rsidRPr="009B3E40">
            <w:rPr>
              <w:color w:val="000000" w:themeColor="text1"/>
            </w:rPr>
            <w:fldChar w:fldCharType="end"/>
          </w:r>
        </w:sdtContent>
      </w:sdt>
      <w:r w:rsidR="005401D6" w:rsidRPr="009B3E40">
        <w:rPr>
          <w:color w:val="000000" w:themeColor="text1"/>
        </w:rPr>
        <w:t>.</w:t>
      </w:r>
      <w:r w:rsidR="00255567" w:rsidRPr="009B3E40">
        <w:rPr>
          <w:color w:val="000000" w:themeColor="text1"/>
        </w:rPr>
        <w:t xml:space="preserve"> The rigidity in</w:t>
      </w:r>
      <w:r w:rsidR="00B0342F" w:rsidRPr="009B3E40">
        <w:rPr>
          <w:color w:val="000000" w:themeColor="text1"/>
        </w:rPr>
        <w:t xml:space="preserve"> preceding cases means that </w:t>
      </w:r>
      <w:r w:rsidR="00025B75" w:rsidRPr="009B3E40">
        <w:rPr>
          <w:color w:val="000000" w:themeColor="text1"/>
        </w:rPr>
        <w:t xml:space="preserve">modern day business models </w:t>
      </w:r>
      <w:r w:rsidR="005A7720" w:rsidRPr="009B3E40">
        <w:rPr>
          <w:color w:val="000000" w:themeColor="text1"/>
        </w:rPr>
        <w:t>suffer</w:t>
      </w:r>
      <w:r w:rsidR="00AF1D02" w:rsidRPr="009B3E40">
        <w:rPr>
          <w:color w:val="000000" w:themeColor="text1"/>
        </w:rPr>
        <w:t>, as they are unafforded the discretion of casual agreements</w:t>
      </w:r>
      <w:sdt>
        <w:sdtPr>
          <w:rPr>
            <w:color w:val="000000" w:themeColor="text1"/>
          </w:rPr>
          <w:id w:val="1514573201"/>
          <w:citation/>
        </w:sdtPr>
        <w:sdtContent>
          <w:r w:rsidR="009B3E40" w:rsidRPr="009B3E40">
            <w:rPr>
              <w:color w:val="000000" w:themeColor="text1"/>
            </w:rPr>
            <w:fldChar w:fldCharType="begin"/>
          </w:r>
          <w:r w:rsidR="009B3E40" w:rsidRPr="009B3E40">
            <w:rPr>
              <w:color w:val="000000" w:themeColor="text1"/>
            </w:rPr>
            <w:instrText xml:space="preserve"> CITATION Nig10 \l 2057 </w:instrText>
          </w:r>
          <w:r w:rsidR="009B3E40" w:rsidRPr="009B3E40">
            <w:rPr>
              <w:color w:val="000000" w:themeColor="text1"/>
            </w:rPr>
            <w:fldChar w:fldCharType="separate"/>
          </w:r>
          <w:r w:rsidR="009B3E40" w:rsidRPr="009B3E40">
            <w:rPr>
              <w:noProof/>
              <w:color w:val="000000" w:themeColor="text1"/>
            </w:rPr>
            <w:t xml:space="preserve"> (jameson, 2010)</w:t>
          </w:r>
          <w:r w:rsidR="009B3E40" w:rsidRPr="009B3E40">
            <w:rPr>
              <w:color w:val="000000" w:themeColor="text1"/>
            </w:rPr>
            <w:fldChar w:fldCharType="end"/>
          </w:r>
        </w:sdtContent>
      </w:sdt>
      <w:r w:rsidR="00292D5D" w:rsidRPr="009B3E40">
        <w:rPr>
          <w:color w:val="000000" w:themeColor="text1"/>
        </w:rPr>
        <w:t xml:space="preserve">. In either case, reform is needed </w:t>
      </w:r>
      <w:r w:rsidR="00C376E0" w:rsidRPr="009B3E40">
        <w:rPr>
          <w:color w:val="000000" w:themeColor="text1"/>
        </w:rPr>
        <w:t>to provide clarity and flexibility in this divisive area of law.</w:t>
      </w:r>
    </w:p>
    <w:p w14:paraId="69E9BD22" w14:textId="77777777" w:rsidR="000D6218" w:rsidRPr="009B3E40" w:rsidRDefault="000D6218">
      <w:pPr>
        <w:rPr>
          <w:color w:val="000000" w:themeColor="text1"/>
        </w:rPr>
      </w:pPr>
    </w:p>
    <w:p w14:paraId="57BE767C" w14:textId="77777777" w:rsidR="000D6218" w:rsidRDefault="000D6218"/>
    <w:sdt>
      <w:sdtPr>
        <w:id w:val="807210113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</w:sdtEndPr>
      <w:sdtContent>
        <w:p w14:paraId="759F355E" w14:textId="34415302" w:rsidR="00B271D7" w:rsidRDefault="00B271D7">
          <w:pPr>
            <w:pStyle w:val="Heading1"/>
          </w:pPr>
          <w:r>
            <w:t>Reference List</w:t>
          </w:r>
        </w:p>
        <w:p w14:paraId="0CADDF43" w14:textId="793325DD" w:rsidR="008F4A62" w:rsidRDefault="008F4A62" w:rsidP="008F4A62">
          <w:pPr>
            <w:rPr>
              <w:lang w:eastAsia="en-US"/>
            </w:rPr>
          </w:pPr>
          <w:r w:rsidRPr="008F4A62">
            <w:rPr>
              <w:lang w:eastAsia="en-US"/>
            </w:rPr>
            <w:t>Albert v Motor Insurers Bureau [1971] 3 WLR 291</w:t>
          </w:r>
        </w:p>
        <w:p w14:paraId="442A37C0" w14:textId="77777777" w:rsidR="00EF2E29" w:rsidRDefault="00EF2E29" w:rsidP="008F4A62">
          <w:pPr>
            <w:rPr>
              <w:lang w:eastAsia="en-US"/>
            </w:rPr>
          </w:pPr>
        </w:p>
        <w:p w14:paraId="0492CFE3" w14:textId="7C04C11E" w:rsidR="008F4A62" w:rsidRDefault="00EF2E29" w:rsidP="008F4A62">
          <w:pPr>
            <w:rPr>
              <w:lang w:eastAsia="en-US"/>
            </w:rPr>
          </w:pPr>
          <w:r w:rsidRPr="00EF2E29">
            <w:rPr>
              <w:lang w:eastAsia="en-US"/>
            </w:rPr>
            <w:t>Balfour v Balfour [1919] 2 KB 571</w:t>
          </w:r>
        </w:p>
        <w:p w14:paraId="0FA76AB1" w14:textId="77777777" w:rsidR="00EF2E29" w:rsidRPr="008F4A62" w:rsidRDefault="00EF2E29" w:rsidP="008F4A62">
          <w:pPr>
            <w:rPr>
              <w:lang w:eastAsia="en-US"/>
            </w:rPr>
          </w:pPr>
        </w:p>
        <w:p w14:paraId="5C204808" w14:textId="77777777" w:rsidR="00B8100E" w:rsidRDefault="00B8100E" w:rsidP="00B8100E">
          <w:pPr>
            <w:pStyle w:val="NormalWeb"/>
            <w:shd w:val="clear" w:color="auto" w:fill="FFFFFF"/>
            <w:spacing w:before="0" w:beforeAutospacing="0"/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B8100E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 xml:space="preserve">British Road Services v Arthur V </w:t>
          </w:r>
          <w:proofErr w:type="spellStart"/>
          <w:r w:rsidRPr="00B8100E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Crutchley</w:t>
          </w:r>
          <w:proofErr w:type="spellEnd"/>
          <w:r w:rsidRPr="00B8100E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 xml:space="preserve"> &amp; Co Ltd (No.1) [1968] 1 All ER 811</w:t>
          </w:r>
        </w:p>
        <w:p w14:paraId="5C4E3C05" w14:textId="77777777" w:rsidR="00021F95" w:rsidRDefault="00021F95" w:rsidP="00021F95">
          <w:pPr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021F95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Carlill v Carbolic Smoke Ball Co [1893] 1 QB 256</w:t>
          </w:r>
        </w:p>
        <w:p w14:paraId="493BD2C1" w14:textId="77777777" w:rsidR="00190DD7" w:rsidRPr="00021F95" w:rsidRDefault="00190DD7" w:rsidP="00021F95">
          <w:pPr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</w:p>
        <w:p w14:paraId="6CB1F8E3" w14:textId="0B14C16D" w:rsidR="00021F95" w:rsidRDefault="00190DD7" w:rsidP="00B8100E">
          <w:pPr>
            <w:pStyle w:val="NormalWeb"/>
            <w:shd w:val="clear" w:color="auto" w:fill="FFFFFF"/>
            <w:spacing w:before="0" w:beforeAutospacing="0"/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190DD7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Cohen v Cohen (1929) 42 CLR 91</w:t>
          </w:r>
        </w:p>
        <w:p w14:paraId="36104301" w14:textId="58B15B88" w:rsidR="00B26365" w:rsidRDefault="00B26365" w:rsidP="00B8100E">
          <w:pPr>
            <w:pStyle w:val="NormalWeb"/>
            <w:shd w:val="clear" w:color="auto" w:fill="FFFFFF"/>
            <w:spacing w:before="0" w:beforeAutospacing="0"/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B26365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Edwards v Skyways [1969] 1 WLR 349</w:t>
          </w:r>
        </w:p>
        <w:p w14:paraId="028869F9" w14:textId="0D45901D" w:rsidR="001B5D5D" w:rsidRDefault="001B5D5D" w:rsidP="00B8100E">
          <w:pPr>
            <w:pStyle w:val="NormalWeb"/>
            <w:shd w:val="clear" w:color="auto" w:fill="FFFFFF"/>
            <w:spacing w:before="0" w:beforeAutospacing="0"/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1B5D5D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Entores v Miles Far East Corp [1955] 2 QB 327</w:t>
          </w:r>
        </w:p>
        <w:p w14:paraId="16DF6A17" w14:textId="14AA40A0" w:rsidR="00DF7928" w:rsidRDefault="00DF7928" w:rsidP="00B8100E">
          <w:pPr>
            <w:pStyle w:val="NormalWeb"/>
            <w:shd w:val="clear" w:color="auto" w:fill="FFFFFF"/>
            <w:spacing w:before="0" w:beforeAutospacing="0"/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DF7928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Eves v Eves [1975] 1 WLR 1338</w:t>
          </w:r>
        </w:p>
        <w:p w14:paraId="14DA3591" w14:textId="1DDFFD87" w:rsidR="009A0979" w:rsidRPr="00B8100E" w:rsidRDefault="009A0979" w:rsidP="00B8100E">
          <w:pPr>
            <w:pStyle w:val="NormalWeb"/>
            <w:shd w:val="clear" w:color="auto" w:fill="FFFFFF"/>
            <w:spacing w:before="0" w:beforeAutospacing="0"/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</w:pPr>
          <w:r w:rsidRPr="009A0979">
            <w:rPr>
              <w:rStyle w:val="Strong"/>
              <w:rFonts w:ascii="Segoe UI" w:eastAsiaTheme="majorEastAsia" w:hAnsi="Segoe UI" w:cs="Segoe UI"/>
              <w:b w:val="0"/>
              <w:bCs w:val="0"/>
              <w:color w:val="212529"/>
            </w:rPr>
            <w:t>Esso Petroleum Ltd v Commissioners of Customs and Excise [1976] 1 WLR</w:t>
          </w:r>
        </w:p>
        <w:sdt>
          <w:sdtPr>
            <w:id w:val="111145805"/>
            <w:bibliography/>
          </w:sdtPr>
          <w:sdtContent>
            <w:p w14:paraId="3CC0F4C4" w14:textId="3318DE98" w:rsidR="00B271D7" w:rsidRPr="00B8100E" w:rsidRDefault="00B271D7" w:rsidP="00B8100E">
              <w:pPr>
                <w:pStyle w:val="NormalWeb"/>
                <w:shd w:val="clear" w:color="auto" w:fill="FFFFFF"/>
                <w:spacing w:before="0" w:beforeAutospacing="0"/>
                <w:rPr>
                  <w:rFonts w:ascii="Segoe UI" w:hAnsi="Segoe UI" w:cs="Segoe UI"/>
                  <w:color w:val="212529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Finch, E. &amp; Farfinski, S. (2023) </w:t>
              </w:r>
              <w:r>
                <w:rPr>
                  <w:i/>
                  <w:iCs/>
                  <w:noProof/>
                </w:rPr>
                <w:t xml:space="preserve">Contract Law. </w:t>
              </w:r>
              <w:r>
                <w:rPr>
                  <w:noProof/>
                </w:rPr>
                <w:t>8 ed. London: Pearson.</w:t>
              </w:r>
            </w:p>
            <w:p w14:paraId="517ADA7E" w14:textId="16B9CE4F" w:rsidR="00B271D7" w:rsidRDefault="00B271D7" w:rsidP="00B271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Garratt, F., 2016. 'Oral contracts and oral variations'. </w:t>
              </w:r>
              <w:r>
                <w:rPr>
                  <w:i/>
                  <w:iCs/>
                  <w:noProof/>
                </w:rPr>
                <w:t xml:space="preserve">Construction Law, </w:t>
              </w:r>
              <w:r>
                <w:rPr>
                  <w:noProof/>
                </w:rPr>
                <w:t>27(10), p. 23.</w:t>
              </w:r>
            </w:p>
            <w:p w14:paraId="3DA81141" w14:textId="010AD51C" w:rsidR="00CB274E" w:rsidRPr="00CB274E" w:rsidRDefault="00CB274E" w:rsidP="00CB274E">
              <w:pPr>
                <w:rPr>
                  <w:lang w:eastAsia="en-US"/>
                </w:rPr>
              </w:pPr>
              <w:proofErr w:type="spellStart"/>
              <w:r>
                <w:rPr>
                  <w:rStyle w:val="Strong"/>
                  <w:rFonts w:ascii="Segoe UI" w:eastAsiaTheme="majorEastAsia" w:hAnsi="Segoe UI" w:cs="Segoe UI"/>
                  <w:color w:val="212529"/>
                  <w:shd w:val="clear" w:color="auto" w:fill="FFFFFF"/>
                </w:rPr>
                <w:t>G</w:t>
              </w:r>
              <w:r w:rsidRPr="00CB274E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ranatino</w:t>
              </w:r>
              <w:proofErr w:type="spellEnd"/>
              <w:r w:rsidRPr="00CB274E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v </w:t>
              </w:r>
              <w:proofErr w:type="spellStart"/>
              <w:r w:rsidRPr="00CB274E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Radmacher</w:t>
              </w:r>
              <w:proofErr w:type="spellEnd"/>
              <w:r w:rsidRPr="00CB274E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[2010] UKSC 42</w:t>
              </w:r>
            </w:p>
            <w:p w14:paraId="13555899" w14:textId="77777777" w:rsidR="00CB274E" w:rsidRPr="00CB274E" w:rsidRDefault="00CB274E" w:rsidP="00CB274E">
              <w:pPr>
                <w:rPr>
                  <w:lang w:eastAsia="en-US"/>
                </w:rPr>
              </w:pPr>
            </w:p>
            <w:p w14:paraId="711D0510" w14:textId="3A7D8397" w:rsidR="00B271D7" w:rsidRDefault="00B271D7" w:rsidP="00B271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Goodrich, P. (2005) 'Friends in high places'. </w:t>
              </w:r>
              <w:r>
                <w:rPr>
                  <w:i/>
                  <w:iCs/>
                  <w:noProof/>
                </w:rPr>
                <w:t xml:space="preserve">International journal of Law in Context, </w:t>
              </w:r>
              <w:r>
                <w:rPr>
                  <w:noProof/>
                </w:rPr>
                <w:t>1(1), pp. 41-59.</w:t>
              </w:r>
            </w:p>
            <w:p w14:paraId="738F40CE" w14:textId="50DD3E9D" w:rsidR="008B1A73" w:rsidRPr="008B1A73" w:rsidRDefault="008B1A73" w:rsidP="008B1A73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8B1A73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Grow With Us Ltd v Green Thumb (UK) Ltd [2006] EWCA </w:t>
              </w:r>
              <w:proofErr w:type="spellStart"/>
              <w:r w:rsidRPr="008B1A73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Civ</w:t>
              </w:r>
              <w:proofErr w:type="spellEnd"/>
              <w:r w:rsidRPr="008B1A73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1201</w:t>
              </w:r>
            </w:p>
            <w:p w14:paraId="2F661A67" w14:textId="77777777" w:rsidR="008B1A73" w:rsidRPr="008B1A73" w:rsidRDefault="008B1A73" w:rsidP="008B1A73">
              <w:pPr>
                <w:rPr>
                  <w:lang w:eastAsia="en-US"/>
                </w:rPr>
              </w:pPr>
            </w:p>
            <w:p w14:paraId="446D4076" w14:textId="4FDE0952" w:rsidR="002D09F6" w:rsidRPr="00550F0D" w:rsidRDefault="002D09F6" w:rsidP="002D09F6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proofErr w:type="spellStart"/>
              <w:r w:rsidRPr="00550F0D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Gunthing</w:t>
              </w:r>
              <w:proofErr w:type="spellEnd"/>
              <w:r w:rsidRPr="00550F0D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v Lynn (1831) 2 B7 Ad 232</w:t>
              </w:r>
            </w:p>
            <w:p w14:paraId="57D9C35F" w14:textId="77777777" w:rsidR="002D09F6" w:rsidRPr="002D09F6" w:rsidRDefault="002D09F6" w:rsidP="002D09F6">
              <w:pPr>
                <w:rPr>
                  <w:lang w:eastAsia="en-US"/>
                </w:rPr>
              </w:pPr>
            </w:p>
            <w:p w14:paraId="0158293B" w14:textId="2981F60F" w:rsidR="00B271D7" w:rsidRDefault="00B271D7" w:rsidP="00B271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Hay, R. (2021) 'Smart contracts: navigating a course between a conscensus arranement and a legal contract'. </w:t>
              </w:r>
              <w:r>
                <w:rPr>
                  <w:i/>
                  <w:iCs/>
                  <w:noProof/>
                </w:rPr>
                <w:t xml:space="preserve">Journal of international Banking and Financial Law, </w:t>
              </w:r>
              <w:r>
                <w:rPr>
                  <w:noProof/>
                </w:rPr>
                <w:t>36(8), pp. 531-555.</w:t>
              </w:r>
            </w:p>
            <w:p w14:paraId="10FCEF56" w14:textId="03121062" w:rsidR="002F5C65" w:rsidRDefault="002F5C65" w:rsidP="002F5C65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2F5C65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Hadley v Kemp [1999] EMLR 589</w:t>
              </w:r>
            </w:p>
            <w:p w14:paraId="7F0F8B40" w14:textId="77777777" w:rsidR="00090B1E" w:rsidRDefault="00090B1E" w:rsidP="002F5C65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</w:p>
            <w:p w14:paraId="6E7EF512" w14:textId="599C7DAD" w:rsidR="00090B1E" w:rsidRPr="00090B1E" w:rsidRDefault="00090B1E" w:rsidP="002F5C65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090B1E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Heslop v Burns [1974] 1 WLR 1241</w:t>
              </w:r>
            </w:p>
            <w:p w14:paraId="0EF9E935" w14:textId="77777777" w:rsidR="002F5C65" w:rsidRPr="002F5C65" w:rsidRDefault="002F5C65" w:rsidP="002F5C65">
              <w:pPr>
                <w:rPr>
                  <w:b/>
                  <w:bCs/>
                  <w:lang w:eastAsia="en-US"/>
                </w:rPr>
              </w:pPr>
            </w:p>
            <w:p w14:paraId="517B4D3F" w14:textId="36DA9B1A" w:rsidR="00E52C3F" w:rsidRDefault="00E52C3F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>
                <w:rPr>
                  <w:rStyle w:val="Strong"/>
                  <w:rFonts w:ascii="Segoe UI" w:eastAsiaTheme="majorEastAsia" w:hAnsi="Segoe UI" w:cs="Segoe UI"/>
                  <w:color w:val="212529"/>
                  <w:shd w:val="clear" w:color="auto" w:fill="FFFFFF"/>
                </w:rPr>
                <w:t>H</w:t>
              </w:r>
              <w:r w:rsidRPr="00E52C3F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yde v Wrench (1840) 49 ER 132</w:t>
              </w:r>
            </w:p>
            <w:p w14:paraId="00AC14E1" w14:textId="77777777" w:rsidR="00F26105" w:rsidRDefault="00F26105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</w:p>
            <w:p w14:paraId="1BA7E521" w14:textId="04332D56" w:rsidR="00E20495" w:rsidRDefault="00F26105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F26105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Kaur v MG Rover, [2005] IRLR 40</w:t>
              </w:r>
            </w:p>
            <w:p w14:paraId="262E1F30" w14:textId="77777777" w:rsidR="00CF4F82" w:rsidRPr="00CF4F82" w:rsidRDefault="00CF4F82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</w:p>
            <w:p w14:paraId="10632AC4" w14:textId="77F4AC00" w:rsidR="00CF4F82" w:rsidRPr="00CF4F82" w:rsidRDefault="00CF4F82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CF4F82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Kleinwort Benson Ltd v Malaysian Mining Corporation, [1989] 1 WLR 379</w:t>
              </w:r>
            </w:p>
            <w:p w14:paraId="49EF186D" w14:textId="77777777" w:rsidR="00F26105" w:rsidRPr="00F26105" w:rsidRDefault="00F26105" w:rsidP="00E52C3F">
              <w:pPr>
                <w:rPr>
                  <w:b/>
                  <w:bCs/>
                </w:rPr>
              </w:pPr>
            </w:p>
            <w:p w14:paraId="05D05D2F" w14:textId="32B28047" w:rsidR="00E20495" w:rsidRDefault="00E20495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>
                <w:t xml:space="preserve"> Law of Property (Miscellaneous Provisions Act) Act 1989)</w:t>
              </w:r>
              <w:r>
                <w:t>,</w:t>
              </w:r>
              <w:r w:rsidR="00807BE5">
                <w:t xml:space="preserve"> c.34. Available at:</w:t>
              </w:r>
              <w:r w:rsidR="00807BE5" w:rsidRPr="00807BE5">
                <w:t xml:space="preserve"> </w:t>
              </w:r>
              <w:r w:rsidR="00807BE5" w:rsidRPr="00807BE5">
                <w:t>https://www.legislation.gov.uk/ukpga/1989/34/contents</w:t>
              </w:r>
            </w:p>
            <w:p w14:paraId="27738184" w14:textId="77777777" w:rsidR="00E20495" w:rsidRDefault="00E20495" w:rsidP="00E52C3F">
              <w:pPr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</w:p>
            <w:p w14:paraId="32CABBDB" w14:textId="77777777" w:rsidR="006036B6" w:rsidRPr="00E52C3F" w:rsidRDefault="006036B6" w:rsidP="00E52C3F">
              <w:pPr>
                <w:rPr>
                  <w:b/>
                  <w:bCs/>
                </w:rPr>
              </w:pPr>
            </w:p>
            <w:p w14:paraId="33D52A74" w14:textId="77777777" w:rsidR="008906D7" w:rsidRDefault="008906D7" w:rsidP="008906D7">
              <w:pPr>
                <w:shd w:val="clear" w:color="auto" w:fill="FFFFFF"/>
                <w:spacing w:after="100" w:afterAutospacing="1"/>
                <w:rPr>
                  <w:rFonts w:ascii="Segoe UI" w:hAnsi="Segoe UI" w:cs="Segoe UI"/>
                  <w:color w:val="212529"/>
                </w:rPr>
              </w:pPr>
              <w:r w:rsidRPr="008906D7">
                <w:rPr>
                  <w:rFonts w:ascii="Segoe UI" w:hAnsi="Segoe UI" w:cs="Segoe UI"/>
                  <w:color w:val="212529"/>
                </w:rPr>
                <w:t>Storer v Manchester City Council [1974] 1 WLR 1403</w:t>
              </w:r>
            </w:p>
            <w:p w14:paraId="6A21622D" w14:textId="756A4C1B" w:rsidR="006036B6" w:rsidRDefault="006036B6" w:rsidP="008906D7">
              <w:pPr>
                <w:shd w:val="clear" w:color="auto" w:fill="FFFFFF"/>
                <w:spacing w:after="100" w:afterAutospacing="1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6036B6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Merritt v Merritt [1970] 1 WLR 1211</w:t>
              </w:r>
            </w:p>
            <w:p w14:paraId="33288EB8" w14:textId="65C18204" w:rsidR="007A4C07" w:rsidRPr="007A4C07" w:rsidRDefault="007A4C07" w:rsidP="008906D7">
              <w:pPr>
                <w:shd w:val="clear" w:color="auto" w:fill="FFFFFF"/>
                <w:spacing w:after="100" w:afterAutospacing="1"/>
                <w:rPr>
                  <w:rFonts w:ascii="Segoe UI" w:hAnsi="Segoe UI" w:cs="Segoe UI"/>
                  <w:b/>
                  <w:bCs/>
                  <w:color w:val="212529"/>
                </w:rPr>
              </w:pPr>
              <w:r w:rsidRPr="007A4C07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Malcolm Charles Contracts Ltd v Crispin, [2014] EWHC 3898</w:t>
              </w:r>
            </w:p>
            <w:p w14:paraId="1FC497D5" w14:textId="22C9EA24" w:rsidR="00550F0D" w:rsidRDefault="00550F0D" w:rsidP="008906D7">
              <w:pPr>
                <w:shd w:val="clear" w:color="auto" w:fill="FFFFFF"/>
                <w:spacing w:after="100" w:afterAutospacing="1"/>
                <w:rPr>
                  <w:rFonts w:ascii="Segoe UI" w:hAnsi="Segoe UI" w:cs="Segoe UI"/>
                  <w:color w:val="000000" w:themeColor="text1"/>
                  <w:shd w:val="clear" w:color="auto" w:fill="FFFFFF"/>
                </w:rPr>
              </w:pPr>
              <w:hyperlink r:id="rId5" w:history="1">
                <w:r w:rsidRPr="00550F0D">
                  <w:rPr>
                    <w:rStyle w:val="Hyperlink"/>
                    <w:rFonts w:ascii="Segoe UI" w:eastAsiaTheme="majorEastAsia" w:hAnsi="Segoe UI" w:cs="Segoe UI"/>
                    <w:i/>
                    <w:iCs/>
                    <w:color w:val="000000" w:themeColor="text1"/>
                    <w:u w:val="none"/>
                  </w:rPr>
                  <w:t>Mileform Ltd v Interserve Security Ltd</w:t>
                </w:r>
              </w:hyperlink>
              <w:r w:rsidRPr="00550F0D">
                <w:rPr>
                  <w:rFonts w:ascii="Segoe UI" w:hAnsi="Segoe UI" w:cs="Segoe UI"/>
                  <w:color w:val="000000" w:themeColor="text1"/>
                  <w:shd w:val="clear" w:color="auto" w:fill="FFFFFF"/>
                </w:rPr>
                <w:t>, [2013] EWHC 3386</w:t>
              </w:r>
            </w:p>
            <w:p w14:paraId="279D21B2" w14:textId="115BAD52" w:rsidR="00F81895" w:rsidRPr="004D2F64" w:rsidRDefault="00F81895" w:rsidP="008906D7">
              <w:pPr>
                <w:shd w:val="clear" w:color="auto" w:fill="FFFFFF"/>
                <w:spacing w:after="100" w:afterAutospacing="1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4D2F64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New Hampshire Insurance v MGN The Times (28 July 1995)</w:t>
              </w:r>
            </w:p>
            <w:p w14:paraId="108325B3" w14:textId="1FC85FEF" w:rsidR="004D2F64" w:rsidRDefault="004D2F64" w:rsidP="008906D7">
              <w:pPr>
                <w:shd w:val="clear" w:color="auto" w:fill="FFFFFF"/>
                <w:spacing w:after="100" w:afterAutospacing="1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proofErr w:type="spellStart"/>
              <w:r w:rsidRPr="004D2F64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Popiw</w:t>
              </w:r>
              <w:proofErr w:type="spellEnd"/>
              <w:r w:rsidRPr="004D2F64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v </w:t>
              </w:r>
              <w:proofErr w:type="spellStart"/>
              <w:r w:rsidRPr="004D2F64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Popiw</w:t>
              </w:r>
              <w:proofErr w:type="spellEnd"/>
              <w:r w:rsidRPr="004D2F64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[1959] VR 197</w:t>
              </w:r>
            </w:p>
            <w:p w14:paraId="7DFE29B4" w14:textId="37D3037A" w:rsidR="0017588B" w:rsidRPr="0017588B" w:rsidRDefault="0017588B" w:rsidP="008906D7">
              <w:pPr>
                <w:shd w:val="clear" w:color="auto" w:fill="FFFFFF"/>
                <w:spacing w:after="100" w:afterAutospacing="1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17588B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Pettitt v Pettitt [1970] AC 777, HL</w:t>
              </w:r>
            </w:p>
            <w:p w14:paraId="54DC545A" w14:textId="08FAD5EF" w:rsidR="001871B9" w:rsidRPr="001871B9" w:rsidRDefault="001871B9" w:rsidP="008906D7">
              <w:pPr>
                <w:shd w:val="clear" w:color="auto" w:fill="FFFFFF"/>
                <w:spacing w:after="100" w:afterAutospacing="1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</w:pPr>
              <w:r w:rsidRPr="001871B9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Jones v </w:t>
              </w:r>
              <w:proofErr w:type="spellStart"/>
              <w:r w:rsidRPr="001871B9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Padavatton</w:t>
              </w:r>
              <w:proofErr w:type="spellEnd"/>
              <w:r w:rsidRPr="001871B9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[1969] 1 WLR 328</w:t>
              </w:r>
            </w:p>
            <w:p w14:paraId="70C65370" w14:textId="0354D7DC" w:rsidR="001871B9" w:rsidRPr="0013405B" w:rsidRDefault="0013405B" w:rsidP="008906D7">
              <w:pPr>
                <w:shd w:val="clear" w:color="auto" w:fill="FFFFFF"/>
                <w:spacing w:after="100" w:afterAutospacing="1"/>
                <w:rPr>
                  <w:rFonts w:ascii="Segoe UI" w:hAnsi="Segoe UI" w:cs="Segoe UI"/>
                  <w:b/>
                  <w:bCs/>
                  <w:color w:val="000000" w:themeColor="text1"/>
                </w:rPr>
              </w:pPr>
              <w:r w:rsidRPr="0013405B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Jones v </w:t>
              </w:r>
              <w:proofErr w:type="spellStart"/>
              <w:r w:rsidRPr="0013405B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Vernons</w:t>
              </w:r>
              <w:proofErr w:type="spellEnd"/>
              <w:r w:rsidRPr="0013405B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’ Pools Ltd, (1938) 2 All ER 626</w:t>
              </w:r>
            </w:p>
            <w:p w14:paraId="45B4C3EC" w14:textId="77777777" w:rsidR="005B068B" w:rsidRDefault="005B068B" w:rsidP="005B068B">
              <w:pPr>
                <w:pStyle w:val="NormalWeb"/>
                <w:shd w:val="clear" w:color="auto" w:fill="FFFFFF"/>
                <w:spacing w:before="0" w:beforeAutospacing="0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</w:rPr>
              </w:pPr>
              <w:r w:rsidRPr="005B068B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</w:rPr>
                <w:lastRenderedPageBreak/>
                <w:t>Routledge v Grant [1828] 4 Bing 653</w:t>
              </w:r>
            </w:p>
            <w:p w14:paraId="14ECF215" w14:textId="34FC7F30" w:rsidR="00800F25" w:rsidRPr="00800F25" w:rsidRDefault="00800F25" w:rsidP="005B068B">
              <w:pPr>
                <w:pStyle w:val="NormalWeb"/>
                <w:shd w:val="clear" w:color="auto" w:fill="FFFFFF"/>
                <w:spacing w:before="0" w:beforeAutospacing="0"/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</w:rPr>
              </w:pPr>
              <w:r w:rsidRPr="00800F25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RTS Flexible Systems Ltd v </w:t>
              </w:r>
              <w:proofErr w:type="spellStart"/>
              <w:r w:rsidRPr="00800F25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Molkerei</w:t>
              </w:r>
              <w:proofErr w:type="spellEnd"/>
              <w:r w:rsidRPr="00800F25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Alois Müller [2010] UKSC 14</w:t>
              </w:r>
            </w:p>
            <w:p w14:paraId="4D5B503D" w14:textId="2E2DB5F1" w:rsidR="007135EB" w:rsidRPr="007135EB" w:rsidRDefault="007135EB" w:rsidP="005B068B">
              <w:pPr>
                <w:pStyle w:val="NormalWeb"/>
                <w:shd w:val="clear" w:color="auto" w:fill="FFFFFF"/>
                <w:spacing w:before="0" w:beforeAutospacing="0"/>
                <w:rPr>
                  <w:rFonts w:ascii="Segoe UI" w:hAnsi="Segoe UI" w:cs="Segoe UI"/>
                  <w:b/>
                  <w:bCs/>
                  <w:color w:val="212529"/>
                </w:rPr>
              </w:pPr>
              <w:r w:rsidRPr="007135EB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Smith v Hughes (1870) LR 6 QB 597</w:t>
              </w:r>
            </w:p>
            <w:p w14:paraId="5AFBAD66" w14:textId="5163F6B1" w:rsidR="0023615C" w:rsidRPr="008906D7" w:rsidRDefault="0023615C" w:rsidP="008906D7">
              <w:pPr>
                <w:shd w:val="clear" w:color="auto" w:fill="FFFFFF"/>
                <w:spacing w:after="100" w:afterAutospacing="1"/>
                <w:rPr>
                  <w:rFonts w:ascii="Segoe UI" w:hAnsi="Segoe UI" w:cs="Segoe UI"/>
                  <w:b/>
                  <w:bCs/>
                  <w:color w:val="212529"/>
                </w:rPr>
              </w:pPr>
              <w:r w:rsidRPr="0023615C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Taylor v Laird (1856) 25 LJ Ex 329</w:t>
              </w:r>
            </w:p>
            <w:p w14:paraId="2E327DFF" w14:textId="41DCFF60" w:rsidR="00B271D7" w:rsidRDefault="008906D7" w:rsidP="00B271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J</w:t>
              </w:r>
              <w:r w:rsidR="00B271D7">
                <w:rPr>
                  <w:noProof/>
                </w:rPr>
                <w:t>ameson, N. (2010</w:t>
              </w:r>
              <w:r w:rsidR="00404700">
                <w:rPr>
                  <w:noProof/>
                </w:rPr>
                <w:t>)'</w:t>
              </w:r>
              <w:r w:rsidR="00B271D7">
                <w:rPr>
                  <w:noProof/>
                </w:rPr>
                <w:t xml:space="preserve"> The Contractual Mistakes Act part II: releasing more light than heat</w:t>
              </w:r>
              <w:r w:rsidR="00404700">
                <w:rPr>
                  <w:noProof/>
                </w:rPr>
                <w:t xml:space="preserve"> '.</w:t>
              </w:r>
              <w:r w:rsidR="00B271D7">
                <w:rPr>
                  <w:noProof/>
                </w:rPr>
                <w:t xml:space="preserve"> </w:t>
              </w:r>
              <w:r w:rsidR="00B271D7">
                <w:rPr>
                  <w:i/>
                  <w:iCs/>
                  <w:noProof/>
                </w:rPr>
                <w:t xml:space="preserve">Statute law Review, </w:t>
              </w:r>
              <w:r w:rsidR="00B271D7">
                <w:rPr>
                  <w:noProof/>
                </w:rPr>
                <w:t>31(2), p. 107.</w:t>
              </w:r>
            </w:p>
            <w:p w14:paraId="62187701" w14:textId="76E48C6C" w:rsidR="00B271D7" w:rsidRDefault="00404700" w:rsidP="00B271D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</w:t>
              </w:r>
              <w:r w:rsidR="00B271D7">
                <w:rPr>
                  <w:noProof/>
                </w:rPr>
                <w:t>aloney, C.</w:t>
              </w:r>
              <w:r>
                <w:rPr>
                  <w:noProof/>
                </w:rPr>
                <w:t xml:space="preserve"> (</w:t>
              </w:r>
              <w:r w:rsidR="00B271D7">
                <w:rPr>
                  <w:noProof/>
                </w:rPr>
                <w:t>2023</w:t>
              </w:r>
              <w:r>
                <w:rPr>
                  <w:noProof/>
                </w:rPr>
                <w:t xml:space="preserve">) </w:t>
              </w:r>
              <w:r w:rsidR="00B271D7">
                <w:rPr>
                  <w:i/>
                  <w:iCs/>
                  <w:noProof/>
                </w:rPr>
                <w:t xml:space="preserve">Civil court delays the 'worst on record'. </w:t>
              </w:r>
              <w:r w:rsidR="00B271D7">
                <w:rPr>
                  <w:noProof/>
                </w:rPr>
                <w:br/>
                <w:t xml:space="preserve">Available at: </w:t>
              </w:r>
              <w:r w:rsidR="00B271D7">
                <w:rPr>
                  <w:noProof/>
                  <w:u w:val="single"/>
                </w:rPr>
                <w:t>https://www.lawgazette.co.uk/news/civil-court-delays-the-worst-on-record/5116199.article#</w:t>
              </w:r>
              <w:r w:rsidR="00B271D7">
                <w:rPr>
                  <w:noProof/>
                </w:rPr>
                <w:br/>
                <w:t>[Accessed 11 July 2024].</w:t>
              </w:r>
            </w:p>
            <w:p w14:paraId="0E56BA77" w14:textId="1E2E15C0" w:rsidR="003E710F" w:rsidRPr="003E710F" w:rsidRDefault="003E710F" w:rsidP="003E710F">
              <w:pPr>
                <w:rPr>
                  <w:b/>
                  <w:bCs/>
                  <w:lang w:eastAsia="en-US"/>
                </w:rPr>
              </w:pPr>
              <w:r w:rsidRPr="003E710F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Wyatt v </w:t>
              </w:r>
              <w:proofErr w:type="spellStart"/>
              <w:r w:rsidRPr="003E710F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Kreglinger</w:t>
              </w:r>
              <w:proofErr w:type="spellEnd"/>
              <w:r w:rsidRPr="003E710F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&amp; </w:t>
              </w:r>
              <w:proofErr w:type="spellStart"/>
              <w:r w:rsidRPr="003E710F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>Fernau</w:t>
              </w:r>
              <w:proofErr w:type="spellEnd"/>
              <w:r w:rsidRPr="003E710F">
                <w:rPr>
                  <w:rStyle w:val="Strong"/>
                  <w:rFonts w:ascii="Segoe UI" w:eastAsiaTheme="majorEastAsia" w:hAnsi="Segoe UI" w:cs="Segoe UI"/>
                  <w:b w:val="0"/>
                  <w:bCs w:val="0"/>
                  <w:color w:val="212529"/>
                  <w:shd w:val="clear" w:color="auto" w:fill="FFFFFF"/>
                </w:rPr>
                <w:t xml:space="preserve"> [1933] 1 KB 793</w:t>
              </w:r>
            </w:p>
            <w:p w14:paraId="77CF45E4" w14:textId="69808271" w:rsidR="00B271D7" w:rsidRDefault="00B271D7" w:rsidP="00B271D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1E7909F" w14:textId="77777777" w:rsidR="00B54F55" w:rsidRDefault="00B54F55"/>
    <w:p w14:paraId="32A67891" w14:textId="77777777" w:rsidR="00BE1EF2" w:rsidRDefault="00BE1EF2"/>
    <w:p w14:paraId="4A0ECB7B" w14:textId="77777777" w:rsidR="00BE1EF2" w:rsidRDefault="00BE1EF2"/>
    <w:p w14:paraId="33062FA0" w14:textId="77777777" w:rsidR="000741E1" w:rsidRDefault="000741E1"/>
    <w:p w14:paraId="206F8389" w14:textId="77777777" w:rsidR="000741E1" w:rsidRDefault="000741E1"/>
    <w:p w14:paraId="436A83CE" w14:textId="77777777" w:rsidR="00032D38" w:rsidRDefault="00032D38"/>
    <w:sectPr w:rsidR="00032D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9AA"/>
    <w:rsid w:val="000036B4"/>
    <w:rsid w:val="00016ACD"/>
    <w:rsid w:val="00021F95"/>
    <w:rsid w:val="00025B75"/>
    <w:rsid w:val="00031C29"/>
    <w:rsid w:val="00032D38"/>
    <w:rsid w:val="000510E4"/>
    <w:rsid w:val="00053CAC"/>
    <w:rsid w:val="000607AE"/>
    <w:rsid w:val="000627F7"/>
    <w:rsid w:val="0006431B"/>
    <w:rsid w:val="00067AD7"/>
    <w:rsid w:val="000741E1"/>
    <w:rsid w:val="000779BB"/>
    <w:rsid w:val="000810CC"/>
    <w:rsid w:val="00090323"/>
    <w:rsid w:val="00090B1E"/>
    <w:rsid w:val="00095BA4"/>
    <w:rsid w:val="000A257F"/>
    <w:rsid w:val="000B5A9A"/>
    <w:rsid w:val="000B6669"/>
    <w:rsid w:val="000B6A72"/>
    <w:rsid w:val="000C12EB"/>
    <w:rsid w:val="000C1ECA"/>
    <w:rsid w:val="000C6EEF"/>
    <w:rsid w:val="000D1809"/>
    <w:rsid w:val="000D6218"/>
    <w:rsid w:val="000F2817"/>
    <w:rsid w:val="000F5F57"/>
    <w:rsid w:val="001008A2"/>
    <w:rsid w:val="001012B9"/>
    <w:rsid w:val="00113EE5"/>
    <w:rsid w:val="001312A7"/>
    <w:rsid w:val="0013405B"/>
    <w:rsid w:val="00136FFC"/>
    <w:rsid w:val="001434BE"/>
    <w:rsid w:val="001562F3"/>
    <w:rsid w:val="001566A9"/>
    <w:rsid w:val="0016108B"/>
    <w:rsid w:val="00162A34"/>
    <w:rsid w:val="00165F7A"/>
    <w:rsid w:val="001704D9"/>
    <w:rsid w:val="0017588B"/>
    <w:rsid w:val="001804F3"/>
    <w:rsid w:val="001845DD"/>
    <w:rsid w:val="001871B9"/>
    <w:rsid w:val="00187B39"/>
    <w:rsid w:val="00190DD7"/>
    <w:rsid w:val="001A3731"/>
    <w:rsid w:val="001A6786"/>
    <w:rsid w:val="001A782D"/>
    <w:rsid w:val="001B5D5D"/>
    <w:rsid w:val="001B72A2"/>
    <w:rsid w:val="001C45E6"/>
    <w:rsid w:val="001D0B83"/>
    <w:rsid w:val="001E146A"/>
    <w:rsid w:val="001F4028"/>
    <w:rsid w:val="00200564"/>
    <w:rsid w:val="00202741"/>
    <w:rsid w:val="00205C2A"/>
    <w:rsid w:val="0021745E"/>
    <w:rsid w:val="00227559"/>
    <w:rsid w:val="0023305E"/>
    <w:rsid w:val="0023615C"/>
    <w:rsid w:val="00243284"/>
    <w:rsid w:val="00243C89"/>
    <w:rsid w:val="002446C7"/>
    <w:rsid w:val="0024593B"/>
    <w:rsid w:val="00246715"/>
    <w:rsid w:val="00247F3B"/>
    <w:rsid w:val="00255567"/>
    <w:rsid w:val="00255F4D"/>
    <w:rsid w:val="00262EB8"/>
    <w:rsid w:val="00273748"/>
    <w:rsid w:val="00283643"/>
    <w:rsid w:val="00286847"/>
    <w:rsid w:val="0028727F"/>
    <w:rsid w:val="00292D5D"/>
    <w:rsid w:val="002A4AC4"/>
    <w:rsid w:val="002B65E6"/>
    <w:rsid w:val="002B69B6"/>
    <w:rsid w:val="002C1BD5"/>
    <w:rsid w:val="002C4F31"/>
    <w:rsid w:val="002D09F6"/>
    <w:rsid w:val="002D0EA8"/>
    <w:rsid w:val="002D493B"/>
    <w:rsid w:val="002F5C65"/>
    <w:rsid w:val="003115EF"/>
    <w:rsid w:val="003219DD"/>
    <w:rsid w:val="003534F7"/>
    <w:rsid w:val="003560ED"/>
    <w:rsid w:val="00361677"/>
    <w:rsid w:val="00363B2E"/>
    <w:rsid w:val="003659B9"/>
    <w:rsid w:val="00373AE7"/>
    <w:rsid w:val="00377408"/>
    <w:rsid w:val="003802D9"/>
    <w:rsid w:val="00383A26"/>
    <w:rsid w:val="00392322"/>
    <w:rsid w:val="003948CA"/>
    <w:rsid w:val="0039732B"/>
    <w:rsid w:val="00397D8B"/>
    <w:rsid w:val="003A33B8"/>
    <w:rsid w:val="003B20C8"/>
    <w:rsid w:val="003B288F"/>
    <w:rsid w:val="003B35B0"/>
    <w:rsid w:val="003B4397"/>
    <w:rsid w:val="003B6842"/>
    <w:rsid w:val="003B7381"/>
    <w:rsid w:val="003C1EB0"/>
    <w:rsid w:val="003C55CB"/>
    <w:rsid w:val="003D46E1"/>
    <w:rsid w:val="003E710F"/>
    <w:rsid w:val="003F11CA"/>
    <w:rsid w:val="003F4254"/>
    <w:rsid w:val="003F5692"/>
    <w:rsid w:val="003F5DE8"/>
    <w:rsid w:val="003F6E51"/>
    <w:rsid w:val="00403E8E"/>
    <w:rsid w:val="00403F79"/>
    <w:rsid w:val="00404700"/>
    <w:rsid w:val="004148E5"/>
    <w:rsid w:val="00422591"/>
    <w:rsid w:val="00423068"/>
    <w:rsid w:val="00424CFB"/>
    <w:rsid w:val="004251C1"/>
    <w:rsid w:val="0042550D"/>
    <w:rsid w:val="0042680A"/>
    <w:rsid w:val="00426DF5"/>
    <w:rsid w:val="00430EC9"/>
    <w:rsid w:val="00431032"/>
    <w:rsid w:val="00432962"/>
    <w:rsid w:val="00443225"/>
    <w:rsid w:val="004524AE"/>
    <w:rsid w:val="00455F08"/>
    <w:rsid w:val="0045601F"/>
    <w:rsid w:val="00456D71"/>
    <w:rsid w:val="004650CC"/>
    <w:rsid w:val="00472908"/>
    <w:rsid w:val="00481052"/>
    <w:rsid w:val="0049308B"/>
    <w:rsid w:val="00493B91"/>
    <w:rsid w:val="004952D8"/>
    <w:rsid w:val="00495D6C"/>
    <w:rsid w:val="004A0F89"/>
    <w:rsid w:val="004A1530"/>
    <w:rsid w:val="004A1E43"/>
    <w:rsid w:val="004A626A"/>
    <w:rsid w:val="004B0DA0"/>
    <w:rsid w:val="004B35A3"/>
    <w:rsid w:val="004C499E"/>
    <w:rsid w:val="004D0CB7"/>
    <w:rsid w:val="004D2F64"/>
    <w:rsid w:val="004D6163"/>
    <w:rsid w:val="004E1349"/>
    <w:rsid w:val="004E2435"/>
    <w:rsid w:val="004E2B4D"/>
    <w:rsid w:val="004F221A"/>
    <w:rsid w:val="00501E2A"/>
    <w:rsid w:val="005041E1"/>
    <w:rsid w:val="00520113"/>
    <w:rsid w:val="0052747D"/>
    <w:rsid w:val="00530B4D"/>
    <w:rsid w:val="0053465A"/>
    <w:rsid w:val="005364F0"/>
    <w:rsid w:val="0053724C"/>
    <w:rsid w:val="005401D6"/>
    <w:rsid w:val="00550F0D"/>
    <w:rsid w:val="00564EF6"/>
    <w:rsid w:val="00583FDD"/>
    <w:rsid w:val="0059485E"/>
    <w:rsid w:val="00595EEF"/>
    <w:rsid w:val="005A0C52"/>
    <w:rsid w:val="005A3293"/>
    <w:rsid w:val="005A4494"/>
    <w:rsid w:val="005A606B"/>
    <w:rsid w:val="005A7720"/>
    <w:rsid w:val="005B068B"/>
    <w:rsid w:val="005B1894"/>
    <w:rsid w:val="005B2E18"/>
    <w:rsid w:val="005B3066"/>
    <w:rsid w:val="005B5E2D"/>
    <w:rsid w:val="005C1508"/>
    <w:rsid w:val="005D1358"/>
    <w:rsid w:val="005D3C15"/>
    <w:rsid w:val="005E4338"/>
    <w:rsid w:val="005E51CF"/>
    <w:rsid w:val="005F0D31"/>
    <w:rsid w:val="005F49D7"/>
    <w:rsid w:val="006036B6"/>
    <w:rsid w:val="00605C09"/>
    <w:rsid w:val="00611B8A"/>
    <w:rsid w:val="00614A2C"/>
    <w:rsid w:val="00614FD2"/>
    <w:rsid w:val="006157BF"/>
    <w:rsid w:val="006167AD"/>
    <w:rsid w:val="0062140B"/>
    <w:rsid w:val="00624852"/>
    <w:rsid w:val="00625798"/>
    <w:rsid w:val="006322BE"/>
    <w:rsid w:val="00633D54"/>
    <w:rsid w:val="00635561"/>
    <w:rsid w:val="00645476"/>
    <w:rsid w:val="00650B48"/>
    <w:rsid w:val="00652F42"/>
    <w:rsid w:val="00653642"/>
    <w:rsid w:val="00653D2E"/>
    <w:rsid w:val="0065518C"/>
    <w:rsid w:val="0067096F"/>
    <w:rsid w:val="00675EFD"/>
    <w:rsid w:val="006963CE"/>
    <w:rsid w:val="006A5392"/>
    <w:rsid w:val="006A69A4"/>
    <w:rsid w:val="006C1E72"/>
    <w:rsid w:val="006D3794"/>
    <w:rsid w:val="006E01A7"/>
    <w:rsid w:val="006E1A6F"/>
    <w:rsid w:val="006E1DD2"/>
    <w:rsid w:val="006E34D1"/>
    <w:rsid w:val="006F6242"/>
    <w:rsid w:val="006F6243"/>
    <w:rsid w:val="006F6C4E"/>
    <w:rsid w:val="0070223A"/>
    <w:rsid w:val="00703153"/>
    <w:rsid w:val="00704699"/>
    <w:rsid w:val="007135EB"/>
    <w:rsid w:val="007230D2"/>
    <w:rsid w:val="00725567"/>
    <w:rsid w:val="007259BE"/>
    <w:rsid w:val="00730AF0"/>
    <w:rsid w:val="00730E0F"/>
    <w:rsid w:val="007407B5"/>
    <w:rsid w:val="007413C6"/>
    <w:rsid w:val="007467E3"/>
    <w:rsid w:val="0075103D"/>
    <w:rsid w:val="0076104D"/>
    <w:rsid w:val="00764BC1"/>
    <w:rsid w:val="007666AD"/>
    <w:rsid w:val="0077130E"/>
    <w:rsid w:val="007A4C07"/>
    <w:rsid w:val="007C09B7"/>
    <w:rsid w:val="007D4008"/>
    <w:rsid w:val="007F2FB5"/>
    <w:rsid w:val="00800F25"/>
    <w:rsid w:val="00800F8F"/>
    <w:rsid w:val="008016B1"/>
    <w:rsid w:val="00801C72"/>
    <w:rsid w:val="008020EF"/>
    <w:rsid w:val="008045C0"/>
    <w:rsid w:val="00807BE5"/>
    <w:rsid w:val="00820373"/>
    <w:rsid w:val="00823115"/>
    <w:rsid w:val="00846D6B"/>
    <w:rsid w:val="00846E46"/>
    <w:rsid w:val="00852CCC"/>
    <w:rsid w:val="00855486"/>
    <w:rsid w:val="008657BB"/>
    <w:rsid w:val="00866082"/>
    <w:rsid w:val="00870155"/>
    <w:rsid w:val="00870F2A"/>
    <w:rsid w:val="00877625"/>
    <w:rsid w:val="00886D0C"/>
    <w:rsid w:val="008906D7"/>
    <w:rsid w:val="00891F4C"/>
    <w:rsid w:val="008A0379"/>
    <w:rsid w:val="008A2B56"/>
    <w:rsid w:val="008B1A73"/>
    <w:rsid w:val="008B383F"/>
    <w:rsid w:val="008B682B"/>
    <w:rsid w:val="008C4336"/>
    <w:rsid w:val="008D3F77"/>
    <w:rsid w:val="008D3FF8"/>
    <w:rsid w:val="008E16F7"/>
    <w:rsid w:val="008E3A39"/>
    <w:rsid w:val="008E57F3"/>
    <w:rsid w:val="008F462B"/>
    <w:rsid w:val="008F4A62"/>
    <w:rsid w:val="00905673"/>
    <w:rsid w:val="00907B7F"/>
    <w:rsid w:val="00916F64"/>
    <w:rsid w:val="0092039A"/>
    <w:rsid w:val="00921316"/>
    <w:rsid w:val="00924456"/>
    <w:rsid w:val="00930C81"/>
    <w:rsid w:val="00936C98"/>
    <w:rsid w:val="00942A4E"/>
    <w:rsid w:val="00950CB3"/>
    <w:rsid w:val="0095117C"/>
    <w:rsid w:val="00956167"/>
    <w:rsid w:val="00956551"/>
    <w:rsid w:val="009624C4"/>
    <w:rsid w:val="00967329"/>
    <w:rsid w:val="00970B3A"/>
    <w:rsid w:val="009769D0"/>
    <w:rsid w:val="0098396C"/>
    <w:rsid w:val="0098666C"/>
    <w:rsid w:val="009909EF"/>
    <w:rsid w:val="00991CEB"/>
    <w:rsid w:val="00993B05"/>
    <w:rsid w:val="0099495E"/>
    <w:rsid w:val="0099550A"/>
    <w:rsid w:val="00996C3D"/>
    <w:rsid w:val="009A0979"/>
    <w:rsid w:val="009A430A"/>
    <w:rsid w:val="009B3E40"/>
    <w:rsid w:val="009D734D"/>
    <w:rsid w:val="009E7349"/>
    <w:rsid w:val="009F707B"/>
    <w:rsid w:val="009F7B85"/>
    <w:rsid w:val="00A0131D"/>
    <w:rsid w:val="00A043FF"/>
    <w:rsid w:val="00A0653E"/>
    <w:rsid w:val="00A1090F"/>
    <w:rsid w:val="00A11A8A"/>
    <w:rsid w:val="00A13263"/>
    <w:rsid w:val="00A14093"/>
    <w:rsid w:val="00A14B2B"/>
    <w:rsid w:val="00A23409"/>
    <w:rsid w:val="00A246A8"/>
    <w:rsid w:val="00A36C3A"/>
    <w:rsid w:val="00A521DC"/>
    <w:rsid w:val="00A629A8"/>
    <w:rsid w:val="00A73CB8"/>
    <w:rsid w:val="00A820D7"/>
    <w:rsid w:val="00A83525"/>
    <w:rsid w:val="00A865E1"/>
    <w:rsid w:val="00A924E6"/>
    <w:rsid w:val="00A95B2D"/>
    <w:rsid w:val="00AA56EB"/>
    <w:rsid w:val="00AB5981"/>
    <w:rsid w:val="00AC4DA8"/>
    <w:rsid w:val="00AD1B7D"/>
    <w:rsid w:val="00AD44E4"/>
    <w:rsid w:val="00AE7290"/>
    <w:rsid w:val="00AE7D57"/>
    <w:rsid w:val="00AF116C"/>
    <w:rsid w:val="00AF1D02"/>
    <w:rsid w:val="00AF1D17"/>
    <w:rsid w:val="00AF5817"/>
    <w:rsid w:val="00AF7236"/>
    <w:rsid w:val="00B0132D"/>
    <w:rsid w:val="00B02945"/>
    <w:rsid w:val="00B0342F"/>
    <w:rsid w:val="00B0676E"/>
    <w:rsid w:val="00B25DBA"/>
    <w:rsid w:val="00B26365"/>
    <w:rsid w:val="00B271D7"/>
    <w:rsid w:val="00B33F08"/>
    <w:rsid w:val="00B437FC"/>
    <w:rsid w:val="00B44F72"/>
    <w:rsid w:val="00B462A0"/>
    <w:rsid w:val="00B47D4C"/>
    <w:rsid w:val="00B54F55"/>
    <w:rsid w:val="00B60DEF"/>
    <w:rsid w:val="00B61EEB"/>
    <w:rsid w:val="00B63451"/>
    <w:rsid w:val="00B71359"/>
    <w:rsid w:val="00B719AA"/>
    <w:rsid w:val="00B75977"/>
    <w:rsid w:val="00B8100E"/>
    <w:rsid w:val="00B837AE"/>
    <w:rsid w:val="00B9096A"/>
    <w:rsid w:val="00BA1817"/>
    <w:rsid w:val="00BA4E3C"/>
    <w:rsid w:val="00BA6E54"/>
    <w:rsid w:val="00BA77C6"/>
    <w:rsid w:val="00BB1372"/>
    <w:rsid w:val="00BC0E77"/>
    <w:rsid w:val="00BC3DB4"/>
    <w:rsid w:val="00BC7862"/>
    <w:rsid w:val="00BE03F0"/>
    <w:rsid w:val="00BE1EF2"/>
    <w:rsid w:val="00BE4DD9"/>
    <w:rsid w:val="00BE77AD"/>
    <w:rsid w:val="00BF37AE"/>
    <w:rsid w:val="00BF4ED5"/>
    <w:rsid w:val="00C001B5"/>
    <w:rsid w:val="00C02C3E"/>
    <w:rsid w:val="00C2180B"/>
    <w:rsid w:val="00C23EC3"/>
    <w:rsid w:val="00C27DDD"/>
    <w:rsid w:val="00C376E0"/>
    <w:rsid w:val="00C44C78"/>
    <w:rsid w:val="00C47491"/>
    <w:rsid w:val="00C55DE1"/>
    <w:rsid w:val="00C70C95"/>
    <w:rsid w:val="00C81FD3"/>
    <w:rsid w:val="00C85A82"/>
    <w:rsid w:val="00C860F8"/>
    <w:rsid w:val="00CA4351"/>
    <w:rsid w:val="00CB274E"/>
    <w:rsid w:val="00CB3369"/>
    <w:rsid w:val="00CB48CB"/>
    <w:rsid w:val="00CB6679"/>
    <w:rsid w:val="00CC10CD"/>
    <w:rsid w:val="00CD03B6"/>
    <w:rsid w:val="00CD1C66"/>
    <w:rsid w:val="00CD42A8"/>
    <w:rsid w:val="00CD49B2"/>
    <w:rsid w:val="00CE6B2E"/>
    <w:rsid w:val="00CF4D37"/>
    <w:rsid w:val="00CF4F82"/>
    <w:rsid w:val="00CF60A3"/>
    <w:rsid w:val="00D0363E"/>
    <w:rsid w:val="00D039D2"/>
    <w:rsid w:val="00D11030"/>
    <w:rsid w:val="00D12E8E"/>
    <w:rsid w:val="00D13FA5"/>
    <w:rsid w:val="00D16A7C"/>
    <w:rsid w:val="00D2026F"/>
    <w:rsid w:val="00D2041A"/>
    <w:rsid w:val="00D216F3"/>
    <w:rsid w:val="00D27099"/>
    <w:rsid w:val="00D27FA6"/>
    <w:rsid w:val="00D453A0"/>
    <w:rsid w:val="00D507EB"/>
    <w:rsid w:val="00D53A56"/>
    <w:rsid w:val="00D55D55"/>
    <w:rsid w:val="00D6039D"/>
    <w:rsid w:val="00D663C5"/>
    <w:rsid w:val="00D74408"/>
    <w:rsid w:val="00D75275"/>
    <w:rsid w:val="00D81C34"/>
    <w:rsid w:val="00D8257E"/>
    <w:rsid w:val="00D90AAA"/>
    <w:rsid w:val="00D94FEA"/>
    <w:rsid w:val="00DA52DC"/>
    <w:rsid w:val="00DC2BE9"/>
    <w:rsid w:val="00DC41E9"/>
    <w:rsid w:val="00DC47BD"/>
    <w:rsid w:val="00DD1814"/>
    <w:rsid w:val="00DD1F8A"/>
    <w:rsid w:val="00DD4529"/>
    <w:rsid w:val="00DD7C0E"/>
    <w:rsid w:val="00DE0696"/>
    <w:rsid w:val="00DE1E38"/>
    <w:rsid w:val="00DE7D02"/>
    <w:rsid w:val="00DF2C8F"/>
    <w:rsid w:val="00DF6462"/>
    <w:rsid w:val="00DF7928"/>
    <w:rsid w:val="00E01FFE"/>
    <w:rsid w:val="00E04ACF"/>
    <w:rsid w:val="00E0676B"/>
    <w:rsid w:val="00E20495"/>
    <w:rsid w:val="00E24C3D"/>
    <w:rsid w:val="00E30362"/>
    <w:rsid w:val="00E34FB1"/>
    <w:rsid w:val="00E353DA"/>
    <w:rsid w:val="00E360DD"/>
    <w:rsid w:val="00E36623"/>
    <w:rsid w:val="00E43D91"/>
    <w:rsid w:val="00E51253"/>
    <w:rsid w:val="00E52C3F"/>
    <w:rsid w:val="00E573C7"/>
    <w:rsid w:val="00E64D85"/>
    <w:rsid w:val="00E75BA8"/>
    <w:rsid w:val="00E8592D"/>
    <w:rsid w:val="00E867C0"/>
    <w:rsid w:val="00EA0251"/>
    <w:rsid w:val="00EA65B5"/>
    <w:rsid w:val="00EA7E7F"/>
    <w:rsid w:val="00EB0990"/>
    <w:rsid w:val="00EB5A1D"/>
    <w:rsid w:val="00EB7D01"/>
    <w:rsid w:val="00EC1F27"/>
    <w:rsid w:val="00ED3D0C"/>
    <w:rsid w:val="00ED5362"/>
    <w:rsid w:val="00EE3833"/>
    <w:rsid w:val="00EE66C1"/>
    <w:rsid w:val="00EF2E29"/>
    <w:rsid w:val="00F01782"/>
    <w:rsid w:val="00F02374"/>
    <w:rsid w:val="00F0354B"/>
    <w:rsid w:val="00F17B35"/>
    <w:rsid w:val="00F24B42"/>
    <w:rsid w:val="00F24C2E"/>
    <w:rsid w:val="00F26105"/>
    <w:rsid w:val="00F30161"/>
    <w:rsid w:val="00F55CDD"/>
    <w:rsid w:val="00F57760"/>
    <w:rsid w:val="00F63F8D"/>
    <w:rsid w:val="00F668C9"/>
    <w:rsid w:val="00F709FB"/>
    <w:rsid w:val="00F73061"/>
    <w:rsid w:val="00F81895"/>
    <w:rsid w:val="00F901CB"/>
    <w:rsid w:val="00F90EA0"/>
    <w:rsid w:val="00FB3FCB"/>
    <w:rsid w:val="00FC300A"/>
    <w:rsid w:val="00FC3C15"/>
    <w:rsid w:val="00FC5B2F"/>
    <w:rsid w:val="00FD1B95"/>
    <w:rsid w:val="00FD32B7"/>
    <w:rsid w:val="00FD34BF"/>
    <w:rsid w:val="00FD4487"/>
    <w:rsid w:val="00FD576D"/>
    <w:rsid w:val="00FE049A"/>
    <w:rsid w:val="00FE426C"/>
    <w:rsid w:val="00FE79B8"/>
    <w:rsid w:val="00FF40A9"/>
    <w:rsid w:val="00FF7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FDA558"/>
  <w15:chartTrackingRefBased/>
  <w15:docId w15:val="{9C76BC04-62B5-8C44-A879-73A9FF738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068B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19AA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19AA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19AA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19AA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19AA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19AA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19AA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19AA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19AA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19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19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19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19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19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19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19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19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19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19A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719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19AA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719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19AA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719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19AA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719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19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19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19AA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B271D7"/>
    <w:pPr>
      <w:spacing w:after="160" w:line="278" w:lineRule="auto"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paragraph" w:styleId="NormalWeb">
    <w:name w:val="Normal (Web)"/>
    <w:basedOn w:val="Normal"/>
    <w:uiPriority w:val="99"/>
    <w:unhideWhenUsed/>
    <w:rsid w:val="008906D7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8906D7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B8100E"/>
    <w:rPr>
      <w:color w:val="0000FF"/>
      <w:u w:val="single"/>
    </w:rPr>
  </w:style>
  <w:style w:type="character" w:customStyle="1" w:styleId="d-none">
    <w:name w:val="d-none"/>
    <w:basedOn w:val="DefaultParagraphFont"/>
    <w:rsid w:val="00B8100E"/>
  </w:style>
  <w:style w:type="character" w:styleId="Emphasis">
    <w:name w:val="Emphasis"/>
    <w:basedOn w:val="DefaultParagraphFont"/>
    <w:uiPriority w:val="20"/>
    <w:qFormat/>
    <w:rsid w:val="00550F0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758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43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7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3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4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63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6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9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8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lawteacher.net/cases/mileform-v-interserve-security.ph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Pet05</b:Tag>
    <b:SourceType>JournalArticle</b:SourceType>
    <b:Guid>{6A4A8272-6C3E-A342-807E-D493FE42CA8D}</b:Guid>
    <b:Title>Friends in high places</b:Title>
    <b:Year>2005</b:Year>
    <b:Author>
      <b:Author>
        <b:NameList>
          <b:Person>
            <b:Last>Goodrich</b:Last>
            <b:First>Peter</b:First>
          </b:Person>
        </b:NameList>
      </b:Author>
    </b:Author>
    <b:JournalName>International journal of Law in Context</b:JournalName>
    <b:Volume>1</b:Volume>
    <b:Issue>1</b:Issue>
    <b:Pages>41-59</b:Pages>
    <b:RefOrder>2</b:RefOrder>
  </b:Source>
  <b:Source>
    <b:Tag>Ric21</b:Tag>
    <b:SourceType>JournalArticle</b:SourceType>
    <b:Guid>{CA8B9E5D-CCCA-054F-9CAB-54EAFD5B7A2D}</b:Guid>
    <b:Author>
      <b:Author>
        <b:NameList>
          <b:Person>
            <b:Last>Hay</b:Last>
            <b:First>Richard</b:First>
          </b:Person>
        </b:NameList>
      </b:Author>
    </b:Author>
    <b:Title>Smart contracts: navigating a course between a conscensus arranement and a legal contract</b:Title>
    <b:JournalName>Journal of international Banking and Financial Law</b:JournalName>
    <b:Year>2021</b:Year>
    <b:Volume>36</b:Volume>
    <b:Issue>8</b:Issue>
    <b:Pages>531-555</b:Pages>
    <b:RefOrder>4</b:RefOrder>
  </b:Source>
  <b:Source>
    <b:Tag>Nig10</b:Tag>
    <b:SourceType>JournalArticle</b:SourceType>
    <b:Guid>{4073E57C-2A9B-1940-9A1A-0DA1E6B17702}</b:Guid>
    <b:Author>
      <b:Author>
        <b:NameList>
          <b:Person>
            <b:Last>jameson</b:Last>
            <b:First>Nigel</b:First>
          </b:Person>
        </b:NameList>
      </b:Author>
    </b:Author>
    <b:Title>The Contractual Mistakes Act part II: releasing more light than heat</b:Title>
    <b:JournalName>Statute law Rweview</b:JournalName>
    <b:Year>2010</b:Year>
    <b:Volume>31</b:Volume>
    <b:Issue>2</b:Issue>
    <b:Pages>107</b:Pages>
    <b:RefOrder>3</b:RefOrder>
  </b:Source>
  <b:Source>
    <b:Tag>Fra16</b:Tag>
    <b:SourceType>JournalArticle</b:SourceType>
    <b:Guid>{89601CBD-6B85-C24B-80CF-8382E977C7CD}</b:Guid>
    <b:Author>
      <b:Author>
        <b:NameList>
          <b:Person>
            <b:Last>Garratt</b:Last>
            <b:First>Frances</b:First>
          </b:Person>
        </b:NameList>
      </b:Author>
    </b:Author>
    <b:Title>Oral contracts and oral variations</b:Title>
    <b:JournalName>Construction Law</b:JournalName>
    <b:Year>2016</b:Year>
    <b:Volume>27</b:Volume>
    <b:Issue>10</b:Issue>
    <b:Pages>23</b:Pages>
    <b:RefOrder>5</b:RefOrder>
  </b:Source>
  <b:Source>
    <b:Tag>Cha23</b:Tag>
    <b:SourceType>DocumentFromInternetSite</b:SourceType>
    <b:Guid>{6355DDEB-251F-7146-8C4A-30B384EF6142}</b:Guid>
    <b:Title>Civil court delays the 'worst on record'</b:Title>
    <b:Year>2023</b:Year>
    <b:Author>
      <b:Author>
        <b:NameList>
          <b:Person>
            <b:Last>maloney</b:Last>
            <b:First>Charlie</b:First>
          </b:Person>
        </b:NameList>
      </b:Author>
    </b:Author>
    <b:URL>https://www.lawgazette.co.uk/news/civil-court-delays-the-worst-on-record/5116199.article#</b:URL>
    <b:Month>june</b:Month>
    <b:Day>1</b:Day>
    <b:YearAccessed>2024</b:YearAccessed>
    <b:MonthAccessed>July</b:MonthAccessed>
    <b:DayAccessed>11</b:DayAccessed>
    <b:RefOrder>6</b:RefOrder>
  </b:Source>
  <b:Source>
    <b:Tag>Fin233</b:Tag>
    <b:SourceType>Book</b:SourceType>
    <b:Guid>{FD8D434A-A8DB-AB4B-BA2E-F3939BDFA8A9}</b:Guid>
    <b:Author>
      <b:Author>
        <b:NameList>
          <b:Person>
            <b:Last>Finch</b:Last>
            <b:First>Emily</b:First>
          </b:Person>
          <b:Person>
            <b:Last>Farfinski</b:Last>
            <b:First>Stefan </b:First>
          </b:Person>
        </b:NameList>
      </b:Author>
    </b:Author>
    <b:Title>Contract Law</b:Title>
    <b:City>London</b:City>
    <b:Publisher>Pearson</b:Publisher>
    <b:Year>2023</b:Year>
    <b:Edition>8</b:Edition>
    <b:RefOrder>1</b:RefOrder>
  </b:Source>
</b:Sources>
</file>

<file path=customXml/itemProps1.xml><?xml version="1.0" encoding="utf-8"?>
<ds:datastoreItem xmlns:ds="http://schemas.openxmlformats.org/officeDocument/2006/customXml" ds:itemID="{12A00C65-4D15-7D46-BE67-21465E3558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358</TotalTime>
  <Pages>6</Pages>
  <Words>2485</Words>
  <Characters>14166</Characters>
  <Application>Microsoft Office Word</Application>
  <DocSecurity>0</DocSecurity>
  <Lines>118</Lines>
  <Paragraphs>33</Paragraphs>
  <ScaleCrop>false</ScaleCrop>
  <Company/>
  <LinksUpToDate>false</LinksUpToDate>
  <CharactersWithSpaces>16618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500</cp:revision>
  <dcterms:created xsi:type="dcterms:W3CDTF">2024-07-16T13:34:00Z</dcterms:created>
  <dcterms:modified xsi:type="dcterms:W3CDTF">2024-07-19T22:19:00Z</dcterms:modified>
</cp:coreProperties>
</file>