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841B9" w14:textId="60123DDE" w:rsidR="00504D95" w:rsidRPr="001A46C5" w:rsidRDefault="00504D95" w:rsidP="00504D95">
      <w:pPr>
        <w:jc w:val="center"/>
        <w:rPr>
          <w:rFonts w:ascii="Arial" w:hAnsi="Arial" w:cs="Arial"/>
          <w:b/>
          <w:bCs/>
        </w:rPr>
      </w:pPr>
      <w:r w:rsidRPr="001A46C5">
        <w:rPr>
          <w:rFonts w:ascii="Arial" w:hAnsi="Arial" w:cs="Arial"/>
        </w:rPr>
        <w:fldChar w:fldCharType="begin"/>
      </w:r>
      <w:r w:rsidRPr="001A46C5">
        <w:rPr>
          <w:rFonts w:ascii="Arial" w:hAnsi="Arial" w:cs="Arial"/>
        </w:rPr>
        <w:instrText xml:space="preserve"> INCLUDEPICTURE "https://emedia1.nhs.wales/NWISWalesNHSUK/cache/file/D50B00C7-6D28-4675-BBCC5435147EF6A2_carouselimage.png" \* MERGEFORMATINET </w:instrText>
      </w:r>
      <w:r w:rsidRPr="001A46C5">
        <w:rPr>
          <w:rFonts w:ascii="Arial" w:hAnsi="Arial" w:cs="Arial"/>
        </w:rPr>
        <w:fldChar w:fldCharType="separate"/>
      </w:r>
      <w:r w:rsidRPr="001A46C5">
        <w:rPr>
          <w:rFonts w:ascii="Arial" w:hAnsi="Arial" w:cs="Arial"/>
          <w:noProof/>
        </w:rPr>
        <w:drawing>
          <wp:inline distT="0" distB="0" distL="0" distR="0" wp14:anchorId="0B24AC82" wp14:editId="18FAB50C">
            <wp:extent cx="2820112" cy="799408"/>
            <wp:effectExtent l="0" t="0" r="0" b="1270"/>
            <wp:docPr id="1416539091" name="Picture 9"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iversity of Wales Trinity Saint David launches new digital healthcare  course - Digital Health and Care Wa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648" b="17495"/>
                    <a:stretch/>
                  </pic:blipFill>
                  <pic:spPr bwMode="auto">
                    <a:xfrm>
                      <a:off x="0" y="0"/>
                      <a:ext cx="2872152" cy="814160"/>
                    </a:xfrm>
                    <a:prstGeom prst="rect">
                      <a:avLst/>
                    </a:prstGeom>
                    <a:noFill/>
                    <a:ln>
                      <a:noFill/>
                    </a:ln>
                    <a:extLst>
                      <a:ext uri="{53640926-AAD7-44D8-BBD7-CCE9431645EC}">
                        <a14:shadowObscured xmlns:a14="http://schemas.microsoft.com/office/drawing/2010/main"/>
                      </a:ext>
                    </a:extLst>
                  </pic:spPr>
                </pic:pic>
              </a:graphicData>
            </a:graphic>
          </wp:inline>
        </w:drawing>
      </w:r>
      <w:r w:rsidRPr="001A46C5">
        <w:rPr>
          <w:rFonts w:ascii="Arial" w:hAnsi="Arial" w:cs="Arial"/>
        </w:rPr>
        <w:fldChar w:fldCharType="end"/>
      </w:r>
    </w:p>
    <w:p w14:paraId="7F34E39C" w14:textId="77777777" w:rsidR="00504D95" w:rsidRPr="001A46C5" w:rsidRDefault="00504D95" w:rsidP="00504D95">
      <w:pPr>
        <w:jc w:val="center"/>
        <w:rPr>
          <w:rFonts w:ascii="Arial" w:hAnsi="Arial" w:cs="Arial"/>
        </w:rPr>
      </w:pPr>
    </w:p>
    <w:p w14:paraId="25584E6B" w14:textId="77777777" w:rsidR="00504D95" w:rsidRPr="001A46C5" w:rsidRDefault="00504D95" w:rsidP="00504D95">
      <w:pPr>
        <w:jc w:val="center"/>
        <w:rPr>
          <w:rFonts w:ascii="Arial" w:hAnsi="Arial" w:cs="Arial"/>
          <w:b/>
          <w:sz w:val="32"/>
          <w:szCs w:val="24"/>
        </w:rPr>
      </w:pPr>
      <w:r w:rsidRPr="001A46C5">
        <w:rPr>
          <w:rFonts w:ascii="Arial" w:hAnsi="Arial" w:cs="Arial"/>
          <w:b/>
          <w:sz w:val="32"/>
          <w:szCs w:val="24"/>
        </w:rPr>
        <w:t>Strategic Management Analysis of BP plc: Evaluating Competitive Position in the Global Energy Industry</w:t>
      </w:r>
    </w:p>
    <w:p w14:paraId="40977F91" w14:textId="77777777" w:rsidR="00504D95" w:rsidRPr="001A46C5" w:rsidRDefault="00504D95" w:rsidP="00504D95">
      <w:pPr>
        <w:jc w:val="center"/>
        <w:rPr>
          <w:rFonts w:ascii="Arial" w:hAnsi="Arial" w:cs="Arial"/>
        </w:rPr>
      </w:pPr>
    </w:p>
    <w:p w14:paraId="69A031A6" w14:textId="77777777" w:rsidR="00504D95" w:rsidRPr="001A46C5" w:rsidRDefault="00504D95" w:rsidP="00504D95">
      <w:pPr>
        <w:jc w:val="center"/>
        <w:rPr>
          <w:rFonts w:ascii="Arial" w:hAnsi="Arial" w:cs="Arial"/>
        </w:rPr>
      </w:pPr>
    </w:p>
    <w:p w14:paraId="419D9B00" w14:textId="77777777" w:rsidR="00504D95" w:rsidRPr="001A46C5" w:rsidRDefault="00504D95" w:rsidP="00504D95">
      <w:pPr>
        <w:jc w:val="center"/>
        <w:rPr>
          <w:rFonts w:ascii="Arial" w:hAnsi="Arial" w:cs="Arial"/>
        </w:rPr>
      </w:pPr>
      <w:r w:rsidRPr="001A46C5">
        <w:rPr>
          <w:rFonts w:ascii="Arial" w:hAnsi="Arial" w:cs="Arial"/>
          <w:b/>
          <w:bCs/>
        </w:rPr>
        <w:t>Master of Business Administration (MBA)</w:t>
      </w:r>
    </w:p>
    <w:p w14:paraId="565025D7" w14:textId="77777777" w:rsidR="00504D95" w:rsidRPr="001A46C5" w:rsidRDefault="00504D95" w:rsidP="00504D95">
      <w:pPr>
        <w:jc w:val="center"/>
        <w:rPr>
          <w:rFonts w:ascii="Arial" w:hAnsi="Arial" w:cs="Arial"/>
          <w:b/>
          <w:bCs/>
        </w:rPr>
      </w:pPr>
      <w:r w:rsidRPr="001A46C5">
        <w:rPr>
          <w:rFonts w:ascii="Arial" w:hAnsi="Arial" w:cs="Arial"/>
          <w:b/>
          <w:bCs/>
        </w:rPr>
        <w:t>Module: Strategic Management (LCMB7003)</w:t>
      </w:r>
      <w:r w:rsidRPr="001A46C5">
        <w:rPr>
          <w:rFonts w:ascii="Arial" w:hAnsi="Arial" w:cs="Arial"/>
        </w:rPr>
        <w:br/>
      </w:r>
      <w:r w:rsidRPr="001A46C5">
        <w:rPr>
          <w:rFonts w:ascii="Arial" w:hAnsi="Arial" w:cs="Arial"/>
          <w:b/>
          <w:bCs/>
        </w:rPr>
        <w:t xml:space="preserve">Assessment: Individual Report – </w:t>
      </w:r>
      <w:r w:rsidRPr="001A46C5">
        <w:rPr>
          <w:rFonts w:ascii="Arial" w:hAnsi="Arial" w:cs="Arial"/>
          <w:b/>
          <w:bCs/>
          <w:lang w:val="en-US"/>
        </w:rPr>
        <w:t>B</w:t>
      </w:r>
      <w:r w:rsidRPr="001A46C5">
        <w:rPr>
          <w:rFonts w:ascii="Arial" w:hAnsi="Arial" w:cs="Arial"/>
          <w:b/>
        </w:rPr>
        <w:t xml:space="preserve">ritish </w:t>
      </w:r>
      <w:r w:rsidRPr="001A46C5">
        <w:rPr>
          <w:rFonts w:ascii="Arial" w:hAnsi="Arial" w:cs="Arial"/>
          <w:b/>
          <w:bCs/>
          <w:lang w:val="en-US"/>
        </w:rPr>
        <w:t>P</w:t>
      </w:r>
      <w:r w:rsidRPr="001A46C5">
        <w:rPr>
          <w:rFonts w:ascii="Arial" w:hAnsi="Arial" w:cs="Arial"/>
          <w:b/>
        </w:rPr>
        <w:t>etroleum</w:t>
      </w:r>
    </w:p>
    <w:p w14:paraId="7D728076" w14:textId="77777777" w:rsidR="00504D95" w:rsidRPr="001A46C5" w:rsidRDefault="00504D95" w:rsidP="00504D95">
      <w:pPr>
        <w:jc w:val="center"/>
        <w:rPr>
          <w:rFonts w:ascii="Arial" w:hAnsi="Arial" w:cs="Arial"/>
        </w:rPr>
      </w:pPr>
    </w:p>
    <w:p w14:paraId="0B4AAF11" w14:textId="77777777" w:rsidR="00504D95" w:rsidRPr="001A46C5" w:rsidRDefault="00504D95" w:rsidP="00504D95">
      <w:pPr>
        <w:jc w:val="center"/>
        <w:rPr>
          <w:rFonts w:ascii="Arial" w:hAnsi="Arial" w:cs="Arial"/>
        </w:rPr>
      </w:pPr>
    </w:p>
    <w:p w14:paraId="163FC28C" w14:textId="569FBAC4" w:rsidR="00504D95" w:rsidRPr="001A46C5" w:rsidRDefault="00504D95" w:rsidP="00504D95">
      <w:pPr>
        <w:jc w:val="center"/>
        <w:rPr>
          <w:rFonts w:ascii="Arial" w:hAnsi="Arial" w:cs="Arial"/>
        </w:rPr>
      </w:pPr>
      <w:r w:rsidRPr="001A46C5">
        <w:rPr>
          <w:rFonts w:ascii="Arial" w:hAnsi="Arial" w:cs="Arial"/>
        </w:rPr>
        <w:t>Student</w:t>
      </w:r>
      <w:r w:rsidR="00561B8A" w:rsidRPr="001A46C5">
        <w:rPr>
          <w:rFonts w:ascii="Arial" w:hAnsi="Arial" w:cs="Arial"/>
        </w:rPr>
        <w:t>’</w:t>
      </w:r>
      <w:r w:rsidRPr="001A46C5">
        <w:rPr>
          <w:rFonts w:ascii="Arial" w:hAnsi="Arial" w:cs="Arial"/>
        </w:rPr>
        <w:t>s Name:</w:t>
      </w:r>
      <w:r w:rsidR="00AF7542">
        <w:rPr>
          <w:rFonts w:ascii="Arial" w:hAnsi="Arial" w:cs="Arial"/>
        </w:rPr>
        <w:t xml:space="preserve"> Md </w:t>
      </w:r>
      <w:proofErr w:type="spellStart"/>
      <w:r w:rsidR="00AF7542">
        <w:rPr>
          <w:rFonts w:ascii="Arial" w:hAnsi="Arial" w:cs="Arial"/>
        </w:rPr>
        <w:t>Faysal</w:t>
      </w:r>
      <w:proofErr w:type="spellEnd"/>
      <w:r w:rsidR="00AF7542">
        <w:rPr>
          <w:rFonts w:ascii="Arial" w:hAnsi="Arial" w:cs="Arial"/>
        </w:rPr>
        <w:t xml:space="preserve"> Mia </w:t>
      </w:r>
    </w:p>
    <w:p w14:paraId="0B97C66F" w14:textId="62BA62E8" w:rsidR="00504D95" w:rsidRDefault="00504D95" w:rsidP="00504D95">
      <w:pPr>
        <w:jc w:val="center"/>
        <w:rPr>
          <w:rFonts w:ascii="Arial" w:hAnsi="Arial" w:cs="Arial"/>
        </w:rPr>
      </w:pPr>
      <w:r w:rsidRPr="001A46C5">
        <w:rPr>
          <w:rFonts w:ascii="Arial" w:hAnsi="Arial" w:cs="Arial"/>
        </w:rPr>
        <w:t>Student</w:t>
      </w:r>
      <w:r w:rsidR="00561B8A" w:rsidRPr="001A46C5">
        <w:rPr>
          <w:rFonts w:ascii="Arial" w:hAnsi="Arial" w:cs="Arial"/>
        </w:rPr>
        <w:t>’</w:t>
      </w:r>
      <w:r w:rsidRPr="001A46C5">
        <w:rPr>
          <w:rFonts w:ascii="Arial" w:hAnsi="Arial" w:cs="Arial"/>
        </w:rPr>
        <w:t>s ID:</w:t>
      </w:r>
      <w:r w:rsidR="00AF7542">
        <w:rPr>
          <w:rFonts w:ascii="Arial" w:hAnsi="Arial" w:cs="Arial"/>
        </w:rPr>
        <w:t xml:space="preserve"> 2434754</w:t>
      </w:r>
    </w:p>
    <w:p w14:paraId="3954B5A6" w14:textId="73022184" w:rsidR="00B03736" w:rsidRPr="001A46C5" w:rsidRDefault="00B03736" w:rsidP="00504D95">
      <w:pPr>
        <w:jc w:val="center"/>
        <w:rPr>
          <w:rFonts w:ascii="Arial" w:hAnsi="Arial" w:cs="Arial"/>
        </w:rPr>
      </w:pPr>
      <w:r>
        <w:rPr>
          <w:rFonts w:ascii="Arial" w:hAnsi="Arial" w:cs="Arial"/>
        </w:rPr>
        <w:t xml:space="preserve">Lecturer's </w:t>
      </w:r>
      <w:r w:rsidR="001D11FF">
        <w:rPr>
          <w:rFonts w:ascii="Arial" w:hAnsi="Arial" w:cs="Arial"/>
        </w:rPr>
        <w:t xml:space="preserve">Name: Dr Hoang Nguyen </w:t>
      </w:r>
    </w:p>
    <w:p w14:paraId="45B8AA17" w14:textId="2B16978B" w:rsidR="00B15CE8" w:rsidRDefault="001A46C5" w:rsidP="00D81DB7">
      <w:pPr>
        <w:spacing w:after="160" w:line="259" w:lineRule="auto"/>
        <w:jc w:val="center"/>
        <w:rPr>
          <w:rFonts w:ascii="Arial" w:hAnsi="Arial" w:cs="Arial"/>
        </w:rPr>
      </w:pPr>
      <w:r w:rsidRPr="001A46C5">
        <w:rPr>
          <w:rFonts w:ascii="Arial" w:hAnsi="Arial" w:cs="Arial"/>
        </w:rPr>
        <w:t>Word Count: 5355</w:t>
      </w:r>
    </w:p>
    <w:p w14:paraId="1053BF6C" w14:textId="77777777" w:rsidR="001D11FF" w:rsidRDefault="001D11FF" w:rsidP="001D11FF">
      <w:pPr>
        <w:spacing w:after="160" w:line="259" w:lineRule="auto"/>
        <w:rPr>
          <w:rFonts w:ascii="Arial" w:hAnsi="Arial" w:cs="Arial"/>
        </w:rPr>
      </w:pPr>
    </w:p>
    <w:p w14:paraId="6515C75D" w14:textId="77777777" w:rsidR="001D11FF" w:rsidRDefault="001D11FF" w:rsidP="001D11FF">
      <w:pPr>
        <w:spacing w:after="160" w:line="259" w:lineRule="auto"/>
        <w:rPr>
          <w:rFonts w:ascii="Arial" w:hAnsi="Arial" w:cs="Arial"/>
        </w:rPr>
      </w:pPr>
    </w:p>
    <w:p w14:paraId="46C9FA27" w14:textId="77777777" w:rsidR="00B15CE8" w:rsidRDefault="00B15CE8">
      <w:pPr>
        <w:spacing w:after="160" w:line="259" w:lineRule="auto"/>
        <w:jc w:val="left"/>
        <w:rPr>
          <w:rFonts w:ascii="Arial" w:hAnsi="Arial" w:cs="Arial"/>
        </w:rPr>
      </w:pPr>
      <w:r>
        <w:rPr>
          <w:rFonts w:ascii="Arial" w:hAnsi="Arial" w:cs="Arial"/>
        </w:rPr>
        <w:br w:type="page"/>
      </w:r>
    </w:p>
    <w:p w14:paraId="29E7C1A1" w14:textId="3E5B0197" w:rsidR="00B15CE8" w:rsidRPr="00B15CE8" w:rsidRDefault="00B15CE8" w:rsidP="00B15CE8">
      <w:pPr>
        <w:pStyle w:val="Heading1"/>
        <w:rPr>
          <w:rFonts w:ascii="Arial" w:hAnsi="Arial" w:cs="Arial"/>
          <w:lang w:val="en-US"/>
        </w:rPr>
      </w:pPr>
      <w:bookmarkStart w:id="0" w:name="_Toc228469796"/>
      <w:r w:rsidRPr="00B15CE8">
        <w:rPr>
          <w:rFonts w:ascii="Arial" w:hAnsi="Arial" w:cs="Arial"/>
          <w:lang w:val="en-US"/>
        </w:rPr>
        <w:t xml:space="preserve">AI </w:t>
      </w:r>
      <w:r w:rsidRPr="00B15CE8">
        <w:rPr>
          <w:rFonts w:ascii="Arial" w:hAnsi="Arial" w:cs="Arial"/>
        </w:rPr>
        <w:t>Acknowledgement</w:t>
      </w:r>
      <w:bookmarkEnd w:id="0"/>
    </w:p>
    <w:p w14:paraId="1E2CA6CA" w14:textId="77777777" w:rsidR="00B15CE8" w:rsidRDefault="00B15CE8" w:rsidP="00B15CE8">
      <w:pPr>
        <w:spacing w:after="160" w:line="259" w:lineRule="auto"/>
        <w:jc w:val="left"/>
        <w:rPr>
          <w:rFonts w:ascii="Arial" w:hAnsi="Arial" w:cs="Arial"/>
        </w:rPr>
      </w:pPr>
    </w:p>
    <w:p w14:paraId="561F1A49" w14:textId="4458CFE7" w:rsidR="00B15CE8" w:rsidRPr="00B15CE8" w:rsidRDefault="00B15CE8" w:rsidP="00B15CE8">
      <w:pPr>
        <w:spacing w:after="160" w:line="259" w:lineRule="auto"/>
        <w:jc w:val="left"/>
        <w:rPr>
          <w:rFonts w:ascii="Arial" w:hAnsi="Arial" w:cs="Arial"/>
        </w:rPr>
      </w:pPr>
      <w:r w:rsidRPr="00B15CE8">
        <w:rPr>
          <w:rFonts w:ascii="Arial" w:hAnsi="Arial" w:cs="Arial"/>
        </w:rPr>
        <w:t xml:space="preserve">I acknowledge the use of ChatGPT (https://chatgpt.com/) on </w:t>
      </w:r>
      <w:r>
        <w:rPr>
          <w:rFonts w:ascii="Arial" w:hAnsi="Arial" w:cs="Arial"/>
          <w:lang w:val="en-US"/>
        </w:rPr>
        <w:t>02</w:t>
      </w:r>
      <w:r w:rsidRPr="00B15CE8">
        <w:rPr>
          <w:rFonts w:ascii="Arial" w:hAnsi="Arial" w:cs="Arial"/>
        </w:rPr>
        <w:t xml:space="preserve"> April 202</w:t>
      </w:r>
      <w:r>
        <w:rPr>
          <w:rFonts w:ascii="Arial" w:hAnsi="Arial" w:cs="Arial"/>
          <w:lang w:val="en-US"/>
        </w:rPr>
        <w:t>6</w:t>
      </w:r>
      <w:r w:rsidRPr="00B15CE8">
        <w:rPr>
          <w:rFonts w:ascii="Arial" w:hAnsi="Arial" w:cs="Arial"/>
        </w:rPr>
        <w:t xml:space="preserve"> to write my</w:t>
      </w:r>
    </w:p>
    <w:p w14:paraId="02405251" w14:textId="77777777" w:rsidR="00B15CE8" w:rsidRPr="00B15CE8" w:rsidRDefault="00B15CE8" w:rsidP="00B15CE8">
      <w:pPr>
        <w:spacing w:after="160" w:line="259" w:lineRule="auto"/>
        <w:jc w:val="left"/>
        <w:rPr>
          <w:rFonts w:ascii="Arial" w:hAnsi="Arial" w:cs="Arial"/>
        </w:rPr>
      </w:pPr>
      <w:r w:rsidRPr="00B15CE8">
        <w:rPr>
          <w:rFonts w:ascii="Arial" w:hAnsi="Arial" w:cs="Arial"/>
        </w:rPr>
        <w:t>notes into submission format using the prompt(s):</w:t>
      </w:r>
    </w:p>
    <w:p w14:paraId="332D638E" w14:textId="7C0783EA" w:rsidR="00B15CE8" w:rsidRDefault="00B15CE8" w:rsidP="00B15CE8">
      <w:pPr>
        <w:pStyle w:val="ListParagraph"/>
        <w:numPr>
          <w:ilvl w:val="0"/>
          <w:numId w:val="23"/>
        </w:numPr>
        <w:spacing w:after="160" w:line="259" w:lineRule="auto"/>
        <w:jc w:val="left"/>
        <w:rPr>
          <w:rFonts w:ascii="Arial" w:hAnsi="Arial" w:cs="Arial"/>
        </w:rPr>
      </w:pPr>
      <w:r w:rsidRPr="00B15CE8">
        <w:rPr>
          <w:rFonts w:ascii="Arial" w:hAnsi="Arial" w:cs="Arial"/>
        </w:rPr>
        <w:t xml:space="preserve">Please </w:t>
      </w:r>
      <w:r w:rsidRPr="00B15CE8">
        <w:rPr>
          <w:rFonts w:ascii="Arial" w:hAnsi="Arial" w:cs="Arial"/>
          <w:lang w:val="en-US"/>
        </w:rPr>
        <w:t xml:space="preserve">give me recent statistical data about BP </w:t>
      </w:r>
      <w:r w:rsidRPr="00B15CE8">
        <w:rPr>
          <w:rFonts w:ascii="Arial" w:hAnsi="Arial" w:cs="Arial"/>
        </w:rPr>
        <w:t xml:space="preserve">at </w:t>
      </w:r>
      <w:r w:rsidRPr="00B15CE8">
        <w:rPr>
          <w:rFonts w:ascii="Arial" w:hAnsi="Arial" w:cs="Arial"/>
          <w:lang w:val="en-US"/>
        </w:rPr>
        <w:t xml:space="preserve">the </w:t>
      </w:r>
      <w:r w:rsidRPr="00B15CE8">
        <w:rPr>
          <w:rFonts w:ascii="Arial" w:hAnsi="Arial" w:cs="Arial"/>
        </w:rPr>
        <w:t>university level.</w:t>
      </w:r>
    </w:p>
    <w:p w14:paraId="2B83E330" w14:textId="77777777" w:rsidR="00B15CE8" w:rsidRDefault="00B15CE8" w:rsidP="00B15CE8">
      <w:pPr>
        <w:spacing w:after="160" w:line="259" w:lineRule="auto"/>
        <w:jc w:val="left"/>
        <w:rPr>
          <w:rFonts w:ascii="Arial" w:hAnsi="Arial" w:cs="Arial"/>
        </w:rPr>
      </w:pPr>
    </w:p>
    <w:p w14:paraId="095FCA71" w14:textId="6F3ECDF7" w:rsidR="00B15CE8" w:rsidRPr="00B15CE8" w:rsidRDefault="00B15CE8" w:rsidP="00B15CE8">
      <w:pPr>
        <w:spacing w:after="160" w:line="259" w:lineRule="auto"/>
        <w:jc w:val="left"/>
        <w:rPr>
          <w:rFonts w:ascii="Arial" w:hAnsi="Arial" w:cs="Arial"/>
          <w:lang w:val="en-US"/>
        </w:rPr>
      </w:pPr>
      <w:r w:rsidRPr="00B15CE8">
        <w:rPr>
          <w:rFonts w:ascii="Arial" w:hAnsi="Arial" w:cs="Arial"/>
        </w:rPr>
        <w:t xml:space="preserve">I acknowledge the use of Grammarly (https://www.grammarly.com/) on </w:t>
      </w:r>
      <w:r>
        <w:rPr>
          <w:rFonts w:ascii="Arial" w:hAnsi="Arial" w:cs="Arial"/>
          <w:lang w:val="en-US"/>
        </w:rPr>
        <w:t>26</w:t>
      </w:r>
      <w:r w:rsidRPr="00B15CE8">
        <w:rPr>
          <w:rFonts w:ascii="Arial" w:hAnsi="Arial" w:cs="Arial"/>
        </w:rPr>
        <w:t xml:space="preserve"> </w:t>
      </w:r>
      <w:r>
        <w:rPr>
          <w:rFonts w:ascii="Arial" w:hAnsi="Arial" w:cs="Arial"/>
          <w:lang w:val="en-US"/>
        </w:rPr>
        <w:t>April</w:t>
      </w:r>
    </w:p>
    <w:p w14:paraId="3AE613BD" w14:textId="102B1D5F" w:rsidR="00B15CE8" w:rsidRPr="00B15CE8" w:rsidRDefault="00B15CE8" w:rsidP="00B15CE8">
      <w:pPr>
        <w:spacing w:after="160" w:line="259" w:lineRule="auto"/>
        <w:jc w:val="left"/>
        <w:rPr>
          <w:rFonts w:ascii="Arial" w:hAnsi="Arial" w:cs="Arial"/>
        </w:rPr>
      </w:pPr>
      <w:r w:rsidRPr="00B15CE8">
        <w:rPr>
          <w:rFonts w:ascii="Arial" w:hAnsi="Arial" w:cs="Arial"/>
        </w:rPr>
        <w:t>202</w:t>
      </w:r>
      <w:r>
        <w:rPr>
          <w:rFonts w:ascii="Arial" w:hAnsi="Arial" w:cs="Arial"/>
          <w:lang w:val="en-US"/>
        </w:rPr>
        <w:t>6</w:t>
      </w:r>
      <w:r w:rsidRPr="00B15CE8">
        <w:rPr>
          <w:rFonts w:ascii="Arial" w:hAnsi="Arial" w:cs="Arial"/>
        </w:rPr>
        <w:t xml:space="preserve"> to check my work using the prompt(s):</w:t>
      </w:r>
    </w:p>
    <w:p w14:paraId="27900677" w14:textId="77777777" w:rsidR="00B15CE8" w:rsidRPr="00B15CE8" w:rsidRDefault="00B15CE8" w:rsidP="00B15CE8">
      <w:pPr>
        <w:spacing w:after="160" w:line="259" w:lineRule="auto"/>
        <w:jc w:val="left"/>
        <w:rPr>
          <w:rFonts w:ascii="Arial" w:hAnsi="Arial" w:cs="Arial"/>
        </w:rPr>
      </w:pPr>
      <w:r w:rsidRPr="00B15CE8">
        <w:rPr>
          <w:rFonts w:ascii="Arial" w:hAnsi="Arial" w:cs="Arial"/>
        </w:rPr>
        <w:t>1. Please check the following text for readability, grammar and syntax.</w:t>
      </w:r>
    </w:p>
    <w:p w14:paraId="4F4DB43D" w14:textId="77777777" w:rsidR="00B15CE8" w:rsidRPr="00B15CE8" w:rsidRDefault="00B15CE8" w:rsidP="00B15CE8">
      <w:pPr>
        <w:spacing w:after="160" w:line="259" w:lineRule="auto"/>
        <w:jc w:val="left"/>
        <w:rPr>
          <w:rFonts w:ascii="Arial" w:hAnsi="Arial" w:cs="Arial"/>
        </w:rPr>
      </w:pPr>
    </w:p>
    <w:p w14:paraId="20516769" w14:textId="77777777" w:rsidR="00B15CE8" w:rsidRDefault="00B15CE8" w:rsidP="00B15CE8">
      <w:pPr>
        <w:spacing w:after="160" w:line="259" w:lineRule="auto"/>
        <w:jc w:val="left"/>
        <w:rPr>
          <w:rFonts w:ascii="Arial" w:hAnsi="Arial" w:cs="Arial"/>
        </w:rPr>
      </w:pPr>
    </w:p>
    <w:p w14:paraId="4EB8EDA8" w14:textId="3BC8C59A" w:rsidR="00B15CE8" w:rsidRPr="00B15CE8" w:rsidRDefault="00B15CE8" w:rsidP="00B15CE8">
      <w:pPr>
        <w:spacing w:after="160" w:line="259" w:lineRule="auto"/>
        <w:jc w:val="left"/>
        <w:rPr>
          <w:rFonts w:ascii="Arial" w:hAnsi="Arial" w:cs="Arial"/>
        </w:rPr>
      </w:pPr>
      <w:r w:rsidRPr="00B15CE8">
        <w:rPr>
          <w:rFonts w:ascii="Arial" w:hAnsi="Arial" w:cs="Arial"/>
        </w:rPr>
        <w:t>I confirm that I have not presented any AI</w:t>
      </w:r>
      <w:r>
        <w:rPr>
          <w:rFonts w:ascii="Arial" w:hAnsi="Arial" w:cs="Arial"/>
          <w:lang w:val="en-US"/>
        </w:rPr>
        <w:t>-</w:t>
      </w:r>
      <w:r w:rsidRPr="00B15CE8">
        <w:rPr>
          <w:rFonts w:ascii="Arial" w:hAnsi="Arial" w:cs="Arial"/>
        </w:rPr>
        <w:t>generated text as my own work. I confirm I</w:t>
      </w:r>
    </w:p>
    <w:p w14:paraId="2782123C" w14:textId="24E1CBD9" w:rsidR="00B15CE8" w:rsidRPr="00B15CE8" w:rsidRDefault="00B15CE8" w:rsidP="00B15CE8">
      <w:pPr>
        <w:spacing w:after="160" w:line="259" w:lineRule="auto"/>
        <w:jc w:val="left"/>
        <w:rPr>
          <w:rFonts w:ascii="Arial" w:hAnsi="Arial" w:cs="Arial"/>
        </w:rPr>
      </w:pPr>
      <w:r w:rsidRPr="00B15CE8">
        <w:rPr>
          <w:rFonts w:ascii="Arial" w:hAnsi="Arial" w:cs="Arial"/>
        </w:rPr>
        <w:t>have copies of my drafts, notes, and other resources I used before and after the use of</w:t>
      </w:r>
    </w:p>
    <w:p w14:paraId="44025739" w14:textId="77777777" w:rsidR="00B15CE8" w:rsidRPr="00B15CE8" w:rsidRDefault="00B15CE8" w:rsidP="00B15CE8">
      <w:pPr>
        <w:spacing w:after="160" w:line="259" w:lineRule="auto"/>
        <w:jc w:val="left"/>
        <w:rPr>
          <w:rFonts w:ascii="Arial" w:hAnsi="Arial" w:cs="Arial"/>
        </w:rPr>
      </w:pPr>
      <w:r w:rsidRPr="00B15CE8">
        <w:rPr>
          <w:rFonts w:ascii="Arial" w:hAnsi="Arial" w:cs="Arial"/>
        </w:rPr>
        <w:t>AI tools which I may be asked to provide in evidence.</w:t>
      </w:r>
    </w:p>
    <w:p w14:paraId="39E6A337" w14:textId="58621B9B" w:rsidR="00504D95" w:rsidRPr="001A46C5" w:rsidRDefault="00504D95">
      <w:pPr>
        <w:spacing w:after="160" w:line="259" w:lineRule="auto"/>
        <w:jc w:val="left"/>
        <w:rPr>
          <w:rFonts w:ascii="Arial" w:hAnsi="Arial" w:cs="Arial"/>
        </w:rPr>
      </w:pPr>
      <w:r w:rsidRPr="001A46C5">
        <w:rPr>
          <w:rFonts w:ascii="Arial" w:hAnsi="Arial" w:cs="Arial"/>
        </w:rPr>
        <w:br w:type="page"/>
      </w:r>
    </w:p>
    <w:sdt>
      <w:sdtPr>
        <w:rPr>
          <w:rFonts w:ascii="Arial" w:eastAsiaTheme="minorEastAsia" w:hAnsi="Arial" w:cs="Arial"/>
          <w:color w:val="auto"/>
          <w:sz w:val="24"/>
          <w:szCs w:val="21"/>
          <w:lang w:val="en-GB"/>
        </w:rPr>
        <w:id w:val="2048265225"/>
        <w:docPartObj>
          <w:docPartGallery w:val="Table of Contents"/>
          <w:docPartUnique/>
        </w:docPartObj>
      </w:sdtPr>
      <w:sdtEndPr>
        <w:rPr>
          <w:noProof/>
          <w:szCs w:val="24"/>
        </w:rPr>
      </w:sdtEndPr>
      <w:sdtContent>
        <w:p w14:paraId="3CBC8E59" w14:textId="79B5585C" w:rsidR="00BA0C4D" w:rsidRPr="001A46C5" w:rsidRDefault="00BA0C4D">
          <w:pPr>
            <w:pStyle w:val="TOCHeading"/>
            <w:rPr>
              <w:rFonts w:ascii="Arial" w:hAnsi="Arial" w:cs="Arial"/>
              <w:b/>
              <w:bCs/>
            </w:rPr>
          </w:pPr>
          <w:r w:rsidRPr="001A46C5">
            <w:rPr>
              <w:rFonts w:ascii="Arial" w:hAnsi="Arial" w:cs="Arial"/>
              <w:b/>
              <w:bCs/>
            </w:rPr>
            <w:t>Table of Contents</w:t>
          </w:r>
        </w:p>
        <w:p w14:paraId="4C7AEBDF" w14:textId="137626EA" w:rsidR="00B15CE8" w:rsidRPr="00B15CE8" w:rsidRDefault="00BA0C4D">
          <w:pPr>
            <w:pStyle w:val="TOC1"/>
            <w:tabs>
              <w:tab w:val="right" w:leader="dot" w:pos="9350"/>
            </w:tabs>
            <w:rPr>
              <w:rFonts w:ascii="Arial" w:hAnsi="Arial" w:cs="Arial"/>
              <w:b w:val="0"/>
              <w:i w:val="0"/>
              <w:kern w:val="2"/>
              <w:szCs w:val="24"/>
              <w:lang w:eastAsia="en-GB" w:bidi="bn-IN"/>
            </w:rPr>
          </w:pPr>
          <w:r w:rsidRPr="00B15CE8">
            <w:rPr>
              <w:rFonts w:ascii="Arial" w:hAnsi="Arial" w:cs="Arial"/>
              <w:b w:val="0"/>
              <w:bCs w:val="0"/>
              <w:i w:val="0"/>
              <w:iCs w:val="0"/>
              <w:szCs w:val="24"/>
            </w:rPr>
            <w:fldChar w:fldCharType="begin"/>
          </w:r>
          <w:r w:rsidRPr="00B15CE8">
            <w:rPr>
              <w:rFonts w:ascii="Arial" w:hAnsi="Arial" w:cs="Arial"/>
              <w:b w:val="0"/>
              <w:bCs w:val="0"/>
              <w:i w:val="0"/>
              <w:iCs w:val="0"/>
              <w:szCs w:val="24"/>
            </w:rPr>
            <w:instrText xml:space="preserve"> TOC \o "1-3" \h \z \u </w:instrText>
          </w:r>
          <w:r w:rsidRPr="00B15CE8">
            <w:rPr>
              <w:rFonts w:ascii="Arial" w:hAnsi="Arial" w:cs="Arial"/>
              <w:b w:val="0"/>
              <w:bCs w:val="0"/>
              <w:i w:val="0"/>
              <w:iCs w:val="0"/>
              <w:szCs w:val="24"/>
            </w:rPr>
            <w:fldChar w:fldCharType="separate"/>
          </w:r>
          <w:hyperlink w:anchor="_Toc228469796" w:history="1">
            <w:r w:rsidR="00B15CE8" w:rsidRPr="00B15CE8">
              <w:rPr>
                <w:rStyle w:val="Hyperlink"/>
                <w:rFonts w:ascii="Arial" w:hAnsi="Arial" w:cs="Arial"/>
                <w:b w:val="0"/>
                <w:bCs w:val="0"/>
                <w:i w:val="0"/>
                <w:iCs w:val="0"/>
                <w:noProof/>
                <w:szCs w:val="24"/>
                <w:lang w:val="en-US"/>
              </w:rPr>
              <w:t xml:space="preserve">AI </w:t>
            </w:r>
            <w:r w:rsidR="00B15CE8" w:rsidRPr="00B15CE8">
              <w:rPr>
                <w:rStyle w:val="Hyperlink"/>
                <w:rFonts w:ascii="Arial" w:hAnsi="Arial" w:cs="Arial"/>
                <w:b w:val="0"/>
                <w:bCs w:val="0"/>
                <w:i w:val="0"/>
                <w:iCs w:val="0"/>
                <w:noProof/>
                <w:szCs w:val="24"/>
              </w:rPr>
              <w:t>Acknowledgement</w:t>
            </w:r>
            <w:r w:rsidR="00B15CE8" w:rsidRPr="00B15CE8">
              <w:rPr>
                <w:rFonts w:ascii="Arial" w:hAnsi="Arial" w:cs="Arial"/>
                <w:b w:val="0"/>
                <w:bCs w:val="0"/>
                <w:i w:val="0"/>
                <w:iCs w:val="0"/>
                <w:noProof/>
                <w:webHidden/>
                <w:szCs w:val="24"/>
              </w:rPr>
              <w:tab/>
            </w:r>
            <w:r w:rsidR="00B15CE8" w:rsidRPr="00B15CE8">
              <w:rPr>
                <w:rFonts w:ascii="Arial" w:hAnsi="Arial" w:cs="Arial"/>
                <w:b w:val="0"/>
                <w:bCs w:val="0"/>
                <w:i w:val="0"/>
                <w:iCs w:val="0"/>
                <w:noProof/>
                <w:webHidden/>
                <w:szCs w:val="24"/>
              </w:rPr>
              <w:fldChar w:fldCharType="begin"/>
            </w:r>
            <w:r w:rsidR="00B15CE8" w:rsidRPr="00B15CE8">
              <w:rPr>
                <w:rFonts w:ascii="Arial" w:hAnsi="Arial" w:cs="Arial"/>
                <w:b w:val="0"/>
                <w:bCs w:val="0"/>
                <w:i w:val="0"/>
                <w:iCs w:val="0"/>
                <w:noProof/>
                <w:webHidden/>
                <w:szCs w:val="24"/>
              </w:rPr>
              <w:instrText xml:space="preserve"> PAGEREF _Toc228469796 \h </w:instrText>
            </w:r>
            <w:r w:rsidR="00B15CE8" w:rsidRPr="00B15CE8">
              <w:rPr>
                <w:rFonts w:ascii="Arial" w:hAnsi="Arial" w:cs="Arial"/>
                <w:b w:val="0"/>
                <w:bCs w:val="0"/>
                <w:i w:val="0"/>
                <w:iCs w:val="0"/>
                <w:noProof/>
                <w:webHidden/>
                <w:szCs w:val="24"/>
              </w:rPr>
            </w:r>
            <w:r w:rsidR="00B15CE8" w:rsidRPr="00B15CE8">
              <w:rPr>
                <w:rFonts w:ascii="Arial" w:hAnsi="Arial" w:cs="Arial"/>
                <w:b w:val="0"/>
                <w:bCs w:val="0"/>
                <w:i w:val="0"/>
                <w:iCs w:val="0"/>
                <w:noProof/>
                <w:webHidden/>
                <w:szCs w:val="24"/>
              </w:rPr>
              <w:fldChar w:fldCharType="separate"/>
            </w:r>
            <w:r w:rsidR="00B15CE8" w:rsidRPr="00B15CE8">
              <w:rPr>
                <w:rFonts w:ascii="Arial" w:hAnsi="Arial" w:cs="Arial"/>
                <w:b w:val="0"/>
                <w:bCs w:val="0"/>
                <w:i w:val="0"/>
                <w:iCs w:val="0"/>
                <w:noProof/>
                <w:webHidden/>
                <w:szCs w:val="24"/>
              </w:rPr>
              <w:t>1</w:t>
            </w:r>
            <w:r w:rsidR="00B15CE8" w:rsidRPr="00B15CE8">
              <w:rPr>
                <w:rFonts w:ascii="Arial" w:hAnsi="Arial" w:cs="Arial"/>
                <w:b w:val="0"/>
                <w:bCs w:val="0"/>
                <w:i w:val="0"/>
                <w:iCs w:val="0"/>
                <w:noProof/>
                <w:webHidden/>
                <w:szCs w:val="24"/>
              </w:rPr>
              <w:fldChar w:fldCharType="end"/>
            </w:r>
          </w:hyperlink>
        </w:p>
        <w:p w14:paraId="22B7AD98" w14:textId="425E0296" w:rsidR="00B15CE8" w:rsidRPr="00B15CE8" w:rsidRDefault="00B15CE8">
          <w:pPr>
            <w:pStyle w:val="TOC1"/>
            <w:tabs>
              <w:tab w:val="right" w:leader="dot" w:pos="9350"/>
            </w:tabs>
            <w:rPr>
              <w:rFonts w:ascii="Arial" w:hAnsi="Arial" w:cs="Arial"/>
              <w:b w:val="0"/>
              <w:i w:val="0"/>
              <w:kern w:val="2"/>
              <w:szCs w:val="24"/>
              <w:lang w:eastAsia="en-GB" w:bidi="bn-IN"/>
            </w:rPr>
          </w:pPr>
          <w:hyperlink w:anchor="_Toc228469797" w:history="1">
            <w:r w:rsidRPr="00B15CE8">
              <w:rPr>
                <w:rStyle w:val="Hyperlink"/>
                <w:rFonts w:ascii="Arial" w:eastAsia="Times New Roman" w:hAnsi="Arial" w:cs="Arial"/>
                <w:b w:val="0"/>
                <w:i w:val="0"/>
                <w:szCs w:val="24"/>
                <w:lang w:eastAsia="en-GB"/>
              </w:rPr>
              <w:t>Section 1 – Strategic Analysis of BP plc</w:t>
            </w:r>
            <w:r w:rsidRPr="00B15CE8">
              <w:rPr>
                <w:rFonts w:ascii="Arial" w:hAnsi="Arial" w:cs="Arial"/>
                <w:b w:val="0"/>
                <w:bCs w:val="0"/>
                <w:i w:val="0"/>
                <w:iCs w:val="0"/>
                <w:noProof/>
                <w:webHidden/>
                <w:szCs w:val="24"/>
              </w:rPr>
              <w:tab/>
            </w:r>
            <w:r w:rsidRPr="00B15CE8">
              <w:rPr>
                <w:rFonts w:ascii="Arial" w:hAnsi="Arial" w:cs="Arial"/>
                <w:b w:val="0"/>
                <w:bCs w:val="0"/>
                <w:i w:val="0"/>
                <w:iCs w:val="0"/>
                <w:noProof/>
                <w:webHidden/>
                <w:szCs w:val="24"/>
              </w:rPr>
              <w:fldChar w:fldCharType="begin"/>
            </w:r>
            <w:r w:rsidRPr="00B15CE8">
              <w:rPr>
                <w:rFonts w:ascii="Arial" w:hAnsi="Arial" w:cs="Arial"/>
                <w:b w:val="0"/>
                <w:bCs w:val="0"/>
                <w:i w:val="0"/>
                <w:iCs w:val="0"/>
                <w:noProof/>
                <w:webHidden/>
                <w:szCs w:val="24"/>
              </w:rPr>
              <w:instrText xml:space="preserve"> PAGEREF _Toc228469797 \h </w:instrText>
            </w:r>
            <w:r w:rsidRPr="00B15CE8">
              <w:rPr>
                <w:rFonts w:ascii="Arial" w:hAnsi="Arial" w:cs="Arial"/>
                <w:b w:val="0"/>
                <w:bCs w:val="0"/>
                <w:i w:val="0"/>
                <w:iCs w:val="0"/>
                <w:noProof/>
                <w:webHidden/>
                <w:szCs w:val="24"/>
              </w:rPr>
            </w:r>
            <w:r w:rsidRPr="00B15CE8">
              <w:rPr>
                <w:rFonts w:ascii="Arial" w:hAnsi="Arial" w:cs="Arial"/>
                <w:b w:val="0"/>
                <w:bCs w:val="0"/>
                <w:i w:val="0"/>
                <w:iCs w:val="0"/>
                <w:noProof/>
                <w:webHidden/>
                <w:szCs w:val="24"/>
              </w:rPr>
              <w:fldChar w:fldCharType="separate"/>
            </w:r>
            <w:r w:rsidRPr="00B15CE8">
              <w:rPr>
                <w:rFonts w:ascii="Arial" w:hAnsi="Arial" w:cs="Arial"/>
                <w:b w:val="0"/>
                <w:bCs w:val="0"/>
                <w:i w:val="0"/>
                <w:iCs w:val="0"/>
                <w:noProof/>
                <w:webHidden/>
                <w:szCs w:val="24"/>
              </w:rPr>
              <w:t>4</w:t>
            </w:r>
            <w:r w:rsidRPr="00B15CE8">
              <w:rPr>
                <w:rFonts w:ascii="Arial" w:hAnsi="Arial" w:cs="Arial"/>
                <w:b w:val="0"/>
                <w:bCs w:val="0"/>
                <w:i w:val="0"/>
                <w:iCs w:val="0"/>
                <w:noProof/>
                <w:webHidden/>
                <w:szCs w:val="24"/>
              </w:rPr>
              <w:fldChar w:fldCharType="end"/>
            </w:r>
          </w:hyperlink>
        </w:p>
        <w:p w14:paraId="7B8B630D" w14:textId="35EFCB2B"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798" w:history="1">
            <w:r w:rsidRPr="00B15CE8">
              <w:rPr>
                <w:rStyle w:val="Hyperlink"/>
                <w:rFonts w:ascii="Arial" w:eastAsia="Times New Roman" w:hAnsi="Arial" w:cs="Arial"/>
                <w:b w:val="0"/>
                <w:sz w:val="24"/>
                <w:szCs w:val="24"/>
                <w:lang w:eastAsia="en-GB"/>
              </w:rPr>
              <w:t>1. Introduction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_Toc228469798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4</w:t>
            </w:r>
            <w:r w:rsidRPr="00B15CE8">
              <w:rPr>
                <w:rFonts w:ascii="Arial" w:hAnsi="Arial" w:cs="Arial"/>
                <w:b w:val="0"/>
                <w:bCs w:val="0"/>
                <w:noProof/>
                <w:webHidden/>
                <w:sz w:val="24"/>
                <w:szCs w:val="24"/>
              </w:rPr>
              <w:fldChar w:fldCharType="end"/>
            </w:r>
          </w:hyperlink>
        </w:p>
        <w:p w14:paraId="2D63EAD3" w14:textId="117A834A"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799" w:history="1">
            <w:r w:rsidRPr="00B15CE8">
              <w:rPr>
                <w:rStyle w:val="Hyperlink"/>
                <w:rFonts w:ascii="Arial" w:eastAsia="Times New Roman" w:hAnsi="Arial" w:cs="Arial"/>
                <w:b w:val="0"/>
                <w:sz w:val="24"/>
                <w:szCs w:val="24"/>
                <w:lang w:eastAsia="en-GB"/>
              </w:rPr>
              <w:t>2. Organisational Context and Company Overview</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_Toc228469799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4</w:t>
            </w:r>
            <w:r w:rsidRPr="00B15CE8">
              <w:rPr>
                <w:rFonts w:ascii="Arial" w:hAnsi="Arial" w:cs="Arial"/>
                <w:b w:val="0"/>
                <w:bCs w:val="0"/>
                <w:noProof/>
                <w:webHidden/>
                <w:sz w:val="24"/>
                <w:szCs w:val="24"/>
              </w:rPr>
              <w:fldChar w:fldCharType="end"/>
            </w:r>
          </w:hyperlink>
        </w:p>
        <w:p w14:paraId="6D34794A" w14:textId="55D5BDE3" w:rsidR="00B15CE8" w:rsidRPr="00B15CE8" w:rsidRDefault="00B15CE8">
          <w:pPr>
            <w:pStyle w:val="TOC3"/>
            <w:tabs>
              <w:tab w:val="right" w:leader="dot" w:pos="9350"/>
            </w:tabs>
            <w:rPr>
              <w:rFonts w:ascii="Arial" w:hAnsi="Arial" w:cs="Arial"/>
              <w:kern w:val="2"/>
              <w:sz w:val="24"/>
              <w:lang w:eastAsia="en-GB" w:bidi="bn-IN"/>
            </w:rPr>
          </w:pPr>
          <w:hyperlink w:anchor="_Toc228469800" w:history="1">
            <w:r w:rsidRPr="00B15CE8">
              <w:rPr>
                <w:rStyle w:val="Hyperlink"/>
                <w:rFonts w:ascii="Arial" w:hAnsi="Arial" w:cs="Arial"/>
                <w:noProof/>
                <w:sz w:val="24"/>
              </w:rPr>
              <w:t>2.1 Background of BP plc</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_Toc228469800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4</w:t>
            </w:r>
            <w:r w:rsidRPr="00B15CE8">
              <w:rPr>
                <w:rFonts w:ascii="Arial" w:hAnsi="Arial" w:cs="Arial"/>
                <w:noProof/>
                <w:webHidden/>
                <w:sz w:val="24"/>
              </w:rPr>
              <w:fldChar w:fldCharType="end"/>
            </w:r>
          </w:hyperlink>
        </w:p>
        <w:p w14:paraId="111E0785" w14:textId="30B92CFE" w:rsidR="00B15CE8" w:rsidRPr="00B15CE8" w:rsidRDefault="00B15CE8">
          <w:pPr>
            <w:pStyle w:val="TOC3"/>
            <w:tabs>
              <w:tab w:val="right" w:leader="dot" w:pos="9350"/>
            </w:tabs>
            <w:rPr>
              <w:rFonts w:ascii="Arial" w:hAnsi="Arial" w:cs="Arial"/>
              <w:kern w:val="2"/>
              <w:sz w:val="24"/>
              <w:lang w:eastAsia="en-GB" w:bidi="bn-IN"/>
            </w:rPr>
          </w:pPr>
          <w:hyperlink w:anchor="_Toc228469801" w:history="1">
            <w:r w:rsidRPr="00B15CE8">
              <w:rPr>
                <w:rStyle w:val="Hyperlink"/>
                <w:rFonts w:ascii="Arial" w:hAnsi="Arial" w:cs="Arial"/>
                <w:noProof/>
                <w:sz w:val="24"/>
              </w:rPr>
              <w:t>2.2 Vision, Mission and Strategic Direction</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_Toc228469801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4</w:t>
            </w:r>
            <w:r w:rsidRPr="00B15CE8">
              <w:rPr>
                <w:rFonts w:ascii="Arial" w:hAnsi="Arial" w:cs="Arial"/>
                <w:noProof/>
                <w:webHidden/>
                <w:sz w:val="24"/>
              </w:rPr>
              <w:fldChar w:fldCharType="end"/>
            </w:r>
          </w:hyperlink>
        </w:p>
        <w:p w14:paraId="4813218E" w14:textId="610E6AE1" w:rsidR="00B15CE8" w:rsidRPr="00B15CE8" w:rsidRDefault="00B15CE8">
          <w:pPr>
            <w:pStyle w:val="TOC3"/>
            <w:tabs>
              <w:tab w:val="right" w:leader="dot" w:pos="9350"/>
            </w:tabs>
            <w:rPr>
              <w:rFonts w:ascii="Arial" w:hAnsi="Arial" w:cs="Arial"/>
              <w:kern w:val="2"/>
              <w:sz w:val="24"/>
              <w:lang w:eastAsia="en-GB" w:bidi="bn-IN"/>
            </w:rPr>
          </w:pPr>
          <w:hyperlink w:anchor="_Toc228469802" w:history="1">
            <w:r w:rsidRPr="00B15CE8">
              <w:rPr>
                <w:rStyle w:val="Hyperlink"/>
                <w:rFonts w:ascii="Arial" w:hAnsi="Arial" w:cs="Arial"/>
                <w:noProof/>
                <w:sz w:val="24"/>
              </w:rPr>
              <w:t>2.3 Business Model</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_Toc228469802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5</w:t>
            </w:r>
            <w:r w:rsidRPr="00B15CE8">
              <w:rPr>
                <w:rFonts w:ascii="Arial" w:hAnsi="Arial" w:cs="Arial"/>
                <w:noProof/>
                <w:webHidden/>
                <w:sz w:val="24"/>
              </w:rPr>
              <w:fldChar w:fldCharType="end"/>
            </w:r>
          </w:hyperlink>
        </w:p>
        <w:p w14:paraId="20FB0CD2" w14:textId="6AF71C48" w:rsidR="00B15CE8" w:rsidRPr="00B15CE8" w:rsidRDefault="00B15CE8">
          <w:pPr>
            <w:pStyle w:val="TOC3"/>
            <w:tabs>
              <w:tab w:val="right" w:leader="dot" w:pos="9350"/>
            </w:tabs>
            <w:rPr>
              <w:rFonts w:ascii="Arial" w:hAnsi="Arial" w:cs="Arial"/>
              <w:kern w:val="2"/>
              <w:sz w:val="24"/>
              <w:lang w:eastAsia="en-GB" w:bidi="bn-IN"/>
            </w:rPr>
          </w:pPr>
          <w:hyperlink w:anchor="_Toc228469803" w:history="1">
            <w:r w:rsidRPr="00B15CE8">
              <w:rPr>
                <w:rStyle w:val="Hyperlink"/>
                <w:rFonts w:ascii="Arial" w:hAnsi="Arial" w:cs="Arial"/>
                <w:noProof/>
                <w:sz w:val="24"/>
              </w:rPr>
              <w:t>2.4 Industry Context</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_Toc228469803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6</w:t>
            </w:r>
            <w:r w:rsidRPr="00B15CE8">
              <w:rPr>
                <w:rFonts w:ascii="Arial" w:hAnsi="Arial" w:cs="Arial"/>
                <w:noProof/>
                <w:webHidden/>
                <w:sz w:val="24"/>
              </w:rPr>
              <w:fldChar w:fldCharType="end"/>
            </w:r>
          </w:hyperlink>
        </w:p>
        <w:p w14:paraId="5A278BA9" w14:textId="68C2E855"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04" w:history="1">
            <w:r w:rsidRPr="00B15CE8">
              <w:rPr>
                <w:rStyle w:val="Hyperlink"/>
                <w:rFonts w:ascii="Arial" w:eastAsia="Times New Roman" w:hAnsi="Arial" w:cs="Arial"/>
                <w:b w:val="0"/>
                <w:sz w:val="24"/>
                <w:szCs w:val="24"/>
                <w:lang w:eastAsia="en-GB"/>
              </w:rPr>
              <w:t>3. External and Internal Environment Analysis</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_Toc228469804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6</w:t>
            </w:r>
            <w:r w:rsidRPr="00B15CE8">
              <w:rPr>
                <w:rFonts w:ascii="Arial" w:hAnsi="Arial" w:cs="Arial"/>
                <w:b w:val="0"/>
                <w:bCs w:val="0"/>
                <w:noProof/>
                <w:webHidden/>
                <w:sz w:val="24"/>
                <w:szCs w:val="24"/>
              </w:rPr>
              <w:fldChar w:fldCharType="end"/>
            </w:r>
          </w:hyperlink>
        </w:p>
        <w:p w14:paraId="3A25B527" w14:textId="2AF08479" w:rsidR="00B15CE8" w:rsidRPr="00B15CE8" w:rsidRDefault="00B15CE8">
          <w:pPr>
            <w:pStyle w:val="TOC3"/>
            <w:tabs>
              <w:tab w:val="right" w:leader="dot" w:pos="9350"/>
            </w:tabs>
            <w:rPr>
              <w:rFonts w:ascii="Arial" w:hAnsi="Arial" w:cs="Arial"/>
              <w:kern w:val="2"/>
              <w:sz w:val="24"/>
              <w:lang w:eastAsia="en-GB" w:bidi="bn-IN"/>
            </w:rPr>
          </w:pPr>
          <w:hyperlink w:anchor="_Toc228469805" w:history="1">
            <w:r w:rsidRPr="00B15CE8">
              <w:rPr>
                <w:rStyle w:val="Hyperlink"/>
                <w:rFonts w:ascii="Arial" w:hAnsi="Arial" w:cs="Arial"/>
                <w:noProof/>
                <w:sz w:val="24"/>
              </w:rPr>
              <w:t>3.1 External Environment Analysis (PESTEL)</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_Toc228469805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6</w:t>
            </w:r>
            <w:r w:rsidRPr="00B15CE8">
              <w:rPr>
                <w:rFonts w:ascii="Arial" w:hAnsi="Arial" w:cs="Arial"/>
                <w:noProof/>
                <w:webHidden/>
                <w:sz w:val="24"/>
              </w:rPr>
              <w:fldChar w:fldCharType="end"/>
            </w:r>
          </w:hyperlink>
        </w:p>
        <w:p w14:paraId="53A35C14" w14:textId="6BEE3A83" w:rsidR="00B15CE8" w:rsidRPr="00B15CE8" w:rsidRDefault="00B15CE8">
          <w:pPr>
            <w:pStyle w:val="TOC3"/>
            <w:tabs>
              <w:tab w:val="right" w:leader="dot" w:pos="9350"/>
            </w:tabs>
            <w:rPr>
              <w:rFonts w:ascii="Arial" w:hAnsi="Arial" w:cs="Arial"/>
              <w:kern w:val="2"/>
              <w:sz w:val="24"/>
              <w:lang w:eastAsia="en-GB" w:bidi="bn-IN"/>
            </w:rPr>
          </w:pPr>
          <w:hyperlink w:anchor="_Toc228469806" w:history="1">
            <w:r w:rsidRPr="00B15CE8">
              <w:rPr>
                <w:rStyle w:val="Hyperlink"/>
                <w:rFonts w:ascii="Arial" w:hAnsi="Arial" w:cs="Arial"/>
                <w:noProof/>
                <w:sz w:val="24"/>
              </w:rPr>
              <w:t>3.2 Critical Success Factors and Strategic Challenges</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_Toc228469806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9</w:t>
            </w:r>
            <w:r w:rsidRPr="00B15CE8">
              <w:rPr>
                <w:rFonts w:ascii="Arial" w:hAnsi="Arial" w:cs="Arial"/>
                <w:noProof/>
                <w:webHidden/>
                <w:sz w:val="24"/>
              </w:rPr>
              <w:fldChar w:fldCharType="end"/>
            </w:r>
          </w:hyperlink>
        </w:p>
        <w:p w14:paraId="3D104CF9" w14:textId="50F16D8E" w:rsidR="00B15CE8" w:rsidRPr="00B15CE8" w:rsidRDefault="00B15CE8">
          <w:pPr>
            <w:pStyle w:val="TOC3"/>
            <w:tabs>
              <w:tab w:val="right" w:leader="dot" w:pos="9350"/>
            </w:tabs>
            <w:rPr>
              <w:rFonts w:ascii="Arial" w:hAnsi="Arial" w:cs="Arial"/>
              <w:kern w:val="2"/>
              <w:sz w:val="24"/>
              <w:lang w:eastAsia="en-GB" w:bidi="bn-IN"/>
            </w:rPr>
          </w:pPr>
          <w:hyperlink w:anchor="_Toc228469807" w:history="1">
            <w:r w:rsidRPr="00B15CE8">
              <w:rPr>
                <w:rStyle w:val="Hyperlink"/>
                <w:rFonts w:ascii="Arial" w:hAnsi="Arial" w:cs="Arial"/>
                <w:noProof/>
                <w:sz w:val="24"/>
              </w:rPr>
              <w:t>3.3 Internal Environment Analysis Using Value Chain</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_Toc228469807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10</w:t>
            </w:r>
            <w:r w:rsidRPr="00B15CE8">
              <w:rPr>
                <w:rFonts w:ascii="Arial" w:hAnsi="Arial" w:cs="Arial"/>
                <w:noProof/>
                <w:webHidden/>
                <w:sz w:val="24"/>
              </w:rPr>
              <w:fldChar w:fldCharType="end"/>
            </w:r>
          </w:hyperlink>
        </w:p>
        <w:p w14:paraId="3565C0E7" w14:textId="25CC44E5" w:rsidR="00B15CE8" w:rsidRPr="00B15CE8" w:rsidRDefault="00B15CE8">
          <w:pPr>
            <w:pStyle w:val="TOC3"/>
            <w:tabs>
              <w:tab w:val="right" w:leader="dot" w:pos="9350"/>
            </w:tabs>
            <w:rPr>
              <w:rFonts w:ascii="Arial" w:hAnsi="Arial" w:cs="Arial"/>
              <w:kern w:val="2"/>
              <w:sz w:val="24"/>
              <w:lang w:eastAsia="en-GB" w:bidi="bn-IN"/>
            </w:rPr>
          </w:pPr>
          <w:hyperlink w:anchor="_Toc228469808" w:history="1">
            <w:r w:rsidRPr="00B15CE8">
              <w:rPr>
                <w:rStyle w:val="Hyperlink"/>
                <w:rFonts w:ascii="Arial" w:hAnsi="Arial" w:cs="Arial"/>
                <w:noProof/>
                <w:sz w:val="24"/>
              </w:rPr>
              <w:t>3.5 Internal Strengths and Competitive Advantage</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_Toc228469808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12</w:t>
            </w:r>
            <w:r w:rsidRPr="00B15CE8">
              <w:rPr>
                <w:rFonts w:ascii="Arial" w:hAnsi="Arial" w:cs="Arial"/>
                <w:noProof/>
                <w:webHidden/>
                <w:sz w:val="24"/>
              </w:rPr>
              <w:fldChar w:fldCharType="end"/>
            </w:r>
          </w:hyperlink>
        </w:p>
        <w:p w14:paraId="1BA62C98" w14:textId="6790D246"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09" w:history="1">
            <w:r w:rsidRPr="00B15CE8">
              <w:rPr>
                <w:rStyle w:val="Hyperlink"/>
                <w:rFonts w:ascii="Arial" w:eastAsia="Times New Roman" w:hAnsi="Arial" w:cs="Arial"/>
                <w:b w:val="0"/>
                <w:bCs w:val="0"/>
                <w:noProof/>
                <w:sz w:val="24"/>
                <w:szCs w:val="24"/>
                <w:lang w:val="en-US" w:eastAsia="en-GB"/>
              </w:rPr>
              <w:t>4</w:t>
            </w:r>
            <w:r w:rsidRPr="00B15CE8">
              <w:rPr>
                <w:rStyle w:val="Hyperlink"/>
                <w:rFonts w:ascii="Arial" w:eastAsia="Times New Roman" w:hAnsi="Arial" w:cs="Arial"/>
                <w:b w:val="0"/>
                <w:sz w:val="24"/>
                <w:szCs w:val="24"/>
                <w:lang w:eastAsia="en-GB"/>
              </w:rPr>
              <w:t>. CSR and Sustainability Strategy</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_Toc228469809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13</w:t>
            </w:r>
            <w:r w:rsidRPr="00B15CE8">
              <w:rPr>
                <w:rFonts w:ascii="Arial" w:hAnsi="Arial" w:cs="Arial"/>
                <w:b w:val="0"/>
                <w:bCs w:val="0"/>
                <w:noProof/>
                <w:webHidden/>
                <w:sz w:val="24"/>
                <w:szCs w:val="24"/>
              </w:rPr>
              <w:fldChar w:fldCharType="end"/>
            </w:r>
          </w:hyperlink>
        </w:p>
        <w:p w14:paraId="5109926B" w14:textId="7187F0B8"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10" w:history="1">
            <w:r w:rsidRPr="00B15CE8">
              <w:rPr>
                <w:rStyle w:val="Hyperlink"/>
                <w:rFonts w:ascii="Arial" w:eastAsia="Times New Roman" w:hAnsi="Arial" w:cs="Arial"/>
                <w:b w:val="0"/>
                <w:bCs w:val="0"/>
                <w:noProof/>
                <w:sz w:val="24"/>
                <w:szCs w:val="24"/>
                <w:lang w:val="en-US" w:eastAsia="en-GB"/>
              </w:rPr>
              <w:t>5</w:t>
            </w:r>
            <w:r w:rsidRPr="00B15CE8">
              <w:rPr>
                <w:rStyle w:val="Hyperlink"/>
                <w:rFonts w:ascii="Arial" w:eastAsia="Times New Roman" w:hAnsi="Arial" w:cs="Arial"/>
                <w:b w:val="0"/>
                <w:sz w:val="24"/>
                <w:szCs w:val="24"/>
                <w:lang w:eastAsia="en-GB"/>
              </w:rPr>
              <w:t>. Balanced Scorecard Analysis</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_Toc228469810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14</w:t>
            </w:r>
            <w:r w:rsidRPr="00B15CE8">
              <w:rPr>
                <w:rFonts w:ascii="Arial" w:hAnsi="Arial" w:cs="Arial"/>
                <w:b w:val="0"/>
                <w:bCs w:val="0"/>
                <w:noProof/>
                <w:webHidden/>
                <w:sz w:val="24"/>
                <w:szCs w:val="24"/>
              </w:rPr>
              <w:fldChar w:fldCharType="end"/>
            </w:r>
          </w:hyperlink>
        </w:p>
        <w:p w14:paraId="7742EC7B" w14:textId="4E487288" w:rsidR="00B15CE8" w:rsidRPr="00B15CE8" w:rsidRDefault="00B15CE8">
          <w:pPr>
            <w:pStyle w:val="TOC3"/>
            <w:tabs>
              <w:tab w:val="right" w:leader="dot" w:pos="9350"/>
            </w:tabs>
            <w:rPr>
              <w:rFonts w:ascii="Arial" w:hAnsi="Arial" w:cs="Arial"/>
              <w:kern w:val="2"/>
              <w:sz w:val="24"/>
              <w:lang w:eastAsia="en-GB" w:bidi="bn-IN"/>
            </w:rPr>
          </w:pPr>
          <w:hyperlink w:anchor="_Toc228469811" w:history="1">
            <w:r w:rsidRPr="00B15CE8">
              <w:rPr>
                <w:rStyle w:val="Hyperlink"/>
                <w:rFonts w:ascii="Arial" w:hAnsi="Arial" w:cs="Arial"/>
                <w:noProof/>
                <w:sz w:val="24"/>
                <w:lang w:val="en-US"/>
              </w:rPr>
              <w:t>5</w:t>
            </w:r>
            <w:r w:rsidRPr="00B15CE8">
              <w:rPr>
                <w:rStyle w:val="Hyperlink"/>
                <w:rFonts w:ascii="Arial" w:hAnsi="Arial" w:cs="Arial"/>
                <w:noProof/>
                <w:sz w:val="24"/>
              </w:rPr>
              <w:t>.1 Financial Perspective</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_Toc228469811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14</w:t>
            </w:r>
            <w:r w:rsidRPr="00B15CE8">
              <w:rPr>
                <w:rFonts w:ascii="Arial" w:hAnsi="Arial" w:cs="Arial"/>
                <w:noProof/>
                <w:webHidden/>
                <w:sz w:val="24"/>
              </w:rPr>
              <w:fldChar w:fldCharType="end"/>
            </w:r>
          </w:hyperlink>
        </w:p>
        <w:p w14:paraId="5D77342D" w14:textId="00232B77" w:rsidR="00B15CE8" w:rsidRPr="00B15CE8" w:rsidRDefault="00B15CE8">
          <w:pPr>
            <w:pStyle w:val="TOC3"/>
            <w:tabs>
              <w:tab w:val="right" w:leader="dot" w:pos="9350"/>
            </w:tabs>
            <w:rPr>
              <w:rFonts w:ascii="Arial" w:hAnsi="Arial" w:cs="Arial"/>
              <w:kern w:val="2"/>
              <w:sz w:val="24"/>
              <w:lang w:eastAsia="en-GB" w:bidi="bn-IN"/>
            </w:rPr>
          </w:pPr>
          <w:hyperlink w:anchor="_Toc228469812" w:history="1">
            <w:r w:rsidRPr="00B15CE8">
              <w:rPr>
                <w:rStyle w:val="Hyperlink"/>
                <w:rFonts w:ascii="Arial" w:hAnsi="Arial" w:cs="Arial"/>
                <w:noProof/>
                <w:sz w:val="24"/>
                <w:lang w:val="en-US"/>
              </w:rPr>
              <w:t>5</w:t>
            </w:r>
            <w:r w:rsidRPr="00B15CE8">
              <w:rPr>
                <w:rStyle w:val="Hyperlink"/>
                <w:rFonts w:ascii="Arial" w:hAnsi="Arial" w:cs="Arial"/>
                <w:noProof/>
                <w:sz w:val="24"/>
              </w:rPr>
              <w:t>.2 Customer Perspective</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_Toc228469812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15</w:t>
            </w:r>
            <w:r w:rsidRPr="00B15CE8">
              <w:rPr>
                <w:rFonts w:ascii="Arial" w:hAnsi="Arial" w:cs="Arial"/>
                <w:noProof/>
                <w:webHidden/>
                <w:sz w:val="24"/>
              </w:rPr>
              <w:fldChar w:fldCharType="end"/>
            </w:r>
          </w:hyperlink>
        </w:p>
        <w:p w14:paraId="4119882D" w14:textId="7237E5F1" w:rsidR="00B15CE8" w:rsidRPr="00B15CE8" w:rsidRDefault="00B15CE8">
          <w:pPr>
            <w:pStyle w:val="TOC3"/>
            <w:tabs>
              <w:tab w:val="right" w:leader="dot" w:pos="9350"/>
            </w:tabs>
            <w:rPr>
              <w:rFonts w:ascii="Arial" w:hAnsi="Arial" w:cs="Arial"/>
              <w:kern w:val="2"/>
              <w:sz w:val="24"/>
              <w:lang w:eastAsia="en-GB" w:bidi="bn-IN"/>
            </w:rPr>
          </w:pPr>
          <w:hyperlink w:anchor="_Toc228469813" w:history="1">
            <w:r w:rsidRPr="00B15CE8">
              <w:rPr>
                <w:rStyle w:val="Hyperlink"/>
                <w:rFonts w:ascii="Arial" w:hAnsi="Arial" w:cs="Arial"/>
                <w:noProof/>
                <w:sz w:val="24"/>
                <w:lang w:val="en-US"/>
              </w:rPr>
              <w:t>5</w:t>
            </w:r>
            <w:r w:rsidRPr="00B15CE8">
              <w:rPr>
                <w:rStyle w:val="Hyperlink"/>
                <w:rFonts w:ascii="Arial" w:hAnsi="Arial" w:cs="Arial"/>
                <w:noProof/>
                <w:sz w:val="24"/>
              </w:rPr>
              <w:t>.3 Internal Process Perspective</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_Toc228469813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16</w:t>
            </w:r>
            <w:r w:rsidRPr="00B15CE8">
              <w:rPr>
                <w:rFonts w:ascii="Arial" w:hAnsi="Arial" w:cs="Arial"/>
                <w:noProof/>
                <w:webHidden/>
                <w:sz w:val="24"/>
              </w:rPr>
              <w:fldChar w:fldCharType="end"/>
            </w:r>
          </w:hyperlink>
        </w:p>
        <w:p w14:paraId="0B89FA6C" w14:textId="7298281B" w:rsidR="00B15CE8" w:rsidRPr="00B15CE8" w:rsidRDefault="00B15CE8">
          <w:pPr>
            <w:pStyle w:val="TOC3"/>
            <w:tabs>
              <w:tab w:val="right" w:leader="dot" w:pos="9350"/>
            </w:tabs>
            <w:rPr>
              <w:rFonts w:ascii="Arial" w:hAnsi="Arial" w:cs="Arial"/>
              <w:kern w:val="2"/>
              <w:sz w:val="24"/>
              <w:lang w:eastAsia="en-GB" w:bidi="bn-IN"/>
            </w:rPr>
          </w:pPr>
          <w:hyperlink w:anchor="_Toc228469814" w:history="1">
            <w:r w:rsidRPr="00B15CE8">
              <w:rPr>
                <w:rStyle w:val="Hyperlink"/>
                <w:rFonts w:ascii="Arial" w:hAnsi="Arial" w:cs="Arial"/>
                <w:noProof/>
                <w:sz w:val="24"/>
                <w:lang w:val="en-US"/>
              </w:rPr>
              <w:t>5</w:t>
            </w:r>
            <w:r w:rsidRPr="00B15CE8">
              <w:rPr>
                <w:rStyle w:val="Hyperlink"/>
                <w:rFonts w:ascii="Arial" w:hAnsi="Arial" w:cs="Arial"/>
                <w:noProof/>
                <w:sz w:val="24"/>
              </w:rPr>
              <w:t>.4 Learning and Growth Perspective</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_Toc228469814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16</w:t>
            </w:r>
            <w:r w:rsidRPr="00B15CE8">
              <w:rPr>
                <w:rFonts w:ascii="Arial" w:hAnsi="Arial" w:cs="Arial"/>
                <w:noProof/>
                <w:webHidden/>
                <w:sz w:val="24"/>
              </w:rPr>
              <w:fldChar w:fldCharType="end"/>
            </w:r>
          </w:hyperlink>
        </w:p>
        <w:p w14:paraId="4758AD11" w14:textId="733E2947"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15" w:history="1">
            <w:r w:rsidRPr="00B15CE8">
              <w:rPr>
                <w:rStyle w:val="Hyperlink"/>
                <w:rFonts w:ascii="Arial" w:eastAsia="Times New Roman" w:hAnsi="Arial" w:cs="Arial"/>
                <w:b w:val="0"/>
                <w:bCs w:val="0"/>
                <w:noProof/>
                <w:sz w:val="24"/>
                <w:szCs w:val="24"/>
                <w:lang w:val="en-US" w:eastAsia="en-GB"/>
              </w:rPr>
              <w:t>6</w:t>
            </w:r>
            <w:r w:rsidRPr="00B15CE8">
              <w:rPr>
                <w:rStyle w:val="Hyperlink"/>
                <w:rFonts w:ascii="Arial" w:eastAsia="Times New Roman" w:hAnsi="Arial" w:cs="Arial"/>
                <w:b w:val="0"/>
                <w:sz w:val="24"/>
                <w:szCs w:val="24"/>
                <w:lang w:eastAsia="en-GB"/>
              </w:rPr>
              <w:t>. Strategic Choices and Implementation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_Toc228469815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17</w:t>
            </w:r>
            <w:r w:rsidRPr="00B15CE8">
              <w:rPr>
                <w:rFonts w:ascii="Arial" w:hAnsi="Arial" w:cs="Arial"/>
                <w:b w:val="0"/>
                <w:bCs w:val="0"/>
                <w:noProof/>
                <w:webHidden/>
                <w:sz w:val="24"/>
                <w:szCs w:val="24"/>
              </w:rPr>
              <w:fldChar w:fldCharType="end"/>
            </w:r>
          </w:hyperlink>
        </w:p>
        <w:p w14:paraId="2FF448FB" w14:textId="09507EDC" w:rsidR="00B15CE8" w:rsidRPr="00B15CE8" w:rsidRDefault="00B15CE8">
          <w:pPr>
            <w:pStyle w:val="TOC3"/>
            <w:tabs>
              <w:tab w:val="right" w:leader="dot" w:pos="9350"/>
            </w:tabs>
            <w:rPr>
              <w:rFonts w:ascii="Arial" w:hAnsi="Arial" w:cs="Arial"/>
              <w:kern w:val="2"/>
              <w:sz w:val="24"/>
              <w:lang w:eastAsia="en-GB" w:bidi="bn-IN"/>
            </w:rPr>
          </w:pPr>
          <w:hyperlink w:anchor="_Toc228469816" w:history="1">
            <w:r w:rsidRPr="00B15CE8">
              <w:rPr>
                <w:rStyle w:val="Hyperlink"/>
                <w:rFonts w:ascii="Arial" w:hAnsi="Arial" w:cs="Arial"/>
                <w:noProof/>
                <w:sz w:val="24"/>
                <w:lang w:val="en-US"/>
              </w:rPr>
              <w:t xml:space="preserve">6.1 </w:t>
            </w:r>
            <w:r w:rsidRPr="00B15CE8">
              <w:rPr>
                <w:rStyle w:val="Hyperlink"/>
                <w:rFonts w:ascii="Arial" w:hAnsi="Arial" w:cs="Arial"/>
                <w:noProof/>
                <w:sz w:val="24"/>
              </w:rPr>
              <w:t>Business-Level Strategy: Cost Leadership</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_Toc228469816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17</w:t>
            </w:r>
            <w:r w:rsidRPr="00B15CE8">
              <w:rPr>
                <w:rFonts w:ascii="Arial" w:hAnsi="Arial" w:cs="Arial"/>
                <w:noProof/>
                <w:webHidden/>
                <w:sz w:val="24"/>
              </w:rPr>
              <w:fldChar w:fldCharType="end"/>
            </w:r>
          </w:hyperlink>
        </w:p>
        <w:p w14:paraId="49A09CED" w14:textId="08BE9978" w:rsidR="00B15CE8" w:rsidRPr="00B15CE8" w:rsidRDefault="00B15CE8">
          <w:pPr>
            <w:pStyle w:val="TOC3"/>
            <w:tabs>
              <w:tab w:val="right" w:leader="dot" w:pos="9350"/>
            </w:tabs>
            <w:rPr>
              <w:rFonts w:ascii="Arial" w:hAnsi="Arial" w:cs="Arial"/>
              <w:kern w:val="2"/>
              <w:sz w:val="24"/>
              <w:lang w:eastAsia="en-GB" w:bidi="bn-IN"/>
            </w:rPr>
          </w:pPr>
          <w:hyperlink w:anchor="_Toc228469817" w:history="1">
            <w:r w:rsidRPr="00B15CE8">
              <w:rPr>
                <w:rStyle w:val="Hyperlink"/>
                <w:rFonts w:ascii="Arial" w:hAnsi="Arial" w:cs="Arial"/>
                <w:noProof/>
                <w:sz w:val="24"/>
                <w:lang w:val="en-US"/>
              </w:rPr>
              <w:t xml:space="preserve">6.2 </w:t>
            </w:r>
            <w:r w:rsidRPr="00B15CE8">
              <w:rPr>
                <w:rStyle w:val="Hyperlink"/>
                <w:rFonts w:ascii="Arial" w:hAnsi="Arial" w:cs="Arial"/>
                <w:noProof/>
                <w:sz w:val="24"/>
              </w:rPr>
              <w:t>Corporate-Level Strategy: International Expansion</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_Toc228469817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17</w:t>
            </w:r>
            <w:r w:rsidRPr="00B15CE8">
              <w:rPr>
                <w:rFonts w:ascii="Arial" w:hAnsi="Arial" w:cs="Arial"/>
                <w:noProof/>
                <w:webHidden/>
                <w:sz w:val="24"/>
              </w:rPr>
              <w:fldChar w:fldCharType="end"/>
            </w:r>
          </w:hyperlink>
        </w:p>
        <w:p w14:paraId="31B0FE79" w14:textId="64DE0BC6" w:rsidR="00B15CE8" w:rsidRPr="00B15CE8" w:rsidRDefault="00B15CE8">
          <w:pPr>
            <w:pStyle w:val="TOC3"/>
            <w:tabs>
              <w:tab w:val="right" w:leader="dot" w:pos="9350"/>
            </w:tabs>
            <w:rPr>
              <w:rFonts w:ascii="Arial" w:hAnsi="Arial" w:cs="Arial"/>
              <w:kern w:val="2"/>
              <w:sz w:val="24"/>
              <w:lang w:eastAsia="en-GB" w:bidi="bn-IN"/>
            </w:rPr>
          </w:pPr>
          <w:hyperlink w:anchor="_Toc228469818" w:history="1">
            <w:r w:rsidRPr="00B15CE8">
              <w:rPr>
                <w:rStyle w:val="Hyperlink"/>
                <w:rFonts w:ascii="Arial" w:hAnsi="Arial" w:cs="Arial"/>
                <w:noProof/>
                <w:sz w:val="24"/>
                <w:lang w:val="en-US"/>
              </w:rPr>
              <w:t xml:space="preserve">6.3 </w:t>
            </w:r>
            <w:r w:rsidRPr="00B15CE8">
              <w:rPr>
                <w:rStyle w:val="Hyperlink"/>
                <w:rFonts w:ascii="Arial" w:hAnsi="Arial" w:cs="Arial"/>
                <w:noProof/>
                <w:sz w:val="24"/>
              </w:rPr>
              <w:t>Recommended Strategy: Cost Leadership Focus</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_Toc228469818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18</w:t>
            </w:r>
            <w:r w:rsidRPr="00B15CE8">
              <w:rPr>
                <w:rFonts w:ascii="Arial" w:hAnsi="Arial" w:cs="Arial"/>
                <w:noProof/>
                <w:webHidden/>
                <w:sz w:val="24"/>
              </w:rPr>
              <w:fldChar w:fldCharType="end"/>
            </w:r>
          </w:hyperlink>
        </w:p>
        <w:p w14:paraId="6E1F41A5" w14:textId="7C663C7E" w:rsidR="00B15CE8" w:rsidRPr="00B15CE8" w:rsidRDefault="00B15CE8">
          <w:pPr>
            <w:pStyle w:val="TOC3"/>
            <w:tabs>
              <w:tab w:val="right" w:leader="dot" w:pos="9350"/>
            </w:tabs>
            <w:rPr>
              <w:rFonts w:ascii="Arial" w:hAnsi="Arial" w:cs="Arial"/>
              <w:kern w:val="2"/>
              <w:sz w:val="24"/>
              <w:lang w:eastAsia="en-GB" w:bidi="bn-IN"/>
            </w:rPr>
          </w:pPr>
          <w:hyperlink w:anchor="_Toc228469819" w:history="1">
            <w:r w:rsidRPr="00B15CE8">
              <w:rPr>
                <w:rStyle w:val="Hyperlink"/>
                <w:rFonts w:ascii="Arial" w:hAnsi="Arial" w:cs="Arial"/>
                <w:noProof/>
                <w:sz w:val="24"/>
                <w:lang w:val="en-US"/>
              </w:rPr>
              <w:t xml:space="preserve">6.4 </w:t>
            </w:r>
            <w:r w:rsidRPr="00B15CE8">
              <w:rPr>
                <w:rStyle w:val="Hyperlink"/>
                <w:rFonts w:ascii="Arial" w:hAnsi="Arial" w:cs="Arial"/>
                <w:noProof/>
                <w:sz w:val="24"/>
              </w:rPr>
              <w:t>Change Management and Strategic Implementation</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_Toc228469819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18</w:t>
            </w:r>
            <w:r w:rsidRPr="00B15CE8">
              <w:rPr>
                <w:rFonts w:ascii="Arial" w:hAnsi="Arial" w:cs="Arial"/>
                <w:noProof/>
                <w:webHidden/>
                <w:sz w:val="24"/>
              </w:rPr>
              <w:fldChar w:fldCharType="end"/>
            </w:r>
          </w:hyperlink>
        </w:p>
        <w:p w14:paraId="4026410A" w14:textId="605D0AE0"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0" w:history="1">
            <w:r w:rsidRPr="00B15CE8">
              <w:rPr>
                <w:rStyle w:val="Hyperlink"/>
                <w:rFonts w:ascii="Arial" w:eastAsia="Times New Roman" w:hAnsi="Arial" w:cs="Arial"/>
                <w:b w:val="0"/>
                <w:bCs w:val="0"/>
                <w:noProof/>
                <w:sz w:val="24"/>
                <w:szCs w:val="24"/>
                <w:lang w:val="en-US" w:eastAsia="en-GB"/>
              </w:rPr>
              <w:t>7</w:t>
            </w:r>
            <w:r w:rsidRPr="00B15CE8">
              <w:rPr>
                <w:rStyle w:val="Hyperlink"/>
                <w:rFonts w:ascii="Arial" w:eastAsia="Times New Roman" w:hAnsi="Arial" w:cs="Arial"/>
                <w:b w:val="0"/>
                <w:sz w:val="24"/>
                <w:szCs w:val="24"/>
                <w:lang w:eastAsia="en-GB"/>
              </w:rPr>
              <w:t xml:space="preserve">. </w:t>
            </w:r>
            <w:r w:rsidRPr="00B15CE8">
              <w:rPr>
                <w:rStyle w:val="Hyperlink"/>
                <w:rFonts w:ascii="Arial" w:eastAsia="Times New Roman" w:hAnsi="Arial" w:cs="Arial"/>
                <w:b w:val="0"/>
                <w:bCs w:val="0"/>
                <w:noProof/>
                <w:sz w:val="24"/>
                <w:szCs w:val="24"/>
                <w:lang w:eastAsia="en-GB"/>
              </w:rPr>
              <w:t>Strategic Evaluation and Recommendations</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_Toc228469820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19</w:t>
            </w:r>
            <w:r w:rsidRPr="00B15CE8">
              <w:rPr>
                <w:rFonts w:ascii="Arial" w:hAnsi="Arial" w:cs="Arial"/>
                <w:b w:val="0"/>
                <w:bCs w:val="0"/>
                <w:noProof/>
                <w:webHidden/>
                <w:sz w:val="24"/>
                <w:szCs w:val="24"/>
              </w:rPr>
              <w:fldChar w:fldCharType="end"/>
            </w:r>
          </w:hyperlink>
        </w:p>
        <w:p w14:paraId="1699FE44" w14:textId="0439481F" w:rsidR="00B15CE8" w:rsidRPr="00B15CE8" w:rsidRDefault="00B15CE8">
          <w:pPr>
            <w:pStyle w:val="TOC3"/>
            <w:tabs>
              <w:tab w:val="right" w:leader="dot" w:pos="9350"/>
            </w:tabs>
            <w:rPr>
              <w:rFonts w:ascii="Arial" w:hAnsi="Arial" w:cs="Arial"/>
              <w:kern w:val="2"/>
              <w:sz w:val="24"/>
              <w:lang w:eastAsia="en-GB" w:bidi="bn-IN"/>
            </w:rPr>
          </w:pPr>
          <w:hyperlink w:anchor="_Toc228469821" w:history="1">
            <w:r w:rsidRPr="00B15CE8">
              <w:rPr>
                <w:rStyle w:val="Hyperlink"/>
                <w:rFonts w:ascii="Arial" w:hAnsi="Arial" w:cs="Arial"/>
                <w:noProof/>
                <w:sz w:val="24"/>
              </w:rPr>
              <w:t>7.1 BCG Matrix</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_Toc228469821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19</w:t>
            </w:r>
            <w:r w:rsidRPr="00B15CE8">
              <w:rPr>
                <w:rFonts w:ascii="Arial" w:hAnsi="Arial" w:cs="Arial"/>
                <w:noProof/>
                <w:webHidden/>
                <w:sz w:val="24"/>
              </w:rPr>
              <w:fldChar w:fldCharType="end"/>
            </w:r>
          </w:hyperlink>
        </w:p>
        <w:p w14:paraId="2CBC442E" w14:textId="38EE44FB" w:rsidR="00B15CE8" w:rsidRPr="00B15CE8" w:rsidRDefault="00B15CE8">
          <w:pPr>
            <w:pStyle w:val="TOC3"/>
            <w:tabs>
              <w:tab w:val="right" w:leader="dot" w:pos="9350"/>
            </w:tabs>
            <w:rPr>
              <w:rFonts w:ascii="Arial" w:hAnsi="Arial" w:cs="Arial"/>
              <w:kern w:val="2"/>
              <w:sz w:val="24"/>
              <w:lang w:eastAsia="en-GB" w:bidi="bn-IN"/>
            </w:rPr>
          </w:pPr>
          <w:hyperlink w:anchor="_Toc228469822" w:history="1">
            <w:r w:rsidRPr="00B15CE8">
              <w:rPr>
                <w:rStyle w:val="Hyperlink"/>
                <w:rFonts w:ascii="Arial" w:hAnsi="Arial" w:cs="Arial"/>
                <w:noProof/>
                <w:sz w:val="24"/>
                <w:lang w:val="en-US"/>
              </w:rPr>
              <w:t xml:space="preserve">7.2 </w:t>
            </w:r>
            <w:r w:rsidRPr="00B15CE8">
              <w:rPr>
                <w:rStyle w:val="Hyperlink"/>
                <w:rFonts w:ascii="Arial" w:hAnsi="Arial" w:cs="Arial"/>
                <w:noProof/>
                <w:sz w:val="24"/>
              </w:rPr>
              <w:t>Critical Evaluation of Current Strategy</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_Toc228469822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20</w:t>
            </w:r>
            <w:r w:rsidRPr="00B15CE8">
              <w:rPr>
                <w:rFonts w:ascii="Arial" w:hAnsi="Arial" w:cs="Arial"/>
                <w:noProof/>
                <w:webHidden/>
                <w:sz w:val="24"/>
              </w:rPr>
              <w:fldChar w:fldCharType="end"/>
            </w:r>
          </w:hyperlink>
        </w:p>
        <w:p w14:paraId="4D906B82" w14:textId="10399B0D" w:rsidR="00B15CE8" w:rsidRPr="00B15CE8" w:rsidRDefault="00B15CE8">
          <w:pPr>
            <w:pStyle w:val="TOC3"/>
            <w:tabs>
              <w:tab w:val="right" w:leader="dot" w:pos="9350"/>
            </w:tabs>
            <w:rPr>
              <w:rFonts w:ascii="Arial" w:hAnsi="Arial" w:cs="Arial"/>
              <w:kern w:val="2"/>
              <w:sz w:val="24"/>
              <w:lang w:eastAsia="en-GB" w:bidi="bn-IN"/>
            </w:rPr>
          </w:pPr>
          <w:hyperlink w:anchor="_Toc228469823" w:history="1">
            <w:r w:rsidRPr="00B15CE8">
              <w:rPr>
                <w:rStyle w:val="Hyperlink"/>
                <w:rFonts w:ascii="Arial" w:hAnsi="Arial" w:cs="Arial"/>
                <w:noProof/>
                <w:sz w:val="24"/>
                <w:lang w:val="en-US"/>
              </w:rPr>
              <w:t xml:space="preserve">7.3 </w:t>
            </w:r>
            <w:r w:rsidRPr="00B15CE8">
              <w:rPr>
                <w:rStyle w:val="Hyperlink"/>
                <w:rFonts w:ascii="Arial" w:hAnsi="Arial" w:cs="Arial"/>
                <w:noProof/>
                <w:sz w:val="24"/>
              </w:rPr>
              <w:t>Strategic Recommendations</w:t>
            </w:r>
            <w:r w:rsidRPr="00B15CE8">
              <w:rPr>
                <w:rFonts w:ascii="Arial" w:hAnsi="Arial" w:cs="Arial"/>
                <w:noProof/>
                <w:webHidden/>
                <w:sz w:val="24"/>
              </w:rPr>
              <w:tab/>
            </w:r>
            <w:r w:rsidRPr="00B15CE8">
              <w:rPr>
                <w:rFonts w:ascii="Arial" w:hAnsi="Arial" w:cs="Arial"/>
                <w:noProof/>
                <w:webHidden/>
                <w:sz w:val="24"/>
              </w:rPr>
              <w:fldChar w:fldCharType="begin"/>
            </w:r>
            <w:r w:rsidRPr="00B15CE8">
              <w:rPr>
                <w:rFonts w:ascii="Arial" w:hAnsi="Arial" w:cs="Arial"/>
                <w:noProof/>
                <w:webHidden/>
                <w:sz w:val="24"/>
              </w:rPr>
              <w:instrText xml:space="preserve"> PAGEREF _Toc228469823 \h </w:instrText>
            </w:r>
            <w:r w:rsidRPr="00B15CE8">
              <w:rPr>
                <w:rFonts w:ascii="Arial" w:hAnsi="Arial" w:cs="Arial"/>
                <w:noProof/>
                <w:webHidden/>
                <w:sz w:val="24"/>
              </w:rPr>
            </w:r>
            <w:r w:rsidRPr="00B15CE8">
              <w:rPr>
                <w:rFonts w:ascii="Arial" w:hAnsi="Arial" w:cs="Arial"/>
                <w:noProof/>
                <w:webHidden/>
                <w:sz w:val="24"/>
              </w:rPr>
              <w:fldChar w:fldCharType="separate"/>
            </w:r>
            <w:r w:rsidRPr="00B15CE8">
              <w:rPr>
                <w:rFonts w:ascii="Arial" w:hAnsi="Arial" w:cs="Arial"/>
                <w:noProof/>
                <w:webHidden/>
                <w:sz w:val="24"/>
              </w:rPr>
              <w:t>20</w:t>
            </w:r>
            <w:r w:rsidRPr="00B15CE8">
              <w:rPr>
                <w:rFonts w:ascii="Arial" w:hAnsi="Arial" w:cs="Arial"/>
                <w:noProof/>
                <w:webHidden/>
                <w:sz w:val="24"/>
              </w:rPr>
              <w:fldChar w:fldCharType="end"/>
            </w:r>
          </w:hyperlink>
        </w:p>
        <w:p w14:paraId="3879290D" w14:textId="438B663A" w:rsidR="00B15CE8" w:rsidRPr="00B15CE8" w:rsidRDefault="00B15CE8">
          <w:pPr>
            <w:pStyle w:val="TOC1"/>
            <w:tabs>
              <w:tab w:val="right" w:leader="dot" w:pos="9350"/>
            </w:tabs>
            <w:rPr>
              <w:rFonts w:ascii="Arial" w:hAnsi="Arial" w:cs="Arial"/>
              <w:b w:val="0"/>
              <w:i w:val="0"/>
              <w:kern w:val="2"/>
              <w:szCs w:val="24"/>
              <w:lang w:eastAsia="en-GB" w:bidi="bn-IN"/>
            </w:rPr>
          </w:pPr>
          <w:hyperlink w:anchor="_Toc228469824" w:history="1">
            <w:r w:rsidRPr="00B15CE8">
              <w:rPr>
                <w:rStyle w:val="Hyperlink"/>
                <w:rFonts w:ascii="Arial" w:eastAsia="Times New Roman" w:hAnsi="Arial" w:cs="Arial"/>
                <w:b w:val="0"/>
                <w:i w:val="0"/>
                <w:szCs w:val="24"/>
                <w:lang w:eastAsia="en-GB"/>
              </w:rPr>
              <w:t>Section 2 - Reflective Account</w:t>
            </w:r>
            <w:r w:rsidRPr="00B15CE8">
              <w:rPr>
                <w:rFonts w:ascii="Arial" w:hAnsi="Arial" w:cs="Arial"/>
                <w:b w:val="0"/>
                <w:bCs w:val="0"/>
                <w:i w:val="0"/>
                <w:iCs w:val="0"/>
                <w:noProof/>
                <w:webHidden/>
                <w:szCs w:val="24"/>
              </w:rPr>
              <w:tab/>
            </w:r>
            <w:r w:rsidRPr="00B15CE8">
              <w:rPr>
                <w:rFonts w:ascii="Arial" w:hAnsi="Arial" w:cs="Arial"/>
                <w:b w:val="0"/>
                <w:bCs w:val="0"/>
                <w:i w:val="0"/>
                <w:iCs w:val="0"/>
                <w:noProof/>
                <w:webHidden/>
                <w:szCs w:val="24"/>
              </w:rPr>
              <w:fldChar w:fldCharType="begin"/>
            </w:r>
            <w:r w:rsidRPr="00B15CE8">
              <w:rPr>
                <w:rFonts w:ascii="Arial" w:hAnsi="Arial" w:cs="Arial"/>
                <w:b w:val="0"/>
                <w:bCs w:val="0"/>
                <w:i w:val="0"/>
                <w:iCs w:val="0"/>
                <w:noProof/>
                <w:webHidden/>
                <w:szCs w:val="24"/>
              </w:rPr>
              <w:instrText xml:space="preserve"> PAGEREF _Toc228469824 \h </w:instrText>
            </w:r>
            <w:r w:rsidRPr="00B15CE8">
              <w:rPr>
                <w:rFonts w:ascii="Arial" w:hAnsi="Arial" w:cs="Arial"/>
                <w:b w:val="0"/>
                <w:bCs w:val="0"/>
                <w:i w:val="0"/>
                <w:iCs w:val="0"/>
                <w:noProof/>
                <w:webHidden/>
                <w:szCs w:val="24"/>
              </w:rPr>
            </w:r>
            <w:r w:rsidRPr="00B15CE8">
              <w:rPr>
                <w:rFonts w:ascii="Arial" w:hAnsi="Arial" w:cs="Arial"/>
                <w:b w:val="0"/>
                <w:bCs w:val="0"/>
                <w:i w:val="0"/>
                <w:iCs w:val="0"/>
                <w:noProof/>
                <w:webHidden/>
                <w:szCs w:val="24"/>
              </w:rPr>
              <w:fldChar w:fldCharType="separate"/>
            </w:r>
            <w:r w:rsidRPr="00B15CE8">
              <w:rPr>
                <w:rFonts w:ascii="Arial" w:hAnsi="Arial" w:cs="Arial"/>
                <w:b w:val="0"/>
                <w:bCs w:val="0"/>
                <w:i w:val="0"/>
                <w:iCs w:val="0"/>
                <w:noProof/>
                <w:webHidden/>
                <w:szCs w:val="24"/>
              </w:rPr>
              <w:t>21</w:t>
            </w:r>
            <w:r w:rsidRPr="00B15CE8">
              <w:rPr>
                <w:rFonts w:ascii="Arial" w:hAnsi="Arial" w:cs="Arial"/>
                <w:b w:val="0"/>
                <w:bCs w:val="0"/>
                <w:i w:val="0"/>
                <w:iCs w:val="0"/>
                <w:noProof/>
                <w:webHidden/>
                <w:szCs w:val="24"/>
              </w:rPr>
              <w:fldChar w:fldCharType="end"/>
            </w:r>
          </w:hyperlink>
        </w:p>
        <w:p w14:paraId="1B28B4DC" w14:textId="0FA38E40"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5" w:history="1">
            <w:r w:rsidRPr="00B15CE8">
              <w:rPr>
                <w:rStyle w:val="Hyperlink"/>
                <w:rFonts w:ascii="Arial" w:eastAsia="Times New Roman" w:hAnsi="Arial" w:cs="Arial"/>
                <w:b w:val="0"/>
                <w:sz w:val="24"/>
                <w:szCs w:val="24"/>
                <w:lang w:eastAsia="en-GB"/>
              </w:rPr>
              <w:t>Concrete Experience</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_Toc228469825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22</w:t>
            </w:r>
            <w:r w:rsidRPr="00B15CE8">
              <w:rPr>
                <w:rFonts w:ascii="Arial" w:hAnsi="Arial" w:cs="Arial"/>
                <w:b w:val="0"/>
                <w:bCs w:val="0"/>
                <w:noProof/>
                <w:webHidden/>
                <w:sz w:val="24"/>
                <w:szCs w:val="24"/>
              </w:rPr>
              <w:fldChar w:fldCharType="end"/>
            </w:r>
          </w:hyperlink>
        </w:p>
        <w:p w14:paraId="03AF2D4C" w14:textId="40E0670D"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6" w:history="1">
            <w:r w:rsidRPr="00B15CE8">
              <w:rPr>
                <w:rStyle w:val="Hyperlink"/>
                <w:rFonts w:ascii="Arial" w:eastAsia="Times New Roman" w:hAnsi="Arial" w:cs="Arial"/>
                <w:b w:val="0"/>
                <w:sz w:val="24"/>
                <w:szCs w:val="24"/>
                <w:lang w:eastAsia="en-GB"/>
              </w:rPr>
              <w:t>Reflective Observation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_Toc228469826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22</w:t>
            </w:r>
            <w:r w:rsidRPr="00B15CE8">
              <w:rPr>
                <w:rFonts w:ascii="Arial" w:hAnsi="Arial" w:cs="Arial"/>
                <w:b w:val="0"/>
                <w:bCs w:val="0"/>
                <w:noProof/>
                <w:webHidden/>
                <w:sz w:val="24"/>
                <w:szCs w:val="24"/>
              </w:rPr>
              <w:fldChar w:fldCharType="end"/>
            </w:r>
          </w:hyperlink>
        </w:p>
        <w:p w14:paraId="72697A1F" w14:textId="204D9696"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7" w:history="1">
            <w:r w:rsidRPr="00B15CE8">
              <w:rPr>
                <w:rStyle w:val="Hyperlink"/>
                <w:rFonts w:ascii="Arial" w:eastAsia="Times New Roman" w:hAnsi="Arial" w:cs="Arial"/>
                <w:b w:val="0"/>
                <w:sz w:val="24"/>
                <w:szCs w:val="24"/>
                <w:lang w:eastAsia="en-GB"/>
              </w:rPr>
              <w:t>Evaluation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_Toc228469827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23</w:t>
            </w:r>
            <w:r w:rsidRPr="00B15CE8">
              <w:rPr>
                <w:rFonts w:ascii="Arial" w:hAnsi="Arial" w:cs="Arial"/>
                <w:b w:val="0"/>
                <w:bCs w:val="0"/>
                <w:noProof/>
                <w:webHidden/>
                <w:sz w:val="24"/>
                <w:szCs w:val="24"/>
              </w:rPr>
              <w:fldChar w:fldCharType="end"/>
            </w:r>
          </w:hyperlink>
        </w:p>
        <w:p w14:paraId="537EFC55" w14:textId="0FAB65D8"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8" w:history="1">
            <w:r w:rsidRPr="00B15CE8">
              <w:rPr>
                <w:rStyle w:val="Hyperlink"/>
                <w:rFonts w:ascii="Arial" w:eastAsia="Times New Roman" w:hAnsi="Arial" w:cs="Arial"/>
                <w:b w:val="0"/>
                <w:sz w:val="24"/>
                <w:szCs w:val="24"/>
                <w:lang w:eastAsia="en-GB"/>
              </w:rPr>
              <w:t>Abstract Conceptualisation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_Toc228469828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24</w:t>
            </w:r>
            <w:r w:rsidRPr="00B15CE8">
              <w:rPr>
                <w:rFonts w:ascii="Arial" w:hAnsi="Arial" w:cs="Arial"/>
                <w:b w:val="0"/>
                <w:bCs w:val="0"/>
                <w:noProof/>
                <w:webHidden/>
                <w:sz w:val="24"/>
                <w:szCs w:val="24"/>
              </w:rPr>
              <w:fldChar w:fldCharType="end"/>
            </w:r>
          </w:hyperlink>
        </w:p>
        <w:p w14:paraId="49A3397F" w14:textId="3CE37A04" w:rsidR="00B15CE8" w:rsidRPr="00B15CE8" w:rsidRDefault="00B15CE8">
          <w:pPr>
            <w:pStyle w:val="TOC2"/>
            <w:tabs>
              <w:tab w:val="right" w:leader="dot" w:pos="9350"/>
            </w:tabs>
            <w:rPr>
              <w:rFonts w:ascii="Arial" w:hAnsi="Arial" w:cs="Arial"/>
              <w:b w:val="0"/>
              <w:kern w:val="2"/>
              <w:sz w:val="24"/>
              <w:szCs w:val="24"/>
              <w:lang w:eastAsia="en-GB" w:bidi="bn-IN"/>
            </w:rPr>
          </w:pPr>
          <w:hyperlink w:anchor="_Toc228469829" w:history="1">
            <w:r w:rsidRPr="00B15CE8">
              <w:rPr>
                <w:rStyle w:val="Hyperlink"/>
                <w:rFonts w:ascii="Arial" w:eastAsia="Times New Roman" w:hAnsi="Arial" w:cs="Arial"/>
                <w:b w:val="0"/>
                <w:sz w:val="24"/>
                <w:szCs w:val="24"/>
                <w:lang w:eastAsia="en-GB"/>
              </w:rPr>
              <w:t>Active Experimentation</w:t>
            </w:r>
            <w:r w:rsidRPr="00B15CE8">
              <w:rPr>
                <w:rFonts w:ascii="Arial" w:hAnsi="Arial" w:cs="Arial"/>
                <w:b w:val="0"/>
                <w:bCs w:val="0"/>
                <w:noProof/>
                <w:webHidden/>
                <w:sz w:val="24"/>
                <w:szCs w:val="24"/>
              </w:rPr>
              <w:tab/>
            </w:r>
            <w:r w:rsidRPr="00B15CE8">
              <w:rPr>
                <w:rFonts w:ascii="Arial" w:hAnsi="Arial" w:cs="Arial"/>
                <w:b w:val="0"/>
                <w:bCs w:val="0"/>
                <w:noProof/>
                <w:webHidden/>
                <w:sz w:val="24"/>
                <w:szCs w:val="24"/>
              </w:rPr>
              <w:fldChar w:fldCharType="begin"/>
            </w:r>
            <w:r w:rsidRPr="00B15CE8">
              <w:rPr>
                <w:rFonts w:ascii="Arial" w:hAnsi="Arial" w:cs="Arial"/>
                <w:b w:val="0"/>
                <w:bCs w:val="0"/>
                <w:noProof/>
                <w:webHidden/>
                <w:sz w:val="24"/>
                <w:szCs w:val="24"/>
              </w:rPr>
              <w:instrText xml:space="preserve"> PAGEREF _Toc228469829 \h </w:instrText>
            </w:r>
            <w:r w:rsidRPr="00B15CE8">
              <w:rPr>
                <w:rFonts w:ascii="Arial" w:hAnsi="Arial" w:cs="Arial"/>
                <w:b w:val="0"/>
                <w:bCs w:val="0"/>
                <w:noProof/>
                <w:webHidden/>
                <w:sz w:val="24"/>
                <w:szCs w:val="24"/>
              </w:rPr>
            </w:r>
            <w:r w:rsidRPr="00B15CE8">
              <w:rPr>
                <w:rFonts w:ascii="Arial" w:hAnsi="Arial" w:cs="Arial"/>
                <w:b w:val="0"/>
                <w:bCs w:val="0"/>
                <w:noProof/>
                <w:webHidden/>
                <w:sz w:val="24"/>
                <w:szCs w:val="24"/>
              </w:rPr>
              <w:fldChar w:fldCharType="separate"/>
            </w:r>
            <w:r w:rsidRPr="00B15CE8">
              <w:rPr>
                <w:rFonts w:ascii="Arial" w:hAnsi="Arial" w:cs="Arial"/>
                <w:b w:val="0"/>
                <w:bCs w:val="0"/>
                <w:noProof/>
                <w:webHidden/>
                <w:sz w:val="24"/>
                <w:szCs w:val="24"/>
              </w:rPr>
              <w:t>24</w:t>
            </w:r>
            <w:r w:rsidRPr="00B15CE8">
              <w:rPr>
                <w:rFonts w:ascii="Arial" w:hAnsi="Arial" w:cs="Arial"/>
                <w:b w:val="0"/>
                <w:bCs w:val="0"/>
                <w:noProof/>
                <w:webHidden/>
                <w:sz w:val="24"/>
                <w:szCs w:val="24"/>
              </w:rPr>
              <w:fldChar w:fldCharType="end"/>
            </w:r>
          </w:hyperlink>
        </w:p>
        <w:p w14:paraId="15E19734" w14:textId="3001266C" w:rsidR="00B15CE8" w:rsidRPr="00B15CE8" w:rsidRDefault="00B15CE8">
          <w:pPr>
            <w:pStyle w:val="TOC1"/>
            <w:tabs>
              <w:tab w:val="right" w:leader="dot" w:pos="9350"/>
            </w:tabs>
            <w:rPr>
              <w:rFonts w:ascii="Arial" w:hAnsi="Arial" w:cs="Arial"/>
              <w:b w:val="0"/>
              <w:i w:val="0"/>
              <w:kern w:val="2"/>
              <w:szCs w:val="24"/>
              <w:lang w:eastAsia="en-GB" w:bidi="bn-IN"/>
            </w:rPr>
          </w:pPr>
          <w:hyperlink w:anchor="_Toc228469830" w:history="1">
            <w:r w:rsidRPr="00B15CE8">
              <w:rPr>
                <w:rStyle w:val="Hyperlink"/>
                <w:rFonts w:ascii="Arial" w:eastAsia="Times New Roman" w:hAnsi="Arial" w:cs="Arial"/>
                <w:b w:val="0"/>
                <w:i w:val="0"/>
                <w:szCs w:val="24"/>
                <w:lang w:eastAsia="en-GB"/>
              </w:rPr>
              <w:t>Conclusion</w:t>
            </w:r>
            <w:r w:rsidRPr="00B15CE8">
              <w:rPr>
                <w:rFonts w:ascii="Arial" w:hAnsi="Arial" w:cs="Arial"/>
                <w:b w:val="0"/>
                <w:bCs w:val="0"/>
                <w:i w:val="0"/>
                <w:iCs w:val="0"/>
                <w:noProof/>
                <w:webHidden/>
                <w:szCs w:val="24"/>
              </w:rPr>
              <w:tab/>
            </w:r>
            <w:r w:rsidRPr="00B15CE8">
              <w:rPr>
                <w:rFonts w:ascii="Arial" w:hAnsi="Arial" w:cs="Arial"/>
                <w:b w:val="0"/>
                <w:bCs w:val="0"/>
                <w:i w:val="0"/>
                <w:iCs w:val="0"/>
                <w:noProof/>
                <w:webHidden/>
                <w:szCs w:val="24"/>
              </w:rPr>
              <w:fldChar w:fldCharType="begin"/>
            </w:r>
            <w:r w:rsidRPr="00B15CE8">
              <w:rPr>
                <w:rFonts w:ascii="Arial" w:hAnsi="Arial" w:cs="Arial"/>
                <w:b w:val="0"/>
                <w:bCs w:val="0"/>
                <w:i w:val="0"/>
                <w:iCs w:val="0"/>
                <w:noProof/>
                <w:webHidden/>
                <w:szCs w:val="24"/>
              </w:rPr>
              <w:instrText xml:space="preserve"> PAGEREF _Toc228469830 \h </w:instrText>
            </w:r>
            <w:r w:rsidRPr="00B15CE8">
              <w:rPr>
                <w:rFonts w:ascii="Arial" w:hAnsi="Arial" w:cs="Arial"/>
                <w:b w:val="0"/>
                <w:bCs w:val="0"/>
                <w:i w:val="0"/>
                <w:iCs w:val="0"/>
                <w:noProof/>
                <w:webHidden/>
                <w:szCs w:val="24"/>
              </w:rPr>
            </w:r>
            <w:r w:rsidRPr="00B15CE8">
              <w:rPr>
                <w:rFonts w:ascii="Arial" w:hAnsi="Arial" w:cs="Arial"/>
                <w:b w:val="0"/>
                <w:bCs w:val="0"/>
                <w:i w:val="0"/>
                <w:iCs w:val="0"/>
                <w:noProof/>
                <w:webHidden/>
                <w:szCs w:val="24"/>
              </w:rPr>
              <w:fldChar w:fldCharType="separate"/>
            </w:r>
            <w:r w:rsidRPr="00B15CE8">
              <w:rPr>
                <w:rFonts w:ascii="Arial" w:hAnsi="Arial" w:cs="Arial"/>
                <w:b w:val="0"/>
                <w:bCs w:val="0"/>
                <w:i w:val="0"/>
                <w:iCs w:val="0"/>
                <w:noProof/>
                <w:webHidden/>
                <w:szCs w:val="24"/>
              </w:rPr>
              <w:t>25</w:t>
            </w:r>
            <w:r w:rsidRPr="00B15CE8">
              <w:rPr>
                <w:rFonts w:ascii="Arial" w:hAnsi="Arial" w:cs="Arial"/>
                <w:b w:val="0"/>
                <w:bCs w:val="0"/>
                <w:i w:val="0"/>
                <w:iCs w:val="0"/>
                <w:noProof/>
                <w:webHidden/>
                <w:szCs w:val="24"/>
              </w:rPr>
              <w:fldChar w:fldCharType="end"/>
            </w:r>
          </w:hyperlink>
        </w:p>
        <w:p w14:paraId="0A72661C" w14:textId="3C6AD973" w:rsidR="00B15CE8" w:rsidRPr="00B15CE8" w:rsidRDefault="00B15CE8">
          <w:pPr>
            <w:pStyle w:val="TOC1"/>
            <w:tabs>
              <w:tab w:val="right" w:leader="dot" w:pos="9350"/>
            </w:tabs>
            <w:rPr>
              <w:rFonts w:ascii="Arial" w:hAnsi="Arial" w:cs="Arial"/>
              <w:b w:val="0"/>
              <w:i w:val="0"/>
              <w:kern w:val="2"/>
              <w:szCs w:val="24"/>
              <w:lang w:eastAsia="en-GB" w:bidi="bn-IN"/>
            </w:rPr>
          </w:pPr>
          <w:hyperlink w:anchor="_Toc228469831" w:history="1">
            <w:r w:rsidRPr="00B15CE8">
              <w:rPr>
                <w:rStyle w:val="Hyperlink"/>
                <w:rFonts w:ascii="Arial" w:hAnsi="Arial" w:cs="Arial"/>
                <w:b w:val="0"/>
                <w:bCs w:val="0"/>
                <w:i w:val="0"/>
                <w:iCs w:val="0"/>
                <w:noProof/>
                <w:szCs w:val="24"/>
              </w:rPr>
              <w:t>Reference</w:t>
            </w:r>
            <w:r w:rsidRPr="00B15CE8">
              <w:rPr>
                <w:rFonts w:ascii="Arial" w:hAnsi="Arial" w:cs="Arial"/>
                <w:b w:val="0"/>
                <w:bCs w:val="0"/>
                <w:i w:val="0"/>
                <w:iCs w:val="0"/>
                <w:noProof/>
                <w:webHidden/>
                <w:szCs w:val="24"/>
              </w:rPr>
              <w:tab/>
            </w:r>
            <w:r w:rsidRPr="00B15CE8">
              <w:rPr>
                <w:rFonts w:ascii="Arial" w:hAnsi="Arial" w:cs="Arial"/>
                <w:b w:val="0"/>
                <w:bCs w:val="0"/>
                <w:i w:val="0"/>
                <w:iCs w:val="0"/>
                <w:noProof/>
                <w:webHidden/>
                <w:szCs w:val="24"/>
              </w:rPr>
              <w:fldChar w:fldCharType="begin"/>
            </w:r>
            <w:r w:rsidRPr="00B15CE8">
              <w:rPr>
                <w:rFonts w:ascii="Arial" w:hAnsi="Arial" w:cs="Arial"/>
                <w:b w:val="0"/>
                <w:bCs w:val="0"/>
                <w:i w:val="0"/>
                <w:iCs w:val="0"/>
                <w:noProof/>
                <w:webHidden/>
                <w:szCs w:val="24"/>
              </w:rPr>
              <w:instrText xml:space="preserve"> PAGEREF _Toc228469831 \h </w:instrText>
            </w:r>
            <w:r w:rsidRPr="00B15CE8">
              <w:rPr>
                <w:rFonts w:ascii="Arial" w:hAnsi="Arial" w:cs="Arial"/>
                <w:b w:val="0"/>
                <w:bCs w:val="0"/>
                <w:i w:val="0"/>
                <w:iCs w:val="0"/>
                <w:noProof/>
                <w:webHidden/>
                <w:szCs w:val="24"/>
              </w:rPr>
            </w:r>
            <w:r w:rsidRPr="00B15CE8">
              <w:rPr>
                <w:rFonts w:ascii="Arial" w:hAnsi="Arial" w:cs="Arial"/>
                <w:b w:val="0"/>
                <w:bCs w:val="0"/>
                <w:i w:val="0"/>
                <w:iCs w:val="0"/>
                <w:noProof/>
                <w:webHidden/>
                <w:szCs w:val="24"/>
              </w:rPr>
              <w:fldChar w:fldCharType="separate"/>
            </w:r>
            <w:r w:rsidRPr="00B15CE8">
              <w:rPr>
                <w:rFonts w:ascii="Arial" w:hAnsi="Arial" w:cs="Arial"/>
                <w:b w:val="0"/>
                <w:bCs w:val="0"/>
                <w:i w:val="0"/>
                <w:iCs w:val="0"/>
                <w:noProof/>
                <w:webHidden/>
                <w:szCs w:val="24"/>
              </w:rPr>
              <w:t>26</w:t>
            </w:r>
            <w:r w:rsidRPr="00B15CE8">
              <w:rPr>
                <w:rFonts w:ascii="Arial" w:hAnsi="Arial" w:cs="Arial"/>
                <w:b w:val="0"/>
                <w:bCs w:val="0"/>
                <w:i w:val="0"/>
                <w:iCs w:val="0"/>
                <w:noProof/>
                <w:webHidden/>
                <w:szCs w:val="24"/>
              </w:rPr>
              <w:fldChar w:fldCharType="end"/>
            </w:r>
          </w:hyperlink>
        </w:p>
        <w:p w14:paraId="28ADBF48" w14:textId="61C3E6D5" w:rsidR="00BA0C4D" w:rsidRPr="001A46C5" w:rsidRDefault="00BA0C4D">
          <w:pPr>
            <w:rPr>
              <w:rFonts w:ascii="Arial" w:hAnsi="Arial" w:cs="Arial"/>
              <w:szCs w:val="24"/>
            </w:rPr>
          </w:pPr>
          <w:r w:rsidRPr="00B15CE8">
            <w:rPr>
              <w:rFonts w:ascii="Arial" w:hAnsi="Arial" w:cs="Arial"/>
              <w:noProof/>
              <w:szCs w:val="24"/>
            </w:rPr>
            <w:fldChar w:fldCharType="end"/>
          </w:r>
        </w:p>
      </w:sdtContent>
    </w:sdt>
    <w:p w14:paraId="455EE6E6" w14:textId="105221C8" w:rsidR="009C468E" w:rsidRPr="001A46C5" w:rsidRDefault="009C468E" w:rsidP="00504D95">
      <w:pPr>
        <w:rPr>
          <w:rFonts w:ascii="Arial" w:hAnsi="Arial" w:cs="Arial"/>
          <w:b/>
          <w:bCs/>
          <w:sz w:val="28"/>
          <w:szCs w:val="28"/>
        </w:rPr>
      </w:pPr>
      <w:r w:rsidRPr="001A46C5">
        <w:rPr>
          <w:rFonts w:ascii="Arial" w:hAnsi="Arial" w:cs="Arial"/>
        </w:rPr>
        <w:br w:type="page"/>
      </w:r>
    </w:p>
    <w:p w14:paraId="1C601D13" w14:textId="1B875E94" w:rsidR="009C468E" w:rsidRPr="001A46C5" w:rsidRDefault="009C468E" w:rsidP="009C468E">
      <w:pPr>
        <w:rPr>
          <w:rFonts w:ascii="Arial" w:eastAsia="Times New Roman" w:hAnsi="Arial" w:cs="Arial"/>
          <w:color w:val="000000"/>
          <w:szCs w:val="24"/>
          <w:lang w:eastAsia="en-GB" w:bidi="bn-IN"/>
          <w14:ligatures w14:val="none"/>
        </w:rPr>
      </w:pPr>
    </w:p>
    <w:p w14:paraId="2E48347A" w14:textId="2FE04157" w:rsidR="009C468E" w:rsidRPr="001A46C5" w:rsidRDefault="009C468E" w:rsidP="003A6EBB">
      <w:pPr>
        <w:pStyle w:val="Heading1"/>
        <w:rPr>
          <w:rFonts w:ascii="Arial" w:eastAsia="Times New Roman" w:hAnsi="Arial" w:cs="Arial"/>
          <w:lang w:eastAsia="en-GB" w:bidi="bn-IN"/>
        </w:rPr>
      </w:pPr>
      <w:bookmarkStart w:id="1" w:name="_Toc228469797"/>
      <w:r w:rsidRPr="001A46C5">
        <w:rPr>
          <w:rFonts w:ascii="Arial" w:eastAsia="Times New Roman" w:hAnsi="Arial" w:cs="Arial"/>
          <w:lang w:eastAsia="en-GB" w:bidi="bn-IN"/>
        </w:rPr>
        <w:t>Section 1 – Strategic Analysis of BP plc</w:t>
      </w:r>
      <w:bookmarkEnd w:id="1"/>
    </w:p>
    <w:p w14:paraId="2311E63E" w14:textId="77777777" w:rsidR="009C468E" w:rsidRPr="001A46C5" w:rsidRDefault="009C468E" w:rsidP="003A6EBB">
      <w:pPr>
        <w:pStyle w:val="Heading2"/>
        <w:rPr>
          <w:rFonts w:ascii="Arial" w:eastAsia="Times New Roman" w:hAnsi="Arial" w:cs="Arial"/>
          <w:lang w:eastAsia="en-GB" w:bidi="bn-IN"/>
        </w:rPr>
      </w:pPr>
      <w:bookmarkStart w:id="2" w:name="_Toc228469798"/>
      <w:r w:rsidRPr="001A46C5">
        <w:rPr>
          <w:rFonts w:ascii="Arial" w:eastAsia="Times New Roman" w:hAnsi="Arial" w:cs="Arial"/>
          <w:lang w:eastAsia="en-GB" w:bidi="bn-IN"/>
        </w:rPr>
        <w:t>1. Introduction</w:t>
      </w:r>
      <w:bookmarkEnd w:id="2"/>
    </w:p>
    <w:p w14:paraId="00BA9BAA" w14:textId="684B6758"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Strategic management helps organisations to make long-term decisions which determine competitive advantage and organisational performance. Evaluating the external environmental pressures and internal organisational capabilities is important to understanding how firms maintain a position of remaining competitive in complex industries. BP plc is a large UK-based multinational energy company in a rapidly changing world energy market. This report uses the analysis methods of PESTEL analysis, </w:t>
      </w:r>
      <w:r w:rsidR="00D13708">
        <w:rPr>
          <w:rFonts w:ascii="Arial" w:eastAsia="Times New Roman" w:hAnsi="Arial" w:cs="Arial"/>
          <w:color w:val="000000"/>
          <w:szCs w:val="24"/>
          <w:lang w:val="en-US" w:eastAsia="en-GB" w:bidi="bn-IN"/>
          <w14:ligatures w14:val="none"/>
        </w:rPr>
        <w:t>value chain framework</w:t>
      </w:r>
      <w:r w:rsidRPr="001A46C5">
        <w:rPr>
          <w:rFonts w:ascii="Arial" w:eastAsia="Times New Roman" w:hAnsi="Arial" w:cs="Arial"/>
          <w:color w:val="000000"/>
          <w:szCs w:val="24"/>
          <w:lang w:eastAsia="en-GB" w:bidi="bn-IN"/>
          <w14:ligatures w14:val="none"/>
        </w:rPr>
        <w:t>, VRIO, Balanced Scorecard</w:t>
      </w:r>
      <w:r w:rsidR="00D13708">
        <w:rPr>
          <w:rFonts w:ascii="Arial" w:eastAsia="Times New Roman" w:hAnsi="Arial" w:cs="Arial"/>
          <w:color w:val="000000"/>
          <w:szCs w:val="24"/>
          <w:lang w:val="en-US" w:eastAsia="en-GB" w:bidi="bn-IN"/>
          <w14:ligatures w14:val="none"/>
        </w:rPr>
        <w:t xml:space="preserve"> </w:t>
      </w:r>
      <w:r w:rsidRPr="001A46C5">
        <w:rPr>
          <w:rFonts w:ascii="Arial" w:eastAsia="Times New Roman" w:hAnsi="Arial" w:cs="Arial"/>
          <w:color w:val="000000"/>
          <w:szCs w:val="24"/>
          <w:lang w:eastAsia="en-GB" w:bidi="bn-IN"/>
          <w14:ligatures w14:val="none"/>
        </w:rPr>
        <w:t>and BCG Matrix. These frameworks are applied in a critical light to discuss how BP is tweaking its strategy in response to industry change, specifically, the global shift to lower carbon energy systems.</w:t>
      </w:r>
    </w:p>
    <w:p w14:paraId="4DA7BCE8" w14:textId="77777777" w:rsidR="003A6EBB" w:rsidRPr="001A46C5" w:rsidRDefault="003A6EBB" w:rsidP="009C468E">
      <w:pPr>
        <w:rPr>
          <w:rFonts w:ascii="Arial" w:eastAsia="Times New Roman" w:hAnsi="Arial" w:cs="Arial"/>
          <w:color w:val="000000"/>
          <w:szCs w:val="24"/>
          <w:lang w:eastAsia="en-GB" w:bidi="bn-IN"/>
          <w14:ligatures w14:val="none"/>
        </w:rPr>
      </w:pPr>
    </w:p>
    <w:p w14:paraId="1D24EC07" w14:textId="0DF7FC74" w:rsidR="009C468E" w:rsidRPr="001A46C5" w:rsidRDefault="009C468E" w:rsidP="003A6EBB">
      <w:pPr>
        <w:pStyle w:val="Heading2"/>
        <w:rPr>
          <w:rFonts w:ascii="Arial" w:eastAsia="Times New Roman" w:hAnsi="Arial" w:cs="Arial"/>
          <w:lang w:eastAsia="en-GB" w:bidi="bn-IN"/>
        </w:rPr>
      </w:pPr>
      <w:bookmarkStart w:id="3" w:name="_Toc228469799"/>
      <w:r w:rsidRPr="001A46C5">
        <w:rPr>
          <w:rFonts w:ascii="Arial" w:eastAsia="Times New Roman" w:hAnsi="Arial" w:cs="Arial"/>
          <w:lang w:eastAsia="en-GB" w:bidi="bn-IN"/>
        </w:rPr>
        <w:t>2. Organisational Context and Company Overview</w:t>
      </w:r>
      <w:bookmarkEnd w:id="3"/>
    </w:p>
    <w:p w14:paraId="2C7F7D7B" w14:textId="77777777" w:rsidR="009C468E" w:rsidRPr="001A46C5" w:rsidRDefault="009C468E" w:rsidP="003A6EBB">
      <w:pPr>
        <w:pStyle w:val="Heading3"/>
        <w:rPr>
          <w:rFonts w:ascii="Arial" w:hAnsi="Arial" w:cs="Arial"/>
        </w:rPr>
      </w:pPr>
      <w:bookmarkStart w:id="4" w:name="_Toc228469800"/>
      <w:r w:rsidRPr="001A46C5">
        <w:rPr>
          <w:rFonts w:ascii="Arial" w:hAnsi="Arial" w:cs="Arial"/>
        </w:rPr>
        <w:t>2.1 Background of BP plc</w:t>
      </w:r>
      <w:bookmarkEnd w:id="4"/>
    </w:p>
    <w:p w14:paraId="31FDAAF8" w14:textId="38A8BB50"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BP plc is a multinational energy company which was created in 1909 and is headquartered in London, United Kingdom. Over a period of over one hundred years</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the organisation has evolved from a regional oil producer to a global energy corporation. BP currently operates in more than 70 countries with an employed workforce of around 90,000 people worldwide</w:t>
      </w:r>
      <w:r w:rsidR="00561B8A" w:rsidRPr="001A46C5">
        <w:rPr>
          <w:rFonts w:ascii="Arial" w:eastAsia="Times New Roman" w:hAnsi="Arial" w:cs="Arial"/>
          <w:color w:val="000000"/>
          <w:szCs w:val="24"/>
          <w:lang w:val="en-US" w:eastAsia="en-GB" w:bidi="bn-IN"/>
          <w14:ligatures w14:val="none"/>
        </w:rPr>
        <w:t xml:space="preserve"> </w:t>
      </w:r>
      <w:r w:rsidR="00561B8A" w:rsidRPr="001A46C5">
        <w:rPr>
          <w:rFonts w:ascii="Arial" w:eastAsia="Times New Roman" w:hAnsi="Arial" w:cs="Arial"/>
          <w:color w:val="000000"/>
          <w:szCs w:val="24"/>
          <w:lang w:eastAsia="en-GB" w:bidi="bn-IN"/>
          <w14:ligatures w14:val="none"/>
        </w:rPr>
        <w:t>(BP, 2025)</w:t>
      </w:r>
      <w:r w:rsidRPr="001A46C5">
        <w:rPr>
          <w:rFonts w:ascii="Arial" w:eastAsia="Times New Roman" w:hAnsi="Arial" w:cs="Arial"/>
          <w:color w:val="000000"/>
          <w:szCs w:val="24"/>
          <w:lang w:eastAsia="en-GB" w:bidi="bn-IN"/>
          <w14:ligatures w14:val="none"/>
        </w:rPr>
        <w:t xml:space="preserve">. The company plays an important role in the global energy supply </w:t>
      </w:r>
      <w:r w:rsidR="003A6EBB" w:rsidRPr="001A46C5">
        <w:rPr>
          <w:rFonts w:ascii="Arial" w:eastAsia="Times New Roman" w:hAnsi="Arial" w:cs="Arial"/>
          <w:color w:val="000000"/>
          <w:szCs w:val="24"/>
          <w:lang w:eastAsia="en-GB" w:bidi="bn-IN"/>
          <w14:ligatures w14:val="none"/>
        </w:rPr>
        <w:t>through</w:t>
      </w:r>
      <w:r w:rsidRPr="001A46C5">
        <w:rPr>
          <w:rFonts w:ascii="Arial" w:eastAsia="Times New Roman" w:hAnsi="Arial" w:cs="Arial"/>
          <w:color w:val="000000"/>
          <w:szCs w:val="24"/>
          <w:lang w:eastAsia="en-GB" w:bidi="bn-IN"/>
          <w14:ligatures w14:val="none"/>
        </w:rPr>
        <w:t xml:space="preserve"> its activities in exploration, production and fuel distribution. Given the extent of BP's generation of international revenue, BP reported revenues in excess of $200 billion in 2023</w:t>
      </w:r>
      <w:r w:rsidR="007129BF" w:rsidRPr="001A46C5">
        <w:rPr>
          <w:rFonts w:ascii="Arial" w:eastAsia="Times New Roman" w:hAnsi="Arial" w:cs="Arial"/>
          <w:color w:val="000000"/>
          <w:szCs w:val="24"/>
          <w:lang w:val="en-US" w:eastAsia="en-GB" w:bidi="bn-IN"/>
          <w14:ligatures w14:val="none"/>
        </w:rPr>
        <w:t xml:space="preserve"> </w:t>
      </w:r>
      <w:r w:rsidR="007129BF" w:rsidRPr="001A46C5">
        <w:rPr>
          <w:rFonts w:ascii="Arial" w:eastAsia="Times New Roman" w:hAnsi="Arial" w:cs="Arial"/>
          <w:color w:val="000000"/>
          <w:szCs w:val="24"/>
          <w:lang w:eastAsia="en-GB" w:bidi="bn-IN"/>
          <w14:ligatures w14:val="none"/>
        </w:rPr>
        <w:t>(BP plc, 2026)</w:t>
      </w:r>
      <w:r w:rsidRPr="001A46C5">
        <w:rPr>
          <w:rFonts w:ascii="Arial" w:eastAsia="Times New Roman" w:hAnsi="Arial" w:cs="Arial"/>
          <w:color w:val="000000"/>
          <w:szCs w:val="24"/>
          <w:lang w:eastAsia="en-GB" w:bidi="bn-IN"/>
          <w14:ligatures w14:val="none"/>
        </w:rPr>
        <w:t>. Its historical growth has been aided by technological capability, large</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scale infrastructure and long</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term investment in energy production and distribution networks across multiple markets around the world.</w:t>
      </w:r>
    </w:p>
    <w:p w14:paraId="6B94AEAA" w14:textId="77777777" w:rsidR="009C468E" w:rsidRPr="001A46C5" w:rsidRDefault="009C468E" w:rsidP="003A6EBB">
      <w:pPr>
        <w:pStyle w:val="Heading3"/>
        <w:rPr>
          <w:rFonts w:ascii="Arial" w:hAnsi="Arial" w:cs="Arial"/>
        </w:rPr>
      </w:pPr>
      <w:bookmarkStart w:id="5" w:name="_Toc228469801"/>
      <w:r w:rsidRPr="001A46C5">
        <w:rPr>
          <w:rFonts w:ascii="Arial" w:hAnsi="Arial" w:cs="Arial"/>
        </w:rPr>
        <w:t>2.2 Vision, Mission and Strategic Direction</w:t>
      </w:r>
      <w:bookmarkEnd w:id="5"/>
    </w:p>
    <w:p w14:paraId="2CC2E2C1" w14:textId="584AD836" w:rsidR="00FF0AB0" w:rsidRPr="001A46C5" w:rsidRDefault="009C468E" w:rsidP="007A2129">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BP's strategic direction is evidence of a major overhaul in the face of global climate pressures as well as regulatory change. </w:t>
      </w:r>
      <w:r w:rsidR="007A2129" w:rsidRPr="001A46C5">
        <w:rPr>
          <w:rFonts w:ascii="Arial" w:eastAsia="Times New Roman" w:hAnsi="Arial" w:cs="Arial"/>
          <w:color w:val="000000"/>
          <w:szCs w:val="24"/>
          <w:lang w:eastAsia="en-GB" w:bidi="bn-IN"/>
          <w14:ligatures w14:val="none"/>
        </w:rPr>
        <w:t xml:space="preserve">BP's </w:t>
      </w:r>
      <w:r w:rsidR="007A2129" w:rsidRPr="001A46C5">
        <w:rPr>
          <w:rFonts w:ascii="Arial" w:eastAsia="Times New Roman" w:hAnsi="Arial" w:cs="Arial"/>
          <w:color w:val="000000"/>
          <w:szCs w:val="24"/>
          <w:lang w:val="en-US" w:eastAsia="en-GB" w:bidi="bn-IN"/>
          <w14:ligatures w14:val="none"/>
        </w:rPr>
        <w:t>mission</w:t>
      </w:r>
      <w:r w:rsidR="007A2129" w:rsidRPr="001A46C5">
        <w:rPr>
          <w:rFonts w:ascii="Arial" w:eastAsia="Times New Roman" w:hAnsi="Arial" w:cs="Arial"/>
          <w:color w:val="000000"/>
          <w:szCs w:val="24"/>
          <w:lang w:eastAsia="en-GB" w:bidi="bn-IN"/>
          <w14:ligatures w14:val="none"/>
        </w:rPr>
        <w:t xml:space="preserve"> is to deliver energy to the world, today and tomorrow, while acting on sustainability</w:t>
      </w:r>
      <w:r w:rsidR="007A2129" w:rsidRPr="001A46C5">
        <w:rPr>
          <w:rFonts w:ascii="Arial" w:eastAsia="Times New Roman" w:hAnsi="Arial" w:cs="Arial"/>
          <w:color w:val="000000"/>
          <w:szCs w:val="24"/>
          <w:lang w:val="en-US" w:eastAsia="en-GB" w:bidi="bn-IN"/>
          <w14:ligatures w14:val="none"/>
        </w:rPr>
        <w:t xml:space="preserve">. </w:t>
      </w:r>
      <w:r w:rsidR="007A2129" w:rsidRPr="001A46C5">
        <w:rPr>
          <w:rFonts w:ascii="Arial" w:eastAsia="Times New Roman" w:hAnsi="Arial" w:cs="Arial"/>
          <w:color w:val="000000"/>
          <w:szCs w:val="24"/>
          <w:lang w:eastAsia="en-GB" w:bidi="bn-IN"/>
          <w14:ligatures w14:val="none"/>
        </w:rPr>
        <w:t xml:space="preserve">BP's vision is to transition away from being solely an oil-focused company to become an integrated energy company, focusing on: net zero ambition, transformation and lower-carbon solutions. </w:t>
      </w:r>
      <w:r w:rsidRPr="001A46C5">
        <w:rPr>
          <w:rFonts w:ascii="Arial" w:eastAsia="Times New Roman" w:hAnsi="Arial" w:cs="Arial"/>
          <w:color w:val="000000"/>
          <w:szCs w:val="24"/>
          <w:lang w:eastAsia="en-GB" w:bidi="bn-IN"/>
          <w14:ligatures w14:val="none"/>
        </w:rPr>
        <w:t>BP is committed to emission net zero by 2050</w:t>
      </w:r>
      <w:r w:rsidR="007129BF" w:rsidRPr="001A46C5">
        <w:rPr>
          <w:rFonts w:ascii="Arial" w:eastAsia="Times New Roman" w:hAnsi="Arial" w:cs="Arial"/>
          <w:color w:val="000000"/>
          <w:szCs w:val="24"/>
          <w:lang w:val="en-US" w:eastAsia="en-GB" w:bidi="bn-IN"/>
          <w14:ligatures w14:val="none"/>
        </w:rPr>
        <w:t xml:space="preserve"> </w:t>
      </w:r>
      <w:r w:rsidR="007129BF" w:rsidRPr="001A46C5">
        <w:rPr>
          <w:rFonts w:ascii="Arial" w:eastAsia="Times New Roman" w:hAnsi="Arial" w:cs="Arial"/>
          <w:color w:val="000000"/>
          <w:szCs w:val="24"/>
          <w:lang w:eastAsia="en-GB" w:bidi="bn-IN"/>
          <w14:ligatures w14:val="none"/>
        </w:rPr>
        <w:t>(BP plc, 2026)</w:t>
      </w:r>
      <w:r w:rsidRPr="001A46C5">
        <w:rPr>
          <w:rFonts w:ascii="Arial" w:eastAsia="Times New Roman" w:hAnsi="Arial" w:cs="Arial"/>
          <w:color w:val="000000"/>
          <w:szCs w:val="24"/>
          <w:lang w:eastAsia="en-GB" w:bidi="bn-IN"/>
          <w14:ligatures w14:val="none"/>
        </w:rPr>
        <w:t xml:space="preserve">. </w:t>
      </w:r>
      <w:r w:rsidR="00FF0AB0" w:rsidRPr="00FF0AB0">
        <w:rPr>
          <w:rFonts w:ascii="Arial" w:eastAsia="Times New Roman" w:hAnsi="Arial" w:cs="Arial"/>
          <w:color w:val="000000"/>
          <w:szCs w:val="24"/>
          <w:lang w:eastAsia="en-GB" w:bidi="bn-IN"/>
          <w14:ligatures w14:val="none"/>
        </w:rPr>
        <w:t>This goal is associated with large-scale investment in alternative energy sources (for example, wind, solar and hydrogen). The strategy is also driven by growing environmental legislation and growing societal demand for environmental</w:t>
      </w:r>
      <w:proofErr w:type="spellStart"/>
      <w:r w:rsidR="00FF0AB0">
        <w:rPr>
          <w:rFonts w:ascii="Arial" w:eastAsia="Times New Roman" w:hAnsi="Arial" w:cs="Arial"/>
          <w:color w:val="000000"/>
          <w:szCs w:val="24"/>
          <w:lang w:val="en-US" w:eastAsia="en-GB" w:bidi="bn-IN"/>
          <w14:ligatures w14:val="none"/>
        </w:rPr>
        <w:t>ly</w:t>
      </w:r>
      <w:proofErr w:type="spellEnd"/>
      <w:r w:rsidR="00FF0AB0" w:rsidRPr="00FF0AB0">
        <w:rPr>
          <w:rFonts w:ascii="Arial" w:eastAsia="Times New Roman" w:hAnsi="Arial" w:cs="Arial"/>
          <w:color w:val="000000"/>
          <w:szCs w:val="24"/>
          <w:lang w:eastAsia="en-GB" w:bidi="bn-IN"/>
          <w14:ligatures w14:val="none"/>
        </w:rPr>
        <w:t xml:space="preserve"> friendly energy sources</w:t>
      </w:r>
      <w:r w:rsidR="00FF0AB0">
        <w:rPr>
          <w:rFonts w:ascii="Arial" w:eastAsia="Times New Roman" w:hAnsi="Arial" w:cs="Arial"/>
          <w:color w:val="000000"/>
          <w:szCs w:val="24"/>
          <w:lang w:val="en-US" w:eastAsia="en-GB" w:bidi="bn-IN"/>
          <w14:ligatures w14:val="none"/>
        </w:rPr>
        <w:t xml:space="preserve"> </w:t>
      </w:r>
      <w:r w:rsidR="00FF0AB0" w:rsidRPr="00FF0AB0">
        <w:rPr>
          <w:rFonts w:ascii="Arial" w:eastAsia="Times New Roman" w:hAnsi="Arial" w:cs="Arial"/>
          <w:color w:val="000000"/>
          <w:szCs w:val="24"/>
          <w:lang w:eastAsia="en-GB" w:bidi="bn-IN"/>
          <w14:ligatures w14:val="none"/>
        </w:rPr>
        <w:t>(</w:t>
      </w:r>
      <w:proofErr w:type="spellStart"/>
      <w:r w:rsidR="00FF0AB0" w:rsidRPr="00FF0AB0">
        <w:rPr>
          <w:rFonts w:ascii="Arial" w:eastAsia="Times New Roman" w:hAnsi="Arial" w:cs="Arial"/>
          <w:color w:val="000000"/>
          <w:szCs w:val="24"/>
          <w:lang w:eastAsia="en-GB" w:bidi="bn-IN"/>
          <w14:ligatures w14:val="none"/>
        </w:rPr>
        <w:t>Edser</w:t>
      </w:r>
      <w:proofErr w:type="spellEnd"/>
      <w:r w:rsidR="00FF0AB0" w:rsidRPr="00FF0AB0">
        <w:rPr>
          <w:rFonts w:ascii="Arial" w:eastAsia="Times New Roman" w:hAnsi="Arial" w:cs="Arial"/>
          <w:color w:val="000000"/>
          <w:szCs w:val="24"/>
          <w:lang w:eastAsia="en-GB" w:bidi="bn-IN"/>
          <w14:ligatures w14:val="none"/>
        </w:rPr>
        <w:t>, 2026). BP's shift towards low</w:t>
      </w:r>
      <w:r w:rsidR="00FF0AB0">
        <w:rPr>
          <w:rFonts w:ascii="Arial" w:eastAsia="Times New Roman" w:hAnsi="Arial" w:cs="Arial"/>
          <w:color w:val="000000"/>
          <w:szCs w:val="24"/>
          <w:lang w:val="en-US" w:eastAsia="en-GB" w:bidi="bn-IN"/>
          <w14:ligatures w14:val="none"/>
        </w:rPr>
        <w:t>-</w:t>
      </w:r>
      <w:r w:rsidR="00FF0AB0" w:rsidRPr="00FF0AB0">
        <w:rPr>
          <w:rFonts w:ascii="Arial" w:eastAsia="Times New Roman" w:hAnsi="Arial" w:cs="Arial"/>
          <w:color w:val="000000"/>
          <w:szCs w:val="24"/>
          <w:lang w:eastAsia="en-GB" w:bidi="bn-IN"/>
          <w14:ligatures w14:val="none"/>
        </w:rPr>
        <w:t xml:space="preserve">carbon energy is an attempt to successfully marry its business needs for future security in a rapidly changing energy environment that requires sustainable energy consumption and carbon mitigation. </w:t>
      </w:r>
    </w:p>
    <w:p w14:paraId="3BAEF983" w14:textId="77777777" w:rsidR="009C468E" w:rsidRPr="001A46C5" w:rsidRDefault="009C468E" w:rsidP="003A6EBB">
      <w:pPr>
        <w:pStyle w:val="Heading3"/>
        <w:rPr>
          <w:rFonts w:ascii="Arial" w:hAnsi="Arial" w:cs="Arial"/>
        </w:rPr>
      </w:pPr>
      <w:bookmarkStart w:id="6" w:name="_Toc228469802"/>
      <w:r w:rsidRPr="001A46C5">
        <w:rPr>
          <w:rFonts w:ascii="Arial" w:hAnsi="Arial" w:cs="Arial"/>
        </w:rPr>
        <w:t>2.3 Business Model</w:t>
      </w:r>
      <w:bookmarkEnd w:id="6"/>
    </w:p>
    <w:p w14:paraId="0F10D334" w14:textId="77777777" w:rsidR="00504D95"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BP's business model is geared towards creating value through energy production on a large scale, infrastructure and global distribution systems. </w:t>
      </w:r>
    </w:p>
    <w:p w14:paraId="1C0BE5EF" w14:textId="77777777" w:rsidR="00BA0C4D" w:rsidRPr="001A46C5" w:rsidRDefault="00504D95" w:rsidP="00BA0C4D">
      <w:pPr>
        <w:keepNext/>
        <w:jc w:val="center"/>
        <w:rPr>
          <w:rFonts w:ascii="Arial" w:hAnsi="Arial" w:cs="Arial"/>
          <w:szCs w:val="24"/>
        </w:rPr>
      </w:pPr>
      <w:r w:rsidRPr="001A46C5">
        <w:rPr>
          <w:rFonts w:ascii="Arial" w:eastAsia="Times New Roman" w:hAnsi="Arial" w:cs="Arial"/>
          <w:color w:val="000000"/>
          <w:szCs w:val="24"/>
          <w:lang w:eastAsia="en-GB" w:bidi="bn-IN"/>
        </w:rPr>
        <w:drawing>
          <wp:inline distT="0" distB="0" distL="0" distR="0" wp14:anchorId="6E35CBD7" wp14:editId="51D271F0">
            <wp:extent cx="5943600" cy="1653540"/>
            <wp:effectExtent l="0" t="0" r="0" b="0"/>
            <wp:docPr id="68372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20788" name="Picture 6837207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653540"/>
                    </a:xfrm>
                    <a:prstGeom prst="rect">
                      <a:avLst/>
                    </a:prstGeom>
                  </pic:spPr>
                </pic:pic>
              </a:graphicData>
            </a:graphic>
          </wp:inline>
        </w:drawing>
      </w:r>
    </w:p>
    <w:p w14:paraId="78934B65" w14:textId="1E397591" w:rsidR="007129BF" w:rsidRPr="001A46C5" w:rsidRDefault="00BA0C4D" w:rsidP="00BA0C4D">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00927F29" w:rsidRPr="001A46C5">
        <w:rPr>
          <w:rFonts w:ascii="Arial" w:hAnsi="Arial" w:cs="Arial"/>
          <w:noProof/>
          <w:sz w:val="24"/>
          <w:szCs w:val="24"/>
        </w:rPr>
        <w:t>1</w:t>
      </w:r>
      <w:r w:rsidRPr="001A46C5">
        <w:rPr>
          <w:rFonts w:ascii="Arial" w:hAnsi="Arial" w:cs="Arial"/>
          <w:sz w:val="24"/>
          <w:szCs w:val="24"/>
        </w:rPr>
        <w:fldChar w:fldCharType="end"/>
      </w:r>
      <w:r w:rsidRPr="001A46C5">
        <w:rPr>
          <w:rFonts w:ascii="Arial" w:hAnsi="Arial" w:cs="Arial"/>
          <w:sz w:val="24"/>
          <w:szCs w:val="24"/>
          <w:lang w:val="en-US"/>
        </w:rPr>
        <w:t>: BP's Business Model</w:t>
      </w:r>
      <w:r w:rsidR="007129BF" w:rsidRPr="001A46C5">
        <w:rPr>
          <w:rFonts w:ascii="Arial" w:hAnsi="Arial" w:cs="Arial"/>
          <w:sz w:val="24"/>
          <w:szCs w:val="24"/>
          <w:lang w:val="en-US"/>
        </w:rPr>
        <w:t xml:space="preserve"> </w:t>
      </w:r>
    </w:p>
    <w:p w14:paraId="2B2EA273" w14:textId="29C4A8FA" w:rsidR="00504D95" w:rsidRPr="001A46C5" w:rsidRDefault="007129BF" w:rsidP="00BA0C4D">
      <w:pPr>
        <w:pStyle w:val="Caption"/>
        <w:jc w:val="center"/>
        <w:rPr>
          <w:rFonts w:ascii="Arial" w:eastAsia="Times New Roman" w:hAnsi="Arial" w:cs="Arial"/>
          <w:color w:val="000000"/>
          <w:sz w:val="24"/>
          <w:szCs w:val="24"/>
          <w:lang w:eastAsia="en-GB" w:bidi="bn-IN"/>
          <w14:ligatures w14:val="none"/>
        </w:rPr>
      </w:pPr>
      <w:r w:rsidRPr="001A46C5">
        <w:rPr>
          <w:rFonts w:ascii="Arial" w:hAnsi="Arial" w:cs="Arial"/>
          <w:sz w:val="24"/>
          <w:szCs w:val="24"/>
          <w:lang w:val="en-US"/>
        </w:rPr>
        <w:t xml:space="preserve">Source: </w:t>
      </w:r>
      <w:r w:rsidRPr="001A46C5">
        <w:rPr>
          <w:rFonts w:ascii="Arial" w:hAnsi="Arial" w:cs="Arial"/>
          <w:sz w:val="24"/>
          <w:szCs w:val="24"/>
        </w:rPr>
        <w:t>(BP, 2025)</w:t>
      </w:r>
    </w:p>
    <w:p w14:paraId="42A6FA3F" w14:textId="7C15AE9B" w:rsidR="009C468E" w:rsidRPr="001A46C5" w:rsidRDefault="00FF0AB0" w:rsidP="009C468E">
      <w:pPr>
        <w:rPr>
          <w:rFonts w:ascii="Arial" w:eastAsia="Times New Roman" w:hAnsi="Arial" w:cs="Arial"/>
          <w:color w:val="000000"/>
          <w:szCs w:val="24"/>
          <w:lang w:eastAsia="en-GB" w:bidi="bn-IN"/>
          <w14:ligatures w14:val="none"/>
        </w:rPr>
      </w:pPr>
      <w:r w:rsidRPr="00FF0AB0">
        <w:rPr>
          <w:rFonts w:ascii="Arial" w:eastAsia="Times New Roman" w:hAnsi="Arial" w:cs="Arial"/>
          <w:color w:val="000000"/>
          <w:szCs w:val="24"/>
          <w:lang w:eastAsia="en-GB" w:bidi="bn-IN"/>
          <w14:ligatures w14:val="none"/>
        </w:rPr>
        <w:t>It has established three primary lines of business, upstream oil exploration, refining and marketing and is increasingly committed to new energy sources. Such business is underpinned by expert knowledge of exploration and trade routes. BP also has one of the largest energy trading operations in the world which enables it to manage fluctuations and changes in price (BP, 2025) . By undertaking the above activities the company aims to combine its conventional energy business and opportunities in the low-carbon energy markets</w:t>
      </w:r>
      <w:r w:rsidR="009C468E" w:rsidRPr="001A46C5">
        <w:rPr>
          <w:rFonts w:ascii="Arial" w:eastAsia="Times New Roman" w:hAnsi="Arial" w:cs="Arial"/>
          <w:color w:val="000000"/>
          <w:szCs w:val="24"/>
          <w:lang w:eastAsia="en-GB" w:bidi="bn-IN"/>
          <w14:ligatures w14:val="none"/>
        </w:rPr>
        <w:t>.</w:t>
      </w:r>
    </w:p>
    <w:p w14:paraId="1ADB0CB2" w14:textId="77777777" w:rsidR="009C468E" w:rsidRPr="001A46C5" w:rsidRDefault="009C468E" w:rsidP="003A6EBB">
      <w:pPr>
        <w:pStyle w:val="Heading3"/>
        <w:rPr>
          <w:rFonts w:ascii="Arial" w:hAnsi="Arial" w:cs="Arial"/>
        </w:rPr>
      </w:pPr>
      <w:bookmarkStart w:id="7" w:name="_Toc228469803"/>
      <w:r w:rsidRPr="001A46C5">
        <w:rPr>
          <w:rFonts w:ascii="Arial" w:hAnsi="Arial" w:cs="Arial"/>
        </w:rPr>
        <w:t>2.4 Industry Context</w:t>
      </w:r>
      <w:bookmarkEnd w:id="7"/>
    </w:p>
    <w:p w14:paraId="11FCE850" w14:textId="79CF440B"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BP plays in the very competitive world energy business. Major rivals include Shell, ExxonMobil, Chevron and TotalEnergies. The sector is characterised by high levels of capital investment, technological complexity and high levels of regulatory oversight. Energy prices are also subject to a lot of volatility and are based on geopolitical developments, global demand and production levels. At the same time, environmental regulation is getting more stringent</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with carbon reduction targets being implemented by governments</w:t>
      </w:r>
      <w:r w:rsidR="007129BF" w:rsidRPr="001A46C5">
        <w:rPr>
          <w:rFonts w:ascii="Arial" w:eastAsia="Times New Roman" w:hAnsi="Arial" w:cs="Arial"/>
          <w:color w:val="000000"/>
          <w:szCs w:val="24"/>
          <w:lang w:val="en-US" w:eastAsia="en-GB" w:bidi="bn-IN"/>
          <w14:ligatures w14:val="none"/>
        </w:rPr>
        <w:t xml:space="preserve"> </w:t>
      </w:r>
      <w:r w:rsidR="007129BF" w:rsidRPr="001A46C5">
        <w:rPr>
          <w:rFonts w:ascii="Arial" w:eastAsia="Times New Roman" w:hAnsi="Arial" w:cs="Arial"/>
          <w:color w:val="000000"/>
          <w:szCs w:val="24"/>
          <w:lang w:eastAsia="en-GB" w:bidi="bn-IN"/>
          <w14:ligatures w14:val="none"/>
        </w:rPr>
        <w:t>(</w:t>
      </w:r>
      <w:proofErr w:type="spellStart"/>
      <w:r w:rsidR="007129BF" w:rsidRPr="001A46C5">
        <w:rPr>
          <w:rFonts w:ascii="Arial" w:eastAsia="Times New Roman" w:hAnsi="Arial" w:cs="Arial"/>
          <w:color w:val="000000"/>
          <w:szCs w:val="24"/>
          <w:lang w:eastAsia="en-GB" w:bidi="bn-IN"/>
          <w14:ligatures w14:val="none"/>
        </w:rPr>
        <w:t>Edser</w:t>
      </w:r>
      <w:proofErr w:type="spellEnd"/>
      <w:r w:rsidR="007129BF" w:rsidRPr="001A46C5">
        <w:rPr>
          <w:rFonts w:ascii="Arial" w:eastAsia="Times New Roman" w:hAnsi="Arial" w:cs="Arial"/>
          <w:color w:val="000000"/>
          <w:szCs w:val="24"/>
          <w:lang w:eastAsia="en-GB" w:bidi="bn-IN"/>
          <w14:ligatures w14:val="none"/>
        </w:rPr>
        <w:t>, 2026)</w:t>
      </w:r>
      <w:r w:rsidRPr="001A46C5">
        <w:rPr>
          <w:rFonts w:ascii="Arial" w:eastAsia="Times New Roman" w:hAnsi="Arial" w:cs="Arial"/>
          <w:color w:val="000000"/>
          <w:szCs w:val="24"/>
          <w:lang w:eastAsia="en-GB" w:bidi="bn-IN"/>
          <w14:ligatures w14:val="none"/>
        </w:rPr>
        <w:t>. These pressures are providing the impetus for the transition to renewable energy systems. For BP, long-term competitiveness has come to depend increasingly on being able to strike a successful balancing act between traditional energy production and investment in sustainable energy solutions.</w:t>
      </w:r>
    </w:p>
    <w:p w14:paraId="4914F6E6" w14:textId="77777777" w:rsidR="003A6EBB" w:rsidRPr="001A46C5" w:rsidRDefault="003A6EBB" w:rsidP="009C468E">
      <w:pPr>
        <w:rPr>
          <w:rFonts w:ascii="Arial" w:eastAsia="Times New Roman" w:hAnsi="Arial" w:cs="Arial"/>
          <w:color w:val="000000"/>
          <w:szCs w:val="24"/>
          <w:lang w:eastAsia="en-GB" w:bidi="bn-IN"/>
          <w14:ligatures w14:val="none"/>
        </w:rPr>
      </w:pPr>
    </w:p>
    <w:p w14:paraId="030EC5C5" w14:textId="77777777" w:rsidR="002166B8" w:rsidRPr="001A46C5" w:rsidRDefault="002166B8" w:rsidP="001A46C5">
      <w:pPr>
        <w:pStyle w:val="Heading2"/>
        <w:rPr>
          <w:rFonts w:ascii="Arial" w:eastAsia="Times New Roman" w:hAnsi="Arial" w:cs="Arial"/>
          <w:lang w:eastAsia="en-GB" w:bidi="bn-IN"/>
        </w:rPr>
      </w:pPr>
      <w:bookmarkStart w:id="8" w:name="_Toc228469804"/>
      <w:r w:rsidRPr="001A46C5">
        <w:rPr>
          <w:rFonts w:ascii="Arial" w:eastAsia="Times New Roman" w:hAnsi="Arial" w:cs="Arial"/>
          <w:lang w:eastAsia="en-GB" w:bidi="bn-IN"/>
        </w:rPr>
        <w:t>3. External and Internal Environment Analysis</w:t>
      </w:r>
      <w:bookmarkEnd w:id="8"/>
    </w:p>
    <w:p w14:paraId="2B64DB64" w14:textId="39B2DED2" w:rsidR="002166B8" w:rsidRPr="001A46C5" w:rsidRDefault="002166B8" w:rsidP="002166B8">
      <w:pPr>
        <w:pStyle w:val="Heading3"/>
        <w:rPr>
          <w:rFonts w:ascii="Arial" w:hAnsi="Arial" w:cs="Arial"/>
        </w:rPr>
      </w:pPr>
      <w:bookmarkStart w:id="9" w:name="_Toc228469805"/>
      <w:r w:rsidRPr="001A46C5">
        <w:rPr>
          <w:rFonts w:ascii="Arial" w:hAnsi="Arial" w:cs="Arial"/>
        </w:rPr>
        <w:t>3.1 External Environment Analysis (PESTEL)</w:t>
      </w:r>
      <w:bookmarkEnd w:id="9"/>
    </w:p>
    <w:p w14:paraId="086CE5D1" w14:textId="17E9C505" w:rsidR="00AD0493" w:rsidRPr="001A46C5" w:rsidRDefault="002166B8" w:rsidP="00AD0493">
      <w:pPr>
        <w:rPr>
          <w:rFonts w:ascii="Arial" w:hAnsi="Arial" w:cs="Arial"/>
          <w:lang w:val="en-US" w:eastAsia="en-GB" w:bidi="bn-IN"/>
        </w:rPr>
      </w:pPr>
      <w:r w:rsidRPr="001A46C5">
        <w:rPr>
          <w:rFonts w:ascii="Arial" w:hAnsi="Arial" w:cs="Arial"/>
          <w:lang w:eastAsia="en-GB" w:bidi="bn-IN"/>
        </w:rPr>
        <w:t xml:space="preserve">Strategic decisions are business objectives and mission statements, as well as marketing and customer-service strategies. Therefore, they are long-term kinds of decisions made over one or more years </w:t>
      </w:r>
      <w:r w:rsidRPr="002166B8">
        <w:rPr>
          <w:rFonts w:ascii="Arial" w:eastAsia="Times New Roman" w:hAnsi="Arial" w:cs="Arial"/>
          <w:color w:val="000000"/>
          <w:szCs w:val="24"/>
          <w:lang w:eastAsia="en-GB" w:bidi="bn-IN"/>
          <w14:ligatures w14:val="none"/>
        </w:rPr>
        <w:t>(Hashmi, Khan and Ajmal, 2020)</w:t>
      </w:r>
      <w:r w:rsidRPr="001A46C5">
        <w:rPr>
          <w:rFonts w:ascii="Arial" w:hAnsi="Arial" w:cs="Arial"/>
          <w:lang w:eastAsia="en-GB" w:bidi="bn-IN"/>
        </w:rPr>
        <w:t xml:space="preserve">. A PESTEL analysis is an acronym for a tool used to identify the macro (external) forces </w:t>
      </w:r>
      <w:r w:rsidRPr="001A46C5">
        <w:rPr>
          <w:rFonts w:ascii="Arial" w:hAnsi="Arial" w:cs="Arial"/>
          <w:lang w:eastAsia="en-GB" w:bidi="bn-IN"/>
          <w14:ligatures w14:val="none"/>
        </w:rPr>
        <w:t>facing</w:t>
      </w:r>
      <w:r w:rsidRPr="001A46C5">
        <w:rPr>
          <w:rFonts w:ascii="Arial" w:hAnsi="Arial" w:cs="Arial"/>
          <w:lang w:eastAsia="en-GB" w:bidi="bn-IN"/>
        </w:rPr>
        <w:t xml:space="preserve"> an organisation. The letters stand for Political, Economic, Social, Technological, Environmental and Legal </w:t>
      </w:r>
      <w:r w:rsidRPr="002166B8">
        <w:rPr>
          <w:rFonts w:ascii="Arial" w:eastAsia="Times New Roman" w:hAnsi="Arial" w:cs="Arial"/>
          <w:color w:val="000000"/>
          <w:szCs w:val="24"/>
          <w:lang w:eastAsia="en-GB" w:bidi="bn-IN"/>
          <w14:ligatures w14:val="none"/>
        </w:rPr>
        <w:t>(Hashmi, Khan and Ajmal, 2020)</w:t>
      </w:r>
      <w:r w:rsidRPr="001A46C5">
        <w:rPr>
          <w:rFonts w:ascii="Arial" w:hAnsi="Arial" w:cs="Arial"/>
          <w:lang w:eastAsia="en-GB" w:bidi="bn-IN"/>
        </w:rPr>
        <w:t>.</w:t>
      </w:r>
    </w:p>
    <w:p w14:paraId="5B1323C4" w14:textId="77777777" w:rsidR="0094162D" w:rsidRPr="001A46C5" w:rsidRDefault="00504D95" w:rsidP="0094162D">
      <w:pPr>
        <w:keepNext/>
        <w:jc w:val="center"/>
        <w:rPr>
          <w:rFonts w:ascii="Arial" w:hAnsi="Arial" w:cs="Arial"/>
          <w:szCs w:val="24"/>
        </w:rPr>
      </w:pPr>
      <w:r w:rsidRPr="001A46C5">
        <w:rPr>
          <w:rFonts w:ascii="Arial" w:hAnsi="Arial" w:cs="Arial"/>
          <w:szCs w:val="24"/>
        </w:rPr>
        <w:fldChar w:fldCharType="begin"/>
      </w:r>
      <w:r w:rsidRPr="001A46C5">
        <w:rPr>
          <w:rFonts w:ascii="Arial" w:hAnsi="Arial" w:cs="Arial"/>
          <w:szCs w:val="24"/>
        </w:rPr>
        <w:instrText xml:space="preserve"> INCLUDEPICTURE "/Users/ijtehad/Library/Group Containers/UBF8T346G9.ms/WebArchiveCopyPasteTempFiles/com.microsoft.Word/What-is-PESTEL-Analysis.png" \* MERGEFORMATINET </w:instrText>
      </w:r>
      <w:r w:rsidRPr="001A46C5">
        <w:rPr>
          <w:rFonts w:ascii="Arial" w:hAnsi="Arial" w:cs="Arial"/>
          <w:szCs w:val="24"/>
        </w:rPr>
        <w:fldChar w:fldCharType="separate"/>
      </w:r>
      <w:r w:rsidRPr="001A46C5">
        <w:rPr>
          <w:rFonts w:ascii="Arial" w:hAnsi="Arial" w:cs="Arial"/>
          <w:noProof/>
          <w:szCs w:val="24"/>
        </w:rPr>
        <w:drawing>
          <wp:inline distT="0" distB="0" distL="0" distR="0" wp14:anchorId="390284DB" wp14:editId="4E17B350">
            <wp:extent cx="5943600" cy="4455160"/>
            <wp:effectExtent l="0" t="0" r="0" b="2540"/>
            <wp:docPr id="1688691730" name="Picture 2" descr="What is PESTEL Analysis? Definition, Benefit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PESTEL Analysis? Definition, Benefits and Best Practi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5160"/>
                    </a:xfrm>
                    <a:prstGeom prst="rect">
                      <a:avLst/>
                    </a:prstGeom>
                    <a:noFill/>
                    <a:ln>
                      <a:noFill/>
                    </a:ln>
                  </pic:spPr>
                </pic:pic>
              </a:graphicData>
            </a:graphic>
          </wp:inline>
        </w:drawing>
      </w:r>
      <w:r w:rsidRPr="001A46C5">
        <w:rPr>
          <w:rFonts w:ascii="Arial" w:hAnsi="Arial" w:cs="Arial"/>
          <w:szCs w:val="24"/>
        </w:rPr>
        <w:fldChar w:fldCharType="end"/>
      </w:r>
    </w:p>
    <w:p w14:paraId="0A8BC2C9" w14:textId="43C3A6A9" w:rsidR="0033366D" w:rsidRPr="001A46C5" w:rsidRDefault="0094162D" w:rsidP="0094162D">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00927F29" w:rsidRPr="001A46C5">
        <w:rPr>
          <w:rFonts w:ascii="Arial" w:hAnsi="Arial" w:cs="Arial"/>
          <w:noProof/>
          <w:sz w:val="24"/>
          <w:szCs w:val="24"/>
        </w:rPr>
        <w:t>2</w:t>
      </w:r>
      <w:r w:rsidRPr="001A46C5">
        <w:rPr>
          <w:rFonts w:ascii="Arial" w:hAnsi="Arial" w:cs="Arial"/>
          <w:sz w:val="24"/>
          <w:szCs w:val="24"/>
        </w:rPr>
        <w:fldChar w:fldCharType="end"/>
      </w:r>
      <w:r w:rsidRPr="001A46C5">
        <w:rPr>
          <w:rFonts w:ascii="Arial" w:hAnsi="Arial" w:cs="Arial"/>
          <w:sz w:val="24"/>
          <w:szCs w:val="24"/>
          <w:lang w:val="en-US"/>
        </w:rPr>
        <w:t>: PESTEL Analysis</w:t>
      </w:r>
      <w:r w:rsidR="0033366D" w:rsidRPr="001A46C5">
        <w:rPr>
          <w:rFonts w:ascii="Arial" w:hAnsi="Arial" w:cs="Arial"/>
          <w:sz w:val="24"/>
          <w:szCs w:val="24"/>
          <w:lang w:val="en-US"/>
        </w:rPr>
        <w:t xml:space="preserve"> </w:t>
      </w:r>
    </w:p>
    <w:p w14:paraId="169F2F98" w14:textId="6FBEECB5" w:rsidR="00504D95" w:rsidRPr="001A46C5" w:rsidRDefault="0033366D" w:rsidP="0094162D">
      <w:pPr>
        <w:pStyle w:val="Caption"/>
        <w:jc w:val="center"/>
        <w:rPr>
          <w:rFonts w:ascii="Arial" w:hAnsi="Arial" w:cs="Arial"/>
          <w:sz w:val="24"/>
          <w:szCs w:val="24"/>
          <w:lang w:eastAsia="en-GB" w:bidi="bn-IN"/>
        </w:rPr>
      </w:pPr>
      <w:r w:rsidRPr="001A46C5">
        <w:rPr>
          <w:rFonts w:ascii="Arial" w:hAnsi="Arial" w:cs="Arial"/>
          <w:sz w:val="24"/>
          <w:szCs w:val="24"/>
          <w:lang w:val="en-US"/>
        </w:rPr>
        <w:t xml:space="preserve">Source: </w:t>
      </w:r>
      <w:r w:rsidRPr="001A46C5">
        <w:rPr>
          <w:rFonts w:ascii="Arial" w:hAnsi="Arial" w:cs="Arial"/>
          <w:sz w:val="24"/>
          <w:szCs w:val="24"/>
        </w:rPr>
        <w:t>(</w:t>
      </w:r>
      <w:proofErr w:type="spellStart"/>
      <w:r w:rsidRPr="001A46C5">
        <w:rPr>
          <w:rFonts w:ascii="Arial" w:hAnsi="Arial" w:cs="Arial"/>
          <w:sz w:val="24"/>
          <w:szCs w:val="24"/>
        </w:rPr>
        <w:t>Bulgakov</w:t>
      </w:r>
      <w:proofErr w:type="spellEnd"/>
      <w:r w:rsidRPr="001A46C5">
        <w:rPr>
          <w:rFonts w:ascii="Arial" w:hAnsi="Arial" w:cs="Arial"/>
          <w:sz w:val="24"/>
          <w:szCs w:val="24"/>
        </w:rPr>
        <w:t xml:space="preserve"> and Makarenko, 2022)</w:t>
      </w:r>
    </w:p>
    <w:p w14:paraId="08A2C3CC"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Political Factors</w:t>
      </w:r>
    </w:p>
    <w:p w14:paraId="673E1B89" w14:textId="0ABBC116"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Oil upstream operations by BP are very sensitive to the political environment in resource-rich countries in the Middle East, Africa and Russia. Governments control access to oil resources through licensing, taxation and production-sharing contracts. For example, over 70% of global oil reserves are owned by nation states, making it difficult for multinational players to develop their oil businesses (Reuters, 2026). Geopolitical risks (including the conflict in Ukraine and geopolitical tensions in the Middle East) also impact oil markets. These interactions impact BP's investment approaches to diversify and manage risks. So BP invests in stable political environments, or forms joint ventures with government oil companies, to avoid political risks. However, investment in politically sensitive regions exposes uncertainties for petroleum upstream investments.</w:t>
      </w:r>
    </w:p>
    <w:p w14:paraId="54B339F9"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Economic Factors</w:t>
      </w:r>
    </w:p>
    <w:p w14:paraId="7AC3F22D"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The upstream industry is significantly influenced by oil prices. Oil prices in 2024-2025 have fluctuated between $70 and $95 per barrel (Brent crude), impacting BP's profits and investments between less than $40 to more than $100 a barrel in short periods of time. Capital expenditure on wells and drilling begins when prices are high, but is pushed back when prices are low. Increases in costs (inflation and interest rates) also impact investment in offshore wells and offshore facilities. Further, a weak global economy or recession negatively affects the energy demand and supply (Tharuniyaa Lakshmi, 2026). Therefore, BP requires a flexible investment approach, which combines a responsiveness to short term return to a policy of exploitation. And so financial and production planning resources are important.</w:t>
      </w:r>
    </w:p>
    <w:p w14:paraId="4A2E97B1"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Social Factors</w:t>
      </w:r>
    </w:p>
    <w:p w14:paraId="787E37FD"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Climate change concerns are driving a social transformation in the upstream industry. There is a shift away from fossil fuels as society looks for cleaner energy sources - more than 70% of investors factor environmental, social and governance (ESG) criteria in their investment. This leaves fossil fuel producers exposed to reputational damages (Bulgakov and Makarenko, 2022). This places pressure on BP to consider its upstream operations, such as greenhouse emissions and destruction of the natural environment. BP still has a strong demand for its product, but pressure from the public is forcing BP to be more transparent and less disruptive. This challenges BP: how to continue operating to generate profits while meeting social pressures for sustainability.</w:t>
      </w:r>
    </w:p>
    <w:p w14:paraId="1D36EB2F"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Technological Factors</w:t>
      </w:r>
    </w:p>
    <w:p w14:paraId="5EE930BB" w14:textId="5FEB309F"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Competition is won through technology. Seismic exploration, artificial intelligence (AI) and smart drilling technologies have improved prospects and reduced costs. Digital technologies have been pivotal for BP to enhance reservoir management and production. For instance, analytics can enhance recovery of oil by 10-15% (Hashmi, Khan and Ajmal, 2020). But with technology investment comes an increase in the bar across the oil value chain; the only solution is to continue investing. This can create an incentive for BP to continually invest in new technologies, albeit with high up-front costs.</w:t>
      </w:r>
    </w:p>
    <w:p w14:paraId="32FF5ACA"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Environmental Factors</w:t>
      </w:r>
    </w:p>
    <w:p w14:paraId="094ABD98" w14:textId="09BD22EE"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Environmental regulation limits oil production</w:t>
      </w:r>
      <w:r w:rsidR="00D13708">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Emissions restraints are also coming into place in line with global climate change commitments. Oil account for 40% of global emissions and so is a target of these regulations (Bulgakov and Makarenko, 2022). BP will be impacted by increasing costs associated with carbon prices, environmental standards and sustainability initiatives. Secondly, it can face losses from environmental spillovers such as oil spills. Therefore, BP should include environmental concerns in its upstream approach, balancing efficiency and sustainability.</w:t>
      </w:r>
    </w:p>
    <w:p w14:paraId="13582B44"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Legal Factors</w:t>
      </w:r>
    </w:p>
    <w:p w14:paraId="38808846" w14:textId="04CB6782"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Upstream is increasingly regulated. There are increasing safety, environmental and GHG emissions standards. For example, offshore exploration is subject to strict international standards and can also require large capital investment (billions of dollars) (Bulgakov and Makarenko, 2022). Also, if there is litigation or liability, particularly following an environmental incident, this will also affect costs</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Thus, BP must have cost-effective and compliant operations. This regulatory aspect highlights the need for governance and risk mitigation strategies in upstream activities.</w:t>
      </w:r>
    </w:p>
    <w:p w14:paraId="35F8C497" w14:textId="77777777" w:rsidR="002166B8" w:rsidRPr="001A46C5" w:rsidRDefault="002166B8" w:rsidP="002166B8">
      <w:pPr>
        <w:pStyle w:val="Heading3"/>
        <w:rPr>
          <w:rFonts w:ascii="Arial" w:hAnsi="Arial" w:cs="Arial"/>
        </w:rPr>
      </w:pPr>
      <w:bookmarkStart w:id="10" w:name="_Toc228469806"/>
      <w:r w:rsidRPr="001A46C5">
        <w:rPr>
          <w:rFonts w:ascii="Arial" w:hAnsi="Arial" w:cs="Arial"/>
        </w:rPr>
        <w:t>3.2 Critical Success Factors and Strategic Challenges</w:t>
      </w:r>
      <w:bookmarkEnd w:id="10"/>
    </w:p>
    <w:p w14:paraId="239AA28F"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In our external analysis, we list a number of critical success factors for BP's upstream operations. First, control of reservoirs is critical, with long-term production rights based on strong reservoir control. Second, technology is critical to improve recovery and exploration, particularly in difficult circumstances such as deepwater wells (Hashmi, Khan and Ajmal, 2020). Third, cost control is essential to success, with success dependent on high operating and capital costs. Fourth, geopolitical risk management is important because of the political and regulatory risks faced by markets.</w:t>
      </w:r>
    </w:p>
    <w:p w14:paraId="7E5B0949"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But BP has strategic problems. The biggest are the long-term changes in fossil fuel use due to decarbonisation programs. The upstream sector is threatened by increasing regulations and carbon costs (Bulgakov and Makarenko, 2022). Volatile oil prices also hit investments, creating uncertainty. Social and cultural concerns and investor calls for sustainability are also complicating factors. These all effectively force BP to periodically revalue its upstream strategy, in response to short-term financial objectives as well as long-term environmental and regulatory constraints.</w:t>
      </w:r>
    </w:p>
    <w:p w14:paraId="05801E59" w14:textId="77777777" w:rsidR="002166B8" w:rsidRPr="002166B8" w:rsidRDefault="002166B8" w:rsidP="002166B8">
      <w:pPr>
        <w:rPr>
          <w:rFonts w:ascii="Arial" w:eastAsia="Times New Roman" w:hAnsi="Arial" w:cs="Arial"/>
          <w:color w:val="000000"/>
          <w:szCs w:val="24"/>
          <w:lang w:eastAsia="en-GB" w:bidi="bn-IN"/>
          <w14:ligatures w14:val="none"/>
        </w:rPr>
      </w:pPr>
    </w:p>
    <w:p w14:paraId="1F18F44E" w14:textId="77777777" w:rsidR="002166B8" w:rsidRPr="001A46C5" w:rsidRDefault="002166B8" w:rsidP="002166B8">
      <w:pPr>
        <w:pStyle w:val="Heading3"/>
        <w:rPr>
          <w:rFonts w:ascii="Arial" w:hAnsi="Arial" w:cs="Arial"/>
        </w:rPr>
      </w:pPr>
      <w:bookmarkStart w:id="11" w:name="_Toc228469807"/>
      <w:r w:rsidRPr="001A46C5">
        <w:rPr>
          <w:rFonts w:ascii="Arial" w:hAnsi="Arial" w:cs="Arial"/>
        </w:rPr>
        <w:t>3.3 Internal Environment Analysis Using Value Chain</w:t>
      </w:r>
      <w:bookmarkEnd w:id="11"/>
      <w:r w:rsidRPr="001A46C5">
        <w:rPr>
          <w:rFonts w:ascii="Arial" w:hAnsi="Arial" w:cs="Arial"/>
        </w:rPr>
        <w:t> </w:t>
      </w:r>
    </w:p>
    <w:p w14:paraId="5EBDC61E" w14:textId="77777777" w:rsidR="00927F29" w:rsidRPr="001A46C5" w:rsidRDefault="00927F29" w:rsidP="00927F29">
      <w:pPr>
        <w:keepNext/>
        <w:jc w:val="center"/>
        <w:rPr>
          <w:rFonts w:ascii="Arial" w:hAnsi="Arial" w:cs="Arial"/>
          <w:szCs w:val="24"/>
        </w:rPr>
      </w:pPr>
      <w:r w:rsidRPr="001A46C5">
        <w:rPr>
          <w:rFonts w:ascii="Arial" w:hAnsi="Arial" w:cs="Arial"/>
          <w:szCs w:val="24"/>
        </w:rPr>
        <w:fldChar w:fldCharType="begin"/>
      </w:r>
      <w:r w:rsidRPr="001A46C5">
        <w:rPr>
          <w:rFonts w:ascii="Arial" w:hAnsi="Arial" w:cs="Arial"/>
          <w:szCs w:val="24"/>
        </w:rPr>
        <w:instrText xml:space="preserve"> INCLUDEPICTURE "/Users/ijtehad/Library/Group Containers/UBF8T346G9.ms/WebArchiveCopyPasteTempFiles/com.microsoft.Word/Value-Chain-1.png" \* MERGEFORMATINET </w:instrText>
      </w:r>
      <w:r w:rsidRPr="001A46C5">
        <w:rPr>
          <w:rFonts w:ascii="Arial" w:hAnsi="Arial" w:cs="Arial"/>
          <w:szCs w:val="24"/>
        </w:rPr>
        <w:fldChar w:fldCharType="separate"/>
      </w:r>
      <w:r w:rsidRPr="001A46C5">
        <w:rPr>
          <w:rFonts w:ascii="Arial" w:hAnsi="Arial" w:cs="Arial"/>
          <w:noProof/>
          <w:szCs w:val="24"/>
        </w:rPr>
        <w:drawing>
          <wp:inline distT="0" distB="0" distL="0" distR="0" wp14:anchorId="372F1B3A" wp14:editId="2E7B8648">
            <wp:extent cx="5943600" cy="3070225"/>
            <wp:effectExtent l="0" t="0" r="0" b="3175"/>
            <wp:docPr id="846510245" name="Picture 1"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EXPLAINED with EXAMPLES | B2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070225"/>
                    </a:xfrm>
                    <a:prstGeom prst="rect">
                      <a:avLst/>
                    </a:prstGeom>
                    <a:noFill/>
                    <a:ln>
                      <a:noFill/>
                    </a:ln>
                  </pic:spPr>
                </pic:pic>
              </a:graphicData>
            </a:graphic>
          </wp:inline>
        </w:drawing>
      </w:r>
      <w:r w:rsidRPr="001A46C5">
        <w:rPr>
          <w:rFonts w:ascii="Arial" w:hAnsi="Arial" w:cs="Arial"/>
          <w:szCs w:val="24"/>
        </w:rPr>
        <w:fldChar w:fldCharType="end"/>
      </w:r>
    </w:p>
    <w:p w14:paraId="33023D99" w14:textId="7801D7C4" w:rsidR="00927F29" w:rsidRPr="001A46C5" w:rsidRDefault="00927F29" w:rsidP="00927F29">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Pr="001A46C5">
        <w:rPr>
          <w:rFonts w:ascii="Arial" w:hAnsi="Arial" w:cs="Arial"/>
          <w:noProof/>
          <w:sz w:val="24"/>
          <w:szCs w:val="24"/>
        </w:rPr>
        <w:t>3</w:t>
      </w:r>
      <w:r w:rsidRPr="001A46C5">
        <w:rPr>
          <w:rFonts w:ascii="Arial" w:hAnsi="Arial" w:cs="Arial"/>
          <w:sz w:val="24"/>
          <w:szCs w:val="24"/>
        </w:rPr>
        <w:fldChar w:fldCharType="end"/>
      </w:r>
      <w:r w:rsidRPr="001A46C5">
        <w:rPr>
          <w:rFonts w:ascii="Arial" w:hAnsi="Arial" w:cs="Arial"/>
          <w:sz w:val="24"/>
          <w:szCs w:val="24"/>
          <w:lang w:val="en-US"/>
        </w:rPr>
        <w:t>: Value Chain Framework</w:t>
      </w:r>
    </w:p>
    <w:p w14:paraId="233E15EA" w14:textId="206DE54B" w:rsidR="00927F29" w:rsidRPr="001A46C5" w:rsidRDefault="00927F29" w:rsidP="00927F29">
      <w:pPr>
        <w:pStyle w:val="Caption"/>
        <w:jc w:val="center"/>
        <w:rPr>
          <w:rFonts w:ascii="Arial" w:hAnsi="Arial" w:cs="Arial"/>
          <w:sz w:val="24"/>
          <w:szCs w:val="24"/>
          <w:lang w:val="en-US"/>
        </w:rPr>
      </w:pPr>
      <w:r w:rsidRPr="001A46C5">
        <w:rPr>
          <w:rFonts w:ascii="Arial" w:hAnsi="Arial" w:cs="Arial"/>
          <w:sz w:val="24"/>
          <w:szCs w:val="24"/>
          <w:lang w:val="en-US"/>
        </w:rPr>
        <w:t xml:space="preserve">Source: </w:t>
      </w:r>
      <w:r w:rsidRPr="001A46C5">
        <w:rPr>
          <w:rFonts w:ascii="Arial" w:hAnsi="Arial" w:cs="Arial"/>
          <w:sz w:val="24"/>
          <w:szCs w:val="24"/>
        </w:rPr>
        <w:t>(</w:t>
      </w:r>
      <w:proofErr w:type="spellStart"/>
      <w:r w:rsidRPr="001A46C5">
        <w:rPr>
          <w:rFonts w:ascii="Arial" w:hAnsi="Arial" w:cs="Arial"/>
          <w:sz w:val="24"/>
          <w:szCs w:val="24"/>
        </w:rPr>
        <w:t>Antràs</w:t>
      </w:r>
      <w:proofErr w:type="spellEnd"/>
      <w:r w:rsidRPr="001A46C5">
        <w:rPr>
          <w:rFonts w:ascii="Arial" w:hAnsi="Arial" w:cs="Arial"/>
          <w:sz w:val="24"/>
          <w:szCs w:val="24"/>
        </w:rPr>
        <w:t xml:space="preserve"> and </w:t>
      </w:r>
      <w:proofErr w:type="spellStart"/>
      <w:r w:rsidRPr="001A46C5">
        <w:rPr>
          <w:rFonts w:ascii="Arial" w:hAnsi="Arial" w:cs="Arial"/>
          <w:sz w:val="24"/>
          <w:szCs w:val="24"/>
        </w:rPr>
        <w:t>Chor</w:t>
      </w:r>
      <w:proofErr w:type="spellEnd"/>
      <w:r w:rsidRPr="001A46C5">
        <w:rPr>
          <w:rFonts w:ascii="Arial" w:hAnsi="Arial" w:cs="Arial"/>
          <w:sz w:val="24"/>
          <w:szCs w:val="24"/>
        </w:rPr>
        <w:t>, 2022)</w:t>
      </w:r>
    </w:p>
    <w:p w14:paraId="1B61221D" w14:textId="646C3FB4"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Exploration:</w:t>
      </w:r>
      <w:r w:rsidRPr="002166B8">
        <w:rPr>
          <w:rFonts w:ascii="Arial" w:eastAsia="Times New Roman" w:hAnsi="Arial" w:cs="Arial"/>
          <w:color w:val="000000"/>
          <w:szCs w:val="24"/>
          <w:lang w:eastAsia="en-GB" w:bidi="bn-IN"/>
          <w14:ligatures w14:val="none"/>
        </w:rPr>
        <w:t xml:space="preserve"> BP's upstream value chain is built up of several activities that create </w:t>
      </w:r>
      <w:r w:rsidRPr="001A46C5">
        <w:rPr>
          <w:rFonts w:ascii="Arial" w:eastAsia="Times New Roman" w:hAnsi="Arial" w:cs="Arial"/>
          <w:color w:val="000000"/>
          <w:szCs w:val="24"/>
          <w:lang w:val="en-US" w:eastAsia="en-GB" w:bidi="bn-IN"/>
          <w14:ligatures w14:val="none"/>
        </w:rPr>
        <w:t xml:space="preserve">a </w:t>
      </w:r>
      <w:r w:rsidRPr="002166B8">
        <w:rPr>
          <w:rFonts w:ascii="Arial" w:eastAsia="Times New Roman" w:hAnsi="Arial" w:cs="Arial"/>
          <w:color w:val="000000"/>
          <w:szCs w:val="24"/>
          <w:lang w:eastAsia="en-GB" w:bidi="bn-IN"/>
          <w14:ligatures w14:val="none"/>
        </w:rPr>
        <w:t>competitive advantage. The key activities include exploration in which BP uses advanced geological mapping and seismic technologies to identify potential oil reserves (Önören, Arar and Yurdakul, 2017). This is a key activity as it creates opportunities for production. BP's experience and technical expertise enable it to be more successful at identifying reserves</w:t>
      </w:r>
      <w:r w:rsidR="00927F29" w:rsidRPr="001A46C5">
        <w:rPr>
          <w:rFonts w:ascii="Arial" w:eastAsia="Times New Roman" w:hAnsi="Arial" w:cs="Arial"/>
          <w:color w:val="000000"/>
          <w:szCs w:val="24"/>
          <w:lang w:val="en-US" w:eastAsia="en-GB" w:bidi="bn-IN"/>
          <w14:ligatures w14:val="none"/>
        </w:rPr>
        <w:t xml:space="preserve"> </w:t>
      </w:r>
      <w:r w:rsidR="00927F29" w:rsidRPr="001A46C5">
        <w:rPr>
          <w:rFonts w:ascii="Arial" w:eastAsia="Times New Roman" w:hAnsi="Arial" w:cs="Arial"/>
          <w:color w:val="000000"/>
          <w:szCs w:val="24"/>
          <w:lang w:eastAsia="en-GB" w:bidi="bn-IN"/>
          <w14:ligatures w14:val="none"/>
        </w:rPr>
        <w:t>(</w:t>
      </w:r>
      <w:proofErr w:type="spellStart"/>
      <w:r w:rsidR="00927F29" w:rsidRPr="001A46C5">
        <w:rPr>
          <w:rFonts w:ascii="Arial" w:eastAsia="Times New Roman" w:hAnsi="Arial" w:cs="Arial"/>
          <w:color w:val="000000"/>
          <w:szCs w:val="24"/>
          <w:lang w:eastAsia="en-GB" w:bidi="bn-IN"/>
          <w14:ligatures w14:val="none"/>
        </w:rPr>
        <w:t>Antràs</w:t>
      </w:r>
      <w:proofErr w:type="spellEnd"/>
      <w:r w:rsidR="00927F29" w:rsidRPr="001A46C5">
        <w:rPr>
          <w:rFonts w:ascii="Arial" w:eastAsia="Times New Roman" w:hAnsi="Arial" w:cs="Arial"/>
          <w:color w:val="000000"/>
          <w:szCs w:val="24"/>
          <w:lang w:eastAsia="en-GB" w:bidi="bn-IN"/>
          <w14:ligatures w14:val="none"/>
        </w:rPr>
        <w:t xml:space="preserve"> and </w:t>
      </w:r>
      <w:proofErr w:type="spellStart"/>
      <w:r w:rsidR="00927F29" w:rsidRPr="001A46C5">
        <w:rPr>
          <w:rFonts w:ascii="Arial" w:eastAsia="Times New Roman" w:hAnsi="Arial" w:cs="Arial"/>
          <w:color w:val="000000"/>
          <w:szCs w:val="24"/>
          <w:lang w:eastAsia="en-GB" w:bidi="bn-IN"/>
          <w14:ligatures w14:val="none"/>
        </w:rPr>
        <w:t>Chor</w:t>
      </w:r>
      <w:proofErr w:type="spellEnd"/>
      <w:r w:rsidR="00927F29" w:rsidRPr="001A46C5">
        <w:rPr>
          <w:rFonts w:ascii="Arial" w:eastAsia="Times New Roman" w:hAnsi="Arial" w:cs="Arial"/>
          <w:color w:val="000000"/>
          <w:szCs w:val="24"/>
          <w:lang w:eastAsia="en-GB" w:bidi="bn-IN"/>
          <w14:ligatures w14:val="none"/>
        </w:rPr>
        <w:t>, 2022)</w:t>
      </w:r>
      <w:r w:rsidRPr="002166B8">
        <w:rPr>
          <w:rFonts w:ascii="Arial" w:eastAsia="Times New Roman" w:hAnsi="Arial" w:cs="Arial"/>
          <w:color w:val="000000"/>
          <w:szCs w:val="24"/>
          <w:lang w:eastAsia="en-GB" w:bidi="bn-IN"/>
          <w14:ligatures w14:val="none"/>
        </w:rPr>
        <w:t>.</w:t>
      </w:r>
    </w:p>
    <w:p w14:paraId="78667AD6" w14:textId="74507692"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 xml:space="preserve">Drilling and Production: </w:t>
      </w:r>
      <w:r w:rsidRPr="002166B8">
        <w:rPr>
          <w:rFonts w:ascii="Arial" w:eastAsia="Times New Roman" w:hAnsi="Arial" w:cs="Arial"/>
          <w:color w:val="000000"/>
          <w:szCs w:val="24"/>
          <w:lang w:eastAsia="en-GB" w:bidi="bn-IN"/>
          <w14:ligatures w14:val="none"/>
        </w:rPr>
        <w:t>The second activity is exploration and production</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which is both costly and technologically intensive (Silvestre </w:t>
      </w:r>
      <w:r w:rsidRPr="002166B8">
        <w:rPr>
          <w:rFonts w:ascii="Arial" w:eastAsia="Times New Roman" w:hAnsi="Arial" w:cs="Arial"/>
          <w:i/>
          <w:color w:val="000000"/>
          <w:szCs w:val="24"/>
          <w:lang w:eastAsia="en-GB" w:bidi="bn-IN"/>
          <w14:ligatures w14:val="none"/>
        </w:rPr>
        <w:t>et al.</w:t>
      </w:r>
      <w:r w:rsidRPr="002166B8">
        <w:rPr>
          <w:rFonts w:ascii="Arial" w:eastAsia="Times New Roman" w:hAnsi="Arial" w:cs="Arial"/>
          <w:color w:val="000000"/>
          <w:szCs w:val="24"/>
          <w:lang w:eastAsia="en-GB" w:bidi="bn-IN"/>
          <w14:ligatures w14:val="none"/>
        </w:rPr>
        <w:t xml:space="preserve">, 2018). BP uses advanced offshore and onshore drilling and production platforms staffed with skilled engineers. Exploration during this phase impacts production and profits. BP's large project management capabilities boost </w:t>
      </w:r>
      <w:r w:rsidRPr="001A46C5">
        <w:rPr>
          <w:rFonts w:ascii="Arial" w:eastAsia="Times New Roman" w:hAnsi="Arial" w:cs="Arial"/>
          <w:color w:val="000000"/>
          <w:szCs w:val="24"/>
          <w:lang w:eastAsia="en-GB" w:bidi="bn-IN"/>
          <w14:ligatures w14:val="none"/>
        </w:rPr>
        <w:t>its</w:t>
      </w:r>
      <w:r w:rsidRPr="002166B8">
        <w:rPr>
          <w:rFonts w:ascii="Arial" w:eastAsia="Times New Roman" w:hAnsi="Arial" w:cs="Arial"/>
          <w:color w:val="000000"/>
          <w:szCs w:val="24"/>
          <w:lang w:eastAsia="en-GB" w:bidi="bn-IN"/>
          <w14:ligatures w14:val="none"/>
        </w:rPr>
        <w:t xml:space="preserve"> efficiency</w:t>
      </w:r>
      <w:r w:rsidR="00927F29" w:rsidRPr="001A46C5">
        <w:rPr>
          <w:rFonts w:ascii="Arial" w:eastAsia="Times New Roman" w:hAnsi="Arial" w:cs="Arial"/>
          <w:color w:val="000000"/>
          <w:szCs w:val="24"/>
          <w:lang w:val="en-US" w:eastAsia="en-GB" w:bidi="bn-IN"/>
          <w14:ligatures w14:val="none"/>
        </w:rPr>
        <w:t xml:space="preserve"> </w:t>
      </w:r>
      <w:r w:rsidR="00927F29" w:rsidRPr="001A46C5">
        <w:rPr>
          <w:rFonts w:ascii="Arial" w:eastAsia="Times New Roman" w:hAnsi="Arial" w:cs="Arial"/>
          <w:color w:val="000000"/>
          <w:szCs w:val="24"/>
          <w:lang w:eastAsia="en-GB" w:bidi="bn-IN"/>
          <w14:ligatures w14:val="none"/>
        </w:rPr>
        <w:t>(</w:t>
      </w:r>
      <w:proofErr w:type="spellStart"/>
      <w:r w:rsidR="00927F29" w:rsidRPr="001A46C5">
        <w:rPr>
          <w:rFonts w:ascii="Arial" w:eastAsia="Times New Roman" w:hAnsi="Arial" w:cs="Arial"/>
          <w:color w:val="000000"/>
          <w:szCs w:val="24"/>
          <w:lang w:eastAsia="en-GB" w:bidi="bn-IN"/>
          <w14:ligatures w14:val="none"/>
        </w:rPr>
        <w:t>Antràs</w:t>
      </w:r>
      <w:proofErr w:type="spellEnd"/>
      <w:r w:rsidR="00927F29" w:rsidRPr="001A46C5">
        <w:rPr>
          <w:rFonts w:ascii="Arial" w:eastAsia="Times New Roman" w:hAnsi="Arial" w:cs="Arial"/>
          <w:color w:val="000000"/>
          <w:szCs w:val="24"/>
          <w:lang w:eastAsia="en-GB" w:bidi="bn-IN"/>
          <w14:ligatures w14:val="none"/>
        </w:rPr>
        <w:t xml:space="preserve"> and </w:t>
      </w:r>
      <w:proofErr w:type="spellStart"/>
      <w:r w:rsidR="00927F29" w:rsidRPr="001A46C5">
        <w:rPr>
          <w:rFonts w:ascii="Arial" w:eastAsia="Times New Roman" w:hAnsi="Arial" w:cs="Arial"/>
          <w:color w:val="000000"/>
          <w:szCs w:val="24"/>
          <w:lang w:eastAsia="en-GB" w:bidi="bn-IN"/>
          <w14:ligatures w14:val="none"/>
        </w:rPr>
        <w:t>Chor</w:t>
      </w:r>
      <w:proofErr w:type="spellEnd"/>
      <w:r w:rsidR="00927F29" w:rsidRPr="001A46C5">
        <w:rPr>
          <w:rFonts w:ascii="Arial" w:eastAsia="Times New Roman" w:hAnsi="Arial" w:cs="Arial"/>
          <w:color w:val="000000"/>
          <w:szCs w:val="24"/>
          <w:lang w:eastAsia="en-GB" w:bidi="bn-IN"/>
          <w14:ligatures w14:val="none"/>
        </w:rPr>
        <w:t>, 2022)</w:t>
      </w:r>
      <w:r w:rsidRPr="002166B8">
        <w:rPr>
          <w:rFonts w:ascii="Arial" w:eastAsia="Times New Roman" w:hAnsi="Arial" w:cs="Arial"/>
          <w:color w:val="000000"/>
          <w:szCs w:val="24"/>
          <w:lang w:eastAsia="en-GB" w:bidi="bn-IN"/>
          <w14:ligatures w14:val="none"/>
        </w:rPr>
        <w:t>.</w:t>
      </w:r>
    </w:p>
    <w:p w14:paraId="0E836ED0" w14:textId="5DD7650A"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 xml:space="preserve">Transportation: </w:t>
      </w:r>
      <w:r w:rsidRPr="002166B8">
        <w:rPr>
          <w:rFonts w:ascii="Arial" w:eastAsia="Times New Roman" w:hAnsi="Arial" w:cs="Arial"/>
          <w:color w:val="000000"/>
          <w:szCs w:val="24"/>
          <w:lang w:eastAsia="en-GB" w:bidi="bn-IN"/>
          <w14:ligatures w14:val="none"/>
        </w:rPr>
        <w:t>Next is the transportation phase</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where the crude oil is extracted and prepared for transport. BP has high-capacity plants and constant production. This ensures production costs are minimised and high profit margins, particularly during low prices. An essential component of the value chain is logistics (Önören, Arar and Yurdakul, 2017). BP uses pipelines, vessels and storage to transport crude oil. Logistics are crucial for availability and reach.</w:t>
      </w:r>
    </w:p>
    <w:p w14:paraId="633ED9D5"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 xml:space="preserve">Support Activities: </w:t>
      </w:r>
      <w:r w:rsidRPr="002166B8">
        <w:rPr>
          <w:rFonts w:ascii="Arial" w:eastAsia="Times New Roman" w:hAnsi="Arial" w:cs="Arial"/>
          <w:color w:val="000000"/>
          <w:szCs w:val="24"/>
          <w:lang w:eastAsia="en-GB" w:bidi="bn-IN"/>
          <w14:ligatures w14:val="none"/>
        </w:rPr>
        <w:t xml:space="preserve">Support activities (R&amp;D, procurement and human resource management) add to the value of BP's value chain (Silvestre </w:t>
      </w:r>
      <w:r w:rsidRPr="002166B8">
        <w:rPr>
          <w:rFonts w:ascii="Arial" w:eastAsia="Times New Roman" w:hAnsi="Arial" w:cs="Arial"/>
          <w:i/>
          <w:color w:val="000000"/>
          <w:szCs w:val="24"/>
          <w:lang w:eastAsia="en-GB" w:bidi="bn-IN"/>
          <w14:ligatures w14:val="none"/>
        </w:rPr>
        <w:t>et al.</w:t>
      </w:r>
      <w:r w:rsidRPr="002166B8">
        <w:rPr>
          <w:rFonts w:ascii="Arial" w:eastAsia="Times New Roman" w:hAnsi="Arial" w:cs="Arial"/>
          <w:color w:val="000000"/>
          <w:szCs w:val="24"/>
          <w:lang w:eastAsia="en-GB" w:bidi="bn-IN"/>
          <w14:ligatures w14:val="none"/>
        </w:rPr>
        <w:t>, 2018). Innovation and development enhance the skills base, and human resource management achieves economies of operation.</w:t>
      </w:r>
    </w:p>
    <w:p w14:paraId="7D37AA06"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BP's value chain is important to managing upstream activities. These technologies, scale and logistics are crucial to developments in the upstream petroleum industry.</w:t>
      </w:r>
    </w:p>
    <w:p w14:paraId="5B82ACBA" w14:textId="77777777" w:rsidR="002166B8" w:rsidRPr="002166B8" w:rsidRDefault="002166B8" w:rsidP="002166B8">
      <w:pPr>
        <w:rPr>
          <w:rFonts w:ascii="Arial" w:eastAsia="Times New Roman" w:hAnsi="Arial" w:cs="Arial"/>
          <w:color w:val="000000"/>
          <w:szCs w:val="24"/>
          <w:lang w:eastAsia="en-GB" w:bidi="bn-IN"/>
          <w14:ligatures w14:val="none"/>
        </w:rPr>
      </w:pPr>
    </w:p>
    <w:p w14:paraId="3F2941D9" w14:textId="77777777" w:rsidR="002166B8" w:rsidRPr="002166B8" w:rsidRDefault="002166B8" w:rsidP="002166B8">
      <w:pPr>
        <w:rPr>
          <w:rFonts w:ascii="Arial" w:eastAsia="Times New Roman" w:hAnsi="Arial" w:cs="Arial"/>
          <w:b/>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3.4 VRIO Analysis of Strategic Capabilities</w:t>
      </w:r>
    </w:p>
    <w:p w14:paraId="2CCFF95A"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The VRIO framework evaluates BP’s key resources and capabilities in determining sustainable competitive advantage.</w:t>
      </w:r>
    </w:p>
    <w:tbl>
      <w:tblPr>
        <w:tblStyle w:val="PlainTable5"/>
        <w:tblW w:w="0" w:type="auto"/>
        <w:tblLook w:val="04A0" w:firstRow="1" w:lastRow="0" w:firstColumn="1" w:lastColumn="0" w:noHBand="0" w:noVBand="1"/>
      </w:tblPr>
      <w:tblGrid>
        <w:gridCol w:w="2573"/>
        <w:gridCol w:w="1204"/>
        <w:gridCol w:w="1404"/>
        <w:gridCol w:w="1136"/>
        <w:gridCol w:w="1403"/>
        <w:gridCol w:w="1640"/>
      </w:tblGrid>
      <w:tr w:rsidR="002166B8" w:rsidRPr="002166B8" w14:paraId="00C40CE6" w14:textId="77777777" w:rsidTr="002166B8">
        <w:trPr>
          <w:cnfStyle w:val="100000000000" w:firstRow="1" w:lastRow="0" w:firstColumn="0" w:lastColumn="0" w:oddVBand="0" w:evenVBand="0" w:oddHBand="0" w:evenHBand="0" w:firstRowFirstColumn="0" w:firstRowLastColumn="0" w:lastRowFirstColumn="0" w:lastRowLastColumn="0"/>
          <w:trHeight w:val="770"/>
        </w:trPr>
        <w:tc>
          <w:tcPr>
            <w:cnfStyle w:val="001000000100" w:firstRow="0" w:lastRow="0" w:firstColumn="1" w:lastColumn="0" w:oddVBand="0" w:evenVBand="0" w:oddHBand="0" w:evenHBand="0" w:firstRowFirstColumn="1" w:firstRowLastColumn="0" w:lastRowFirstColumn="0" w:lastRowLastColumn="0"/>
            <w:tcW w:w="0" w:type="auto"/>
            <w:hideMark/>
          </w:tcPr>
          <w:p w14:paraId="419DAB2A"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Resource/Capability</w:t>
            </w:r>
          </w:p>
        </w:tc>
        <w:tc>
          <w:tcPr>
            <w:tcW w:w="0" w:type="auto"/>
            <w:hideMark/>
          </w:tcPr>
          <w:p w14:paraId="58BC504F" w14:textId="77777777" w:rsidR="002166B8" w:rsidRPr="002166B8" w:rsidRDefault="002166B8" w:rsidP="002166B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Valuable</w:t>
            </w:r>
          </w:p>
        </w:tc>
        <w:tc>
          <w:tcPr>
            <w:tcW w:w="0" w:type="auto"/>
            <w:hideMark/>
          </w:tcPr>
          <w:p w14:paraId="4B61CFAC" w14:textId="77777777" w:rsidR="002166B8" w:rsidRPr="002166B8" w:rsidRDefault="002166B8" w:rsidP="002166B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Rare</w:t>
            </w:r>
          </w:p>
        </w:tc>
        <w:tc>
          <w:tcPr>
            <w:tcW w:w="0" w:type="auto"/>
            <w:hideMark/>
          </w:tcPr>
          <w:p w14:paraId="0268E5AF" w14:textId="77777777" w:rsidR="002166B8" w:rsidRPr="002166B8" w:rsidRDefault="002166B8" w:rsidP="002166B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Imitable</w:t>
            </w:r>
          </w:p>
        </w:tc>
        <w:tc>
          <w:tcPr>
            <w:tcW w:w="0" w:type="auto"/>
            <w:hideMark/>
          </w:tcPr>
          <w:p w14:paraId="0D402925" w14:textId="77777777" w:rsidR="002166B8" w:rsidRPr="002166B8" w:rsidRDefault="002166B8" w:rsidP="002166B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Organised</w:t>
            </w:r>
          </w:p>
        </w:tc>
        <w:tc>
          <w:tcPr>
            <w:tcW w:w="0" w:type="auto"/>
            <w:hideMark/>
          </w:tcPr>
          <w:p w14:paraId="71771741" w14:textId="77777777" w:rsidR="002166B8" w:rsidRPr="002166B8" w:rsidRDefault="002166B8" w:rsidP="002166B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b/>
                <w:color w:val="000000"/>
                <w:szCs w:val="24"/>
                <w:lang w:eastAsia="en-GB" w:bidi="bn-IN"/>
                <w14:ligatures w14:val="none"/>
              </w:rPr>
              <w:t>Competitive Implication</w:t>
            </w:r>
          </w:p>
        </w:tc>
      </w:tr>
      <w:tr w:rsidR="002166B8" w:rsidRPr="002166B8" w14:paraId="45AA1FEE" w14:textId="77777777" w:rsidTr="002166B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C2F7425"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Global oil reserves</w:t>
            </w:r>
          </w:p>
        </w:tc>
        <w:tc>
          <w:tcPr>
            <w:tcW w:w="0" w:type="auto"/>
            <w:hideMark/>
          </w:tcPr>
          <w:p w14:paraId="4387B02B"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477E493F"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52CCD7BE"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 (costly)</w:t>
            </w:r>
          </w:p>
        </w:tc>
        <w:tc>
          <w:tcPr>
            <w:tcW w:w="0" w:type="auto"/>
            <w:hideMark/>
          </w:tcPr>
          <w:p w14:paraId="177D7668"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43343A37"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Sustained advantage</w:t>
            </w:r>
          </w:p>
        </w:tc>
      </w:tr>
      <w:tr w:rsidR="002166B8" w:rsidRPr="002166B8" w14:paraId="6AB83FC8" w14:textId="77777777" w:rsidTr="002166B8">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A97C009"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Advanced drilling technology</w:t>
            </w:r>
          </w:p>
        </w:tc>
        <w:tc>
          <w:tcPr>
            <w:tcW w:w="0" w:type="auto"/>
            <w:hideMark/>
          </w:tcPr>
          <w:p w14:paraId="1AAED331"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3FE8C1F0"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Moderately</w:t>
            </w:r>
          </w:p>
        </w:tc>
        <w:tc>
          <w:tcPr>
            <w:tcW w:w="0" w:type="auto"/>
            <w:hideMark/>
          </w:tcPr>
          <w:p w14:paraId="5F64E46F"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Difficult</w:t>
            </w:r>
          </w:p>
        </w:tc>
        <w:tc>
          <w:tcPr>
            <w:tcW w:w="0" w:type="auto"/>
            <w:hideMark/>
          </w:tcPr>
          <w:p w14:paraId="3C9C64C5"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56D2A95D"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Temporary advantage</w:t>
            </w:r>
          </w:p>
        </w:tc>
      </w:tr>
      <w:tr w:rsidR="002166B8" w:rsidRPr="002166B8" w14:paraId="0677EFCC" w14:textId="77777777" w:rsidTr="002166B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973C42F"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Integrated supply chain</w:t>
            </w:r>
          </w:p>
        </w:tc>
        <w:tc>
          <w:tcPr>
            <w:tcW w:w="0" w:type="auto"/>
            <w:hideMark/>
          </w:tcPr>
          <w:p w14:paraId="293A0176"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3156E329"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6D5566D2"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Difficult</w:t>
            </w:r>
          </w:p>
        </w:tc>
        <w:tc>
          <w:tcPr>
            <w:tcW w:w="0" w:type="auto"/>
            <w:hideMark/>
          </w:tcPr>
          <w:p w14:paraId="005678B5"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10617952"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Sustained advantage</w:t>
            </w:r>
          </w:p>
        </w:tc>
      </w:tr>
      <w:tr w:rsidR="002166B8" w:rsidRPr="002166B8" w14:paraId="30FAC1DA" w14:textId="77777777" w:rsidTr="002166B8">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2371F03"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Industry expertise and experience</w:t>
            </w:r>
          </w:p>
        </w:tc>
        <w:tc>
          <w:tcPr>
            <w:tcW w:w="0" w:type="auto"/>
            <w:hideMark/>
          </w:tcPr>
          <w:p w14:paraId="57AD8113"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363D90CB"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72E87BE2"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Difficult</w:t>
            </w:r>
          </w:p>
        </w:tc>
        <w:tc>
          <w:tcPr>
            <w:tcW w:w="0" w:type="auto"/>
            <w:hideMark/>
          </w:tcPr>
          <w:p w14:paraId="5BE57985"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0D73DD3A" w14:textId="77777777" w:rsidR="002166B8" w:rsidRPr="002166B8" w:rsidRDefault="002166B8" w:rsidP="002166B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Sustained advantage</w:t>
            </w:r>
          </w:p>
        </w:tc>
      </w:tr>
      <w:tr w:rsidR="002166B8" w:rsidRPr="002166B8" w14:paraId="61A6AC0D" w14:textId="77777777" w:rsidTr="002166B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EEBA27C" w14:textId="77777777"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Financial resources</w:t>
            </w:r>
          </w:p>
        </w:tc>
        <w:tc>
          <w:tcPr>
            <w:tcW w:w="0" w:type="auto"/>
            <w:hideMark/>
          </w:tcPr>
          <w:p w14:paraId="50C5442A"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3AD4E649"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No</w:t>
            </w:r>
          </w:p>
        </w:tc>
        <w:tc>
          <w:tcPr>
            <w:tcW w:w="0" w:type="auto"/>
            <w:hideMark/>
          </w:tcPr>
          <w:p w14:paraId="14934EFF"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Easy</w:t>
            </w:r>
          </w:p>
        </w:tc>
        <w:tc>
          <w:tcPr>
            <w:tcW w:w="0" w:type="auto"/>
            <w:hideMark/>
          </w:tcPr>
          <w:p w14:paraId="724A4342"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Yes</w:t>
            </w:r>
          </w:p>
        </w:tc>
        <w:tc>
          <w:tcPr>
            <w:tcW w:w="0" w:type="auto"/>
            <w:hideMark/>
          </w:tcPr>
          <w:p w14:paraId="260324C7" w14:textId="77777777" w:rsidR="002166B8" w:rsidRPr="002166B8" w:rsidRDefault="002166B8" w:rsidP="002166B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Competitive parity</w:t>
            </w:r>
          </w:p>
        </w:tc>
      </w:tr>
    </w:tbl>
    <w:p w14:paraId="5B34EFC7" w14:textId="77777777" w:rsidR="002166B8" w:rsidRPr="001A46C5" w:rsidRDefault="002166B8" w:rsidP="002166B8">
      <w:pPr>
        <w:rPr>
          <w:rFonts w:ascii="Arial" w:eastAsia="Times New Roman" w:hAnsi="Arial" w:cs="Arial"/>
          <w:color w:val="000000"/>
          <w:szCs w:val="24"/>
          <w:lang w:eastAsia="en-GB" w:bidi="bn-IN"/>
          <w14:ligatures w14:val="none"/>
        </w:rPr>
      </w:pPr>
    </w:p>
    <w:p w14:paraId="52234CAF" w14:textId="37F1BDEF" w:rsidR="002166B8" w:rsidRPr="002166B8" w:rsidRDefault="002166B8" w:rsidP="002166B8">
      <w:pPr>
        <w:rPr>
          <w:rFonts w:ascii="Arial" w:eastAsia="Times New Roman" w:hAnsi="Arial" w:cs="Arial"/>
          <w:color w:val="000000"/>
          <w:szCs w:val="24"/>
          <w:lang w:eastAsia="en-GB" w:bidi="bn-IN"/>
          <w14:ligatures w14:val="none"/>
        </w:rPr>
      </w:pPr>
      <w:r w:rsidRPr="002166B8">
        <w:rPr>
          <w:rFonts w:ascii="Arial" w:eastAsia="Times New Roman" w:hAnsi="Arial" w:cs="Arial"/>
          <w:color w:val="000000"/>
          <w:szCs w:val="24"/>
          <w:lang w:eastAsia="en-GB" w:bidi="bn-IN"/>
          <w14:ligatures w14:val="none"/>
        </w:rPr>
        <w:t>BP has valuable and rare global reserves of oil as a source of sustainability. Reserves can be purchased but are costly and heavily regulated</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making them difficult to imitate and a source of sustainable advantage. BP has clever drilling systems which make the process more efficient and lower costs</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but they are easy to copy, giving </w:t>
      </w:r>
      <w:r w:rsidRPr="001A46C5">
        <w:rPr>
          <w:rFonts w:ascii="Arial" w:eastAsia="Times New Roman" w:hAnsi="Arial" w:cs="Arial"/>
          <w:color w:val="000000"/>
          <w:szCs w:val="24"/>
          <w:lang w:val="en-US" w:eastAsia="en-GB" w:bidi="bn-IN"/>
          <w14:ligatures w14:val="none"/>
        </w:rPr>
        <w:t xml:space="preserve">a </w:t>
      </w:r>
      <w:r w:rsidRPr="002166B8">
        <w:rPr>
          <w:rFonts w:ascii="Arial" w:eastAsia="Times New Roman" w:hAnsi="Arial" w:cs="Arial"/>
          <w:color w:val="000000"/>
          <w:szCs w:val="24"/>
          <w:lang w:eastAsia="en-GB" w:bidi="bn-IN"/>
          <w14:ligatures w14:val="none"/>
        </w:rPr>
        <w:t xml:space="preserve">temporary advantage. BP's supply chain is very effective as a means to integrate the exploration, production and distribution processes (Silvestre </w:t>
      </w:r>
      <w:r w:rsidRPr="002166B8">
        <w:rPr>
          <w:rFonts w:ascii="Arial" w:eastAsia="Times New Roman" w:hAnsi="Arial" w:cs="Arial"/>
          <w:i/>
          <w:color w:val="000000"/>
          <w:szCs w:val="24"/>
          <w:lang w:eastAsia="en-GB" w:bidi="bn-IN"/>
          <w14:ligatures w14:val="none"/>
        </w:rPr>
        <w:t>et al.</w:t>
      </w:r>
      <w:r w:rsidRPr="002166B8">
        <w:rPr>
          <w:rFonts w:ascii="Arial" w:eastAsia="Times New Roman" w:hAnsi="Arial" w:cs="Arial"/>
          <w:color w:val="000000"/>
          <w:szCs w:val="24"/>
          <w:lang w:eastAsia="en-GB" w:bidi="bn-IN"/>
          <w14:ligatures w14:val="none"/>
        </w:rPr>
        <w:t xml:space="preserve">, 2018). This is difficult to replicate due to the complexities, providing </w:t>
      </w:r>
      <w:r w:rsidRPr="001A46C5">
        <w:rPr>
          <w:rFonts w:ascii="Arial" w:eastAsia="Times New Roman" w:hAnsi="Arial" w:cs="Arial"/>
          <w:color w:val="000000"/>
          <w:szCs w:val="24"/>
          <w:lang w:val="en-US" w:eastAsia="en-GB" w:bidi="bn-IN"/>
          <w14:ligatures w14:val="none"/>
        </w:rPr>
        <w:t xml:space="preserve">a </w:t>
      </w:r>
      <w:r w:rsidRPr="002166B8">
        <w:rPr>
          <w:rFonts w:ascii="Arial" w:eastAsia="Times New Roman" w:hAnsi="Arial" w:cs="Arial"/>
          <w:color w:val="000000"/>
          <w:szCs w:val="24"/>
          <w:lang w:eastAsia="en-GB" w:bidi="bn-IN"/>
          <w14:ligatures w14:val="none"/>
        </w:rPr>
        <w:t>competitive advantage. In addition, BP's technical expertise, learn</w:t>
      </w:r>
      <w:r w:rsidRPr="001A46C5">
        <w:rPr>
          <w:rFonts w:ascii="Arial" w:eastAsia="Times New Roman" w:hAnsi="Arial" w:cs="Arial"/>
          <w:color w:val="000000"/>
          <w:szCs w:val="24"/>
          <w:lang w:eastAsia="en-GB" w:bidi="bn-IN"/>
          <w14:ligatures w14:val="none"/>
        </w:rPr>
        <w:t>ed</w:t>
      </w:r>
      <w:r w:rsidRPr="002166B8">
        <w:rPr>
          <w:rFonts w:ascii="Arial" w:eastAsia="Times New Roman" w:hAnsi="Arial" w:cs="Arial"/>
          <w:color w:val="000000"/>
          <w:szCs w:val="24"/>
          <w:lang w:eastAsia="en-GB" w:bidi="bn-IN"/>
          <w14:ligatures w14:val="none"/>
        </w:rPr>
        <w:t xml:space="preserve"> over many years, enables it to make and execute decisions and projects in a harsh environment. BP has the financial capability to undertake large projects</w:t>
      </w:r>
      <w:r w:rsidRPr="001A46C5">
        <w:rPr>
          <w:rFonts w:ascii="Arial" w:eastAsia="Times New Roman" w:hAnsi="Arial" w:cs="Arial"/>
          <w:color w:val="000000"/>
          <w:szCs w:val="24"/>
          <w:lang w:val="en-US" w:eastAsia="en-GB" w:bidi="bn-IN"/>
          <w14:ligatures w14:val="none"/>
        </w:rPr>
        <w:t>,</w:t>
      </w:r>
      <w:r w:rsidRPr="002166B8">
        <w:rPr>
          <w:rFonts w:ascii="Arial" w:eastAsia="Times New Roman" w:hAnsi="Arial" w:cs="Arial"/>
          <w:color w:val="000000"/>
          <w:szCs w:val="24"/>
          <w:lang w:eastAsia="en-GB" w:bidi="bn-IN"/>
          <w14:ligatures w14:val="none"/>
        </w:rPr>
        <w:t xml:space="preserve"> but this is common among all the large oil companies. So this results in competitive parity rather than competitive advantage (Silvestre </w:t>
      </w:r>
      <w:r w:rsidRPr="002166B8">
        <w:rPr>
          <w:rFonts w:ascii="Arial" w:eastAsia="Times New Roman" w:hAnsi="Arial" w:cs="Arial"/>
          <w:i/>
          <w:color w:val="000000"/>
          <w:szCs w:val="24"/>
          <w:lang w:eastAsia="en-GB" w:bidi="bn-IN"/>
          <w14:ligatures w14:val="none"/>
        </w:rPr>
        <w:t>et al.</w:t>
      </w:r>
      <w:r w:rsidRPr="002166B8">
        <w:rPr>
          <w:rFonts w:ascii="Arial" w:eastAsia="Times New Roman" w:hAnsi="Arial" w:cs="Arial"/>
          <w:color w:val="000000"/>
          <w:szCs w:val="24"/>
          <w:lang w:eastAsia="en-GB" w:bidi="bn-IN"/>
          <w14:ligatures w14:val="none"/>
        </w:rPr>
        <w:t>, 2018). Ultimately, we've found through the VRIO analysis that BP's competitive advantage primarily resides in its reserves, supply chain and knowledge.</w:t>
      </w:r>
    </w:p>
    <w:p w14:paraId="2F41A6DF" w14:textId="77777777" w:rsidR="002166B8" w:rsidRPr="001A46C5" w:rsidRDefault="002166B8" w:rsidP="002166B8">
      <w:pPr>
        <w:pStyle w:val="Heading3"/>
        <w:rPr>
          <w:rFonts w:ascii="Arial" w:hAnsi="Arial" w:cs="Arial"/>
        </w:rPr>
      </w:pPr>
      <w:bookmarkStart w:id="12" w:name="_Toc228469808"/>
      <w:r w:rsidRPr="001A46C5">
        <w:rPr>
          <w:rFonts w:ascii="Arial" w:hAnsi="Arial" w:cs="Arial"/>
        </w:rPr>
        <w:t>3.5 Internal Strengths and Competitive Advantage</w:t>
      </w:r>
      <w:bookmarkEnd w:id="12"/>
    </w:p>
    <w:p w14:paraId="7F63FB76" w14:textId="628CCEB7" w:rsidR="00FF0AB0" w:rsidRPr="00FF0AB0" w:rsidRDefault="00FF0AB0" w:rsidP="00FF0AB0">
      <w:pPr>
        <w:rPr>
          <w:rFonts w:ascii="Arial" w:eastAsia="Times New Roman" w:hAnsi="Arial" w:cs="Arial"/>
          <w:color w:val="000000"/>
          <w:szCs w:val="24"/>
          <w:lang w:eastAsia="en-GB" w:bidi="bn-IN"/>
          <w14:ligatures w14:val="none"/>
        </w:rPr>
      </w:pPr>
      <w:r w:rsidRPr="00FF0AB0">
        <w:rPr>
          <w:rFonts w:ascii="Arial" w:eastAsia="Times New Roman" w:hAnsi="Arial" w:cs="Arial"/>
          <w:color w:val="000000"/>
          <w:szCs w:val="24"/>
          <w:lang w:eastAsia="en-GB" w:bidi="bn-IN"/>
          <w14:ligatures w14:val="none"/>
        </w:rPr>
        <w:t xml:space="preserve">BP's strength has positioned the company to obtain a competitive advantage in the upstream oil industry. BP's large oil reserves give </w:t>
      </w:r>
      <w:r>
        <w:rPr>
          <w:rFonts w:ascii="Arial" w:eastAsia="Times New Roman" w:hAnsi="Arial" w:cs="Arial"/>
          <w:color w:val="000000"/>
          <w:szCs w:val="24"/>
          <w:lang w:eastAsia="en-GB" w:bidi="bn-IN"/>
          <w14:ligatures w14:val="none"/>
        </w:rPr>
        <w:t>it</w:t>
      </w:r>
      <w:r w:rsidRPr="00FF0AB0">
        <w:rPr>
          <w:rFonts w:ascii="Arial" w:eastAsia="Times New Roman" w:hAnsi="Arial" w:cs="Arial"/>
          <w:color w:val="000000"/>
          <w:szCs w:val="24"/>
          <w:lang w:eastAsia="en-GB" w:bidi="bn-IN"/>
          <w14:ligatures w14:val="none"/>
        </w:rPr>
        <w:t xml:space="preserve"> a safe and secure production, and allow </w:t>
      </w:r>
      <w:r>
        <w:rPr>
          <w:rFonts w:ascii="Arial" w:eastAsia="Times New Roman" w:hAnsi="Arial" w:cs="Arial"/>
          <w:color w:val="000000"/>
          <w:szCs w:val="24"/>
          <w:lang w:eastAsia="en-GB" w:bidi="bn-IN"/>
          <w14:ligatures w14:val="none"/>
        </w:rPr>
        <w:t>it</w:t>
      </w:r>
      <w:r w:rsidRPr="00FF0AB0">
        <w:rPr>
          <w:rFonts w:ascii="Arial" w:eastAsia="Times New Roman" w:hAnsi="Arial" w:cs="Arial"/>
          <w:color w:val="000000"/>
          <w:szCs w:val="24"/>
          <w:lang w:eastAsia="en-GB" w:bidi="bn-IN"/>
          <w14:ligatures w14:val="none"/>
        </w:rPr>
        <w:t xml:space="preserve"> to secure a consistent flow of revenue. This, in turn, helps to maintain its market presence and secure demand. BP also excels in technology (Bergh et al., 2016). BP can build on further technology developments in exploration and production to enhance productivity and lower costs. This allows BP to participate in exploration and production activities in a hostile environment</w:t>
      </w:r>
      <w:r>
        <w:rPr>
          <w:rFonts w:ascii="Arial" w:eastAsia="Times New Roman" w:hAnsi="Arial" w:cs="Arial"/>
          <w:color w:val="000000"/>
          <w:szCs w:val="24"/>
          <w:lang w:val="en-US" w:eastAsia="en-GB" w:bidi="bn-IN"/>
          <w14:ligatures w14:val="none"/>
        </w:rPr>
        <w:t>,</w:t>
      </w:r>
      <w:r w:rsidRPr="00FF0AB0">
        <w:rPr>
          <w:rFonts w:ascii="Arial" w:eastAsia="Times New Roman" w:hAnsi="Arial" w:cs="Arial"/>
          <w:color w:val="000000"/>
          <w:szCs w:val="24"/>
          <w:lang w:eastAsia="en-GB" w:bidi="bn-IN"/>
          <w14:ligatures w14:val="none"/>
        </w:rPr>
        <w:t xml:space="preserve"> such as offshore and deepwater production.</w:t>
      </w:r>
    </w:p>
    <w:p w14:paraId="634479FB" w14:textId="209FE39F" w:rsidR="009C468E" w:rsidRPr="001A46C5" w:rsidRDefault="00FF0AB0" w:rsidP="00FF0AB0">
      <w:pPr>
        <w:rPr>
          <w:rFonts w:ascii="Arial" w:eastAsia="Times New Roman" w:hAnsi="Arial" w:cs="Arial"/>
          <w:color w:val="000000"/>
          <w:szCs w:val="24"/>
          <w:lang w:eastAsia="en-GB" w:bidi="bn-IN"/>
          <w14:ligatures w14:val="none"/>
        </w:rPr>
      </w:pPr>
      <w:r w:rsidRPr="00FF0AB0">
        <w:rPr>
          <w:rFonts w:ascii="Arial" w:eastAsia="Times New Roman" w:hAnsi="Arial" w:cs="Arial"/>
          <w:color w:val="000000"/>
          <w:szCs w:val="24"/>
          <w:lang w:eastAsia="en-GB" w:bidi="bn-IN"/>
          <w14:ligatures w14:val="none"/>
        </w:rPr>
        <w:t>Furthermore, BP's integrated supply chain also aids in its competitiveness, by optimising the extraction, production and supply of fuel products. This enhances efficiency and agility. BP's expertise is also a critical attribute in its strategy and execution (A. Kassem, Khoiry and Hamzah, 2020). BP's expertise in global oil markets and regulation will allow for good management</w:t>
      </w:r>
      <w:r>
        <w:rPr>
          <w:rFonts w:ascii="Arial" w:eastAsia="Times New Roman" w:hAnsi="Arial" w:cs="Arial"/>
          <w:color w:val="000000"/>
          <w:szCs w:val="24"/>
          <w:lang w:val="en-US" w:eastAsia="en-GB" w:bidi="bn-IN"/>
          <w14:ligatures w14:val="none"/>
        </w:rPr>
        <w:t>,</w:t>
      </w:r>
      <w:r w:rsidRPr="00FF0AB0">
        <w:rPr>
          <w:rFonts w:ascii="Arial" w:eastAsia="Times New Roman" w:hAnsi="Arial" w:cs="Arial"/>
          <w:color w:val="000000"/>
          <w:szCs w:val="24"/>
          <w:lang w:eastAsia="en-GB" w:bidi="bn-IN"/>
          <w14:ligatures w14:val="none"/>
        </w:rPr>
        <w:t xml:space="preserve"> </w:t>
      </w:r>
      <w:r>
        <w:rPr>
          <w:rFonts w:ascii="Arial" w:eastAsia="Times New Roman" w:hAnsi="Arial" w:cs="Arial"/>
          <w:color w:val="000000"/>
          <w:szCs w:val="24"/>
          <w:lang w:val="en-US" w:eastAsia="en-GB" w:bidi="bn-IN"/>
          <w14:ligatures w14:val="none"/>
        </w:rPr>
        <w:t>b</w:t>
      </w:r>
      <w:r w:rsidRPr="00FF0AB0">
        <w:rPr>
          <w:rFonts w:ascii="Arial" w:eastAsia="Times New Roman" w:hAnsi="Arial" w:cs="Arial"/>
          <w:color w:val="000000"/>
          <w:szCs w:val="24"/>
          <w:lang w:eastAsia="en-GB" w:bidi="bn-IN"/>
          <w14:ligatures w14:val="none"/>
        </w:rPr>
        <w:t xml:space="preserve">ut whilst these characteristics offer </w:t>
      </w:r>
      <w:r>
        <w:rPr>
          <w:rFonts w:ascii="Arial" w:eastAsia="Times New Roman" w:hAnsi="Arial" w:cs="Arial"/>
          <w:color w:val="000000"/>
          <w:szCs w:val="24"/>
          <w:lang w:val="en-US" w:eastAsia="en-GB" w:bidi="bn-IN"/>
          <w14:ligatures w14:val="none"/>
        </w:rPr>
        <w:t xml:space="preserve">a </w:t>
      </w:r>
      <w:r w:rsidRPr="00FF0AB0">
        <w:rPr>
          <w:rFonts w:ascii="Arial" w:eastAsia="Times New Roman" w:hAnsi="Arial" w:cs="Arial"/>
          <w:color w:val="000000"/>
          <w:szCs w:val="24"/>
          <w:lang w:eastAsia="en-GB" w:bidi="bn-IN"/>
          <w14:ligatures w14:val="none"/>
        </w:rPr>
        <w:t>competitive advantage, they are challenged by external drivers such as regulatory and renewable energy (RE) drivers. So, BP will be assessed on how it can capitalise on these attributes and respond to a shifting landscape</w:t>
      </w:r>
      <w:r w:rsidR="002166B8" w:rsidRPr="002166B8">
        <w:rPr>
          <w:rFonts w:ascii="Arial" w:eastAsia="Times New Roman" w:hAnsi="Arial" w:cs="Arial"/>
          <w:color w:val="000000"/>
          <w:szCs w:val="24"/>
          <w:lang w:eastAsia="en-GB" w:bidi="bn-IN"/>
          <w14:ligatures w14:val="none"/>
        </w:rPr>
        <w:t>.</w:t>
      </w:r>
    </w:p>
    <w:p w14:paraId="550883D9" w14:textId="6ECA3B44" w:rsidR="009C468E" w:rsidRPr="001A46C5" w:rsidRDefault="0072137C" w:rsidP="003A6EBB">
      <w:pPr>
        <w:pStyle w:val="Heading2"/>
        <w:rPr>
          <w:rFonts w:ascii="Arial" w:eastAsia="Times New Roman" w:hAnsi="Arial" w:cs="Arial"/>
          <w:lang w:eastAsia="en-GB" w:bidi="bn-IN"/>
        </w:rPr>
      </w:pPr>
      <w:bookmarkStart w:id="13" w:name="_Toc228469809"/>
      <w:r w:rsidRPr="001A46C5">
        <w:rPr>
          <w:rFonts w:ascii="Arial" w:eastAsia="Times New Roman" w:hAnsi="Arial" w:cs="Arial"/>
          <w:lang w:val="en-US" w:eastAsia="en-GB" w:bidi="bn-IN"/>
        </w:rPr>
        <w:t>4</w:t>
      </w:r>
      <w:r w:rsidR="009C468E" w:rsidRPr="001A46C5">
        <w:rPr>
          <w:rFonts w:ascii="Arial" w:eastAsia="Times New Roman" w:hAnsi="Arial" w:cs="Arial"/>
          <w:lang w:eastAsia="en-GB" w:bidi="bn-IN"/>
        </w:rPr>
        <w:t>. CSR and Sustainability Strategy</w:t>
      </w:r>
      <w:bookmarkEnd w:id="13"/>
    </w:p>
    <w:p w14:paraId="42B70ABA" w14:textId="6858490E"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Strategic Commitment to Sustainability:</w:t>
      </w:r>
      <w:r w:rsidRPr="001A46C5">
        <w:rPr>
          <w:rFonts w:ascii="Arial" w:eastAsia="Times New Roman" w:hAnsi="Arial" w:cs="Arial"/>
          <w:color w:val="000000"/>
          <w:szCs w:val="24"/>
          <w:lang w:eastAsia="en-GB" w:bidi="bn-IN"/>
          <w14:ligatures w14:val="none"/>
        </w:rPr>
        <w:t xml:space="preserve"> Corporate social responsibility is a strategic issue in the global energy industry that has been central to the companies. BP is increasingly lobbied by both its governments</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investors and society to reduce its environmental impact and contribute to the global shift towards cleaner energy systems. In response, the company has added sustainability goals to its long-term corporate strategy</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 xml:space="preserve">(A. </w:t>
      </w:r>
      <w:proofErr w:type="spellStart"/>
      <w:r w:rsidR="005A1BB1" w:rsidRPr="001A46C5">
        <w:rPr>
          <w:rFonts w:ascii="Arial" w:hAnsi="Arial" w:cs="Arial"/>
          <w:color w:val="000000"/>
        </w:rPr>
        <w:t>Kassem</w:t>
      </w:r>
      <w:proofErr w:type="spellEnd"/>
      <w:r w:rsidR="005A1BB1" w:rsidRPr="001A46C5">
        <w:rPr>
          <w:rFonts w:ascii="Arial" w:hAnsi="Arial" w:cs="Arial"/>
          <w:color w:val="000000"/>
        </w:rPr>
        <w:t xml:space="preserve">, </w:t>
      </w:r>
      <w:proofErr w:type="spellStart"/>
      <w:r w:rsidR="005A1BB1" w:rsidRPr="001A46C5">
        <w:rPr>
          <w:rFonts w:ascii="Arial" w:hAnsi="Arial" w:cs="Arial"/>
          <w:color w:val="000000"/>
        </w:rPr>
        <w:t>Khoiry</w:t>
      </w:r>
      <w:proofErr w:type="spellEnd"/>
      <w:r w:rsidR="005A1BB1" w:rsidRPr="001A46C5">
        <w:rPr>
          <w:rFonts w:ascii="Arial" w:hAnsi="Arial" w:cs="Arial"/>
          <w:color w:val="000000"/>
        </w:rPr>
        <w:t xml:space="preserve"> and </w:t>
      </w:r>
      <w:proofErr w:type="spellStart"/>
      <w:r w:rsidR="005A1BB1" w:rsidRPr="001A46C5">
        <w:rPr>
          <w:rFonts w:ascii="Arial" w:hAnsi="Arial" w:cs="Arial"/>
          <w:color w:val="000000"/>
        </w:rPr>
        <w:t>Hamzah</w:t>
      </w:r>
      <w:proofErr w:type="spellEnd"/>
      <w:r w:rsidR="005A1BB1" w:rsidRPr="001A46C5">
        <w:rPr>
          <w:rFonts w:ascii="Arial" w:hAnsi="Arial" w:cs="Arial"/>
          <w:color w:val="000000"/>
        </w:rPr>
        <w:t>, 2020)</w:t>
      </w:r>
      <w:r w:rsidRPr="001A46C5">
        <w:rPr>
          <w:rFonts w:ascii="Arial" w:eastAsia="Times New Roman" w:hAnsi="Arial" w:cs="Arial"/>
          <w:color w:val="000000"/>
          <w:szCs w:val="24"/>
          <w:lang w:eastAsia="en-GB" w:bidi="bn-IN"/>
          <w14:ligatures w14:val="none"/>
        </w:rPr>
        <w:t>. BP has said it will aim to become zero carbon by 2050. This is a rising target of international effort</w:t>
      </w:r>
      <w:r w:rsidR="003A6EBB" w:rsidRPr="001A46C5">
        <w:rPr>
          <w:rFonts w:ascii="Arial" w:eastAsia="Times New Roman" w:hAnsi="Arial" w:cs="Arial"/>
          <w:color w:val="000000"/>
          <w:szCs w:val="24"/>
          <w:lang w:val="en-US" w:eastAsia="en-GB" w:bidi="bn-IN"/>
          <w14:ligatures w14:val="none"/>
        </w:rPr>
        <w:t>s</w:t>
      </w:r>
      <w:r w:rsidRPr="001A46C5">
        <w:rPr>
          <w:rFonts w:ascii="Arial" w:eastAsia="Times New Roman" w:hAnsi="Arial" w:cs="Arial"/>
          <w:color w:val="000000"/>
          <w:szCs w:val="24"/>
          <w:lang w:eastAsia="en-GB" w:bidi="bn-IN"/>
          <w14:ligatures w14:val="none"/>
        </w:rPr>
        <w:t xml:space="preserve"> to reduce global temperature rises and minimise greenhouse gas emissions. The company has also recognised the fact that environmental responsibility is no longer a matter of reputation, but of strategic requirements for maintaining long-term competitiveness.</w:t>
      </w:r>
    </w:p>
    <w:p w14:paraId="032354D2" w14:textId="779688F4"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Key Sustainability Initiatives:</w:t>
      </w:r>
      <w:r w:rsidRPr="001A46C5">
        <w:rPr>
          <w:rFonts w:ascii="Arial" w:eastAsia="Times New Roman" w:hAnsi="Arial" w:cs="Arial"/>
          <w:color w:val="000000"/>
          <w:szCs w:val="24"/>
          <w:lang w:eastAsia="en-GB" w:bidi="bn-IN"/>
          <w14:ligatures w14:val="none"/>
        </w:rPr>
        <w:t xml:space="preserve"> BP has put forward a number of initiatives to help its sustainability goals. One of the major focuses is on the reduction of operational carbon emissions through production and refining activities. The company has set </w:t>
      </w:r>
      <w:r w:rsidR="003A6EBB" w:rsidRPr="001A46C5">
        <w:rPr>
          <w:rFonts w:ascii="Arial" w:eastAsia="Times New Roman" w:hAnsi="Arial" w:cs="Arial"/>
          <w:color w:val="000000"/>
          <w:szCs w:val="24"/>
          <w:lang w:eastAsia="en-GB" w:bidi="bn-IN"/>
          <w14:ligatures w14:val="none"/>
        </w:rPr>
        <w:t>itself</w:t>
      </w:r>
      <w:r w:rsidRPr="001A46C5">
        <w:rPr>
          <w:rFonts w:ascii="Arial" w:eastAsia="Times New Roman" w:hAnsi="Arial" w:cs="Arial"/>
          <w:color w:val="000000"/>
          <w:szCs w:val="24"/>
          <w:lang w:eastAsia="en-GB" w:bidi="bn-IN"/>
          <w14:ligatures w14:val="none"/>
        </w:rPr>
        <w:t xml:space="preserve"> targets to reduce emission</w:t>
      </w:r>
      <w:r w:rsidR="003A6EBB" w:rsidRPr="001A46C5">
        <w:rPr>
          <w:rFonts w:ascii="Arial" w:eastAsia="Times New Roman" w:hAnsi="Arial" w:cs="Arial"/>
          <w:color w:val="000000"/>
          <w:szCs w:val="24"/>
          <w:lang w:val="en-US" w:eastAsia="en-GB" w:bidi="bn-IN"/>
          <w14:ligatures w14:val="none"/>
        </w:rPr>
        <w:t>s</w:t>
      </w:r>
      <w:r w:rsidRPr="001A46C5">
        <w:rPr>
          <w:rFonts w:ascii="Arial" w:eastAsia="Times New Roman" w:hAnsi="Arial" w:cs="Arial"/>
          <w:color w:val="000000"/>
          <w:szCs w:val="24"/>
          <w:lang w:eastAsia="en-GB" w:bidi="bn-IN"/>
          <w14:ligatures w14:val="none"/>
        </w:rPr>
        <w:t xml:space="preserve"> from its operation</w:t>
      </w:r>
      <w:r w:rsidR="003A6EBB" w:rsidRPr="001A46C5">
        <w:rPr>
          <w:rFonts w:ascii="Arial" w:eastAsia="Times New Roman" w:hAnsi="Arial" w:cs="Arial"/>
          <w:color w:val="000000"/>
          <w:szCs w:val="24"/>
          <w:lang w:val="en-US" w:eastAsia="en-GB" w:bidi="bn-IN"/>
          <w14:ligatures w14:val="none"/>
        </w:rPr>
        <w:t>s</w:t>
      </w:r>
      <w:r w:rsidRPr="001A46C5">
        <w:rPr>
          <w:rFonts w:ascii="Arial" w:eastAsia="Times New Roman" w:hAnsi="Arial" w:cs="Arial"/>
          <w:color w:val="000000"/>
          <w:szCs w:val="24"/>
          <w:lang w:eastAsia="en-GB" w:bidi="bn-IN"/>
          <w14:ligatures w14:val="none"/>
        </w:rPr>
        <w:t xml:space="preserve"> while improving the energy efficiency of its facilities</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(Wan Ahmad</w:t>
      </w:r>
      <w:r w:rsidR="005A1BB1" w:rsidRPr="001A46C5">
        <w:rPr>
          <w:rStyle w:val="apple-converted-space"/>
          <w:rFonts w:ascii="Arial" w:hAnsi="Arial" w:cs="Arial"/>
          <w:color w:val="000000"/>
        </w:rPr>
        <w:t> </w:t>
      </w:r>
      <w:r w:rsidR="005A1BB1" w:rsidRPr="001A46C5">
        <w:rPr>
          <w:rFonts w:ascii="Arial" w:hAnsi="Arial" w:cs="Arial"/>
          <w:i/>
          <w:iCs/>
          <w:color w:val="000000"/>
        </w:rPr>
        <w:t>et al.</w:t>
      </w:r>
      <w:r w:rsidR="005A1BB1" w:rsidRPr="001A46C5">
        <w:rPr>
          <w:rFonts w:ascii="Arial" w:hAnsi="Arial" w:cs="Arial"/>
          <w:color w:val="000000"/>
        </w:rPr>
        <w:t>, 2016)</w:t>
      </w:r>
      <w:r w:rsidRPr="001A46C5">
        <w:rPr>
          <w:rFonts w:ascii="Arial" w:eastAsia="Times New Roman" w:hAnsi="Arial" w:cs="Arial"/>
          <w:color w:val="000000"/>
          <w:szCs w:val="24"/>
          <w:lang w:eastAsia="en-GB" w:bidi="bn-IN"/>
          <w14:ligatures w14:val="none"/>
        </w:rPr>
        <w:t>. BP has also increased investment in renewable energy projects such as offshore wind and solar power. The company has a goal to build renewable generation capacity at the rate of roughly 50 gigawatts by 2030. In addition, environmental responsibility programmes include issues such as protection of biodiversity, responsible resource management and reducing environmental risk. These initiatives are undertaken to ensure good environmental performance while ensuring energy security.</w:t>
      </w:r>
    </w:p>
    <w:p w14:paraId="7D79A832" w14:textId="2D587F49"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Strategic Importance of Sustainability:</w:t>
      </w:r>
      <w:r w:rsidRPr="001A46C5">
        <w:rPr>
          <w:rFonts w:ascii="Arial" w:eastAsia="Times New Roman" w:hAnsi="Arial" w:cs="Arial"/>
          <w:color w:val="000000"/>
          <w:szCs w:val="24"/>
          <w:lang w:eastAsia="en-GB" w:bidi="bn-IN"/>
          <w14:ligatures w14:val="none"/>
        </w:rPr>
        <w:t xml:space="preserve"> From a strategic perspective, sustainability initiatives are now a consideration in investor confidence, regulatory approval and corporate reputation. Energy companies </w:t>
      </w:r>
      <w:r w:rsidR="003A6EBB" w:rsidRPr="001A46C5">
        <w:rPr>
          <w:rFonts w:ascii="Arial" w:eastAsia="Times New Roman" w:hAnsi="Arial" w:cs="Arial"/>
          <w:color w:val="000000"/>
          <w:szCs w:val="24"/>
          <w:lang w:eastAsia="en-GB" w:bidi="bn-IN"/>
          <w14:ligatures w14:val="none"/>
        </w:rPr>
        <w:t>that</w:t>
      </w:r>
      <w:r w:rsidRPr="001A46C5">
        <w:rPr>
          <w:rFonts w:ascii="Arial" w:eastAsia="Times New Roman" w:hAnsi="Arial" w:cs="Arial"/>
          <w:color w:val="000000"/>
          <w:szCs w:val="24"/>
          <w:lang w:eastAsia="en-GB" w:bidi="bn-IN"/>
          <w14:ligatures w14:val="none"/>
        </w:rPr>
        <w:t xml:space="preserve"> fail to comply with environmental issues risk increasing regulations and loss of the public's trust. Integrating sustainability into corporate strategy</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therefore</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helps BP to manage long-term risks arising from climate change and environmental regulation</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(Akhtar and Sushil, 2018)</w:t>
      </w:r>
      <w:r w:rsidRPr="001A46C5">
        <w:rPr>
          <w:rFonts w:ascii="Arial" w:eastAsia="Times New Roman" w:hAnsi="Arial" w:cs="Arial"/>
          <w:color w:val="000000"/>
          <w:szCs w:val="24"/>
          <w:lang w:eastAsia="en-GB" w:bidi="bn-IN"/>
          <w14:ligatures w14:val="none"/>
        </w:rPr>
        <w:t xml:space="preserve">. At the same time, renewable investments provide the company </w:t>
      </w:r>
      <w:r w:rsidR="003A6EBB" w:rsidRPr="001A46C5">
        <w:rPr>
          <w:rFonts w:ascii="Arial" w:eastAsia="Times New Roman" w:hAnsi="Arial" w:cs="Arial"/>
          <w:color w:val="000000"/>
          <w:szCs w:val="24"/>
          <w:lang w:val="en-US" w:eastAsia="en-GB" w:bidi="bn-IN"/>
          <w14:ligatures w14:val="none"/>
        </w:rPr>
        <w:t xml:space="preserve">with </w:t>
      </w:r>
      <w:r w:rsidRPr="001A46C5">
        <w:rPr>
          <w:rFonts w:ascii="Arial" w:eastAsia="Times New Roman" w:hAnsi="Arial" w:cs="Arial"/>
          <w:color w:val="000000"/>
          <w:szCs w:val="24"/>
          <w:lang w:eastAsia="en-GB" w:bidi="bn-IN"/>
          <w14:ligatures w14:val="none"/>
        </w:rPr>
        <w:t>the chance to participate in the development of the clean energy markets. Consequently, sustainability has become a strategic mechanism in order to remain competitive in the context of an energy industry in a state of structural transformation.</w:t>
      </w:r>
    </w:p>
    <w:p w14:paraId="3F3670F1" w14:textId="77777777" w:rsidR="009C468E" w:rsidRPr="001A46C5" w:rsidRDefault="009C468E" w:rsidP="009C468E">
      <w:pPr>
        <w:rPr>
          <w:rFonts w:ascii="Arial" w:eastAsia="Times New Roman" w:hAnsi="Arial" w:cs="Arial"/>
          <w:color w:val="000000"/>
          <w:szCs w:val="24"/>
          <w:lang w:eastAsia="en-GB" w:bidi="bn-IN"/>
          <w14:ligatures w14:val="none"/>
        </w:rPr>
      </w:pPr>
    </w:p>
    <w:p w14:paraId="269791D0" w14:textId="32867F4B" w:rsidR="009C468E" w:rsidRPr="001A46C5" w:rsidRDefault="0072137C" w:rsidP="003A6EBB">
      <w:pPr>
        <w:pStyle w:val="Heading2"/>
        <w:rPr>
          <w:rFonts w:ascii="Arial" w:eastAsia="Times New Roman" w:hAnsi="Arial" w:cs="Arial"/>
          <w:lang w:eastAsia="en-GB" w:bidi="bn-IN"/>
        </w:rPr>
      </w:pPr>
      <w:bookmarkStart w:id="14" w:name="_Toc228469810"/>
      <w:r w:rsidRPr="001A46C5">
        <w:rPr>
          <w:rFonts w:ascii="Arial" w:eastAsia="Times New Roman" w:hAnsi="Arial" w:cs="Arial"/>
          <w:lang w:val="en-US" w:eastAsia="en-GB" w:bidi="bn-IN"/>
        </w:rPr>
        <w:t>5</w:t>
      </w:r>
      <w:r w:rsidR="009C468E" w:rsidRPr="001A46C5">
        <w:rPr>
          <w:rFonts w:ascii="Arial" w:eastAsia="Times New Roman" w:hAnsi="Arial" w:cs="Arial"/>
          <w:lang w:eastAsia="en-GB" w:bidi="bn-IN"/>
        </w:rPr>
        <w:t>. Balanced Scorecard Analysis</w:t>
      </w:r>
      <w:bookmarkEnd w:id="14"/>
    </w:p>
    <w:p w14:paraId="40EA1DF7" w14:textId="77777777" w:rsidR="0094162D" w:rsidRPr="001A46C5" w:rsidRDefault="0094162D" w:rsidP="0094162D">
      <w:pPr>
        <w:keepNext/>
        <w:jc w:val="center"/>
        <w:rPr>
          <w:rFonts w:ascii="Arial" w:hAnsi="Arial" w:cs="Arial"/>
        </w:rPr>
      </w:pPr>
      <w:r w:rsidRPr="001A46C5">
        <w:rPr>
          <w:rFonts w:ascii="Arial" w:hAnsi="Arial" w:cs="Arial"/>
        </w:rPr>
        <w:fldChar w:fldCharType="begin"/>
      </w:r>
      <w:r w:rsidRPr="001A46C5">
        <w:rPr>
          <w:rFonts w:ascii="Arial" w:hAnsi="Arial" w:cs="Arial"/>
        </w:rPr>
        <w:instrText xml:space="preserve"> INCLUDEPICTURE "/Users/ijtehad/Library/Group Containers/UBF8T346G9.ms/WebArchiveCopyPasteTempFiles/com.microsoft.Word/balanced-scorecard.webp" \* MERGEFORMATINET </w:instrText>
      </w:r>
      <w:r w:rsidRPr="001A46C5">
        <w:rPr>
          <w:rFonts w:ascii="Arial" w:hAnsi="Arial" w:cs="Arial"/>
        </w:rPr>
        <w:fldChar w:fldCharType="separate"/>
      </w:r>
      <w:r w:rsidRPr="001A46C5">
        <w:rPr>
          <w:rFonts w:ascii="Arial" w:hAnsi="Arial" w:cs="Arial"/>
          <w:noProof/>
        </w:rPr>
        <w:drawing>
          <wp:inline distT="0" distB="0" distL="0" distR="0" wp14:anchorId="3AC0F2FC" wp14:editId="13D2B74C">
            <wp:extent cx="5943600" cy="3989070"/>
            <wp:effectExtent l="0" t="0" r="0" b="0"/>
            <wp:docPr id="127468960" name="Picture 6" descr="Balanced Scorecard approach (BSC): definition, limits and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lanced Scorecard approach (BSC): definition, limits and benefi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89070"/>
                    </a:xfrm>
                    <a:prstGeom prst="rect">
                      <a:avLst/>
                    </a:prstGeom>
                    <a:noFill/>
                    <a:ln>
                      <a:noFill/>
                    </a:ln>
                  </pic:spPr>
                </pic:pic>
              </a:graphicData>
            </a:graphic>
          </wp:inline>
        </w:drawing>
      </w:r>
      <w:r w:rsidRPr="001A46C5">
        <w:rPr>
          <w:rFonts w:ascii="Arial" w:hAnsi="Arial" w:cs="Arial"/>
        </w:rPr>
        <w:fldChar w:fldCharType="end"/>
      </w:r>
    </w:p>
    <w:p w14:paraId="7853B3D6" w14:textId="406C4869" w:rsidR="005A1BB1" w:rsidRPr="001A46C5" w:rsidRDefault="0094162D" w:rsidP="0094162D">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00927F29" w:rsidRPr="001A46C5">
        <w:rPr>
          <w:rFonts w:ascii="Arial" w:hAnsi="Arial" w:cs="Arial"/>
          <w:noProof/>
          <w:sz w:val="24"/>
          <w:szCs w:val="24"/>
        </w:rPr>
        <w:t>4</w:t>
      </w:r>
      <w:r w:rsidRPr="001A46C5">
        <w:rPr>
          <w:rFonts w:ascii="Arial" w:hAnsi="Arial" w:cs="Arial"/>
          <w:sz w:val="24"/>
          <w:szCs w:val="24"/>
        </w:rPr>
        <w:fldChar w:fldCharType="end"/>
      </w:r>
      <w:r w:rsidRPr="001A46C5">
        <w:rPr>
          <w:rFonts w:ascii="Arial" w:hAnsi="Arial" w:cs="Arial"/>
          <w:sz w:val="24"/>
          <w:szCs w:val="24"/>
          <w:lang w:val="en-US"/>
        </w:rPr>
        <w:t>: Balanced Scorecard</w:t>
      </w:r>
      <w:r w:rsidR="005A1BB1" w:rsidRPr="001A46C5">
        <w:rPr>
          <w:rFonts w:ascii="Arial" w:hAnsi="Arial" w:cs="Arial"/>
          <w:sz w:val="24"/>
          <w:szCs w:val="24"/>
          <w:lang w:val="en-US"/>
        </w:rPr>
        <w:t xml:space="preserve"> </w:t>
      </w:r>
    </w:p>
    <w:p w14:paraId="7705DEEB" w14:textId="7295CFD9" w:rsidR="00504D95" w:rsidRPr="001A46C5" w:rsidRDefault="005A1BB1" w:rsidP="0094162D">
      <w:pPr>
        <w:pStyle w:val="Caption"/>
        <w:jc w:val="center"/>
        <w:rPr>
          <w:rFonts w:ascii="Arial" w:hAnsi="Arial" w:cs="Arial"/>
          <w:sz w:val="24"/>
          <w:szCs w:val="24"/>
        </w:rPr>
      </w:pPr>
      <w:r w:rsidRPr="001A46C5">
        <w:rPr>
          <w:rFonts w:ascii="Arial" w:hAnsi="Arial" w:cs="Arial"/>
          <w:sz w:val="24"/>
          <w:szCs w:val="24"/>
          <w:lang w:val="en-US"/>
        </w:rPr>
        <w:t xml:space="preserve">Source: </w:t>
      </w:r>
      <w:r w:rsidRPr="001A46C5">
        <w:rPr>
          <w:rFonts w:ascii="Arial" w:hAnsi="Arial" w:cs="Arial"/>
          <w:sz w:val="24"/>
          <w:szCs w:val="24"/>
        </w:rPr>
        <w:t>(</w:t>
      </w:r>
      <w:proofErr w:type="spellStart"/>
      <w:r w:rsidRPr="001A46C5">
        <w:rPr>
          <w:rFonts w:ascii="Arial" w:hAnsi="Arial" w:cs="Arial"/>
          <w:sz w:val="24"/>
          <w:szCs w:val="24"/>
        </w:rPr>
        <w:t>Zakaria</w:t>
      </w:r>
      <w:proofErr w:type="spellEnd"/>
      <w:r w:rsidRPr="001A46C5">
        <w:rPr>
          <w:rFonts w:ascii="Arial" w:hAnsi="Arial" w:cs="Arial"/>
          <w:sz w:val="24"/>
          <w:szCs w:val="24"/>
        </w:rPr>
        <w:t xml:space="preserve">, </w:t>
      </w:r>
      <w:proofErr w:type="spellStart"/>
      <w:r w:rsidRPr="001A46C5">
        <w:rPr>
          <w:rFonts w:ascii="Arial" w:hAnsi="Arial" w:cs="Arial"/>
          <w:sz w:val="24"/>
          <w:szCs w:val="24"/>
        </w:rPr>
        <w:t>Nawawi</w:t>
      </w:r>
      <w:proofErr w:type="spellEnd"/>
      <w:r w:rsidRPr="001A46C5">
        <w:rPr>
          <w:rFonts w:ascii="Arial" w:hAnsi="Arial" w:cs="Arial"/>
          <w:sz w:val="24"/>
          <w:szCs w:val="24"/>
        </w:rPr>
        <w:t xml:space="preserve"> and </w:t>
      </w:r>
      <w:proofErr w:type="spellStart"/>
      <w:r w:rsidRPr="001A46C5">
        <w:rPr>
          <w:rFonts w:ascii="Arial" w:hAnsi="Arial" w:cs="Arial"/>
          <w:sz w:val="24"/>
          <w:szCs w:val="24"/>
        </w:rPr>
        <w:t>Salin</w:t>
      </w:r>
      <w:proofErr w:type="spellEnd"/>
      <w:r w:rsidRPr="001A46C5">
        <w:rPr>
          <w:rFonts w:ascii="Arial" w:hAnsi="Arial" w:cs="Arial"/>
          <w:sz w:val="24"/>
          <w:szCs w:val="24"/>
        </w:rPr>
        <w:t>, 2016)</w:t>
      </w:r>
    </w:p>
    <w:p w14:paraId="1FC19E40" w14:textId="31E8EEA4" w:rsidR="009C468E" w:rsidRPr="001A46C5" w:rsidRDefault="001A46C5" w:rsidP="003A6EBB">
      <w:pPr>
        <w:pStyle w:val="Heading3"/>
        <w:rPr>
          <w:rFonts w:ascii="Arial" w:hAnsi="Arial" w:cs="Arial"/>
        </w:rPr>
      </w:pPr>
      <w:bookmarkStart w:id="15" w:name="_Toc228469811"/>
      <w:r w:rsidRPr="001A46C5">
        <w:rPr>
          <w:rFonts w:ascii="Arial" w:hAnsi="Arial" w:cs="Arial"/>
          <w:lang w:val="en-US"/>
        </w:rPr>
        <w:t>5</w:t>
      </w:r>
      <w:r w:rsidR="009C468E" w:rsidRPr="001A46C5">
        <w:rPr>
          <w:rFonts w:ascii="Arial" w:hAnsi="Arial" w:cs="Arial"/>
        </w:rPr>
        <w:t>.1 Financial Perspective</w:t>
      </w:r>
      <w:bookmarkEnd w:id="15"/>
    </w:p>
    <w:p w14:paraId="12FA2A7F" w14:textId="4A2BBADB" w:rsidR="0072137C" w:rsidRPr="001A46C5" w:rsidRDefault="0072137C" w:rsidP="0072137C">
      <w:pPr>
        <w:rPr>
          <w:rFonts w:ascii="Arial" w:eastAsia="Times New Roman" w:hAnsi="Arial" w:cs="Arial"/>
          <w:color w:val="000000"/>
          <w:szCs w:val="24"/>
          <w:lang w:eastAsia="en-GB" w:bidi="bn-IN"/>
          <w14:ligatures w14:val="none"/>
        </w:rPr>
      </w:pPr>
      <w:r w:rsidRPr="001A46C5">
        <w:rPr>
          <w:rFonts w:ascii="Arial" w:eastAsia="Times New Roman" w:hAnsi="Arial" w:cs="Arial"/>
          <w:b/>
          <w:bCs/>
          <w:color w:val="000000"/>
          <w:szCs w:val="24"/>
          <w:lang w:eastAsia="en-GB" w:bidi="bn-IN"/>
          <w14:ligatures w14:val="none"/>
        </w:rPr>
        <w:t>Objective:</w:t>
      </w:r>
      <w:r w:rsidRPr="001A46C5">
        <w:rPr>
          <w:rFonts w:ascii="Arial" w:eastAsia="Times New Roman" w:hAnsi="Arial" w:cs="Arial"/>
          <w:color w:val="000000"/>
          <w:szCs w:val="24"/>
          <w:lang w:eastAsia="en-GB" w:bidi="bn-IN"/>
          <w14:ligatures w14:val="none"/>
        </w:rPr>
        <w:t xml:space="preserve"> Maximise profitability from upstream oil operations.</w:t>
      </w:r>
    </w:p>
    <w:p w14:paraId="223D0BDA" w14:textId="77777777" w:rsidR="0072137C" w:rsidRPr="001A46C5" w:rsidRDefault="0072137C" w:rsidP="0072137C">
      <w:pPr>
        <w:rPr>
          <w:rFonts w:ascii="Arial" w:eastAsia="Times New Roman" w:hAnsi="Arial" w:cs="Arial"/>
          <w:color w:val="000000"/>
          <w:szCs w:val="24"/>
          <w:lang w:eastAsia="en-GB" w:bidi="bn-IN"/>
          <w14:ligatures w14:val="none"/>
        </w:rPr>
      </w:pPr>
      <w:r w:rsidRPr="001A46C5">
        <w:rPr>
          <w:rFonts w:ascii="Arial" w:eastAsia="Times New Roman" w:hAnsi="Arial" w:cs="Arial"/>
          <w:b/>
          <w:bCs/>
          <w:color w:val="000000"/>
          <w:szCs w:val="24"/>
          <w:lang w:eastAsia="en-GB" w:bidi="bn-IN"/>
          <w14:ligatures w14:val="none"/>
        </w:rPr>
        <w:t>KPI:</w:t>
      </w:r>
      <w:r w:rsidRPr="001A46C5">
        <w:rPr>
          <w:rFonts w:ascii="Arial" w:eastAsia="Times New Roman" w:hAnsi="Arial" w:cs="Arial"/>
          <w:color w:val="000000"/>
          <w:szCs w:val="24"/>
          <w:lang w:eastAsia="en-GB" w:bidi="bn-IN"/>
          <w14:ligatures w14:val="none"/>
        </w:rPr>
        <w:t xml:space="preserve"> Upstream profit, production volume, unit production cost, return on capital employed. </w:t>
      </w:r>
      <w:r w:rsidRPr="002166B8">
        <w:rPr>
          <w:rFonts w:ascii="Arial" w:eastAsia="Times New Roman" w:hAnsi="Arial" w:cs="Arial"/>
          <w:color w:val="000000"/>
          <w:szCs w:val="24"/>
          <w:lang w:eastAsia="en-GB" w:bidi="bn-IN"/>
          <w14:ligatures w14:val="none"/>
        </w:rPr>
        <w:t>(Reuters, 2026)</w:t>
      </w:r>
    </w:p>
    <w:p w14:paraId="1AFC6923" w14:textId="77777777" w:rsidR="0072137C" w:rsidRPr="001A46C5" w:rsidRDefault="0072137C" w:rsidP="0072137C">
      <w:pPr>
        <w:rPr>
          <w:rFonts w:ascii="Arial" w:eastAsia="Times New Roman" w:hAnsi="Arial" w:cs="Arial"/>
          <w:color w:val="000000"/>
          <w:szCs w:val="24"/>
          <w:lang w:eastAsia="en-GB" w:bidi="bn-IN"/>
          <w14:ligatures w14:val="none"/>
        </w:rPr>
      </w:pPr>
      <w:r w:rsidRPr="001A46C5">
        <w:rPr>
          <w:rFonts w:ascii="Arial" w:eastAsia="Times New Roman" w:hAnsi="Arial" w:cs="Arial"/>
          <w:b/>
          <w:bCs/>
          <w:color w:val="000000"/>
          <w:szCs w:val="24"/>
          <w:lang w:eastAsia="en-GB" w:bidi="bn-IN"/>
          <w14:ligatures w14:val="none"/>
        </w:rPr>
        <w:t>Target:</w:t>
      </w:r>
      <w:r w:rsidRPr="001A46C5">
        <w:rPr>
          <w:rFonts w:ascii="Arial" w:eastAsia="Times New Roman" w:hAnsi="Arial" w:cs="Arial"/>
          <w:color w:val="000000"/>
          <w:szCs w:val="24"/>
          <w:lang w:eastAsia="en-GB" w:bidi="bn-IN"/>
          <w14:ligatures w14:val="none"/>
        </w:rPr>
        <w:t xml:space="preserve"> Maintain production at 2.3–2.5 million </w:t>
      </w:r>
      <w:proofErr w:type="spellStart"/>
      <w:r w:rsidRPr="001A46C5">
        <w:rPr>
          <w:rFonts w:ascii="Arial" w:eastAsia="Times New Roman" w:hAnsi="Arial" w:cs="Arial"/>
          <w:color w:val="000000"/>
          <w:szCs w:val="24"/>
          <w:lang w:eastAsia="en-GB" w:bidi="bn-IN"/>
          <w14:ligatures w14:val="none"/>
        </w:rPr>
        <w:t>boe</w:t>
      </w:r>
      <w:proofErr w:type="spellEnd"/>
      <w:r w:rsidRPr="001A46C5">
        <w:rPr>
          <w:rFonts w:ascii="Arial" w:eastAsia="Times New Roman" w:hAnsi="Arial" w:cs="Arial"/>
          <w:color w:val="000000"/>
          <w:szCs w:val="24"/>
          <w:lang w:eastAsia="en-GB" w:bidi="bn-IN"/>
          <w14:ligatures w14:val="none"/>
        </w:rPr>
        <w:t xml:space="preserve">/day by 2030. </w:t>
      </w:r>
      <w:r w:rsidRPr="002166B8">
        <w:rPr>
          <w:rFonts w:ascii="Arial" w:eastAsia="Times New Roman" w:hAnsi="Arial" w:cs="Arial"/>
          <w:color w:val="000000"/>
          <w:szCs w:val="24"/>
          <w:lang w:eastAsia="en-GB" w:bidi="bn-IN"/>
          <w14:ligatures w14:val="none"/>
        </w:rPr>
        <w:t>(Reuters, 2026)</w:t>
      </w:r>
    </w:p>
    <w:p w14:paraId="3E81C1F2" w14:textId="7E8B5E30" w:rsidR="0072137C" w:rsidRPr="001A46C5" w:rsidRDefault="0072137C" w:rsidP="0072137C">
      <w:pPr>
        <w:rPr>
          <w:rFonts w:ascii="Arial" w:eastAsia="Times New Roman" w:hAnsi="Arial" w:cs="Arial"/>
          <w:color w:val="000000"/>
          <w:szCs w:val="24"/>
          <w:lang w:eastAsia="en-GB" w:bidi="bn-IN"/>
          <w14:ligatures w14:val="none"/>
        </w:rPr>
      </w:pPr>
      <w:r w:rsidRPr="001A46C5">
        <w:rPr>
          <w:rFonts w:ascii="Arial" w:eastAsia="Times New Roman" w:hAnsi="Arial" w:cs="Arial"/>
          <w:b/>
          <w:bCs/>
          <w:color w:val="000000"/>
          <w:szCs w:val="24"/>
          <w:lang w:eastAsia="en-GB" w:bidi="bn-IN"/>
          <w14:ligatures w14:val="none"/>
        </w:rPr>
        <w:t>Initiative:</w:t>
      </w:r>
      <w:r w:rsidRPr="001A46C5">
        <w:rPr>
          <w:rFonts w:ascii="Arial" w:eastAsia="Times New Roman" w:hAnsi="Arial" w:cs="Arial"/>
          <w:color w:val="000000"/>
          <w:szCs w:val="24"/>
          <w:lang w:eastAsia="en-GB" w:bidi="bn-IN"/>
          <w14:ligatures w14:val="none"/>
        </w:rPr>
        <w:t xml:space="preserve"> Invest in high-margin projects and optimise cost efficiency in upstream operations. </w:t>
      </w:r>
      <w:r w:rsidRPr="002166B8">
        <w:rPr>
          <w:rFonts w:ascii="Arial" w:eastAsia="Times New Roman" w:hAnsi="Arial" w:cs="Arial"/>
          <w:color w:val="000000"/>
          <w:szCs w:val="24"/>
          <w:lang w:eastAsia="en-GB" w:bidi="bn-IN"/>
          <w14:ligatures w14:val="none"/>
        </w:rPr>
        <w:t>(Reuters, 2026)</w:t>
      </w:r>
    </w:p>
    <w:p w14:paraId="61E0ADE0" w14:textId="672AC769"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The financial perspective measures the effectiveness of BP's creation of economic value amid the financial risk of the energy industry. BP </w:t>
      </w:r>
      <w:r w:rsidR="003A6EBB" w:rsidRPr="001A46C5">
        <w:rPr>
          <w:rFonts w:ascii="Arial" w:eastAsia="Times New Roman" w:hAnsi="Arial" w:cs="Arial"/>
          <w:color w:val="000000"/>
          <w:szCs w:val="24"/>
          <w:lang w:eastAsia="en-GB" w:bidi="bn-IN"/>
          <w14:ligatures w14:val="none"/>
        </w:rPr>
        <w:t>has been</w:t>
      </w:r>
      <w:r w:rsidRPr="001A46C5">
        <w:rPr>
          <w:rFonts w:ascii="Arial" w:eastAsia="Times New Roman" w:hAnsi="Arial" w:cs="Arial"/>
          <w:color w:val="000000"/>
          <w:szCs w:val="24"/>
          <w:lang w:eastAsia="en-GB" w:bidi="bn-IN"/>
          <w14:ligatures w14:val="none"/>
        </w:rPr>
        <w:t xml:space="preserve"> reporting revenues over $200 billion in recent years</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and it demonstrates its powerful presence in the global energy market. However, the profitability is very much affected by the ups and downs in the oil prices. Strategic investments in renewable energy require a lot of capital expenditure also</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(Al-Mana</w:t>
      </w:r>
      <w:r w:rsidR="005A1BB1" w:rsidRPr="001A46C5">
        <w:rPr>
          <w:rStyle w:val="apple-converted-space"/>
          <w:rFonts w:ascii="Arial" w:hAnsi="Arial" w:cs="Arial"/>
          <w:color w:val="000000"/>
        </w:rPr>
        <w:t> </w:t>
      </w:r>
      <w:r w:rsidR="005A1BB1" w:rsidRPr="001A46C5">
        <w:rPr>
          <w:rFonts w:ascii="Arial" w:hAnsi="Arial" w:cs="Arial"/>
          <w:i/>
          <w:iCs/>
          <w:color w:val="000000"/>
        </w:rPr>
        <w:t>et al.</w:t>
      </w:r>
      <w:r w:rsidR="005A1BB1" w:rsidRPr="001A46C5">
        <w:rPr>
          <w:rFonts w:ascii="Arial" w:hAnsi="Arial" w:cs="Arial"/>
          <w:color w:val="000000"/>
        </w:rPr>
        <w:t>, 2020)</w:t>
      </w:r>
      <w:r w:rsidRPr="001A46C5">
        <w:rPr>
          <w:rFonts w:ascii="Arial" w:eastAsia="Times New Roman" w:hAnsi="Arial" w:cs="Arial"/>
          <w:color w:val="000000"/>
          <w:szCs w:val="24"/>
          <w:lang w:eastAsia="en-GB" w:bidi="bn-IN"/>
          <w14:ligatures w14:val="none"/>
        </w:rPr>
        <w:t>. BP has plans for spending billions of dollars on low</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carbon energy technologies by the end of this decade. From a strategic point of view</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financial performance is thus a balance between the short-term benefits from burning fossil fuels and investment in longer-term cleaner energy systems.</w:t>
      </w:r>
    </w:p>
    <w:p w14:paraId="037B6629" w14:textId="404E281A" w:rsidR="009C468E" w:rsidRPr="001A46C5" w:rsidRDefault="001A46C5" w:rsidP="003A6EBB">
      <w:pPr>
        <w:pStyle w:val="Heading3"/>
        <w:rPr>
          <w:rFonts w:ascii="Arial" w:hAnsi="Arial" w:cs="Arial"/>
        </w:rPr>
      </w:pPr>
      <w:bookmarkStart w:id="16" w:name="_Toc228469812"/>
      <w:r w:rsidRPr="001A46C5">
        <w:rPr>
          <w:rFonts w:ascii="Arial" w:hAnsi="Arial" w:cs="Arial"/>
          <w:lang w:val="en-US"/>
        </w:rPr>
        <w:t>5</w:t>
      </w:r>
      <w:r w:rsidR="009C468E" w:rsidRPr="001A46C5">
        <w:rPr>
          <w:rFonts w:ascii="Arial" w:hAnsi="Arial" w:cs="Arial"/>
        </w:rPr>
        <w:t>.2 Customer Perspective</w:t>
      </w:r>
      <w:bookmarkEnd w:id="16"/>
    </w:p>
    <w:p w14:paraId="5190085B" w14:textId="6F30F596" w:rsidR="0072137C" w:rsidRPr="0072137C" w:rsidRDefault="0072137C" w:rsidP="0072137C">
      <w:pPr>
        <w:rPr>
          <w:rFonts w:ascii="Arial" w:hAnsi="Arial" w:cs="Arial"/>
          <w:lang w:eastAsia="en-GB" w:bidi="bn-IN"/>
        </w:rPr>
      </w:pPr>
      <w:r w:rsidRPr="0072137C">
        <w:rPr>
          <w:rFonts w:ascii="Arial" w:hAnsi="Arial" w:cs="Arial"/>
          <w:b/>
          <w:lang w:eastAsia="en-GB" w:bidi="bn-IN"/>
        </w:rPr>
        <w:t>Objective:</w:t>
      </w:r>
      <w:r w:rsidRPr="0072137C">
        <w:rPr>
          <w:rFonts w:ascii="Arial" w:hAnsi="Arial" w:cs="Arial"/>
          <w:lang w:eastAsia="en-GB" w:bidi="bn-IN"/>
        </w:rPr>
        <w:t xml:space="preserve"> Ensure reliable crude oil supply to key stakeholders.</w:t>
      </w:r>
    </w:p>
    <w:p w14:paraId="1D9D60EE" w14:textId="253EADAC" w:rsidR="0072137C" w:rsidRPr="0072137C" w:rsidRDefault="0072137C" w:rsidP="0072137C">
      <w:pPr>
        <w:rPr>
          <w:rFonts w:ascii="Arial" w:hAnsi="Arial" w:cs="Arial"/>
          <w:lang w:eastAsia="en-GB" w:bidi="bn-IN"/>
        </w:rPr>
      </w:pPr>
      <w:r w:rsidRPr="0072137C">
        <w:rPr>
          <w:rFonts w:ascii="Arial" w:hAnsi="Arial" w:cs="Arial"/>
          <w:b/>
          <w:lang w:eastAsia="en-GB" w:bidi="bn-IN"/>
        </w:rPr>
        <w:t>KPI:</w:t>
      </w:r>
      <w:r w:rsidRPr="0072137C">
        <w:rPr>
          <w:rFonts w:ascii="Arial" w:hAnsi="Arial" w:cs="Arial"/>
          <w:lang w:eastAsia="en-GB" w:bidi="bn-IN"/>
        </w:rPr>
        <w:t xml:space="preserve"> Supply reliability, contract fulfilment rate, stakeholder satisfaction, ESG ratings</w:t>
      </w:r>
      <w:r w:rsidRPr="001A46C5">
        <w:rPr>
          <w:rFonts w:ascii="Arial" w:hAnsi="Arial" w:cs="Arial"/>
          <w:lang w:val="en-US" w:eastAsia="en-GB" w:bidi="bn-IN"/>
        </w:rPr>
        <w:t xml:space="preserve"> </w:t>
      </w:r>
      <w:r w:rsidRPr="001A46C5">
        <w:rPr>
          <w:rFonts w:ascii="Arial" w:hAnsi="Arial" w:cs="Arial"/>
          <w:lang w:eastAsia="en-GB" w:bidi="bn-IN"/>
        </w:rPr>
        <w:t>(Al-Mana </w:t>
      </w:r>
      <w:r w:rsidRPr="001A46C5">
        <w:rPr>
          <w:rFonts w:ascii="Arial" w:hAnsi="Arial" w:cs="Arial"/>
          <w:i/>
          <w:iCs/>
          <w:lang w:eastAsia="en-GB" w:bidi="bn-IN"/>
        </w:rPr>
        <w:t>et al.</w:t>
      </w:r>
      <w:r w:rsidRPr="001A46C5">
        <w:rPr>
          <w:rFonts w:ascii="Arial" w:hAnsi="Arial" w:cs="Arial"/>
          <w:lang w:eastAsia="en-GB" w:bidi="bn-IN"/>
        </w:rPr>
        <w:t>, 2020)</w:t>
      </w:r>
      <w:r w:rsidRPr="0072137C">
        <w:rPr>
          <w:rFonts w:ascii="Arial" w:hAnsi="Arial" w:cs="Arial"/>
          <w:lang w:eastAsia="en-GB" w:bidi="bn-IN"/>
        </w:rPr>
        <w:t>.</w:t>
      </w:r>
    </w:p>
    <w:p w14:paraId="399C4415" w14:textId="7F09F56D" w:rsidR="0072137C" w:rsidRPr="0072137C" w:rsidRDefault="0072137C" w:rsidP="0072137C">
      <w:pPr>
        <w:rPr>
          <w:rFonts w:ascii="Arial" w:hAnsi="Arial" w:cs="Arial"/>
          <w:lang w:eastAsia="en-GB" w:bidi="bn-IN"/>
        </w:rPr>
      </w:pPr>
      <w:r w:rsidRPr="0072137C">
        <w:rPr>
          <w:rFonts w:ascii="Arial" w:hAnsi="Arial" w:cs="Arial"/>
          <w:b/>
          <w:lang w:eastAsia="en-GB" w:bidi="bn-IN"/>
        </w:rPr>
        <w:t>Target:</w:t>
      </w:r>
      <w:r w:rsidRPr="0072137C">
        <w:rPr>
          <w:rFonts w:ascii="Arial" w:hAnsi="Arial" w:cs="Arial"/>
          <w:lang w:eastAsia="en-GB" w:bidi="bn-IN"/>
        </w:rPr>
        <w:t xml:space="preserve"> Maintain stable supply and strengthen long-term stakeholder relationships</w:t>
      </w:r>
      <w:r w:rsidRPr="001A46C5">
        <w:rPr>
          <w:rFonts w:ascii="Arial" w:hAnsi="Arial" w:cs="Arial"/>
          <w:lang w:val="en-US" w:eastAsia="en-GB" w:bidi="bn-IN"/>
        </w:rPr>
        <w:t xml:space="preserve"> </w:t>
      </w:r>
      <w:r w:rsidRPr="001A46C5">
        <w:rPr>
          <w:rFonts w:ascii="Arial" w:hAnsi="Arial" w:cs="Arial"/>
          <w:lang w:eastAsia="en-GB" w:bidi="bn-IN"/>
        </w:rPr>
        <w:t>(Al-Mana </w:t>
      </w:r>
      <w:r w:rsidRPr="001A46C5">
        <w:rPr>
          <w:rFonts w:ascii="Arial" w:hAnsi="Arial" w:cs="Arial"/>
          <w:i/>
          <w:iCs/>
          <w:lang w:eastAsia="en-GB" w:bidi="bn-IN"/>
        </w:rPr>
        <w:t>et al.</w:t>
      </w:r>
      <w:r w:rsidRPr="001A46C5">
        <w:rPr>
          <w:rFonts w:ascii="Arial" w:hAnsi="Arial" w:cs="Arial"/>
          <w:lang w:eastAsia="en-GB" w:bidi="bn-IN"/>
        </w:rPr>
        <w:t>, 2020)</w:t>
      </w:r>
      <w:r w:rsidRPr="0072137C">
        <w:rPr>
          <w:rFonts w:ascii="Arial" w:hAnsi="Arial" w:cs="Arial"/>
          <w:lang w:eastAsia="en-GB" w:bidi="bn-IN"/>
        </w:rPr>
        <w:t>.</w:t>
      </w:r>
    </w:p>
    <w:p w14:paraId="53ADB3A6" w14:textId="3BAA0918" w:rsidR="0072137C" w:rsidRPr="001A46C5" w:rsidRDefault="0072137C" w:rsidP="0072137C">
      <w:pPr>
        <w:rPr>
          <w:rFonts w:ascii="Arial" w:hAnsi="Arial" w:cs="Arial"/>
          <w:lang w:eastAsia="en-GB" w:bidi="bn-IN"/>
        </w:rPr>
      </w:pPr>
      <w:r w:rsidRPr="0072137C">
        <w:rPr>
          <w:rFonts w:ascii="Arial" w:hAnsi="Arial" w:cs="Arial"/>
          <w:b/>
          <w:lang w:eastAsia="en-GB" w:bidi="bn-IN"/>
        </w:rPr>
        <w:t>Initiative:</w:t>
      </w:r>
      <w:r w:rsidRPr="0072137C">
        <w:rPr>
          <w:rFonts w:ascii="Arial" w:hAnsi="Arial" w:cs="Arial"/>
          <w:lang w:eastAsia="en-GB" w:bidi="bn-IN"/>
        </w:rPr>
        <w:t xml:space="preserve"> Improve supply chain reliability and enhance transparency with stakeholders</w:t>
      </w:r>
      <w:r w:rsidRPr="001A46C5">
        <w:rPr>
          <w:rFonts w:ascii="Arial" w:hAnsi="Arial" w:cs="Arial"/>
          <w:lang w:val="en-US" w:eastAsia="en-GB" w:bidi="bn-IN"/>
        </w:rPr>
        <w:t xml:space="preserve"> </w:t>
      </w:r>
      <w:r w:rsidRPr="001A46C5">
        <w:rPr>
          <w:rFonts w:ascii="Arial" w:hAnsi="Arial" w:cs="Arial"/>
          <w:lang w:eastAsia="en-GB" w:bidi="bn-IN"/>
        </w:rPr>
        <w:t>(Al-Mana </w:t>
      </w:r>
      <w:r w:rsidRPr="001A46C5">
        <w:rPr>
          <w:rFonts w:ascii="Arial" w:hAnsi="Arial" w:cs="Arial"/>
          <w:i/>
          <w:iCs/>
          <w:lang w:eastAsia="en-GB" w:bidi="bn-IN"/>
        </w:rPr>
        <w:t>et al.</w:t>
      </w:r>
      <w:r w:rsidRPr="001A46C5">
        <w:rPr>
          <w:rFonts w:ascii="Arial" w:hAnsi="Arial" w:cs="Arial"/>
          <w:lang w:eastAsia="en-GB" w:bidi="bn-IN"/>
        </w:rPr>
        <w:t>, 2020)</w:t>
      </w:r>
      <w:r w:rsidRPr="0072137C">
        <w:rPr>
          <w:rFonts w:ascii="Arial" w:hAnsi="Arial" w:cs="Arial"/>
          <w:lang w:eastAsia="en-GB" w:bidi="bn-IN"/>
        </w:rPr>
        <w:t>.</w:t>
      </w:r>
    </w:p>
    <w:p w14:paraId="300AE912" w14:textId="11654CE8"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The customer perspective is concerned with the effectiveness of BP's performance with respect to the expectations of energy consumers and key stakeholders. Reliability of energy supply is still a key aspect to ensuring trust between governments, industries and retail fuel consumers. BP delivers energy products to millions of customers via thousands of fuel stations across the world</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(Al-Mana</w:t>
      </w:r>
      <w:r w:rsidR="005A1BB1" w:rsidRPr="001A46C5">
        <w:rPr>
          <w:rStyle w:val="apple-converted-space"/>
          <w:rFonts w:ascii="Arial" w:hAnsi="Arial" w:cs="Arial"/>
          <w:color w:val="000000"/>
        </w:rPr>
        <w:t> </w:t>
      </w:r>
      <w:r w:rsidR="005A1BB1" w:rsidRPr="001A46C5">
        <w:rPr>
          <w:rFonts w:ascii="Arial" w:hAnsi="Arial" w:cs="Arial"/>
          <w:i/>
          <w:iCs/>
          <w:color w:val="000000"/>
        </w:rPr>
        <w:t>et al.</w:t>
      </w:r>
      <w:r w:rsidR="005A1BB1" w:rsidRPr="001A46C5">
        <w:rPr>
          <w:rFonts w:ascii="Arial" w:hAnsi="Arial" w:cs="Arial"/>
          <w:color w:val="000000"/>
        </w:rPr>
        <w:t>, 2020)</w:t>
      </w:r>
      <w:r w:rsidRPr="001A46C5">
        <w:rPr>
          <w:rFonts w:ascii="Arial" w:eastAsia="Times New Roman" w:hAnsi="Arial" w:cs="Arial"/>
          <w:color w:val="000000"/>
          <w:szCs w:val="24"/>
          <w:lang w:eastAsia="en-GB" w:bidi="bn-IN"/>
          <w14:ligatures w14:val="none"/>
        </w:rPr>
        <w:t xml:space="preserve">. Maintaining a constant supply while improving environmental performance has become more important to ensure that stakeholder confidence is maintained. Public perception is also an important level of the energy industry from </w:t>
      </w:r>
      <w:r w:rsidR="003A6EBB" w:rsidRPr="001A46C5">
        <w:rPr>
          <w:rFonts w:ascii="Arial" w:eastAsia="Times New Roman" w:hAnsi="Arial" w:cs="Arial"/>
          <w:color w:val="000000"/>
          <w:szCs w:val="24"/>
          <w:lang w:val="en-US" w:eastAsia="en-GB" w:bidi="bn-IN"/>
          <w14:ligatures w14:val="none"/>
        </w:rPr>
        <w:t>a</w:t>
      </w:r>
      <w:r w:rsidRPr="001A46C5">
        <w:rPr>
          <w:rFonts w:ascii="Arial" w:eastAsia="Times New Roman" w:hAnsi="Arial" w:cs="Arial"/>
          <w:color w:val="000000"/>
          <w:szCs w:val="24"/>
          <w:lang w:eastAsia="en-GB" w:bidi="bn-IN"/>
          <w14:ligatures w14:val="none"/>
        </w:rPr>
        <w:t xml:space="preserve"> strategic point of view. Companies that have responsible environmental practices are more likely to gain support from investors and have better relationships with their customers in the long run. </w:t>
      </w:r>
    </w:p>
    <w:p w14:paraId="2D9C1787" w14:textId="11EBDEE7" w:rsidR="009C468E" w:rsidRPr="001A46C5" w:rsidRDefault="001A46C5" w:rsidP="003A6EBB">
      <w:pPr>
        <w:pStyle w:val="Heading3"/>
        <w:rPr>
          <w:rFonts w:ascii="Arial" w:hAnsi="Arial" w:cs="Arial"/>
        </w:rPr>
      </w:pPr>
      <w:bookmarkStart w:id="17" w:name="_Toc228469813"/>
      <w:r w:rsidRPr="001A46C5">
        <w:rPr>
          <w:rFonts w:ascii="Arial" w:hAnsi="Arial" w:cs="Arial"/>
          <w:lang w:val="en-US"/>
        </w:rPr>
        <w:t>5</w:t>
      </w:r>
      <w:r w:rsidR="009C468E" w:rsidRPr="001A46C5">
        <w:rPr>
          <w:rFonts w:ascii="Arial" w:hAnsi="Arial" w:cs="Arial"/>
        </w:rPr>
        <w:t>.3 Internal Process Perspective</w:t>
      </w:r>
      <w:bookmarkEnd w:id="17"/>
    </w:p>
    <w:p w14:paraId="0A4DEEB8" w14:textId="509C7224" w:rsidR="0072137C" w:rsidRPr="001A46C5" w:rsidRDefault="0072137C" w:rsidP="0072137C">
      <w:pPr>
        <w:rPr>
          <w:rFonts w:ascii="Arial" w:hAnsi="Arial" w:cs="Arial"/>
          <w:lang w:eastAsia="en-GB" w:bidi="bn-IN"/>
        </w:rPr>
      </w:pPr>
      <w:r w:rsidRPr="001A46C5">
        <w:rPr>
          <w:rFonts w:ascii="Arial" w:hAnsi="Arial" w:cs="Arial"/>
          <w:b/>
          <w:bCs/>
          <w:lang w:eastAsia="en-GB" w:bidi="bn-IN"/>
        </w:rPr>
        <w:t>Objective:</w:t>
      </w:r>
      <w:r w:rsidRPr="001A46C5">
        <w:rPr>
          <w:rFonts w:ascii="Arial" w:hAnsi="Arial" w:cs="Arial"/>
          <w:lang w:eastAsia="en-GB" w:bidi="bn-IN"/>
        </w:rPr>
        <w:t xml:space="preserve"> Improve efficiency and safety in exploration and production (Akhtar and Sushil, 2018). </w:t>
      </w:r>
    </w:p>
    <w:p w14:paraId="09F336C9" w14:textId="27B5A985" w:rsidR="0072137C" w:rsidRPr="001A46C5" w:rsidRDefault="0072137C" w:rsidP="0072137C">
      <w:pPr>
        <w:rPr>
          <w:rFonts w:ascii="Arial" w:hAnsi="Arial" w:cs="Arial"/>
          <w:lang w:eastAsia="en-GB" w:bidi="bn-IN"/>
        </w:rPr>
      </w:pPr>
      <w:r w:rsidRPr="001A46C5">
        <w:rPr>
          <w:rFonts w:ascii="Arial" w:hAnsi="Arial" w:cs="Arial"/>
          <w:b/>
          <w:bCs/>
          <w:lang w:eastAsia="en-GB" w:bidi="bn-IN"/>
        </w:rPr>
        <w:t>KPI:</w:t>
      </w:r>
      <w:r w:rsidRPr="001A46C5">
        <w:rPr>
          <w:rFonts w:ascii="Arial" w:hAnsi="Arial" w:cs="Arial"/>
          <w:lang w:eastAsia="en-GB" w:bidi="bn-IN"/>
        </w:rPr>
        <w:t xml:space="preserve"> Plant reliability, production efficiency, reserve replacement ratio, safety incident rate </w:t>
      </w:r>
      <w:r w:rsidRPr="002166B8">
        <w:rPr>
          <w:rFonts w:ascii="Arial" w:hAnsi="Arial" w:cs="Arial"/>
          <w:lang w:eastAsia="en-GB" w:bidi="bn-IN"/>
        </w:rPr>
        <w:t>(Reuters, 2026)</w:t>
      </w:r>
      <w:r w:rsidRPr="001A46C5">
        <w:rPr>
          <w:rFonts w:ascii="Arial" w:hAnsi="Arial" w:cs="Arial"/>
          <w:lang w:eastAsia="en-GB" w:bidi="bn-IN"/>
        </w:rPr>
        <w:t>.</w:t>
      </w:r>
    </w:p>
    <w:p w14:paraId="03486835" w14:textId="312F751E" w:rsidR="0072137C" w:rsidRPr="001A46C5" w:rsidRDefault="0072137C" w:rsidP="0072137C">
      <w:pPr>
        <w:rPr>
          <w:rFonts w:ascii="Arial" w:hAnsi="Arial" w:cs="Arial"/>
          <w:lang w:eastAsia="en-GB" w:bidi="bn-IN"/>
        </w:rPr>
      </w:pPr>
      <w:r w:rsidRPr="001A46C5">
        <w:rPr>
          <w:rFonts w:ascii="Arial" w:hAnsi="Arial" w:cs="Arial"/>
          <w:b/>
          <w:bCs/>
          <w:lang w:eastAsia="en-GB" w:bidi="bn-IN"/>
        </w:rPr>
        <w:t>Target:</w:t>
      </w:r>
      <w:r w:rsidRPr="001A46C5">
        <w:rPr>
          <w:rFonts w:ascii="Arial" w:hAnsi="Arial" w:cs="Arial"/>
          <w:lang w:eastAsia="en-GB" w:bidi="bn-IN"/>
        </w:rPr>
        <w:t xml:space="preserve"> Maintain plant reliability above 95% and reduce operational risks </w:t>
      </w:r>
      <w:r w:rsidRPr="002166B8">
        <w:rPr>
          <w:rFonts w:ascii="Arial" w:hAnsi="Arial" w:cs="Arial"/>
          <w:lang w:eastAsia="en-GB" w:bidi="bn-IN"/>
        </w:rPr>
        <w:t>(Reuters, 2026)</w:t>
      </w:r>
      <w:r w:rsidRPr="001A46C5">
        <w:rPr>
          <w:rFonts w:ascii="Arial" w:hAnsi="Arial" w:cs="Arial"/>
          <w:lang w:eastAsia="en-GB" w:bidi="bn-IN"/>
        </w:rPr>
        <w:t>.</w:t>
      </w:r>
    </w:p>
    <w:p w14:paraId="330C3D07" w14:textId="7F76953E" w:rsidR="0072137C" w:rsidRPr="001A46C5" w:rsidRDefault="0072137C" w:rsidP="0072137C">
      <w:pPr>
        <w:rPr>
          <w:rFonts w:ascii="Arial" w:hAnsi="Arial" w:cs="Arial"/>
          <w:lang w:eastAsia="en-GB" w:bidi="bn-IN"/>
        </w:rPr>
      </w:pPr>
      <w:r w:rsidRPr="001A46C5">
        <w:rPr>
          <w:rFonts w:ascii="Arial" w:hAnsi="Arial" w:cs="Arial"/>
          <w:b/>
          <w:bCs/>
          <w:lang w:eastAsia="en-GB" w:bidi="bn-IN"/>
        </w:rPr>
        <w:t>Initiative:</w:t>
      </w:r>
      <w:r w:rsidRPr="001A46C5">
        <w:rPr>
          <w:rFonts w:ascii="Arial" w:hAnsi="Arial" w:cs="Arial"/>
          <w:lang w:eastAsia="en-GB" w:bidi="bn-IN"/>
        </w:rPr>
        <w:t xml:space="preserve"> Implement advanced drilling technologies and digital monitoring systems.</w:t>
      </w:r>
    </w:p>
    <w:p w14:paraId="583F7487" w14:textId="55559B90"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Internal processes are involved in determining the efficiency with which BP manages exploration, production and distribution activities. Energy production involves a complex set of technical operations which require strict safety management. The company operates large-scale offshore platforms, refineries and transportation networks that have to perform reliably to keep global supplies functioning</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(Akhtar and Sushil, 2018)</w:t>
      </w:r>
      <w:r w:rsidRPr="001A46C5">
        <w:rPr>
          <w:rFonts w:ascii="Arial" w:eastAsia="Times New Roman" w:hAnsi="Arial" w:cs="Arial"/>
          <w:color w:val="000000"/>
          <w:szCs w:val="24"/>
          <w:lang w:eastAsia="en-GB" w:bidi="bn-IN"/>
          <w14:ligatures w14:val="none"/>
        </w:rPr>
        <w:t>. Operational efficiency</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hence</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demands effective risk management and technological monitoring systems. Improvements in efficiency in production can save operational cost</w:t>
      </w:r>
      <w:r w:rsidR="003A6EBB" w:rsidRPr="001A46C5">
        <w:rPr>
          <w:rFonts w:ascii="Arial" w:eastAsia="Times New Roman" w:hAnsi="Arial" w:cs="Arial"/>
          <w:color w:val="000000"/>
          <w:szCs w:val="24"/>
          <w:lang w:val="en-US" w:eastAsia="en-GB" w:bidi="bn-IN"/>
          <w14:ligatures w14:val="none"/>
        </w:rPr>
        <w:t>s</w:t>
      </w:r>
      <w:r w:rsidRPr="001A46C5">
        <w:rPr>
          <w:rFonts w:ascii="Arial" w:eastAsia="Times New Roman" w:hAnsi="Arial" w:cs="Arial"/>
          <w:color w:val="000000"/>
          <w:szCs w:val="24"/>
          <w:lang w:eastAsia="en-GB" w:bidi="bn-IN"/>
          <w14:ligatures w14:val="none"/>
        </w:rPr>
        <w:t xml:space="preserve"> and save the environment simultaneously. For this reason, optimisation of internal processes is a key to competitiveness in the international energy sector.</w:t>
      </w:r>
    </w:p>
    <w:p w14:paraId="15663AC2" w14:textId="59C29FD8" w:rsidR="009C468E" w:rsidRPr="001A46C5" w:rsidRDefault="001A46C5" w:rsidP="003A6EBB">
      <w:pPr>
        <w:pStyle w:val="Heading3"/>
        <w:rPr>
          <w:rFonts w:ascii="Arial" w:hAnsi="Arial" w:cs="Arial"/>
        </w:rPr>
      </w:pPr>
      <w:bookmarkStart w:id="18" w:name="_Toc228469814"/>
      <w:r w:rsidRPr="001A46C5">
        <w:rPr>
          <w:rFonts w:ascii="Arial" w:hAnsi="Arial" w:cs="Arial"/>
          <w:lang w:val="en-US"/>
        </w:rPr>
        <w:t>5</w:t>
      </w:r>
      <w:r w:rsidR="009C468E" w:rsidRPr="001A46C5">
        <w:rPr>
          <w:rFonts w:ascii="Arial" w:hAnsi="Arial" w:cs="Arial"/>
        </w:rPr>
        <w:t>.4 Learning and Growth Perspective</w:t>
      </w:r>
      <w:bookmarkEnd w:id="18"/>
    </w:p>
    <w:p w14:paraId="67EB7B50" w14:textId="77777777" w:rsidR="0072137C" w:rsidRPr="0072137C" w:rsidRDefault="0072137C" w:rsidP="0072137C">
      <w:pPr>
        <w:rPr>
          <w:rFonts w:ascii="Arial" w:hAnsi="Arial" w:cs="Arial"/>
          <w:lang w:eastAsia="en-GB" w:bidi="bn-IN"/>
        </w:rPr>
      </w:pPr>
      <w:r w:rsidRPr="0072137C">
        <w:rPr>
          <w:rFonts w:ascii="Arial" w:hAnsi="Arial" w:cs="Arial"/>
          <w:b/>
          <w:lang w:eastAsia="en-GB" w:bidi="bn-IN"/>
        </w:rPr>
        <w:t>Objective:</w:t>
      </w:r>
      <w:r w:rsidRPr="0072137C">
        <w:rPr>
          <w:rFonts w:ascii="Arial" w:hAnsi="Arial" w:cs="Arial"/>
          <w:lang w:eastAsia="en-GB" w:bidi="bn-IN"/>
        </w:rPr>
        <w:t xml:space="preserve"> Enhance workforce capability and technological expertise.</w:t>
      </w:r>
    </w:p>
    <w:p w14:paraId="4FE6AAFE" w14:textId="32B94930" w:rsidR="0072137C" w:rsidRPr="0072137C" w:rsidRDefault="0072137C" w:rsidP="0072137C">
      <w:pPr>
        <w:rPr>
          <w:rFonts w:ascii="Arial" w:hAnsi="Arial" w:cs="Arial"/>
          <w:lang w:eastAsia="en-GB" w:bidi="bn-IN"/>
        </w:rPr>
      </w:pPr>
      <w:r w:rsidRPr="0072137C">
        <w:rPr>
          <w:rFonts w:ascii="Arial" w:hAnsi="Arial" w:cs="Arial"/>
          <w:b/>
          <w:lang w:eastAsia="en-GB" w:bidi="bn-IN"/>
        </w:rPr>
        <w:t>KPI:</w:t>
      </w:r>
      <w:r w:rsidRPr="0072137C">
        <w:rPr>
          <w:rFonts w:ascii="Arial" w:hAnsi="Arial" w:cs="Arial"/>
          <w:lang w:eastAsia="en-GB" w:bidi="bn-IN"/>
        </w:rPr>
        <w:t xml:space="preserve"> Employee training, digital adoption, emissions reduction, innovation capability</w:t>
      </w:r>
      <w:r w:rsidRPr="001A46C5">
        <w:rPr>
          <w:rFonts w:ascii="Arial" w:hAnsi="Arial" w:cs="Arial"/>
          <w:lang w:val="en-US" w:eastAsia="en-GB" w:bidi="bn-IN"/>
        </w:rPr>
        <w:t xml:space="preserve"> </w:t>
      </w:r>
      <w:r w:rsidRPr="001A46C5">
        <w:rPr>
          <w:rFonts w:ascii="Arial" w:hAnsi="Arial" w:cs="Arial"/>
          <w:lang w:eastAsia="en-GB" w:bidi="bn-IN"/>
        </w:rPr>
        <w:t>(Silvestre </w:t>
      </w:r>
      <w:r w:rsidRPr="001A46C5">
        <w:rPr>
          <w:rFonts w:ascii="Arial" w:hAnsi="Arial" w:cs="Arial"/>
          <w:i/>
          <w:iCs/>
          <w:lang w:eastAsia="en-GB" w:bidi="bn-IN"/>
        </w:rPr>
        <w:t>et al.</w:t>
      </w:r>
      <w:r w:rsidRPr="001A46C5">
        <w:rPr>
          <w:rFonts w:ascii="Arial" w:hAnsi="Arial" w:cs="Arial"/>
          <w:lang w:eastAsia="en-GB" w:bidi="bn-IN"/>
        </w:rPr>
        <w:t>, 2018)</w:t>
      </w:r>
      <w:r w:rsidRPr="0072137C">
        <w:rPr>
          <w:rFonts w:ascii="Arial" w:hAnsi="Arial" w:cs="Arial"/>
          <w:lang w:eastAsia="en-GB" w:bidi="bn-IN"/>
        </w:rPr>
        <w:t>.</w:t>
      </w:r>
    </w:p>
    <w:p w14:paraId="5F3AA092" w14:textId="4D5FAE3F" w:rsidR="0072137C" w:rsidRPr="0072137C" w:rsidRDefault="0072137C" w:rsidP="0072137C">
      <w:pPr>
        <w:rPr>
          <w:rFonts w:ascii="Arial" w:hAnsi="Arial" w:cs="Arial"/>
          <w:lang w:eastAsia="en-GB" w:bidi="bn-IN"/>
        </w:rPr>
      </w:pPr>
      <w:r w:rsidRPr="0072137C">
        <w:rPr>
          <w:rFonts w:ascii="Arial" w:hAnsi="Arial" w:cs="Arial"/>
          <w:b/>
          <w:lang w:eastAsia="en-GB" w:bidi="bn-IN"/>
        </w:rPr>
        <w:t>Target:</w:t>
      </w:r>
      <w:r w:rsidRPr="0072137C">
        <w:rPr>
          <w:rFonts w:ascii="Arial" w:hAnsi="Arial" w:cs="Arial"/>
          <w:lang w:eastAsia="en-GB" w:bidi="bn-IN"/>
        </w:rPr>
        <w:t xml:space="preserve"> Improve workforce skills and reduce operational emissions</w:t>
      </w:r>
      <w:r w:rsidRPr="001A46C5">
        <w:rPr>
          <w:rFonts w:ascii="Arial" w:hAnsi="Arial" w:cs="Arial"/>
          <w:lang w:val="en-US" w:eastAsia="en-GB" w:bidi="bn-IN"/>
        </w:rPr>
        <w:t xml:space="preserve"> </w:t>
      </w:r>
      <w:r w:rsidRPr="001A46C5">
        <w:rPr>
          <w:rFonts w:ascii="Arial" w:hAnsi="Arial" w:cs="Arial"/>
          <w:lang w:eastAsia="en-GB" w:bidi="bn-IN"/>
        </w:rPr>
        <w:t>(Silvestre </w:t>
      </w:r>
      <w:r w:rsidRPr="001A46C5">
        <w:rPr>
          <w:rFonts w:ascii="Arial" w:hAnsi="Arial" w:cs="Arial"/>
          <w:i/>
          <w:iCs/>
          <w:lang w:eastAsia="en-GB" w:bidi="bn-IN"/>
        </w:rPr>
        <w:t>et al.</w:t>
      </w:r>
      <w:r w:rsidRPr="001A46C5">
        <w:rPr>
          <w:rFonts w:ascii="Arial" w:hAnsi="Arial" w:cs="Arial"/>
          <w:lang w:eastAsia="en-GB" w:bidi="bn-IN"/>
        </w:rPr>
        <w:t>, 2018)</w:t>
      </w:r>
      <w:r w:rsidRPr="0072137C">
        <w:rPr>
          <w:rFonts w:ascii="Arial" w:hAnsi="Arial" w:cs="Arial"/>
          <w:lang w:eastAsia="en-GB" w:bidi="bn-IN"/>
        </w:rPr>
        <w:t>.</w:t>
      </w:r>
    </w:p>
    <w:p w14:paraId="524EB806" w14:textId="50675B83" w:rsidR="0072137C" w:rsidRPr="001A46C5" w:rsidRDefault="0072137C" w:rsidP="0072137C">
      <w:pPr>
        <w:rPr>
          <w:rFonts w:ascii="Arial" w:hAnsi="Arial" w:cs="Arial"/>
          <w:lang w:eastAsia="en-GB" w:bidi="bn-IN"/>
        </w:rPr>
      </w:pPr>
      <w:r w:rsidRPr="0072137C">
        <w:rPr>
          <w:rFonts w:ascii="Arial" w:hAnsi="Arial" w:cs="Arial"/>
          <w:b/>
          <w:lang w:eastAsia="en-GB" w:bidi="bn-IN"/>
        </w:rPr>
        <w:t>Initiative:</w:t>
      </w:r>
      <w:r w:rsidRPr="0072137C">
        <w:rPr>
          <w:rFonts w:ascii="Arial" w:hAnsi="Arial" w:cs="Arial"/>
          <w:lang w:eastAsia="en-GB" w:bidi="bn-IN"/>
        </w:rPr>
        <w:t xml:space="preserve"> Invest in training, digital oilfield technologies, and emission reduction systems</w:t>
      </w:r>
      <w:r w:rsidRPr="001A46C5">
        <w:rPr>
          <w:rFonts w:ascii="Arial" w:hAnsi="Arial" w:cs="Arial"/>
          <w:lang w:val="en-US" w:eastAsia="en-GB" w:bidi="bn-IN"/>
        </w:rPr>
        <w:t xml:space="preserve"> </w:t>
      </w:r>
      <w:r w:rsidRPr="001A46C5">
        <w:rPr>
          <w:rFonts w:ascii="Arial" w:hAnsi="Arial" w:cs="Arial"/>
          <w:lang w:eastAsia="en-GB" w:bidi="bn-IN"/>
        </w:rPr>
        <w:t>(Silvestre </w:t>
      </w:r>
      <w:r w:rsidRPr="001A46C5">
        <w:rPr>
          <w:rFonts w:ascii="Arial" w:hAnsi="Arial" w:cs="Arial"/>
          <w:i/>
          <w:iCs/>
          <w:lang w:eastAsia="en-GB" w:bidi="bn-IN"/>
        </w:rPr>
        <w:t>et al.</w:t>
      </w:r>
      <w:r w:rsidRPr="001A46C5">
        <w:rPr>
          <w:rFonts w:ascii="Arial" w:hAnsi="Arial" w:cs="Arial"/>
          <w:lang w:eastAsia="en-GB" w:bidi="bn-IN"/>
        </w:rPr>
        <w:t>, 2018)</w:t>
      </w:r>
      <w:r w:rsidRPr="0072137C">
        <w:rPr>
          <w:rFonts w:ascii="Arial" w:hAnsi="Arial" w:cs="Arial"/>
          <w:lang w:eastAsia="en-GB" w:bidi="bn-IN"/>
        </w:rPr>
        <w:t>.</w:t>
      </w:r>
    </w:p>
    <w:p w14:paraId="0DE8E48B" w14:textId="1B66A67F"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The learning and growth perspective places an emphasis on the importance of innovation and organisational capability development. The energy transition requires the development of new technologies and skills by companies. BP is investing more in renewable energy research and low</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carbon energy technology</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such as hydrogen and carbon capture</w:t>
      </w:r>
      <w:r w:rsidR="005A1BB1" w:rsidRPr="001A46C5">
        <w:rPr>
          <w:rFonts w:ascii="Arial" w:eastAsia="Times New Roman" w:hAnsi="Arial" w:cs="Arial"/>
          <w:color w:val="000000"/>
          <w:szCs w:val="24"/>
          <w:lang w:val="en-US" w:eastAsia="en-GB" w:bidi="bn-IN"/>
          <w14:ligatures w14:val="none"/>
        </w:rPr>
        <w:t xml:space="preserve"> </w:t>
      </w:r>
      <w:r w:rsidR="005A1BB1" w:rsidRPr="001A46C5">
        <w:rPr>
          <w:rFonts w:ascii="Arial" w:hAnsi="Arial" w:cs="Arial"/>
          <w:color w:val="000000"/>
        </w:rPr>
        <w:t>(Silvestre</w:t>
      </w:r>
      <w:r w:rsidR="005A1BB1" w:rsidRPr="001A46C5">
        <w:rPr>
          <w:rStyle w:val="apple-converted-space"/>
          <w:rFonts w:ascii="Arial" w:hAnsi="Arial" w:cs="Arial"/>
          <w:color w:val="000000"/>
        </w:rPr>
        <w:t> </w:t>
      </w:r>
      <w:r w:rsidR="005A1BB1" w:rsidRPr="001A46C5">
        <w:rPr>
          <w:rFonts w:ascii="Arial" w:hAnsi="Arial" w:cs="Arial"/>
          <w:i/>
          <w:iCs/>
          <w:color w:val="000000"/>
        </w:rPr>
        <w:t>et al.</w:t>
      </w:r>
      <w:r w:rsidR="005A1BB1" w:rsidRPr="001A46C5">
        <w:rPr>
          <w:rFonts w:ascii="Arial" w:hAnsi="Arial" w:cs="Arial"/>
          <w:color w:val="000000"/>
        </w:rPr>
        <w:t>, 2018)</w:t>
      </w:r>
      <w:r w:rsidRPr="001A46C5">
        <w:rPr>
          <w:rFonts w:ascii="Arial" w:eastAsia="Times New Roman" w:hAnsi="Arial" w:cs="Arial"/>
          <w:color w:val="000000"/>
          <w:szCs w:val="24"/>
          <w:lang w:eastAsia="en-GB" w:bidi="bn-IN"/>
          <w14:ligatures w14:val="none"/>
        </w:rPr>
        <w:t>. These initiatives support the adaptability of the organisation in the long-term. Developing technological expertise and supporting continued learning in the workforce to help BP react well to changing industry conditions and new energy technologies </w:t>
      </w:r>
    </w:p>
    <w:p w14:paraId="3A946796" w14:textId="77777777" w:rsidR="009C468E" w:rsidRPr="001A46C5" w:rsidRDefault="009C468E" w:rsidP="009C468E">
      <w:pPr>
        <w:rPr>
          <w:rFonts w:ascii="Arial" w:eastAsia="Times New Roman" w:hAnsi="Arial" w:cs="Arial"/>
          <w:color w:val="000000"/>
          <w:szCs w:val="24"/>
          <w:lang w:eastAsia="en-GB" w:bidi="bn-IN"/>
          <w14:ligatures w14:val="none"/>
        </w:rPr>
      </w:pPr>
    </w:p>
    <w:p w14:paraId="6A56BD15" w14:textId="7B9790E7" w:rsidR="009C468E" w:rsidRPr="001A46C5" w:rsidRDefault="001A46C5" w:rsidP="003A6EBB">
      <w:pPr>
        <w:pStyle w:val="Heading2"/>
        <w:rPr>
          <w:rFonts w:ascii="Arial" w:eastAsia="Times New Roman" w:hAnsi="Arial" w:cs="Arial"/>
          <w:lang w:eastAsia="en-GB" w:bidi="bn-IN"/>
        </w:rPr>
      </w:pPr>
      <w:bookmarkStart w:id="19" w:name="_Toc228469815"/>
      <w:r w:rsidRPr="001A46C5">
        <w:rPr>
          <w:rFonts w:ascii="Arial" w:eastAsia="Times New Roman" w:hAnsi="Arial" w:cs="Arial"/>
          <w:lang w:val="en-US" w:eastAsia="en-GB" w:bidi="bn-IN"/>
        </w:rPr>
        <w:t>6</w:t>
      </w:r>
      <w:r w:rsidR="009C468E" w:rsidRPr="001A46C5">
        <w:rPr>
          <w:rFonts w:ascii="Arial" w:eastAsia="Times New Roman" w:hAnsi="Arial" w:cs="Arial"/>
          <w:lang w:eastAsia="en-GB" w:bidi="bn-IN"/>
        </w:rPr>
        <w:t xml:space="preserve">. </w:t>
      </w:r>
      <w:r w:rsidRPr="001A46C5">
        <w:rPr>
          <w:rFonts w:ascii="Arial" w:eastAsia="Times New Roman" w:hAnsi="Arial" w:cs="Arial"/>
          <w:lang w:eastAsia="en-GB" w:bidi="bn-IN"/>
        </w:rPr>
        <w:t>Strategic Choices and Implementation</w:t>
      </w:r>
      <w:bookmarkEnd w:id="19"/>
    </w:p>
    <w:p w14:paraId="00F2C589" w14:textId="77777777" w:rsidR="009C468E" w:rsidRPr="001A46C5" w:rsidRDefault="009C468E" w:rsidP="009C468E">
      <w:pPr>
        <w:rPr>
          <w:rFonts w:ascii="Arial" w:eastAsia="Times New Roman" w:hAnsi="Arial" w:cs="Arial"/>
          <w:color w:val="000000"/>
          <w:szCs w:val="24"/>
          <w:lang w:eastAsia="en-GB" w:bidi="bn-IN"/>
          <w14:ligatures w14:val="none"/>
        </w:rPr>
      </w:pPr>
    </w:p>
    <w:p w14:paraId="1EC25095" w14:textId="77777777" w:rsidR="001A46C5" w:rsidRPr="001A46C5" w:rsidRDefault="001A46C5" w:rsidP="009C468E">
      <w:pPr>
        <w:rPr>
          <w:rFonts w:ascii="Arial" w:eastAsia="Times New Roman" w:hAnsi="Arial" w:cs="Arial"/>
          <w:color w:val="000000"/>
          <w:szCs w:val="24"/>
          <w:lang w:eastAsia="en-GB" w:bidi="bn-IN"/>
          <w14:ligatures w14:val="none"/>
        </w:rPr>
      </w:pPr>
    </w:p>
    <w:p w14:paraId="2BA865B9" w14:textId="22B627D2" w:rsidR="001A46C5" w:rsidRPr="001A46C5" w:rsidRDefault="001A46C5" w:rsidP="001A46C5">
      <w:pPr>
        <w:pStyle w:val="Heading3"/>
        <w:rPr>
          <w:rFonts w:ascii="Arial" w:hAnsi="Arial" w:cs="Arial"/>
        </w:rPr>
      </w:pPr>
      <w:bookmarkStart w:id="20" w:name="_Toc228469816"/>
      <w:r w:rsidRPr="001A46C5">
        <w:rPr>
          <w:rFonts w:ascii="Arial" w:hAnsi="Arial" w:cs="Arial"/>
          <w:lang w:val="en-US"/>
        </w:rPr>
        <w:t xml:space="preserve">6.1 </w:t>
      </w:r>
      <w:r w:rsidRPr="001A46C5">
        <w:rPr>
          <w:rFonts w:ascii="Arial" w:hAnsi="Arial" w:cs="Arial"/>
        </w:rPr>
        <w:t>Business-Level Strategy: Cost Leadership</w:t>
      </w:r>
      <w:bookmarkEnd w:id="20"/>
    </w:p>
    <w:p w14:paraId="765342D8" w14:textId="444A71A7"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BP's oil upstream operation mainly adopts </w:t>
      </w:r>
      <w:r w:rsidRPr="001A46C5">
        <w:rPr>
          <w:rFonts w:ascii="Arial" w:eastAsia="Times New Roman" w:hAnsi="Arial" w:cs="Arial"/>
          <w:color w:val="000000"/>
          <w:szCs w:val="24"/>
          <w:lang w:val="en-US" w:eastAsia="en-GB" w:bidi="bn-IN"/>
          <w14:ligatures w14:val="none"/>
        </w:rPr>
        <w:t xml:space="preserve">a </w:t>
      </w:r>
      <w:r w:rsidRPr="001A46C5">
        <w:rPr>
          <w:rFonts w:ascii="Arial" w:eastAsia="Times New Roman" w:hAnsi="Arial" w:cs="Arial"/>
          <w:color w:val="000000"/>
          <w:szCs w:val="24"/>
          <w:lang w:eastAsia="en-GB" w:bidi="bn-IN"/>
          <w14:ligatures w14:val="none"/>
        </w:rPr>
        <w:t>cost leadership strategy. The upstream industry is capital-intensive</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and operators strive for cost efficiency to remain competitive and profitable in the face of varying oil prices (Bulgakov and Makarenko, 2022). BP strive for </w:t>
      </w:r>
      <w:r w:rsidRPr="001A46C5">
        <w:rPr>
          <w:rFonts w:ascii="Arial" w:eastAsia="Times New Roman" w:hAnsi="Arial" w:cs="Arial"/>
          <w:color w:val="000000"/>
          <w:szCs w:val="24"/>
          <w:lang w:val="en-US" w:eastAsia="en-GB" w:bidi="bn-IN"/>
          <w14:ligatures w14:val="none"/>
        </w:rPr>
        <w:t xml:space="preserve">a </w:t>
      </w:r>
      <w:r w:rsidRPr="001A46C5">
        <w:rPr>
          <w:rFonts w:ascii="Arial" w:eastAsia="Times New Roman" w:hAnsi="Arial" w:cs="Arial"/>
          <w:color w:val="000000"/>
          <w:szCs w:val="24"/>
          <w:lang w:eastAsia="en-GB" w:bidi="bn-IN"/>
          <w14:ligatures w14:val="none"/>
        </w:rPr>
        <w:t>reduction in the cost of production per unit</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cost-efficiency and technology. For instance, BP produced 2.3 million barrels of oil equivalent per day from its upstream in 2025, focusing on scale production to reap the rewards of economies of scale (BP plc, 2026). BP leverages cost leadership to compete with its peers (ExxonMobil, Shell)</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w:t>
      </w:r>
      <w:r w:rsidRPr="001A46C5">
        <w:rPr>
          <w:rFonts w:ascii="Arial" w:eastAsia="Times New Roman" w:hAnsi="Arial" w:cs="Arial"/>
          <w:color w:val="000000"/>
          <w:szCs w:val="24"/>
          <w:lang w:val="en-US" w:eastAsia="en-GB" w:bidi="bn-IN"/>
          <w14:ligatures w14:val="none"/>
        </w:rPr>
        <w:t>b</w:t>
      </w:r>
      <w:r w:rsidRPr="001A46C5">
        <w:rPr>
          <w:rFonts w:ascii="Arial" w:eastAsia="Times New Roman" w:hAnsi="Arial" w:cs="Arial"/>
          <w:color w:val="000000"/>
          <w:szCs w:val="24"/>
          <w:lang w:eastAsia="en-GB" w:bidi="bn-IN"/>
          <w14:ligatures w14:val="none"/>
        </w:rPr>
        <w:t>ut cost leadership is short-lived as the competition strategy is similar to its competitors, thus commodifying the industry.</w:t>
      </w:r>
    </w:p>
    <w:p w14:paraId="52FF380B" w14:textId="72CF3B48" w:rsidR="001A46C5" w:rsidRPr="001A46C5" w:rsidRDefault="001A46C5" w:rsidP="001A46C5">
      <w:pPr>
        <w:pStyle w:val="Heading3"/>
        <w:rPr>
          <w:rFonts w:ascii="Arial" w:hAnsi="Arial" w:cs="Arial"/>
        </w:rPr>
      </w:pPr>
      <w:bookmarkStart w:id="21" w:name="_Toc228469817"/>
      <w:r w:rsidRPr="001A46C5">
        <w:rPr>
          <w:rFonts w:ascii="Arial" w:hAnsi="Arial" w:cs="Arial"/>
          <w:lang w:val="en-US"/>
        </w:rPr>
        <w:t xml:space="preserve">6.2 </w:t>
      </w:r>
      <w:r w:rsidRPr="001A46C5">
        <w:rPr>
          <w:rFonts w:ascii="Arial" w:hAnsi="Arial" w:cs="Arial"/>
        </w:rPr>
        <w:t>Corporate-Level Strategy: International Expansion</w:t>
      </w:r>
      <w:bookmarkEnd w:id="21"/>
    </w:p>
    <w:p w14:paraId="2415ECAB" w14:textId="2358605D"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BP's corporate</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level strategy for its upstream business is globalisation. BP is active in several areas</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including the Gulf of Mexico, the North Sea and the Middle East (BP plc, 2026). BP needs international geography diversification to avoid geopolitical risk and to achieve high-quality production. Yet, it exposes BP to political and regulatory risk and fluctuating tax regimes. But geographical collective ownership is essential to sustain long-term production.</w:t>
      </w:r>
    </w:p>
    <w:p w14:paraId="78251A75" w14:textId="3353383A" w:rsidR="001A46C5" w:rsidRPr="001A46C5" w:rsidRDefault="001A46C5" w:rsidP="001A46C5">
      <w:pPr>
        <w:pStyle w:val="Heading3"/>
        <w:rPr>
          <w:rFonts w:ascii="Arial" w:hAnsi="Arial" w:cs="Arial"/>
        </w:rPr>
      </w:pPr>
      <w:bookmarkStart w:id="22" w:name="_Toc228469818"/>
      <w:r w:rsidRPr="001A46C5">
        <w:rPr>
          <w:rFonts w:ascii="Arial" w:hAnsi="Arial" w:cs="Arial"/>
          <w:lang w:val="en-US"/>
        </w:rPr>
        <w:t xml:space="preserve">6.3 </w:t>
      </w:r>
      <w:r w:rsidRPr="001A46C5">
        <w:rPr>
          <w:rFonts w:ascii="Arial" w:hAnsi="Arial" w:cs="Arial"/>
        </w:rPr>
        <w:t>Recommended Strategy: Cost Leadership Focus</w:t>
      </w:r>
      <w:bookmarkEnd w:id="22"/>
    </w:p>
    <w:p w14:paraId="4274FF80" w14:textId="5BECC5B7"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Cost leadership is the best strategy for BP in the upstream oil industry. This is because competition for the upstream oil industry is price</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based, with oil products being a commodity. And maintaining a low</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cost structure allows BP to remain profitable even at low prices. BP can also achieve its corporate goals as it generates good cash flows through its competitive cost leadership strategy (Tharuniyaa Lakshmi, 2026). However, for BP not</w:t>
      </w:r>
      <w:r w:rsidRPr="001A46C5">
        <w:rPr>
          <w:rFonts w:ascii="Arial" w:eastAsia="Times New Roman" w:hAnsi="Arial" w:cs="Arial"/>
          <w:color w:val="000000"/>
          <w:szCs w:val="24"/>
          <w:lang w:val="en-US" w:eastAsia="en-GB" w:bidi="bn-IN"/>
          <w14:ligatures w14:val="none"/>
        </w:rPr>
        <w:t xml:space="preserve"> to</w:t>
      </w:r>
      <w:r w:rsidRPr="001A46C5">
        <w:rPr>
          <w:rFonts w:ascii="Arial" w:eastAsia="Times New Roman" w:hAnsi="Arial" w:cs="Arial"/>
          <w:color w:val="000000"/>
          <w:szCs w:val="24"/>
          <w:lang w:eastAsia="en-GB" w:bidi="bn-IN"/>
          <w14:ligatures w14:val="none"/>
        </w:rPr>
        <w:t xml:space="preserve"> become a low-end player, it needs to adopt a strategy that is cost</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efficient but also includes some technological differentiation, such as in its complex offshore operations.</w:t>
      </w:r>
    </w:p>
    <w:p w14:paraId="1D7ABB3A" w14:textId="268B27AC" w:rsidR="001A46C5" w:rsidRPr="001A46C5" w:rsidRDefault="001A46C5" w:rsidP="001A46C5">
      <w:pPr>
        <w:pStyle w:val="Heading3"/>
        <w:rPr>
          <w:rFonts w:ascii="Arial" w:hAnsi="Arial" w:cs="Arial"/>
        </w:rPr>
      </w:pPr>
      <w:bookmarkStart w:id="23" w:name="_Toc228469819"/>
      <w:r w:rsidRPr="001A46C5">
        <w:rPr>
          <w:rFonts w:ascii="Arial" w:hAnsi="Arial" w:cs="Arial"/>
          <w:lang w:val="en-US"/>
        </w:rPr>
        <w:t xml:space="preserve">6.4 </w:t>
      </w:r>
      <w:r w:rsidRPr="001A46C5">
        <w:rPr>
          <w:rFonts w:ascii="Arial" w:hAnsi="Arial" w:cs="Arial"/>
        </w:rPr>
        <w:t>Change Management and Strategic Implementation</w:t>
      </w:r>
      <w:bookmarkEnd w:id="23"/>
    </w:p>
    <w:p w14:paraId="086D5EDD" w14:textId="523F02F1"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BP has made significant adjustments to its strategy, particularly in response to the transition and uncertainty. It has improved its efficiency and plant reliability above 95% in recent years. It has adopted technological improvements in exploration and production, such as automation and data analytics (Tharuniyaa Lakshmi, 2026). However</w:t>
      </w:r>
      <w:r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it has been inconsistent with change management. BP has said it will be sustainable, but its upstream business remains heavily dependent on fossil fuels. This is a trade-off for it to decarbonise and make profits.</w:t>
      </w:r>
    </w:p>
    <w:p w14:paraId="775FD1C5" w14:textId="106A1F4A" w:rsidR="001A46C5" w:rsidRPr="001A46C5" w:rsidRDefault="001A46C5"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The impact of change management on implementation has been mixed. Some have achieved cost efficiencies and productivity. But it has been affected by external factors, such as investor and regulatory concerns (Hansen, 2020). Operational efficiency, regulatory and sustainability requirements needed for successful implementation. Overall, BP has succeeded in operational changes, but has not kept up with upstream strategic changes in the industry.</w:t>
      </w:r>
    </w:p>
    <w:p w14:paraId="7C90D29C" w14:textId="13EBAEED" w:rsidR="009C468E" w:rsidRPr="001A46C5" w:rsidRDefault="001A46C5" w:rsidP="003A6EBB">
      <w:pPr>
        <w:pStyle w:val="Heading2"/>
        <w:rPr>
          <w:rFonts w:ascii="Arial" w:eastAsia="Times New Roman" w:hAnsi="Arial" w:cs="Arial"/>
          <w:bCs/>
          <w:lang w:eastAsia="en-GB" w:bidi="bn-IN"/>
        </w:rPr>
      </w:pPr>
      <w:bookmarkStart w:id="24" w:name="_Toc228469820"/>
      <w:r w:rsidRPr="001A46C5">
        <w:rPr>
          <w:rFonts w:ascii="Arial" w:eastAsia="Times New Roman" w:hAnsi="Arial" w:cs="Arial"/>
          <w:lang w:val="en-US" w:eastAsia="en-GB" w:bidi="bn-IN"/>
        </w:rPr>
        <w:t>7</w:t>
      </w:r>
      <w:r w:rsidR="009C468E" w:rsidRPr="001A46C5">
        <w:rPr>
          <w:rFonts w:ascii="Arial" w:eastAsia="Times New Roman" w:hAnsi="Arial" w:cs="Arial"/>
          <w:lang w:eastAsia="en-GB" w:bidi="bn-IN"/>
        </w:rPr>
        <w:t xml:space="preserve">. </w:t>
      </w:r>
      <w:r w:rsidRPr="001A46C5">
        <w:rPr>
          <w:rFonts w:ascii="Arial" w:eastAsia="Times New Roman" w:hAnsi="Arial" w:cs="Arial"/>
          <w:bCs/>
          <w:lang w:eastAsia="en-GB" w:bidi="bn-IN"/>
        </w:rPr>
        <w:t>Strategic Evaluation and Recommendations</w:t>
      </w:r>
      <w:bookmarkEnd w:id="24"/>
    </w:p>
    <w:p w14:paraId="6AC005C0" w14:textId="7F33F3DC" w:rsidR="001A46C5" w:rsidRPr="001A46C5" w:rsidRDefault="001A46C5" w:rsidP="001A46C5">
      <w:pPr>
        <w:pStyle w:val="Heading3"/>
        <w:rPr>
          <w:rFonts w:ascii="Arial" w:hAnsi="Arial" w:cs="Arial"/>
        </w:rPr>
      </w:pPr>
      <w:bookmarkStart w:id="25" w:name="_Toc228469821"/>
      <w:r w:rsidRPr="001A46C5">
        <w:rPr>
          <w:rFonts w:ascii="Arial" w:hAnsi="Arial" w:cs="Arial"/>
        </w:rPr>
        <w:t>7.1 BCG Matrix</w:t>
      </w:r>
      <w:bookmarkEnd w:id="25"/>
    </w:p>
    <w:p w14:paraId="35A7B4E0" w14:textId="77777777" w:rsidR="0094162D" w:rsidRPr="001A46C5" w:rsidRDefault="0094162D" w:rsidP="0094162D">
      <w:pPr>
        <w:keepNext/>
        <w:jc w:val="center"/>
        <w:rPr>
          <w:rFonts w:ascii="Arial" w:hAnsi="Arial" w:cs="Arial"/>
        </w:rPr>
      </w:pPr>
      <w:r w:rsidRPr="001A46C5">
        <w:rPr>
          <w:rFonts w:ascii="Arial" w:hAnsi="Arial" w:cs="Arial"/>
        </w:rPr>
        <w:fldChar w:fldCharType="begin"/>
      </w:r>
      <w:r w:rsidRPr="001A46C5">
        <w:rPr>
          <w:rFonts w:ascii="Arial" w:hAnsi="Arial" w:cs="Arial"/>
        </w:rPr>
        <w:instrText xml:space="preserve"> INCLUDEPICTURE "/Users/ijtehad/Library/Group Containers/UBF8T346G9.ms/WebArchiveCopyPasteTempFiles/com.microsoft.Word/bcg-matrix.png" \* MERGEFORMATINET </w:instrText>
      </w:r>
      <w:r w:rsidRPr="001A46C5">
        <w:rPr>
          <w:rFonts w:ascii="Arial" w:hAnsi="Arial" w:cs="Arial"/>
        </w:rPr>
        <w:fldChar w:fldCharType="separate"/>
      </w:r>
      <w:r w:rsidRPr="001A46C5">
        <w:rPr>
          <w:rFonts w:ascii="Arial" w:hAnsi="Arial" w:cs="Arial"/>
          <w:noProof/>
        </w:rPr>
        <w:drawing>
          <wp:inline distT="0" distB="0" distL="0" distR="0" wp14:anchorId="0AB54DE6" wp14:editId="27D1C65E">
            <wp:extent cx="4255986" cy="3626228"/>
            <wp:effectExtent l="0" t="0" r="0" b="6350"/>
            <wp:docPr id="2077196302" name="Picture 7" descr="BCG Matrix - Overview, Four Quadrants an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CG Matrix - Overview, Four Quadrants and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7354" cy="3652955"/>
                    </a:xfrm>
                    <a:prstGeom prst="rect">
                      <a:avLst/>
                    </a:prstGeom>
                    <a:noFill/>
                    <a:ln>
                      <a:noFill/>
                    </a:ln>
                  </pic:spPr>
                </pic:pic>
              </a:graphicData>
            </a:graphic>
          </wp:inline>
        </w:drawing>
      </w:r>
      <w:r w:rsidRPr="001A46C5">
        <w:rPr>
          <w:rFonts w:ascii="Arial" w:hAnsi="Arial" w:cs="Arial"/>
        </w:rPr>
        <w:fldChar w:fldCharType="end"/>
      </w:r>
    </w:p>
    <w:p w14:paraId="6FD16704" w14:textId="700EB465" w:rsidR="00DA32E0" w:rsidRPr="001A46C5" w:rsidRDefault="0094162D" w:rsidP="0094162D">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00927F29" w:rsidRPr="001A46C5">
        <w:rPr>
          <w:rFonts w:ascii="Arial" w:hAnsi="Arial" w:cs="Arial"/>
          <w:noProof/>
          <w:sz w:val="24"/>
          <w:szCs w:val="24"/>
        </w:rPr>
        <w:t>5</w:t>
      </w:r>
      <w:r w:rsidRPr="001A46C5">
        <w:rPr>
          <w:rFonts w:ascii="Arial" w:hAnsi="Arial" w:cs="Arial"/>
          <w:sz w:val="24"/>
          <w:szCs w:val="24"/>
        </w:rPr>
        <w:fldChar w:fldCharType="end"/>
      </w:r>
      <w:r w:rsidRPr="001A46C5">
        <w:rPr>
          <w:rFonts w:ascii="Arial" w:hAnsi="Arial" w:cs="Arial"/>
          <w:sz w:val="24"/>
          <w:szCs w:val="24"/>
          <w:lang w:val="en-US"/>
        </w:rPr>
        <w:t>: BCG Matrix</w:t>
      </w:r>
      <w:r w:rsidR="00DA32E0" w:rsidRPr="001A46C5">
        <w:rPr>
          <w:rFonts w:ascii="Arial" w:hAnsi="Arial" w:cs="Arial"/>
          <w:sz w:val="24"/>
          <w:szCs w:val="24"/>
          <w:lang w:val="en-US"/>
        </w:rPr>
        <w:t xml:space="preserve"> </w:t>
      </w:r>
    </w:p>
    <w:p w14:paraId="77508777" w14:textId="13A659D8" w:rsidR="0094162D" w:rsidRPr="001A46C5" w:rsidRDefault="00DA32E0" w:rsidP="0094162D">
      <w:pPr>
        <w:pStyle w:val="Caption"/>
        <w:jc w:val="center"/>
        <w:rPr>
          <w:rFonts w:ascii="Arial" w:hAnsi="Arial" w:cs="Arial"/>
          <w:sz w:val="24"/>
          <w:szCs w:val="24"/>
          <w:lang w:eastAsia="en-GB" w:bidi="bn-IN"/>
        </w:rPr>
      </w:pPr>
      <w:r w:rsidRPr="001A46C5">
        <w:rPr>
          <w:rFonts w:ascii="Arial" w:hAnsi="Arial" w:cs="Arial"/>
          <w:sz w:val="24"/>
          <w:szCs w:val="24"/>
          <w:lang w:val="en-US"/>
        </w:rPr>
        <w:t xml:space="preserve">Source: </w:t>
      </w:r>
      <w:r w:rsidRPr="001A46C5">
        <w:rPr>
          <w:rFonts w:ascii="Arial" w:hAnsi="Arial" w:cs="Arial"/>
          <w:sz w:val="24"/>
          <w:szCs w:val="24"/>
        </w:rPr>
        <w:t>(Hansen, 2020)</w:t>
      </w:r>
    </w:p>
    <w:p w14:paraId="5AECB391" w14:textId="77777777" w:rsidR="009C468E" w:rsidRPr="001A46C5" w:rsidRDefault="009C468E" w:rsidP="001A46C5">
      <w:pPr>
        <w:pStyle w:val="NoSpacing"/>
        <w:spacing w:line="360" w:lineRule="auto"/>
        <w:rPr>
          <w:rFonts w:ascii="Arial" w:hAnsi="Arial" w:cs="Arial"/>
          <w:b/>
          <w:bCs/>
        </w:rPr>
      </w:pPr>
      <w:r w:rsidRPr="001A46C5">
        <w:rPr>
          <w:rFonts w:ascii="Arial" w:hAnsi="Arial" w:cs="Arial"/>
          <w:b/>
          <w:bCs/>
        </w:rPr>
        <w:t>Strategic Portfolio Perspective</w:t>
      </w:r>
    </w:p>
    <w:p w14:paraId="45B1A182" w14:textId="5E8325BD" w:rsidR="009C468E" w:rsidRPr="001A46C5" w:rsidRDefault="009C468E" w:rsidP="001A46C5">
      <w:pPr>
        <w:pStyle w:val="NoSpacing"/>
        <w:spacing w:line="360" w:lineRule="auto"/>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The BCG Matrix is a useful analytical tool when analy</w:t>
      </w:r>
      <w:r w:rsidR="003A6EBB" w:rsidRPr="001A46C5">
        <w:rPr>
          <w:rFonts w:ascii="Arial" w:eastAsia="Times New Roman" w:hAnsi="Arial" w:cs="Arial"/>
          <w:color w:val="000000"/>
          <w:szCs w:val="24"/>
          <w:lang w:val="en-US" w:eastAsia="en-GB" w:bidi="bn-IN"/>
          <w14:ligatures w14:val="none"/>
        </w:rPr>
        <w:t>s</w:t>
      </w:r>
      <w:r w:rsidRPr="001A46C5">
        <w:rPr>
          <w:rFonts w:ascii="Arial" w:eastAsia="Times New Roman" w:hAnsi="Arial" w:cs="Arial"/>
          <w:color w:val="000000"/>
          <w:szCs w:val="24"/>
          <w:lang w:eastAsia="en-GB" w:bidi="bn-IN"/>
          <w14:ligatures w14:val="none"/>
        </w:rPr>
        <w:t>ing BP's diversified energy portfolio. It evaluates the business segments in the market based on the growing market and the relative market position</w:t>
      </w:r>
      <w:r w:rsidR="00185540" w:rsidRPr="001A46C5">
        <w:rPr>
          <w:rFonts w:ascii="Arial" w:eastAsia="Times New Roman" w:hAnsi="Arial" w:cs="Arial"/>
          <w:color w:val="000000"/>
          <w:szCs w:val="24"/>
          <w:lang w:val="en-US" w:eastAsia="en-GB" w:bidi="bn-IN"/>
          <w14:ligatures w14:val="none"/>
        </w:rPr>
        <w:t xml:space="preserve"> </w:t>
      </w:r>
      <w:r w:rsidR="00185540" w:rsidRPr="001A46C5">
        <w:rPr>
          <w:rFonts w:ascii="Arial" w:hAnsi="Arial" w:cs="Arial"/>
          <w:color w:val="000000"/>
        </w:rPr>
        <w:t>(Hansen, 2020)</w:t>
      </w:r>
      <w:r w:rsidRPr="001A46C5">
        <w:rPr>
          <w:rFonts w:ascii="Arial" w:eastAsia="Times New Roman" w:hAnsi="Arial" w:cs="Arial"/>
          <w:color w:val="000000"/>
          <w:szCs w:val="24"/>
          <w:lang w:eastAsia="en-GB" w:bidi="bn-IN"/>
          <w14:ligatures w14:val="none"/>
        </w:rPr>
        <w:t xml:space="preserve">. This way, one can understand which activities should be invested </w:t>
      </w:r>
      <w:proofErr w:type="spellStart"/>
      <w:r w:rsidR="003A6EBB" w:rsidRPr="001A46C5">
        <w:rPr>
          <w:rFonts w:ascii="Arial" w:eastAsia="Times New Roman" w:hAnsi="Arial" w:cs="Arial"/>
          <w:color w:val="000000"/>
          <w:szCs w:val="24"/>
          <w:lang w:val="en-US" w:eastAsia="en-GB" w:bidi="bn-IN"/>
          <w14:ligatures w14:val="none"/>
        </w:rPr>
        <w:t>i</w:t>
      </w:r>
      <w:proofErr w:type="spellEnd"/>
      <w:r w:rsidRPr="001A46C5">
        <w:rPr>
          <w:rFonts w:ascii="Arial" w:eastAsia="Times New Roman" w:hAnsi="Arial" w:cs="Arial"/>
          <w:color w:val="000000"/>
          <w:szCs w:val="24"/>
          <w:lang w:eastAsia="en-GB" w:bidi="bn-IN"/>
          <w14:ligatures w14:val="none"/>
        </w:rPr>
        <w:t xml:space="preserve">n in the future and which ones need to be restructured. In a changing energy market, portfolio analysis is relevant to </w:t>
      </w:r>
      <w:r w:rsidR="003A6EBB" w:rsidRPr="001A46C5">
        <w:rPr>
          <w:rFonts w:ascii="Arial" w:eastAsia="Times New Roman" w:hAnsi="Arial" w:cs="Arial"/>
          <w:color w:val="000000"/>
          <w:szCs w:val="24"/>
          <w:lang w:eastAsia="en-GB" w:bidi="bn-IN"/>
          <w14:ligatures w14:val="none"/>
        </w:rPr>
        <w:t>stri</w:t>
      </w:r>
      <w:r w:rsidRPr="001A46C5">
        <w:rPr>
          <w:rFonts w:ascii="Arial" w:eastAsia="Times New Roman" w:hAnsi="Arial" w:cs="Arial"/>
          <w:color w:val="000000"/>
          <w:szCs w:val="24"/>
          <w:lang w:eastAsia="en-GB" w:bidi="bn-IN"/>
          <w14:ligatures w14:val="none"/>
        </w:rPr>
        <w:t xml:space="preserve">ke a balance between short-term profitability </w:t>
      </w:r>
      <w:r w:rsidR="003A6EBB" w:rsidRPr="001A46C5">
        <w:rPr>
          <w:rFonts w:ascii="Arial" w:eastAsia="Times New Roman" w:hAnsi="Arial" w:cs="Arial"/>
          <w:color w:val="000000"/>
          <w:szCs w:val="24"/>
          <w:lang w:eastAsia="en-GB" w:bidi="bn-IN"/>
          <w14:ligatures w14:val="none"/>
        </w:rPr>
        <w:t>and</w:t>
      </w:r>
      <w:r w:rsidRPr="001A46C5">
        <w:rPr>
          <w:rFonts w:ascii="Arial" w:eastAsia="Times New Roman" w:hAnsi="Arial" w:cs="Arial"/>
          <w:color w:val="000000"/>
          <w:szCs w:val="24"/>
          <w:lang w:eastAsia="en-GB" w:bidi="bn-IN"/>
          <w14:ligatures w14:val="none"/>
        </w:rPr>
        <w:t xml:space="preserve"> long-term strategic transition.</w:t>
      </w:r>
    </w:p>
    <w:p w14:paraId="4A8DDE47" w14:textId="77777777" w:rsidR="009C468E" w:rsidRPr="001A46C5" w:rsidRDefault="009C468E" w:rsidP="001A46C5">
      <w:pPr>
        <w:pStyle w:val="NoSpacing"/>
        <w:spacing w:line="360" w:lineRule="auto"/>
        <w:rPr>
          <w:rFonts w:ascii="Arial" w:hAnsi="Arial" w:cs="Arial"/>
          <w:b/>
          <w:bCs/>
        </w:rPr>
      </w:pPr>
      <w:r w:rsidRPr="001A46C5">
        <w:rPr>
          <w:rFonts w:ascii="Arial" w:hAnsi="Arial" w:cs="Arial"/>
          <w:b/>
          <w:bCs/>
        </w:rPr>
        <w:t>Stars – Renewable Energy Projects</w:t>
      </w:r>
    </w:p>
    <w:p w14:paraId="3F9532C5" w14:textId="0E8A17E9" w:rsidR="009C468E" w:rsidRPr="001A46C5" w:rsidRDefault="009C468E" w:rsidP="001A46C5">
      <w:pPr>
        <w:pStyle w:val="NoSpacing"/>
        <w:spacing w:line="360" w:lineRule="auto"/>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The investments in renewable energy, particularly offshore wind and solar energy, can be considered as emerging "Stars" in BP's portfolio</w:t>
      </w:r>
      <w:r w:rsidR="00185540" w:rsidRPr="001A46C5">
        <w:rPr>
          <w:rFonts w:ascii="Arial" w:eastAsia="Times New Roman" w:hAnsi="Arial" w:cs="Arial"/>
          <w:color w:val="000000"/>
          <w:szCs w:val="24"/>
          <w:lang w:val="en-US" w:eastAsia="en-GB" w:bidi="bn-IN"/>
          <w14:ligatures w14:val="none"/>
        </w:rPr>
        <w:t xml:space="preserve"> </w:t>
      </w:r>
      <w:r w:rsidR="00185540" w:rsidRPr="001A46C5">
        <w:rPr>
          <w:rFonts w:ascii="Arial" w:hAnsi="Arial" w:cs="Arial"/>
          <w:color w:val="000000"/>
        </w:rPr>
        <w:t>(</w:t>
      </w:r>
      <w:proofErr w:type="spellStart"/>
      <w:r w:rsidR="00185540" w:rsidRPr="001A46C5">
        <w:rPr>
          <w:rFonts w:ascii="Arial" w:hAnsi="Arial" w:cs="Arial"/>
          <w:color w:val="000000"/>
        </w:rPr>
        <w:t>Lakshman</w:t>
      </w:r>
      <w:proofErr w:type="spellEnd"/>
      <w:r w:rsidR="00185540" w:rsidRPr="001A46C5">
        <w:rPr>
          <w:rFonts w:ascii="Arial" w:hAnsi="Arial" w:cs="Arial"/>
          <w:color w:val="000000"/>
        </w:rPr>
        <w:t xml:space="preserve">, </w:t>
      </w:r>
      <w:proofErr w:type="spellStart"/>
      <w:r w:rsidR="00185540" w:rsidRPr="001A46C5">
        <w:rPr>
          <w:rFonts w:ascii="Arial" w:hAnsi="Arial" w:cs="Arial"/>
          <w:color w:val="000000"/>
        </w:rPr>
        <w:t>Lakshman</w:t>
      </w:r>
      <w:proofErr w:type="spellEnd"/>
      <w:r w:rsidR="00185540" w:rsidRPr="001A46C5">
        <w:rPr>
          <w:rFonts w:ascii="Arial" w:hAnsi="Arial" w:cs="Arial"/>
          <w:color w:val="000000"/>
        </w:rPr>
        <w:t xml:space="preserve"> and </w:t>
      </w:r>
      <w:proofErr w:type="spellStart"/>
      <w:r w:rsidR="00185540" w:rsidRPr="001A46C5">
        <w:rPr>
          <w:rFonts w:ascii="Arial" w:hAnsi="Arial" w:cs="Arial"/>
          <w:color w:val="000000"/>
        </w:rPr>
        <w:t>Estay</w:t>
      </w:r>
      <w:proofErr w:type="spellEnd"/>
      <w:r w:rsidR="00185540" w:rsidRPr="001A46C5">
        <w:rPr>
          <w:rFonts w:ascii="Arial" w:hAnsi="Arial" w:cs="Arial"/>
          <w:color w:val="000000"/>
        </w:rPr>
        <w:t>, 2017)</w:t>
      </w:r>
      <w:r w:rsidRPr="001A46C5">
        <w:rPr>
          <w:rFonts w:ascii="Arial" w:eastAsia="Times New Roman" w:hAnsi="Arial" w:cs="Arial"/>
          <w:color w:val="000000"/>
          <w:szCs w:val="24"/>
          <w:lang w:eastAsia="en-GB" w:bidi="bn-IN"/>
          <w14:ligatures w14:val="none"/>
        </w:rPr>
        <w:t xml:space="preserve">. These sectors have </w:t>
      </w:r>
      <w:r w:rsidR="003A6EBB" w:rsidRPr="001A46C5">
        <w:rPr>
          <w:rFonts w:ascii="Arial" w:eastAsia="Times New Roman" w:hAnsi="Arial" w:cs="Arial"/>
          <w:color w:val="000000"/>
          <w:szCs w:val="24"/>
          <w:lang w:eastAsia="en-GB" w:bidi="bn-IN"/>
          <w14:ligatures w14:val="none"/>
        </w:rPr>
        <w:t>experienced</w:t>
      </w:r>
      <w:r w:rsidRPr="001A46C5">
        <w:rPr>
          <w:rFonts w:ascii="Arial" w:eastAsia="Times New Roman" w:hAnsi="Arial" w:cs="Arial"/>
          <w:color w:val="000000"/>
          <w:szCs w:val="24"/>
          <w:lang w:eastAsia="en-GB" w:bidi="bn-IN"/>
          <w14:ligatures w14:val="none"/>
        </w:rPr>
        <w:t xml:space="preserve"> rapid growth in the market due to the increasing demand for clean energy in the world. Strategic investment in these areas allows BP to strengthen its position in growth low</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carbon energy markets.</w:t>
      </w:r>
    </w:p>
    <w:p w14:paraId="59C97566" w14:textId="76F6FEBD" w:rsidR="009C468E" w:rsidRPr="001A46C5" w:rsidRDefault="009C468E" w:rsidP="001A46C5">
      <w:pPr>
        <w:pStyle w:val="NoSpacing"/>
        <w:spacing w:line="360" w:lineRule="auto"/>
        <w:rPr>
          <w:rFonts w:ascii="Arial" w:hAnsi="Arial" w:cs="Arial"/>
          <w:b/>
          <w:bCs/>
        </w:rPr>
      </w:pPr>
      <w:r w:rsidRPr="001A46C5">
        <w:rPr>
          <w:rFonts w:ascii="Arial" w:hAnsi="Arial" w:cs="Arial"/>
          <w:b/>
          <w:bCs/>
        </w:rPr>
        <w:t>Cash Cows – Oil Operations</w:t>
      </w:r>
    </w:p>
    <w:p w14:paraId="20A9AEFC" w14:textId="7C978826" w:rsidR="009C468E" w:rsidRPr="001A46C5" w:rsidRDefault="009C468E" w:rsidP="001A46C5">
      <w:pPr>
        <w:pStyle w:val="NoSpacing"/>
        <w:spacing w:line="360" w:lineRule="auto"/>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Traditional oil operations remain BP's primary "Cash Cows." These activities yield high revenue and help in the financial stability of the company</w:t>
      </w:r>
      <w:r w:rsidR="00185540" w:rsidRPr="001A46C5">
        <w:rPr>
          <w:rFonts w:ascii="Arial" w:eastAsia="Times New Roman" w:hAnsi="Arial" w:cs="Arial"/>
          <w:color w:val="000000"/>
          <w:szCs w:val="24"/>
          <w:lang w:val="en-US" w:eastAsia="en-GB" w:bidi="bn-IN"/>
          <w14:ligatures w14:val="none"/>
        </w:rPr>
        <w:t xml:space="preserve"> </w:t>
      </w:r>
      <w:r w:rsidR="00185540" w:rsidRPr="001A46C5">
        <w:rPr>
          <w:rFonts w:ascii="Arial" w:hAnsi="Arial" w:cs="Arial"/>
          <w:color w:val="000000"/>
        </w:rPr>
        <w:t>(Sen, 2024)</w:t>
      </w:r>
      <w:r w:rsidRPr="001A46C5">
        <w:rPr>
          <w:rFonts w:ascii="Arial" w:eastAsia="Times New Roman" w:hAnsi="Arial" w:cs="Arial"/>
          <w:color w:val="000000"/>
          <w:szCs w:val="24"/>
          <w:lang w:eastAsia="en-GB" w:bidi="bn-IN"/>
          <w14:ligatures w14:val="none"/>
        </w:rPr>
        <w:t>. Profits from mature fossil fuels are used to invest in renewable energy and strategic transformation programs.</w:t>
      </w:r>
    </w:p>
    <w:p w14:paraId="28AAC6BA" w14:textId="77777777" w:rsidR="009C468E" w:rsidRPr="001A46C5" w:rsidRDefault="009C468E" w:rsidP="001A46C5">
      <w:pPr>
        <w:pStyle w:val="NoSpacing"/>
        <w:spacing w:line="360" w:lineRule="auto"/>
        <w:rPr>
          <w:rFonts w:ascii="Arial" w:hAnsi="Arial" w:cs="Arial"/>
          <w:b/>
          <w:bCs/>
        </w:rPr>
      </w:pPr>
      <w:r w:rsidRPr="001A46C5">
        <w:rPr>
          <w:rFonts w:ascii="Arial" w:hAnsi="Arial" w:cs="Arial"/>
          <w:b/>
          <w:bCs/>
        </w:rPr>
        <w:t>Question Marks and Dogs</w:t>
      </w:r>
    </w:p>
    <w:p w14:paraId="3A96847E" w14:textId="08B21B30" w:rsidR="009C468E" w:rsidRPr="001A46C5" w:rsidRDefault="009C468E" w:rsidP="001A46C5">
      <w:pPr>
        <w:pStyle w:val="NoSpacing"/>
        <w:spacing w:line="360" w:lineRule="auto"/>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Emerging low-carbon technologies, like hydrogen and carbon capture</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are "Question Marks." These are areas that need high investment</w:t>
      </w:r>
      <w:r w:rsidR="003A6EBB" w:rsidRPr="001A46C5">
        <w:rPr>
          <w:rFonts w:ascii="Arial" w:eastAsia="Times New Roman" w:hAnsi="Arial" w:cs="Arial"/>
          <w:color w:val="000000"/>
          <w:szCs w:val="24"/>
          <w:lang w:val="en-US" w:eastAsia="en-GB" w:bidi="bn-IN"/>
          <w14:ligatures w14:val="none"/>
        </w:rPr>
        <w:t>,</w:t>
      </w:r>
      <w:r w:rsidRPr="001A46C5">
        <w:rPr>
          <w:rFonts w:ascii="Arial" w:eastAsia="Times New Roman" w:hAnsi="Arial" w:cs="Arial"/>
          <w:color w:val="000000"/>
          <w:szCs w:val="24"/>
          <w:lang w:eastAsia="en-GB" w:bidi="bn-IN"/>
          <w14:ligatures w14:val="none"/>
        </w:rPr>
        <w:t xml:space="preserve"> and the future of the market position </w:t>
      </w:r>
      <w:r w:rsidR="003A6EBB" w:rsidRPr="001A46C5">
        <w:rPr>
          <w:rFonts w:ascii="Arial" w:eastAsia="Times New Roman" w:hAnsi="Arial" w:cs="Arial"/>
          <w:color w:val="000000"/>
          <w:szCs w:val="24"/>
          <w:lang w:eastAsia="en-GB" w:bidi="bn-IN"/>
          <w14:ligatures w14:val="none"/>
        </w:rPr>
        <w:t>is</w:t>
      </w:r>
      <w:r w:rsidRPr="001A46C5">
        <w:rPr>
          <w:rFonts w:ascii="Arial" w:eastAsia="Times New Roman" w:hAnsi="Arial" w:cs="Arial"/>
          <w:color w:val="000000"/>
          <w:szCs w:val="24"/>
          <w:lang w:eastAsia="en-GB" w:bidi="bn-IN"/>
          <w14:ligatures w14:val="none"/>
        </w:rPr>
        <w:t xml:space="preserve"> in doubt</w:t>
      </w:r>
      <w:r w:rsidR="00185540" w:rsidRPr="001A46C5">
        <w:rPr>
          <w:rFonts w:ascii="Arial" w:eastAsia="Times New Roman" w:hAnsi="Arial" w:cs="Arial"/>
          <w:color w:val="000000"/>
          <w:szCs w:val="24"/>
          <w:lang w:val="en-US" w:eastAsia="en-GB" w:bidi="bn-IN"/>
          <w14:ligatures w14:val="none"/>
        </w:rPr>
        <w:t xml:space="preserve"> </w:t>
      </w:r>
      <w:r w:rsidR="00185540" w:rsidRPr="001A46C5">
        <w:rPr>
          <w:rFonts w:ascii="Arial" w:hAnsi="Arial" w:cs="Arial"/>
          <w:color w:val="000000"/>
        </w:rPr>
        <w:t>(Sen, 2024)</w:t>
      </w:r>
      <w:r w:rsidRPr="001A46C5">
        <w:rPr>
          <w:rFonts w:ascii="Arial" w:eastAsia="Times New Roman" w:hAnsi="Arial" w:cs="Arial"/>
          <w:color w:val="000000"/>
          <w:szCs w:val="24"/>
          <w:lang w:eastAsia="en-GB" w:bidi="bn-IN"/>
          <w14:ligatures w14:val="none"/>
        </w:rPr>
        <w:t xml:space="preserve">. By opposition, certain of the declining fossil fuel assets could bit by bit become "Dogs." Portfolio analysis is therefore useful to BP in deciding which investments to </w:t>
      </w:r>
      <w:r w:rsidR="003A6EBB" w:rsidRPr="001A46C5">
        <w:rPr>
          <w:rFonts w:ascii="Arial" w:eastAsia="Times New Roman" w:hAnsi="Arial" w:cs="Arial"/>
          <w:color w:val="000000"/>
          <w:szCs w:val="24"/>
          <w:lang w:eastAsia="en-GB" w:bidi="bn-IN"/>
          <w14:ligatures w14:val="none"/>
        </w:rPr>
        <w:t>prioritise</w:t>
      </w:r>
      <w:r w:rsidRPr="001A46C5">
        <w:rPr>
          <w:rFonts w:ascii="Arial" w:eastAsia="Times New Roman" w:hAnsi="Arial" w:cs="Arial"/>
          <w:color w:val="000000"/>
          <w:szCs w:val="24"/>
          <w:lang w:eastAsia="en-GB" w:bidi="bn-IN"/>
          <w14:ligatures w14:val="none"/>
        </w:rPr>
        <w:t xml:space="preserve"> and allocate resources to sustainable energy opportunities.</w:t>
      </w:r>
    </w:p>
    <w:p w14:paraId="1C8E4CD5" w14:textId="77777777" w:rsidR="001A46C5" w:rsidRPr="001A46C5" w:rsidRDefault="001A46C5" w:rsidP="009C468E">
      <w:pPr>
        <w:rPr>
          <w:rFonts w:ascii="Arial" w:eastAsia="Times New Roman" w:hAnsi="Arial" w:cs="Arial"/>
          <w:color w:val="000000"/>
          <w:szCs w:val="24"/>
          <w:lang w:eastAsia="en-GB" w:bidi="bn-IN"/>
          <w14:ligatures w14:val="none"/>
        </w:rPr>
      </w:pPr>
    </w:p>
    <w:p w14:paraId="36CD8D7A" w14:textId="25186281" w:rsidR="001A46C5" w:rsidRPr="001A46C5" w:rsidRDefault="001A46C5" w:rsidP="001A46C5">
      <w:pPr>
        <w:pStyle w:val="Heading3"/>
        <w:rPr>
          <w:rFonts w:ascii="Arial" w:hAnsi="Arial" w:cs="Arial"/>
        </w:rPr>
      </w:pPr>
      <w:bookmarkStart w:id="26" w:name="_Toc228469822"/>
      <w:r w:rsidRPr="001A46C5">
        <w:rPr>
          <w:rFonts w:ascii="Arial" w:hAnsi="Arial" w:cs="Arial"/>
          <w:lang w:val="en-US"/>
        </w:rPr>
        <w:t xml:space="preserve">7.2 </w:t>
      </w:r>
      <w:r w:rsidRPr="001A46C5">
        <w:rPr>
          <w:rFonts w:ascii="Arial" w:hAnsi="Arial" w:cs="Arial"/>
        </w:rPr>
        <w:t>Critical Evaluation of Current Strategy</w:t>
      </w:r>
      <w:bookmarkEnd w:id="26"/>
    </w:p>
    <w:p w14:paraId="0F780ABE" w14:textId="7737A095"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BP's upstream strategy is to maintain production and improve efficiency. This approach provides for efficiency and profitability, but also neglects longer-term industry dynamics. Its fossil-fuel production exposes it to regulatory and product life cycle risks. Finally, ensuring little differentiation in upstream activities protects against downstream advantage because of the large number of firms a cost leadership strategy.</w:t>
      </w:r>
      <w:r w:rsidRPr="001A46C5">
        <w:rPr>
          <w:rFonts w:ascii="Arial" w:eastAsia="Times New Roman" w:hAnsi="Arial" w:cs="Arial"/>
          <w:color w:val="000000"/>
          <w:szCs w:val="24"/>
          <w:lang w:val="en-US" w:eastAsia="en-GB" w:bidi="bn-IN"/>
          <w14:ligatures w14:val="none"/>
        </w:rPr>
        <w:t xml:space="preserve"> </w:t>
      </w:r>
      <w:r w:rsidRPr="001A46C5">
        <w:rPr>
          <w:rFonts w:ascii="Arial" w:eastAsia="Times New Roman" w:hAnsi="Arial" w:cs="Arial"/>
          <w:color w:val="000000"/>
          <w:szCs w:val="24"/>
          <w:lang w:eastAsia="en-GB" w:bidi="bn-IN"/>
          <w14:ligatures w14:val="none"/>
        </w:rPr>
        <w:t>In his generic strategies, Porter suggests cost leadership can be advantageous in commodity industries. However, to sustain advantage, there is a need to continue to manage costs and drive efficiencies. This is what BP has done, but it's limited by other factors.</w:t>
      </w:r>
    </w:p>
    <w:p w14:paraId="0B40D971" w14:textId="49775E78" w:rsidR="001A46C5" w:rsidRPr="001A46C5" w:rsidRDefault="001A46C5" w:rsidP="001A46C5">
      <w:pPr>
        <w:pStyle w:val="Heading3"/>
        <w:rPr>
          <w:rFonts w:ascii="Arial" w:hAnsi="Arial" w:cs="Arial"/>
        </w:rPr>
      </w:pPr>
      <w:bookmarkStart w:id="27" w:name="_Toc228469823"/>
      <w:r w:rsidRPr="001A46C5">
        <w:rPr>
          <w:rFonts w:ascii="Arial" w:hAnsi="Arial" w:cs="Arial"/>
          <w:lang w:val="en-US"/>
        </w:rPr>
        <w:t xml:space="preserve">7.3 </w:t>
      </w:r>
      <w:r w:rsidRPr="001A46C5">
        <w:rPr>
          <w:rFonts w:ascii="Arial" w:hAnsi="Arial" w:cs="Arial"/>
        </w:rPr>
        <w:t>Strategic Recommendations</w:t>
      </w:r>
      <w:bookmarkEnd w:id="27"/>
    </w:p>
    <w:p w14:paraId="51E2834A" w14:textId="77777777" w:rsidR="001A46C5" w:rsidRPr="001A46C5" w:rsidRDefault="001A46C5" w:rsidP="001A46C5">
      <w:pPr>
        <w:rPr>
          <w:rFonts w:ascii="Arial" w:eastAsia="Times New Roman" w:hAnsi="Arial" w:cs="Arial"/>
          <w:b/>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 xml:space="preserve">Strengthen Cost Efficiency: </w:t>
      </w:r>
      <w:r w:rsidRPr="001A46C5">
        <w:rPr>
          <w:rFonts w:ascii="Arial" w:eastAsia="Times New Roman" w:hAnsi="Arial" w:cs="Arial"/>
          <w:color w:val="000000"/>
          <w:szCs w:val="24"/>
          <w:lang w:eastAsia="en-GB" w:bidi="bn-IN"/>
          <w14:ligatures w14:val="none"/>
        </w:rPr>
        <w:t>BP should continue to enhance cost efficiency through production efficiency measures to reduce costs. New technology, such as automation, predictive maintenance and digital oilfield, are a part of this. This will allow BP to remain profitable in a low oil price environment.</w:t>
      </w:r>
    </w:p>
    <w:p w14:paraId="79D39368" w14:textId="77777777" w:rsidR="001A46C5" w:rsidRPr="001A46C5" w:rsidRDefault="001A46C5" w:rsidP="001A46C5">
      <w:pPr>
        <w:rPr>
          <w:rFonts w:ascii="Arial" w:eastAsia="Times New Roman" w:hAnsi="Arial" w:cs="Arial"/>
          <w:b/>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 xml:space="preserve">Focus on High-Value Assets: </w:t>
      </w:r>
      <w:r w:rsidRPr="001A46C5">
        <w:rPr>
          <w:rFonts w:ascii="Arial" w:eastAsia="Times New Roman" w:hAnsi="Arial" w:cs="Arial"/>
          <w:color w:val="000000"/>
          <w:szCs w:val="24"/>
          <w:lang w:eastAsia="en-GB" w:bidi="bn-IN"/>
          <w14:ligatures w14:val="none"/>
        </w:rPr>
        <w:t>BP should expand high value oil fields and refurbishing or divesting low value assets. This is in line with asset management where the portfolio strategy is to invest in assets with required return on investment. Prioritising high-value assets will boost profits and decline losses from low value assets.</w:t>
      </w:r>
    </w:p>
    <w:p w14:paraId="44CB01B4" w14:textId="77777777" w:rsidR="001A46C5" w:rsidRPr="001A46C5" w:rsidRDefault="001A46C5" w:rsidP="001A46C5">
      <w:pPr>
        <w:rPr>
          <w:rFonts w:ascii="Arial" w:eastAsia="Times New Roman" w:hAnsi="Arial" w:cs="Arial"/>
          <w:b/>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 xml:space="preserve">Enhance Risk Management: </w:t>
      </w:r>
      <w:r w:rsidRPr="001A46C5">
        <w:rPr>
          <w:rFonts w:ascii="Arial" w:eastAsia="Times New Roman" w:hAnsi="Arial" w:cs="Arial"/>
          <w:color w:val="000000"/>
          <w:szCs w:val="24"/>
          <w:lang w:eastAsia="en-GB" w:bidi="bn-IN"/>
          <w14:ligatures w14:val="none"/>
        </w:rPr>
        <w:t>BP can improve its geopolitical and regulatory risk management by diversifying into several regions which it can manage the risks. This helps to avoid political/regulatory risks. steadily increases production and revenues.</w:t>
      </w:r>
    </w:p>
    <w:p w14:paraId="3B0D3912" w14:textId="77777777" w:rsidR="001A46C5" w:rsidRPr="001A46C5" w:rsidRDefault="001A46C5" w:rsidP="001A46C5">
      <w:pPr>
        <w:rPr>
          <w:rFonts w:ascii="Arial" w:eastAsia="Times New Roman" w:hAnsi="Arial" w:cs="Arial"/>
          <w:b/>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 xml:space="preserve">Integrate Sustainability into Upstream Operations: </w:t>
      </w:r>
      <w:r w:rsidRPr="001A46C5">
        <w:rPr>
          <w:rFonts w:ascii="Arial" w:eastAsia="Times New Roman" w:hAnsi="Arial" w:cs="Arial"/>
          <w:color w:val="000000"/>
          <w:szCs w:val="24"/>
          <w:lang w:eastAsia="en-GB" w:bidi="bn-IN"/>
          <w14:ligatures w14:val="none"/>
        </w:rPr>
        <w:t>Upstream activities are carbon-intensive, but BP needs to work toward carbon-cutting technology, such as methane recovery and carbon management. This will help in regulatory and ESG rating. Upstream must be sustainable for resilience</w:t>
      </w:r>
    </w:p>
    <w:p w14:paraId="1C361152" w14:textId="055349D9" w:rsidR="001A46C5" w:rsidRPr="001A46C5" w:rsidRDefault="001A46C5" w:rsidP="001A46C5">
      <w:pPr>
        <w:rPr>
          <w:rFonts w:ascii="Arial" w:eastAsia="Times New Roman" w:hAnsi="Arial" w:cs="Arial"/>
          <w:color w:val="000000"/>
          <w:szCs w:val="24"/>
          <w:lang w:eastAsia="en-GB" w:bidi="bn-IN"/>
          <w14:ligatures w14:val="none"/>
        </w:rPr>
      </w:pPr>
      <w:r w:rsidRPr="001A46C5">
        <w:rPr>
          <w:rFonts w:ascii="Arial" w:eastAsia="Times New Roman" w:hAnsi="Arial" w:cs="Arial"/>
          <w:b/>
          <w:color w:val="000000"/>
          <w:szCs w:val="24"/>
          <w:lang w:eastAsia="en-GB" w:bidi="bn-IN"/>
          <w14:ligatures w14:val="none"/>
        </w:rPr>
        <w:t xml:space="preserve">Invest in Technological Differentiation: </w:t>
      </w:r>
      <w:r w:rsidRPr="001A46C5">
        <w:rPr>
          <w:rFonts w:ascii="Arial" w:eastAsia="Times New Roman" w:hAnsi="Arial" w:cs="Arial"/>
          <w:color w:val="000000"/>
          <w:szCs w:val="24"/>
          <w:lang w:eastAsia="en-GB" w:bidi="bn-IN"/>
          <w14:ligatures w14:val="none"/>
        </w:rPr>
        <w:t>BP needs to invest in exploration and drilling technology for differentiation. While cost leadership is critical, technology differentiation helps increase efficiency and sustainability. This is effective because it is consistent with the resource based view of the firm, which holds that uniqueness of resources of the firm provides competitive advantage.</w:t>
      </w:r>
    </w:p>
    <w:p w14:paraId="5A7139B1" w14:textId="77777777" w:rsidR="001A46C5" w:rsidRPr="001A46C5" w:rsidRDefault="001A46C5" w:rsidP="009C468E">
      <w:pPr>
        <w:rPr>
          <w:rFonts w:ascii="Arial" w:eastAsia="Times New Roman" w:hAnsi="Arial" w:cs="Arial"/>
          <w:color w:val="000000"/>
          <w:szCs w:val="24"/>
          <w:lang w:eastAsia="en-GB" w:bidi="bn-IN"/>
          <w14:ligatures w14:val="none"/>
        </w:rPr>
      </w:pPr>
    </w:p>
    <w:p w14:paraId="47E0C244" w14:textId="77777777" w:rsidR="009C468E" w:rsidRPr="001A46C5" w:rsidRDefault="009C468E" w:rsidP="003A6EBB">
      <w:pPr>
        <w:pStyle w:val="Heading1"/>
        <w:rPr>
          <w:rFonts w:ascii="Arial" w:eastAsia="Times New Roman" w:hAnsi="Arial" w:cs="Arial"/>
          <w:lang w:eastAsia="en-GB" w:bidi="bn-IN"/>
        </w:rPr>
      </w:pPr>
      <w:bookmarkStart w:id="28" w:name="_Toc228469824"/>
      <w:r w:rsidRPr="001A46C5">
        <w:rPr>
          <w:rFonts w:ascii="Arial" w:eastAsia="Times New Roman" w:hAnsi="Arial" w:cs="Arial"/>
          <w:lang w:eastAsia="en-GB" w:bidi="bn-IN"/>
        </w:rPr>
        <w:t>Section 2 - Reflective Account</w:t>
      </w:r>
      <w:bookmarkEnd w:id="28"/>
    </w:p>
    <w:p w14:paraId="14898A2A" w14:textId="75668246" w:rsidR="009C468E" w:rsidRPr="001A46C5" w:rsidRDefault="009C468E" w:rsidP="009C468E">
      <w:pPr>
        <w:rPr>
          <w:rFonts w:ascii="Arial" w:eastAsia="Times New Roman" w:hAnsi="Arial" w:cs="Arial"/>
          <w:color w:val="000000"/>
          <w:szCs w:val="24"/>
          <w:lang w:eastAsia="en-GB" w:bidi="bn-IN"/>
          <w14:ligatures w14:val="none"/>
        </w:rPr>
      </w:pPr>
      <w:r w:rsidRPr="001A46C5">
        <w:rPr>
          <w:rFonts w:ascii="Arial" w:eastAsia="Times New Roman" w:hAnsi="Arial" w:cs="Arial"/>
          <w:color w:val="000000"/>
          <w:szCs w:val="24"/>
          <w:lang w:eastAsia="en-GB" w:bidi="bn-IN"/>
          <w14:ligatures w14:val="none"/>
        </w:rPr>
        <w:t xml:space="preserve">This reflective section uses Kolb's cycle of reflective practice, which focuses on the elements of experience, reflection, conceptual understanding and future application. The framework allows </w:t>
      </w:r>
      <w:r w:rsidR="003A6EBB" w:rsidRPr="001A46C5">
        <w:rPr>
          <w:rFonts w:ascii="Arial" w:eastAsia="Times New Roman" w:hAnsi="Arial" w:cs="Arial"/>
          <w:color w:val="000000"/>
          <w:szCs w:val="24"/>
          <w:lang w:val="en-US" w:eastAsia="en-GB" w:bidi="bn-IN"/>
          <w14:ligatures w14:val="none"/>
        </w:rPr>
        <w:t xml:space="preserve">a </w:t>
      </w:r>
      <w:r w:rsidRPr="001A46C5">
        <w:rPr>
          <w:rFonts w:ascii="Arial" w:eastAsia="Times New Roman" w:hAnsi="Arial" w:cs="Arial"/>
          <w:color w:val="000000"/>
          <w:szCs w:val="24"/>
          <w:lang w:eastAsia="en-GB" w:bidi="bn-IN"/>
          <w14:ligatures w14:val="none"/>
        </w:rPr>
        <w:t>critical assessment of the learning process involved in analysing BP's strategic position inside the world energy industry.</w:t>
      </w:r>
    </w:p>
    <w:p w14:paraId="02A8BF6A" w14:textId="77777777" w:rsidR="0094162D" w:rsidRPr="001A46C5" w:rsidRDefault="0094162D" w:rsidP="0094162D">
      <w:pPr>
        <w:keepNext/>
        <w:jc w:val="center"/>
        <w:rPr>
          <w:rFonts w:ascii="Arial" w:hAnsi="Arial" w:cs="Arial"/>
        </w:rPr>
      </w:pPr>
      <w:r w:rsidRPr="001A46C5">
        <w:rPr>
          <w:rFonts w:ascii="Arial" w:hAnsi="Arial" w:cs="Arial"/>
        </w:rPr>
        <w:fldChar w:fldCharType="begin"/>
      </w:r>
      <w:r w:rsidRPr="001A46C5">
        <w:rPr>
          <w:rFonts w:ascii="Arial" w:hAnsi="Arial" w:cs="Arial"/>
        </w:rPr>
        <w:instrText xml:space="preserve"> INCLUDEPICTURE "/Users/ijtehad/Library/Group Containers/UBF8T346G9.ms/WebArchiveCopyPasteTempFiles/com.microsoft.Word/Kolb-Learning-Cycle-1-1024x1024.png" \* MERGEFORMATINET </w:instrText>
      </w:r>
      <w:r w:rsidRPr="001A46C5">
        <w:rPr>
          <w:rFonts w:ascii="Arial" w:hAnsi="Arial" w:cs="Arial"/>
        </w:rPr>
        <w:fldChar w:fldCharType="separate"/>
      </w:r>
      <w:r w:rsidRPr="001A46C5">
        <w:rPr>
          <w:rFonts w:ascii="Arial" w:hAnsi="Arial" w:cs="Arial"/>
          <w:noProof/>
        </w:rPr>
        <w:drawing>
          <wp:inline distT="0" distB="0" distL="0" distR="0" wp14:anchorId="7DEC3DAA" wp14:editId="1ABC6880">
            <wp:extent cx="2609850" cy="2609850"/>
            <wp:effectExtent l="0" t="0" r="6350" b="6350"/>
            <wp:docPr id="1605710793" name="Picture 8" descr="David Kolb's Learning Styles and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avid Kolb's Learning Styles and Experiential Learning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8044" cy="2628044"/>
                    </a:xfrm>
                    <a:prstGeom prst="rect">
                      <a:avLst/>
                    </a:prstGeom>
                    <a:noFill/>
                    <a:ln>
                      <a:noFill/>
                    </a:ln>
                  </pic:spPr>
                </pic:pic>
              </a:graphicData>
            </a:graphic>
          </wp:inline>
        </w:drawing>
      </w:r>
      <w:r w:rsidRPr="001A46C5">
        <w:rPr>
          <w:rFonts w:ascii="Arial" w:hAnsi="Arial" w:cs="Arial"/>
        </w:rPr>
        <w:fldChar w:fldCharType="end"/>
      </w:r>
    </w:p>
    <w:p w14:paraId="213C69A6" w14:textId="763CF963" w:rsidR="00A855FB" w:rsidRPr="001A46C5" w:rsidRDefault="0094162D" w:rsidP="0094162D">
      <w:pPr>
        <w:pStyle w:val="Caption"/>
        <w:jc w:val="center"/>
        <w:rPr>
          <w:rFonts w:ascii="Arial" w:hAnsi="Arial" w:cs="Arial"/>
          <w:sz w:val="24"/>
          <w:szCs w:val="24"/>
          <w:lang w:val="en-US"/>
        </w:rPr>
      </w:pPr>
      <w:r w:rsidRPr="001A46C5">
        <w:rPr>
          <w:rFonts w:ascii="Arial" w:hAnsi="Arial" w:cs="Arial"/>
          <w:sz w:val="24"/>
          <w:szCs w:val="24"/>
        </w:rPr>
        <w:t xml:space="preserve">Figure </w:t>
      </w:r>
      <w:r w:rsidRPr="001A46C5">
        <w:rPr>
          <w:rFonts w:ascii="Arial" w:hAnsi="Arial" w:cs="Arial"/>
          <w:sz w:val="24"/>
          <w:szCs w:val="24"/>
        </w:rPr>
        <w:fldChar w:fldCharType="begin"/>
      </w:r>
      <w:r w:rsidRPr="001A46C5">
        <w:rPr>
          <w:rFonts w:ascii="Arial" w:hAnsi="Arial" w:cs="Arial"/>
          <w:sz w:val="24"/>
          <w:szCs w:val="24"/>
        </w:rPr>
        <w:instrText xml:space="preserve"> SEQ Figure \* ARABIC </w:instrText>
      </w:r>
      <w:r w:rsidRPr="001A46C5">
        <w:rPr>
          <w:rFonts w:ascii="Arial" w:hAnsi="Arial" w:cs="Arial"/>
          <w:sz w:val="24"/>
          <w:szCs w:val="24"/>
        </w:rPr>
        <w:fldChar w:fldCharType="separate"/>
      </w:r>
      <w:r w:rsidR="00927F29" w:rsidRPr="001A46C5">
        <w:rPr>
          <w:rFonts w:ascii="Arial" w:hAnsi="Arial" w:cs="Arial"/>
          <w:noProof/>
          <w:sz w:val="24"/>
          <w:szCs w:val="24"/>
        </w:rPr>
        <w:t>6</w:t>
      </w:r>
      <w:r w:rsidRPr="001A46C5">
        <w:rPr>
          <w:rFonts w:ascii="Arial" w:hAnsi="Arial" w:cs="Arial"/>
          <w:sz w:val="24"/>
          <w:szCs w:val="24"/>
        </w:rPr>
        <w:fldChar w:fldCharType="end"/>
      </w:r>
      <w:r w:rsidRPr="001A46C5">
        <w:rPr>
          <w:rFonts w:ascii="Arial" w:hAnsi="Arial" w:cs="Arial"/>
          <w:sz w:val="24"/>
          <w:szCs w:val="24"/>
          <w:lang w:val="en-US"/>
        </w:rPr>
        <w:t>: Kolb's cycle of reflective practice</w:t>
      </w:r>
      <w:r w:rsidR="00A855FB" w:rsidRPr="001A46C5">
        <w:rPr>
          <w:rFonts w:ascii="Arial" w:hAnsi="Arial" w:cs="Arial"/>
          <w:sz w:val="24"/>
          <w:szCs w:val="24"/>
          <w:lang w:val="en-US"/>
        </w:rPr>
        <w:t xml:space="preserve"> </w:t>
      </w:r>
    </w:p>
    <w:p w14:paraId="39EBCC73" w14:textId="4E229F0C" w:rsidR="0094162D" w:rsidRPr="001A46C5" w:rsidRDefault="00A855FB" w:rsidP="0094162D">
      <w:pPr>
        <w:pStyle w:val="Caption"/>
        <w:jc w:val="center"/>
        <w:rPr>
          <w:rFonts w:ascii="Arial" w:eastAsia="Times New Roman" w:hAnsi="Arial" w:cs="Arial"/>
          <w:color w:val="000000"/>
          <w:sz w:val="24"/>
          <w:szCs w:val="24"/>
          <w:lang w:eastAsia="en-GB" w:bidi="bn-IN"/>
          <w14:ligatures w14:val="none"/>
        </w:rPr>
      </w:pPr>
      <w:r w:rsidRPr="001A46C5">
        <w:rPr>
          <w:rFonts w:ascii="Arial" w:hAnsi="Arial" w:cs="Arial"/>
          <w:sz w:val="24"/>
          <w:szCs w:val="24"/>
          <w:lang w:val="en-US"/>
        </w:rPr>
        <w:t xml:space="preserve">Source: </w:t>
      </w:r>
      <w:r w:rsidRPr="001A46C5">
        <w:rPr>
          <w:rFonts w:ascii="Arial" w:hAnsi="Arial" w:cs="Arial"/>
          <w:sz w:val="24"/>
          <w:szCs w:val="24"/>
        </w:rPr>
        <w:t xml:space="preserve">(Barker, </w:t>
      </w:r>
      <w:proofErr w:type="spellStart"/>
      <w:r w:rsidRPr="001A46C5">
        <w:rPr>
          <w:rFonts w:ascii="Arial" w:hAnsi="Arial" w:cs="Arial"/>
          <w:sz w:val="24"/>
          <w:szCs w:val="24"/>
        </w:rPr>
        <w:t>Lencucha</w:t>
      </w:r>
      <w:proofErr w:type="spellEnd"/>
      <w:r w:rsidRPr="001A46C5">
        <w:rPr>
          <w:rFonts w:ascii="Arial" w:hAnsi="Arial" w:cs="Arial"/>
          <w:sz w:val="24"/>
          <w:szCs w:val="24"/>
        </w:rPr>
        <w:t xml:space="preserve"> and Anderson, 2016)</w:t>
      </w:r>
    </w:p>
    <w:p w14:paraId="7B863077" w14:textId="77777777" w:rsidR="009C468E" w:rsidRPr="001A46C5" w:rsidRDefault="009C468E" w:rsidP="003A6EBB">
      <w:pPr>
        <w:pStyle w:val="Heading2"/>
        <w:rPr>
          <w:rFonts w:ascii="Arial" w:eastAsia="Times New Roman" w:hAnsi="Arial" w:cs="Arial"/>
          <w:lang w:eastAsia="en-GB" w:bidi="bn-IN"/>
        </w:rPr>
      </w:pPr>
      <w:bookmarkStart w:id="29" w:name="_Toc228469825"/>
      <w:r w:rsidRPr="001A46C5">
        <w:rPr>
          <w:rFonts w:ascii="Arial" w:eastAsia="Times New Roman" w:hAnsi="Arial" w:cs="Arial"/>
          <w:lang w:eastAsia="en-GB" w:bidi="bn-IN"/>
        </w:rPr>
        <w:t>Concrete Experience</w:t>
      </w:r>
      <w:bookmarkEnd w:id="29"/>
    </w:p>
    <w:p w14:paraId="6655E985" w14:textId="7A2DCD59" w:rsidR="009C468E" w:rsidRPr="001A46C5" w:rsidRDefault="00442E13" w:rsidP="009C468E">
      <w:pPr>
        <w:rPr>
          <w:rFonts w:ascii="Arial" w:eastAsia="Times New Roman" w:hAnsi="Arial" w:cs="Arial"/>
          <w:color w:val="000000"/>
          <w:szCs w:val="24"/>
          <w:lang w:eastAsia="en-GB" w:bidi="bn-IN"/>
          <w14:ligatures w14:val="none"/>
        </w:rPr>
      </w:pPr>
      <w:r w:rsidRPr="00442E13">
        <w:rPr>
          <w:rFonts w:ascii="Arial" w:eastAsia="Times New Roman" w:hAnsi="Arial" w:cs="Arial"/>
          <w:color w:val="000000"/>
          <w:szCs w:val="24"/>
          <w:lang w:eastAsia="en-GB" w:bidi="bn-IN"/>
          <w14:ligatures w14:val="none"/>
        </w:rPr>
        <w:t xml:space="preserve">The study was focused on the implementation of strategic management tools </w:t>
      </w:r>
      <w:r w:rsidR="00D13708">
        <w:rPr>
          <w:rFonts w:ascii="Arial" w:eastAsia="Times New Roman" w:hAnsi="Arial" w:cs="Arial"/>
          <w:color w:val="000000"/>
          <w:szCs w:val="24"/>
          <w:lang w:eastAsia="en-GB" w:bidi="bn-IN"/>
          <w14:ligatures w14:val="none"/>
        </w:rPr>
        <w:t>in</w:t>
      </w:r>
      <w:r w:rsidRPr="00442E13">
        <w:rPr>
          <w:rFonts w:ascii="Arial" w:eastAsia="Times New Roman" w:hAnsi="Arial" w:cs="Arial"/>
          <w:color w:val="000000"/>
          <w:szCs w:val="24"/>
          <w:lang w:eastAsia="en-GB" w:bidi="bn-IN"/>
          <w14:ligatures w14:val="none"/>
        </w:rPr>
        <w:t xml:space="preserve"> the BP upstream oil business. Secondary data collected from company reports, industry data and journals for </w:t>
      </w:r>
      <w:r w:rsidR="00D13708">
        <w:rPr>
          <w:rFonts w:ascii="Arial" w:eastAsia="Times New Roman" w:hAnsi="Arial" w:cs="Arial"/>
          <w:color w:val="000000"/>
          <w:szCs w:val="24"/>
          <w:lang w:eastAsia="en-GB" w:bidi="bn-IN"/>
          <w14:ligatures w14:val="none"/>
        </w:rPr>
        <w:t xml:space="preserve">the </w:t>
      </w:r>
      <w:r w:rsidRPr="00442E13">
        <w:rPr>
          <w:rFonts w:ascii="Arial" w:eastAsia="Times New Roman" w:hAnsi="Arial" w:cs="Arial"/>
          <w:color w:val="000000"/>
          <w:szCs w:val="24"/>
          <w:lang w:eastAsia="en-GB" w:bidi="bn-IN"/>
          <w14:ligatures w14:val="none"/>
        </w:rPr>
        <w:t xml:space="preserve">study consisted of indicators of financial, production and operational efficiency (Barker, </w:t>
      </w:r>
      <w:proofErr w:type="spellStart"/>
      <w:r w:rsidRPr="00442E13">
        <w:rPr>
          <w:rFonts w:ascii="Arial" w:eastAsia="Times New Roman" w:hAnsi="Arial" w:cs="Arial"/>
          <w:color w:val="000000"/>
          <w:szCs w:val="24"/>
          <w:lang w:eastAsia="en-GB" w:bidi="bn-IN"/>
          <w14:ligatures w14:val="none"/>
        </w:rPr>
        <w:t>Lencucha</w:t>
      </w:r>
      <w:proofErr w:type="spellEnd"/>
      <w:r w:rsidRPr="00442E13">
        <w:rPr>
          <w:rFonts w:ascii="Arial" w:eastAsia="Times New Roman" w:hAnsi="Arial" w:cs="Arial"/>
          <w:color w:val="000000"/>
          <w:szCs w:val="24"/>
          <w:lang w:eastAsia="en-GB" w:bidi="bn-IN"/>
          <w14:ligatures w14:val="none"/>
        </w:rPr>
        <w:t xml:space="preserve"> and Anderson, 2016). The nature of the study</w:t>
      </w:r>
      <w:r w:rsidR="00D13708">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 being focused on a business unit rather than the entire organisation</w:t>
      </w:r>
      <w:r w:rsidR="00D13708">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 meant the focus was on upstream business units such as exploration, drilling and production. Analytical tools of PESTEL, Value Chain, VRIO and BCG Matrix were applied to external and internal factors. Except </w:t>
      </w:r>
      <w:r w:rsidR="00D13708">
        <w:rPr>
          <w:rFonts w:ascii="Arial" w:eastAsia="Times New Roman" w:hAnsi="Arial" w:cs="Arial"/>
          <w:color w:val="000000"/>
          <w:szCs w:val="24"/>
          <w:lang w:eastAsia="en-GB" w:bidi="bn-IN"/>
          <w14:ligatures w14:val="none"/>
        </w:rPr>
        <w:t xml:space="preserve">for </w:t>
      </w:r>
      <w:r w:rsidRPr="00442E13">
        <w:rPr>
          <w:rFonts w:ascii="Arial" w:eastAsia="Times New Roman" w:hAnsi="Arial" w:cs="Arial"/>
          <w:color w:val="000000"/>
          <w:szCs w:val="24"/>
          <w:lang w:eastAsia="en-GB" w:bidi="bn-IN"/>
          <w14:ligatures w14:val="none"/>
        </w:rPr>
        <w:t xml:space="preserve">SWOT and Porter's Five </w:t>
      </w:r>
      <w:r w:rsidR="00D13708">
        <w:rPr>
          <w:rFonts w:ascii="Arial" w:eastAsia="Times New Roman" w:hAnsi="Arial" w:cs="Arial"/>
          <w:color w:val="000000"/>
          <w:szCs w:val="24"/>
          <w:lang w:eastAsia="en-GB" w:bidi="bn-IN"/>
          <w14:ligatures w14:val="none"/>
        </w:rPr>
        <w:t>F</w:t>
      </w:r>
      <w:r w:rsidRPr="00442E13">
        <w:rPr>
          <w:rFonts w:ascii="Arial" w:eastAsia="Times New Roman" w:hAnsi="Arial" w:cs="Arial"/>
          <w:color w:val="000000"/>
          <w:szCs w:val="24"/>
          <w:lang w:eastAsia="en-GB" w:bidi="bn-IN"/>
          <w14:ligatures w14:val="none"/>
        </w:rPr>
        <w:t xml:space="preserve">orces analysis, upstream analysis was more inclined towards the Value Chain and resource-based analysis (Barker, </w:t>
      </w:r>
      <w:proofErr w:type="spellStart"/>
      <w:r w:rsidRPr="00442E13">
        <w:rPr>
          <w:rFonts w:ascii="Arial" w:eastAsia="Times New Roman" w:hAnsi="Arial" w:cs="Arial"/>
          <w:color w:val="000000"/>
          <w:szCs w:val="24"/>
          <w:lang w:eastAsia="en-GB" w:bidi="bn-IN"/>
          <w14:ligatures w14:val="none"/>
        </w:rPr>
        <w:t>Lencucha</w:t>
      </w:r>
      <w:proofErr w:type="spellEnd"/>
      <w:r w:rsidRPr="00442E13">
        <w:rPr>
          <w:rFonts w:ascii="Arial" w:eastAsia="Times New Roman" w:hAnsi="Arial" w:cs="Arial"/>
          <w:color w:val="000000"/>
          <w:szCs w:val="24"/>
          <w:lang w:eastAsia="en-GB" w:bidi="bn-IN"/>
          <w14:ligatures w14:val="none"/>
        </w:rPr>
        <w:t xml:space="preserve"> and Anderson, 2016). This included analytical rigour </w:t>
      </w:r>
      <w:r w:rsidR="00D13708">
        <w:rPr>
          <w:rFonts w:ascii="Arial" w:eastAsia="Times New Roman" w:hAnsi="Arial" w:cs="Arial"/>
          <w:color w:val="000000"/>
          <w:szCs w:val="24"/>
          <w:lang w:eastAsia="en-GB" w:bidi="bn-IN"/>
          <w14:ligatures w14:val="none"/>
        </w:rPr>
        <w:t>in</w:t>
      </w:r>
      <w:r w:rsidRPr="00442E13">
        <w:rPr>
          <w:rFonts w:ascii="Arial" w:eastAsia="Times New Roman" w:hAnsi="Arial" w:cs="Arial"/>
          <w:color w:val="000000"/>
          <w:szCs w:val="24"/>
          <w:lang w:eastAsia="en-GB" w:bidi="bn-IN"/>
          <w14:ligatures w14:val="none"/>
        </w:rPr>
        <w:t xml:space="preserve"> linking activities to advantage. The experience brought up the complexities of how one analyses a capital</w:t>
      </w:r>
      <w:r w:rsidR="00D13708">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intensive and political industry in which decisions are highly related to external uncertainty and internal efficiency</w:t>
      </w:r>
      <w:r w:rsidR="009C468E" w:rsidRPr="001A46C5">
        <w:rPr>
          <w:rFonts w:ascii="Arial" w:eastAsia="Times New Roman" w:hAnsi="Arial" w:cs="Arial"/>
          <w:color w:val="000000"/>
          <w:szCs w:val="24"/>
          <w:lang w:eastAsia="en-GB" w:bidi="bn-IN"/>
          <w14:ligatures w14:val="none"/>
        </w:rPr>
        <w:t>.</w:t>
      </w:r>
    </w:p>
    <w:p w14:paraId="08EC89DB" w14:textId="77777777" w:rsidR="009C468E" w:rsidRPr="001A46C5" w:rsidRDefault="009C468E" w:rsidP="003A6EBB">
      <w:pPr>
        <w:pStyle w:val="Heading2"/>
        <w:rPr>
          <w:rFonts w:ascii="Arial" w:eastAsia="Times New Roman" w:hAnsi="Arial" w:cs="Arial"/>
          <w:lang w:eastAsia="en-GB" w:bidi="bn-IN"/>
        </w:rPr>
      </w:pPr>
      <w:bookmarkStart w:id="30" w:name="_Toc228469826"/>
      <w:r w:rsidRPr="001A46C5">
        <w:rPr>
          <w:rFonts w:ascii="Arial" w:eastAsia="Times New Roman" w:hAnsi="Arial" w:cs="Arial"/>
          <w:lang w:eastAsia="en-GB" w:bidi="bn-IN"/>
        </w:rPr>
        <w:t>Reflective Observation</w:t>
      </w:r>
      <w:bookmarkEnd w:id="30"/>
    </w:p>
    <w:p w14:paraId="183D3568" w14:textId="672F6533" w:rsidR="009C468E" w:rsidRPr="001A46C5" w:rsidRDefault="00442E13" w:rsidP="009C468E">
      <w:pPr>
        <w:rPr>
          <w:rFonts w:ascii="Arial" w:eastAsia="Times New Roman" w:hAnsi="Arial" w:cs="Arial"/>
          <w:color w:val="000000"/>
          <w:szCs w:val="24"/>
          <w:lang w:eastAsia="en-GB" w:bidi="bn-IN"/>
          <w14:ligatures w14:val="none"/>
        </w:rPr>
      </w:pPr>
      <w:r w:rsidRPr="00442E13">
        <w:rPr>
          <w:rFonts w:ascii="Arial" w:eastAsia="Times New Roman" w:hAnsi="Arial" w:cs="Arial"/>
          <w:color w:val="000000"/>
          <w:szCs w:val="24"/>
          <w:lang w:eastAsia="en-GB" w:bidi="bn-IN"/>
          <w14:ligatures w14:val="none"/>
        </w:rPr>
        <w:t>Clarifying BP's upstream business illustrated the challenges in analysing the relationships between external and internal elements. There are very dynamic factors present in the global oil industry</w:t>
      </w:r>
      <w:r>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 such as geopolitical and oil price risk, and regulation (</w:t>
      </w:r>
      <w:proofErr w:type="spellStart"/>
      <w:r w:rsidRPr="00442E13">
        <w:rPr>
          <w:rFonts w:ascii="Arial" w:eastAsia="Times New Roman" w:hAnsi="Arial" w:cs="Arial"/>
          <w:color w:val="000000"/>
          <w:szCs w:val="24"/>
          <w:lang w:eastAsia="en-GB" w:bidi="bn-IN"/>
          <w14:ligatures w14:val="none"/>
        </w:rPr>
        <w:t>Kleinheksel</w:t>
      </w:r>
      <w:proofErr w:type="spellEnd"/>
      <w:r w:rsidRPr="00442E13">
        <w:rPr>
          <w:rFonts w:ascii="Arial" w:eastAsia="Times New Roman" w:hAnsi="Arial" w:cs="Arial"/>
          <w:color w:val="000000"/>
          <w:szCs w:val="24"/>
          <w:lang w:eastAsia="en-GB" w:bidi="bn-IN"/>
          <w14:ligatures w14:val="none"/>
        </w:rPr>
        <w:t xml:space="preserve"> </w:t>
      </w:r>
      <w:r w:rsidRPr="00442E13">
        <w:rPr>
          <w:rFonts w:ascii="Arial" w:eastAsia="Times New Roman" w:hAnsi="Arial" w:cs="Arial"/>
          <w:i/>
          <w:iCs/>
          <w:color w:val="000000"/>
          <w:szCs w:val="24"/>
          <w:lang w:eastAsia="en-GB" w:bidi="bn-IN"/>
          <w14:ligatures w14:val="none"/>
        </w:rPr>
        <w:t>et al.</w:t>
      </w:r>
      <w:r w:rsidRPr="00442E13">
        <w:rPr>
          <w:rFonts w:ascii="Arial" w:eastAsia="Times New Roman" w:hAnsi="Arial" w:cs="Arial"/>
          <w:color w:val="000000"/>
          <w:szCs w:val="24"/>
          <w:lang w:eastAsia="en-GB" w:bidi="bn-IN"/>
          <w14:ligatures w14:val="none"/>
        </w:rPr>
        <w:t xml:space="preserve">, 2023). This kind of understanding was to be gained by moving from a descriptive to </w:t>
      </w:r>
      <w:r>
        <w:rPr>
          <w:rFonts w:ascii="Arial" w:eastAsia="Times New Roman" w:hAnsi="Arial" w:cs="Arial"/>
          <w:color w:val="000000"/>
          <w:szCs w:val="24"/>
          <w:lang w:eastAsia="en-GB" w:bidi="bn-IN"/>
          <w14:ligatures w14:val="none"/>
        </w:rPr>
        <w:t xml:space="preserve">an </w:t>
      </w:r>
      <w:r w:rsidRPr="00442E13">
        <w:rPr>
          <w:rFonts w:ascii="Arial" w:eastAsia="Times New Roman" w:hAnsi="Arial" w:cs="Arial"/>
          <w:color w:val="000000"/>
          <w:szCs w:val="24"/>
          <w:lang w:eastAsia="en-GB" w:bidi="bn-IN"/>
          <w14:ligatures w14:val="none"/>
        </w:rPr>
        <w:t>evaluative approach to gain insights into how those factors inform investment decisions for the upstream business. An important factor was recognition of the strategic dilemma between being profitable by producing crude and future decarbonisation requirements. A further shift - from industry analysis using Porter's Five Forces, to organisation analysis using Value Chain analysis - also involved a move from outward to inward focused analysis (external vs. internal competition) (</w:t>
      </w:r>
      <w:proofErr w:type="spellStart"/>
      <w:r w:rsidRPr="00442E13">
        <w:rPr>
          <w:rFonts w:ascii="Arial" w:eastAsia="Times New Roman" w:hAnsi="Arial" w:cs="Arial"/>
          <w:color w:val="000000"/>
          <w:szCs w:val="24"/>
          <w:lang w:eastAsia="en-GB" w:bidi="bn-IN"/>
          <w14:ligatures w14:val="none"/>
        </w:rPr>
        <w:t>Kleinheksel</w:t>
      </w:r>
      <w:proofErr w:type="spellEnd"/>
      <w:r w:rsidRPr="00442E13">
        <w:rPr>
          <w:rFonts w:ascii="Arial" w:eastAsia="Times New Roman" w:hAnsi="Arial" w:cs="Arial"/>
          <w:color w:val="000000"/>
          <w:szCs w:val="24"/>
          <w:lang w:eastAsia="en-GB" w:bidi="bn-IN"/>
          <w14:ligatures w14:val="none"/>
        </w:rPr>
        <w:t xml:space="preserve"> </w:t>
      </w:r>
      <w:r w:rsidRPr="00442E13">
        <w:rPr>
          <w:rFonts w:ascii="Arial" w:eastAsia="Times New Roman" w:hAnsi="Arial" w:cs="Arial"/>
          <w:i/>
          <w:iCs/>
          <w:color w:val="000000"/>
          <w:szCs w:val="24"/>
          <w:lang w:eastAsia="en-GB" w:bidi="bn-IN"/>
          <w14:ligatures w14:val="none"/>
        </w:rPr>
        <w:t>et al.</w:t>
      </w:r>
      <w:r w:rsidRPr="00442E13">
        <w:rPr>
          <w:rFonts w:ascii="Arial" w:eastAsia="Times New Roman" w:hAnsi="Arial" w:cs="Arial"/>
          <w:color w:val="000000"/>
          <w:szCs w:val="24"/>
          <w:lang w:eastAsia="en-GB" w:bidi="bn-IN"/>
          <w14:ligatures w14:val="none"/>
        </w:rPr>
        <w:t>, 2023). That is, a change in focus from external to internal competition, and a focus on value creation. This exercise indicated that it's helpful to take a systemic approach to strategy during change</w:t>
      </w:r>
      <w:r w:rsidR="009C468E" w:rsidRPr="001A46C5">
        <w:rPr>
          <w:rFonts w:ascii="Arial" w:eastAsia="Times New Roman" w:hAnsi="Arial" w:cs="Arial"/>
          <w:color w:val="000000"/>
          <w:szCs w:val="24"/>
          <w:lang w:eastAsia="en-GB" w:bidi="bn-IN"/>
          <w14:ligatures w14:val="none"/>
        </w:rPr>
        <w:t>.</w:t>
      </w:r>
    </w:p>
    <w:p w14:paraId="7F369B0A" w14:textId="77777777" w:rsidR="009C468E" w:rsidRPr="001A46C5" w:rsidRDefault="009C468E" w:rsidP="003A6EBB">
      <w:pPr>
        <w:pStyle w:val="Heading2"/>
        <w:rPr>
          <w:rFonts w:ascii="Arial" w:eastAsia="Times New Roman" w:hAnsi="Arial" w:cs="Arial"/>
          <w:lang w:eastAsia="en-GB" w:bidi="bn-IN"/>
        </w:rPr>
      </w:pPr>
      <w:bookmarkStart w:id="31" w:name="_Toc228469827"/>
      <w:r w:rsidRPr="001A46C5">
        <w:rPr>
          <w:rFonts w:ascii="Arial" w:eastAsia="Times New Roman" w:hAnsi="Arial" w:cs="Arial"/>
          <w:lang w:eastAsia="en-GB" w:bidi="bn-IN"/>
        </w:rPr>
        <w:t>Evaluation</w:t>
      </w:r>
      <w:bookmarkEnd w:id="31"/>
    </w:p>
    <w:p w14:paraId="6CE6BAAD" w14:textId="51CBEC82" w:rsidR="009C468E" w:rsidRPr="001A46C5" w:rsidRDefault="00442E13" w:rsidP="009C468E">
      <w:pPr>
        <w:rPr>
          <w:rFonts w:ascii="Arial" w:eastAsia="Times New Roman" w:hAnsi="Arial" w:cs="Arial"/>
          <w:color w:val="000000"/>
          <w:szCs w:val="24"/>
          <w:lang w:eastAsia="en-GB" w:bidi="bn-IN"/>
          <w14:ligatures w14:val="none"/>
        </w:rPr>
      </w:pPr>
      <w:r w:rsidRPr="00442E13">
        <w:rPr>
          <w:rFonts w:ascii="Arial" w:eastAsia="Times New Roman" w:hAnsi="Arial" w:cs="Arial"/>
          <w:color w:val="000000"/>
          <w:szCs w:val="24"/>
          <w:lang w:eastAsia="en-GB" w:bidi="bn-IN"/>
          <w14:ligatures w14:val="none"/>
        </w:rPr>
        <w:t>The use of several strategic frameworks aided analysis. The PESTEL framework enabled attention to be given to an external environment (Political, Economic, Social, Technological, Environmental, and Legal)</w:t>
      </w:r>
      <w:r>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 and the Value Chain framework enabled attention to be given to value creation for BP’s Upstream segment (Exploration, Production and Logistics (Meijer </w:t>
      </w:r>
      <w:r w:rsidRPr="00442E13">
        <w:rPr>
          <w:rFonts w:ascii="Arial" w:eastAsia="Times New Roman" w:hAnsi="Arial" w:cs="Arial"/>
          <w:i/>
          <w:iCs/>
          <w:color w:val="000000"/>
          <w:szCs w:val="24"/>
          <w:lang w:eastAsia="en-GB" w:bidi="bn-IN"/>
          <w14:ligatures w14:val="none"/>
        </w:rPr>
        <w:t>et al.</w:t>
      </w:r>
      <w:r w:rsidRPr="00442E13">
        <w:rPr>
          <w:rFonts w:ascii="Arial" w:eastAsia="Times New Roman" w:hAnsi="Arial" w:cs="Arial"/>
          <w:color w:val="000000"/>
          <w:szCs w:val="24"/>
          <w:lang w:eastAsia="en-GB" w:bidi="bn-IN"/>
          <w14:ligatures w14:val="none"/>
        </w:rPr>
        <w:t xml:space="preserve">, 2022). The VRIO framework also helped in identifying resources and capabilities that are sources of advantage. The BCG Matrix then helped make </w:t>
      </w:r>
      <w:r>
        <w:rPr>
          <w:rFonts w:ascii="Arial" w:eastAsia="Times New Roman" w:hAnsi="Arial" w:cs="Arial"/>
          <w:color w:val="000000"/>
          <w:szCs w:val="24"/>
          <w:lang w:eastAsia="en-GB" w:bidi="bn-IN"/>
          <w14:ligatures w14:val="none"/>
        </w:rPr>
        <w:t xml:space="preserve">an </w:t>
      </w:r>
      <w:r w:rsidRPr="00442E13">
        <w:rPr>
          <w:rFonts w:ascii="Arial" w:eastAsia="Times New Roman" w:hAnsi="Arial" w:cs="Arial"/>
          <w:color w:val="000000"/>
          <w:szCs w:val="24"/>
          <w:lang w:eastAsia="en-GB" w:bidi="bn-IN"/>
          <w14:ligatures w14:val="none"/>
        </w:rPr>
        <w:t>assessment of the upstream segment as a cash cow of a mature industry. However, there were issues with the research. Secondary data could have affected results</w:t>
      </w:r>
      <w:r>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 as corporate reports can be, in case of positive reporting bias, overly positive in terms of financials and strategy. In addition, the ever</w:t>
      </w:r>
      <w:r>
        <w:rPr>
          <w:rFonts w:ascii="Arial" w:eastAsia="Times New Roman" w:hAnsi="Arial" w:cs="Arial"/>
          <w:color w:val="000000"/>
          <w:szCs w:val="24"/>
          <w:lang w:eastAsia="en-GB" w:bidi="bn-IN"/>
          <w14:ligatures w14:val="none"/>
        </w:rPr>
        <w:t>-</w:t>
      </w:r>
      <w:r w:rsidRPr="00442E13">
        <w:rPr>
          <w:rFonts w:ascii="Arial" w:eastAsia="Times New Roman" w:hAnsi="Arial" w:cs="Arial"/>
          <w:color w:val="000000"/>
          <w:szCs w:val="24"/>
          <w:lang w:eastAsia="en-GB" w:bidi="bn-IN"/>
          <w14:ligatures w14:val="none"/>
        </w:rPr>
        <w:t xml:space="preserve">changing energy sector means that the data might not be current, so it limits the ability to make inferences in relation to strategy (Meijer </w:t>
      </w:r>
      <w:r w:rsidRPr="00442E13">
        <w:rPr>
          <w:rFonts w:ascii="Arial" w:eastAsia="Times New Roman" w:hAnsi="Arial" w:cs="Arial"/>
          <w:i/>
          <w:iCs/>
          <w:color w:val="000000"/>
          <w:szCs w:val="24"/>
          <w:lang w:eastAsia="en-GB" w:bidi="bn-IN"/>
          <w14:ligatures w14:val="none"/>
        </w:rPr>
        <w:t>et al.</w:t>
      </w:r>
      <w:r w:rsidRPr="00442E13">
        <w:rPr>
          <w:rFonts w:ascii="Arial" w:eastAsia="Times New Roman" w:hAnsi="Arial" w:cs="Arial"/>
          <w:color w:val="000000"/>
          <w:szCs w:val="24"/>
          <w:lang w:eastAsia="en-GB" w:bidi="bn-IN"/>
          <w14:ligatures w14:val="none"/>
        </w:rPr>
        <w:t>, 2022). Primary data is absent to contrast results. Such limitations highlighted the need for critical interpretative and critical evaluation of information, as well as trust towards the information</w:t>
      </w:r>
      <w:r w:rsidR="009C468E" w:rsidRPr="001A46C5">
        <w:rPr>
          <w:rFonts w:ascii="Arial" w:eastAsia="Times New Roman" w:hAnsi="Arial" w:cs="Arial"/>
          <w:color w:val="000000"/>
          <w:szCs w:val="24"/>
          <w:lang w:eastAsia="en-GB" w:bidi="bn-IN"/>
          <w14:ligatures w14:val="none"/>
        </w:rPr>
        <w:t>.</w:t>
      </w:r>
    </w:p>
    <w:p w14:paraId="6A947C33" w14:textId="77777777" w:rsidR="009C468E" w:rsidRPr="001A46C5" w:rsidRDefault="009C468E" w:rsidP="009C468E">
      <w:pPr>
        <w:rPr>
          <w:rFonts w:ascii="Arial" w:eastAsia="Times New Roman" w:hAnsi="Arial" w:cs="Arial"/>
          <w:color w:val="000000"/>
          <w:szCs w:val="24"/>
          <w:lang w:eastAsia="en-GB" w:bidi="bn-IN"/>
          <w14:ligatures w14:val="none"/>
        </w:rPr>
      </w:pPr>
    </w:p>
    <w:p w14:paraId="5D6DAC62" w14:textId="77777777" w:rsidR="009C468E" w:rsidRPr="001A46C5" w:rsidRDefault="009C468E" w:rsidP="003A6EBB">
      <w:pPr>
        <w:pStyle w:val="Heading2"/>
        <w:rPr>
          <w:rFonts w:ascii="Arial" w:eastAsia="Times New Roman" w:hAnsi="Arial" w:cs="Arial"/>
          <w:lang w:eastAsia="en-GB" w:bidi="bn-IN"/>
        </w:rPr>
      </w:pPr>
      <w:bookmarkStart w:id="32" w:name="_Toc228469828"/>
      <w:r w:rsidRPr="001A46C5">
        <w:rPr>
          <w:rFonts w:ascii="Arial" w:eastAsia="Times New Roman" w:hAnsi="Arial" w:cs="Arial"/>
          <w:lang w:eastAsia="en-GB" w:bidi="bn-IN"/>
        </w:rPr>
        <w:t>Abstract Conceptualisation</w:t>
      </w:r>
      <w:bookmarkEnd w:id="32"/>
    </w:p>
    <w:p w14:paraId="1CA0BD8E" w14:textId="17505D4F" w:rsidR="009C468E" w:rsidRPr="001A46C5" w:rsidRDefault="00442E13" w:rsidP="009C468E">
      <w:pPr>
        <w:rPr>
          <w:rFonts w:ascii="Arial" w:eastAsia="Times New Roman" w:hAnsi="Arial" w:cs="Arial"/>
          <w:color w:val="000000"/>
          <w:szCs w:val="24"/>
          <w:lang w:eastAsia="en-GB" w:bidi="bn-IN"/>
          <w14:ligatures w14:val="none"/>
        </w:rPr>
      </w:pPr>
      <w:r w:rsidRPr="00442E13">
        <w:rPr>
          <w:rFonts w:ascii="Arial" w:eastAsia="Times New Roman" w:hAnsi="Arial" w:cs="Arial"/>
          <w:color w:val="000000"/>
          <w:szCs w:val="24"/>
          <w:lang w:eastAsia="en-GB" w:bidi="bn-IN"/>
          <w14:ligatures w14:val="none"/>
        </w:rPr>
        <w:t>Through the adoption of strategic management analysis, the research gave an overview of how the organisation responds to threats related to the environment and operations. The study indicated that the integrated strategy of BP is responding to the external environment, but also influenced by internal factors (Ryder and Downs, 2022). PESTEL analysis added to the understanding of the impact of political, environmental and economic changes on the strategy of multinational oil companies. Value Chain analysis showed the part of efficiency in cost leadership in exploration and production operations. The VRIO analysis reminded us that sources of competitive advantage are resources such as oil and technology and synergistic businesses (Ryder and Downs, 2022). The BCG Matrix provided a portfolio perspective and the upstream business was a cash cow with limited potential. This two-part model nodded to the need to look inwards, as well as outwards. And it highlighted both the importance and value of applying models rather simplistically or in a vacuum</w:t>
      </w:r>
      <w:r w:rsidR="009C468E" w:rsidRPr="001A46C5">
        <w:rPr>
          <w:rFonts w:ascii="Arial" w:eastAsia="Times New Roman" w:hAnsi="Arial" w:cs="Arial"/>
          <w:color w:val="000000"/>
          <w:szCs w:val="24"/>
          <w:lang w:eastAsia="en-GB" w:bidi="bn-IN"/>
          <w14:ligatures w14:val="none"/>
        </w:rPr>
        <w:t>.</w:t>
      </w:r>
    </w:p>
    <w:p w14:paraId="5D94B18C" w14:textId="77777777" w:rsidR="009C468E" w:rsidRPr="001A46C5" w:rsidRDefault="009C468E" w:rsidP="003A6EBB">
      <w:pPr>
        <w:pStyle w:val="Heading2"/>
        <w:rPr>
          <w:rFonts w:ascii="Arial" w:eastAsia="Times New Roman" w:hAnsi="Arial" w:cs="Arial"/>
          <w:lang w:eastAsia="en-GB" w:bidi="bn-IN"/>
        </w:rPr>
      </w:pPr>
      <w:bookmarkStart w:id="33" w:name="_Toc228469829"/>
      <w:r w:rsidRPr="001A46C5">
        <w:rPr>
          <w:rFonts w:ascii="Arial" w:eastAsia="Times New Roman" w:hAnsi="Arial" w:cs="Arial"/>
          <w:lang w:eastAsia="en-GB" w:bidi="bn-IN"/>
        </w:rPr>
        <w:t>Active Experimentation</w:t>
      </w:r>
      <w:bookmarkEnd w:id="33"/>
    </w:p>
    <w:p w14:paraId="2C6C3435" w14:textId="464BDFCB" w:rsidR="009C468E" w:rsidRPr="001A46C5" w:rsidRDefault="00442E13" w:rsidP="009C468E">
      <w:pPr>
        <w:rPr>
          <w:rFonts w:ascii="Arial" w:eastAsia="Times New Roman" w:hAnsi="Arial" w:cs="Arial"/>
          <w:color w:val="000000"/>
          <w:szCs w:val="24"/>
          <w:lang w:eastAsia="en-GB" w:bidi="bn-IN"/>
          <w14:ligatures w14:val="none"/>
        </w:rPr>
      </w:pPr>
      <w:r w:rsidRPr="00442E13">
        <w:rPr>
          <w:rFonts w:ascii="Arial" w:eastAsia="Times New Roman" w:hAnsi="Arial" w:cs="Arial"/>
          <w:color w:val="000000"/>
          <w:szCs w:val="24"/>
          <w:lang w:eastAsia="en-GB" w:bidi="bn-IN"/>
          <w14:ligatures w14:val="none"/>
        </w:rPr>
        <w:t xml:space="preserve">The results of our analysis will inform future research in many ways. Firstly, there will be an increased emphasis on the use of multiple frameworks that will seek to holistically understand strategy. The combination of PESTEL, Value Chain, VRIO and BCG matrix effectively mapped out both external and internal elements. Second, future work will try to incorporate quantitative data as well as qualitative </w:t>
      </w:r>
      <w:r>
        <w:rPr>
          <w:rFonts w:ascii="Arial" w:eastAsia="Times New Roman" w:hAnsi="Arial" w:cs="Arial"/>
          <w:color w:val="000000"/>
          <w:szCs w:val="24"/>
          <w:lang w:val="en-US" w:eastAsia="en-GB" w:bidi="bn-IN"/>
          <w14:ligatures w14:val="none"/>
        </w:rPr>
        <w:t xml:space="preserve">data </w:t>
      </w:r>
      <w:r w:rsidRPr="00442E13">
        <w:rPr>
          <w:rFonts w:ascii="Arial" w:eastAsia="Times New Roman" w:hAnsi="Arial" w:cs="Arial"/>
          <w:color w:val="000000"/>
          <w:szCs w:val="24"/>
          <w:lang w:eastAsia="en-GB" w:bidi="bn-IN"/>
          <w14:ligatures w14:val="none"/>
        </w:rPr>
        <w:t>for further analysis (Kleinheksel et al., 2023). Third, future research will make critical assessments of data sources to avoid biases and improve the quality of the results. Finally, this process has highlighted the importance of future work needing to include sustainability and technological development in strategy. A</w:t>
      </w:r>
      <w:r>
        <w:rPr>
          <w:rFonts w:ascii="Arial" w:eastAsia="Times New Roman" w:hAnsi="Arial" w:cs="Arial"/>
          <w:color w:val="000000"/>
          <w:szCs w:val="24"/>
          <w:lang w:val="en-US" w:eastAsia="en-GB" w:bidi="bn-IN"/>
          <w14:ligatures w14:val="none"/>
        </w:rPr>
        <w:t>n</w:t>
      </w:r>
      <w:r w:rsidRPr="00442E13">
        <w:rPr>
          <w:rFonts w:ascii="Arial" w:eastAsia="Times New Roman" w:hAnsi="Arial" w:cs="Arial"/>
          <w:color w:val="000000"/>
          <w:szCs w:val="24"/>
          <w:lang w:eastAsia="en-GB" w:bidi="bn-IN"/>
          <w14:ligatures w14:val="none"/>
        </w:rPr>
        <w:t xml:space="preserve"> integration of these learnings will result in a deeper understanding of the complex nature of organisations and provide </w:t>
      </w:r>
      <w:r>
        <w:rPr>
          <w:rFonts w:ascii="Arial" w:eastAsia="Times New Roman" w:hAnsi="Arial" w:cs="Arial"/>
          <w:color w:val="000000"/>
          <w:szCs w:val="24"/>
          <w:lang w:val="en-US" w:eastAsia="en-GB" w:bidi="bn-IN"/>
          <w14:ligatures w14:val="none"/>
        </w:rPr>
        <w:t xml:space="preserve">a </w:t>
      </w:r>
      <w:r w:rsidRPr="00442E13">
        <w:rPr>
          <w:rFonts w:ascii="Arial" w:eastAsia="Times New Roman" w:hAnsi="Arial" w:cs="Arial"/>
          <w:color w:val="000000"/>
          <w:szCs w:val="24"/>
          <w:lang w:eastAsia="en-GB" w:bidi="bn-IN"/>
          <w14:ligatures w14:val="none"/>
        </w:rPr>
        <w:t>better strategy in the future</w:t>
      </w:r>
      <w:r w:rsidR="009C468E" w:rsidRPr="001A46C5">
        <w:rPr>
          <w:rFonts w:ascii="Arial" w:eastAsia="Times New Roman" w:hAnsi="Arial" w:cs="Arial"/>
          <w:color w:val="000000"/>
          <w:szCs w:val="24"/>
          <w:lang w:eastAsia="en-GB" w:bidi="bn-IN"/>
          <w14:ligatures w14:val="none"/>
        </w:rPr>
        <w:t>.</w:t>
      </w:r>
    </w:p>
    <w:p w14:paraId="0F97312F" w14:textId="77777777" w:rsidR="003A6EBB" w:rsidRPr="001A46C5" w:rsidRDefault="003A6EBB" w:rsidP="009C468E">
      <w:pPr>
        <w:rPr>
          <w:rFonts w:ascii="Arial" w:eastAsia="Times New Roman" w:hAnsi="Arial" w:cs="Arial"/>
          <w:color w:val="000000"/>
          <w:szCs w:val="24"/>
          <w:lang w:eastAsia="en-GB" w:bidi="bn-IN"/>
          <w14:ligatures w14:val="none"/>
        </w:rPr>
      </w:pPr>
    </w:p>
    <w:p w14:paraId="1519546A" w14:textId="1DCE54C8" w:rsidR="009C468E" w:rsidRPr="001A46C5" w:rsidRDefault="009C468E" w:rsidP="003A6EBB">
      <w:pPr>
        <w:pStyle w:val="Heading1"/>
        <w:rPr>
          <w:rFonts w:ascii="Arial" w:eastAsia="Times New Roman" w:hAnsi="Arial" w:cs="Arial"/>
          <w:lang w:eastAsia="en-GB" w:bidi="bn-IN"/>
        </w:rPr>
      </w:pPr>
      <w:bookmarkStart w:id="34" w:name="_Toc228469830"/>
      <w:r w:rsidRPr="001A46C5">
        <w:rPr>
          <w:rFonts w:ascii="Arial" w:eastAsia="Times New Roman" w:hAnsi="Arial" w:cs="Arial"/>
          <w:lang w:eastAsia="en-GB" w:bidi="bn-IN"/>
        </w:rPr>
        <w:t>Conclusion</w:t>
      </w:r>
      <w:bookmarkEnd w:id="34"/>
    </w:p>
    <w:p w14:paraId="07C81E2F" w14:textId="39F2B6EF" w:rsidR="009C468E" w:rsidRPr="001A46C5" w:rsidRDefault="00D13708" w:rsidP="009C468E">
      <w:pPr>
        <w:rPr>
          <w:rFonts w:ascii="Arial" w:eastAsia="Times New Roman" w:hAnsi="Arial" w:cs="Arial"/>
          <w:color w:val="000000"/>
          <w:szCs w:val="24"/>
          <w:lang w:eastAsia="en-GB" w:bidi="bn-IN"/>
          <w14:ligatures w14:val="none"/>
        </w:rPr>
      </w:pPr>
      <w:r w:rsidRPr="00D13708">
        <w:rPr>
          <w:rFonts w:ascii="Arial" w:eastAsia="Times New Roman" w:hAnsi="Arial" w:cs="Arial"/>
          <w:color w:val="000000"/>
          <w:szCs w:val="24"/>
          <w:lang w:eastAsia="en-GB" w:bidi="bn-IN"/>
          <w14:ligatures w14:val="none"/>
        </w:rPr>
        <w:t xml:space="preserve">This report examined the effectiveness of BP's upstream business in the competitive and ever-evolving global </w:t>
      </w:r>
      <w:r>
        <w:rPr>
          <w:rFonts w:ascii="Arial" w:eastAsia="Times New Roman" w:hAnsi="Arial" w:cs="Arial"/>
          <w:color w:val="000000"/>
          <w:szCs w:val="24"/>
          <w:lang w:eastAsia="en-GB" w:bidi="bn-IN"/>
          <w14:ligatures w14:val="none"/>
        </w:rPr>
        <w:t>oil</w:t>
      </w:r>
      <w:r w:rsidRPr="00D13708">
        <w:rPr>
          <w:rFonts w:ascii="Arial" w:eastAsia="Times New Roman" w:hAnsi="Arial" w:cs="Arial"/>
          <w:color w:val="000000"/>
          <w:szCs w:val="24"/>
          <w:lang w:eastAsia="en-GB" w:bidi="bn-IN"/>
          <w14:ligatures w14:val="none"/>
        </w:rPr>
        <w:t xml:space="preserve"> market. Findings demonstrate that the key source of BP's competitive advantage is its enormous reserves, vertical integration and technical know-how, enabling </w:t>
      </w:r>
      <w:r>
        <w:rPr>
          <w:rFonts w:ascii="Arial" w:eastAsia="Times New Roman" w:hAnsi="Arial" w:cs="Arial"/>
          <w:color w:val="000000"/>
          <w:szCs w:val="24"/>
          <w:lang w:eastAsia="en-GB" w:bidi="bn-IN"/>
          <w14:ligatures w14:val="none"/>
        </w:rPr>
        <w:t>it</w:t>
      </w:r>
      <w:r w:rsidRPr="00D13708">
        <w:rPr>
          <w:rFonts w:ascii="Arial" w:eastAsia="Times New Roman" w:hAnsi="Arial" w:cs="Arial"/>
          <w:color w:val="000000"/>
          <w:szCs w:val="24"/>
          <w:lang w:eastAsia="en-GB" w:bidi="bn-IN"/>
          <w14:ligatures w14:val="none"/>
        </w:rPr>
        <w:t xml:space="preserve"> to be a cost leader in a commodity industry</w:t>
      </w:r>
      <w:r>
        <w:rPr>
          <w:rFonts w:ascii="Arial" w:eastAsia="Times New Roman" w:hAnsi="Arial" w:cs="Arial"/>
          <w:color w:val="000000"/>
          <w:szCs w:val="24"/>
          <w:lang w:eastAsia="en-GB" w:bidi="bn-IN"/>
          <w14:ligatures w14:val="none"/>
        </w:rPr>
        <w:t xml:space="preserve"> </w:t>
      </w:r>
      <w:r w:rsidRPr="001A46C5">
        <w:rPr>
          <w:rFonts w:ascii="Arial" w:eastAsia="Times New Roman" w:hAnsi="Arial" w:cs="Arial"/>
          <w:color w:val="000000"/>
          <w:szCs w:val="24"/>
          <w:lang w:eastAsia="en-GB" w:bidi="bn-IN"/>
          <w14:ligatures w14:val="none"/>
        </w:rPr>
        <w:t>(</w:t>
      </w:r>
      <w:proofErr w:type="spellStart"/>
      <w:r w:rsidRPr="001A46C5">
        <w:rPr>
          <w:rFonts w:ascii="Arial" w:eastAsia="Times New Roman" w:hAnsi="Arial" w:cs="Arial"/>
          <w:color w:val="000000"/>
          <w:szCs w:val="24"/>
          <w:lang w:eastAsia="en-GB" w:bidi="bn-IN"/>
          <w14:ligatures w14:val="none"/>
        </w:rPr>
        <w:t>Bulgakov</w:t>
      </w:r>
      <w:proofErr w:type="spellEnd"/>
      <w:r w:rsidRPr="001A46C5">
        <w:rPr>
          <w:rFonts w:ascii="Arial" w:eastAsia="Times New Roman" w:hAnsi="Arial" w:cs="Arial"/>
          <w:color w:val="000000"/>
          <w:szCs w:val="24"/>
          <w:lang w:eastAsia="en-GB" w:bidi="bn-IN"/>
          <w14:ligatures w14:val="none"/>
        </w:rPr>
        <w:t xml:space="preserve"> and Makarenko, 2022)</w:t>
      </w:r>
      <w:r w:rsidRPr="00D13708">
        <w:rPr>
          <w:rFonts w:ascii="Arial" w:eastAsia="Times New Roman" w:hAnsi="Arial" w:cs="Arial"/>
          <w:color w:val="000000"/>
          <w:szCs w:val="24"/>
          <w:lang w:eastAsia="en-GB" w:bidi="bn-IN"/>
          <w14:ligatures w14:val="none"/>
        </w:rPr>
        <w:t xml:space="preserve">. However, </w:t>
      </w:r>
      <w:r>
        <w:rPr>
          <w:rFonts w:ascii="Arial" w:eastAsia="Times New Roman" w:hAnsi="Arial" w:cs="Arial"/>
          <w:color w:val="000000"/>
          <w:szCs w:val="24"/>
          <w:lang w:eastAsia="en-GB" w:bidi="bn-IN"/>
          <w14:ligatures w14:val="none"/>
        </w:rPr>
        <w:t xml:space="preserve">the </w:t>
      </w:r>
      <w:r w:rsidRPr="00D13708">
        <w:rPr>
          <w:rFonts w:ascii="Arial" w:eastAsia="Times New Roman" w:hAnsi="Arial" w:cs="Arial"/>
          <w:color w:val="000000"/>
          <w:szCs w:val="24"/>
          <w:lang w:eastAsia="en-GB" w:bidi="bn-IN"/>
          <w14:ligatures w14:val="none"/>
        </w:rPr>
        <w:t>increasing regulatory environment</w:t>
      </w:r>
      <w:r>
        <w:rPr>
          <w:rFonts w:ascii="Arial" w:eastAsia="Times New Roman" w:hAnsi="Arial" w:cs="Arial"/>
          <w:color w:val="000000"/>
          <w:szCs w:val="24"/>
          <w:lang w:eastAsia="en-GB" w:bidi="bn-IN"/>
          <w14:ligatures w14:val="none"/>
        </w:rPr>
        <w:t>,</w:t>
      </w:r>
      <w:r w:rsidRPr="00D13708">
        <w:rPr>
          <w:rFonts w:ascii="Arial" w:eastAsia="Times New Roman" w:hAnsi="Arial" w:cs="Arial"/>
          <w:color w:val="000000"/>
          <w:szCs w:val="24"/>
          <w:lang w:eastAsia="en-GB" w:bidi="bn-IN"/>
          <w14:ligatures w14:val="none"/>
        </w:rPr>
        <w:t xml:space="preserve"> geopolitical instability and global warming policies will have a negative impact on its future performance. However, despite the upstream industry being a cash machine, it can be very fragile. Hence, for sustained competitiveness, BP needs to enhance its cost management, risk management and optimise its upstream business based on </w:t>
      </w:r>
      <w:r>
        <w:rPr>
          <w:rFonts w:ascii="Arial" w:eastAsia="Times New Roman" w:hAnsi="Arial" w:cs="Arial"/>
          <w:color w:val="000000"/>
          <w:szCs w:val="24"/>
          <w:lang w:eastAsia="en-GB" w:bidi="bn-IN"/>
          <w14:ligatures w14:val="none"/>
        </w:rPr>
        <w:t xml:space="preserve">the </w:t>
      </w:r>
      <w:r w:rsidRPr="00D13708">
        <w:rPr>
          <w:rFonts w:ascii="Arial" w:eastAsia="Times New Roman" w:hAnsi="Arial" w:cs="Arial"/>
          <w:color w:val="000000"/>
          <w:szCs w:val="24"/>
          <w:lang w:eastAsia="en-GB" w:bidi="bn-IN"/>
          <w14:ligatures w14:val="none"/>
        </w:rPr>
        <w:t>changing regulatory and market environment</w:t>
      </w:r>
      <w:r w:rsidR="009C468E" w:rsidRPr="001A46C5">
        <w:rPr>
          <w:rFonts w:ascii="Arial" w:eastAsia="Times New Roman" w:hAnsi="Arial" w:cs="Arial"/>
          <w:color w:val="000000"/>
          <w:szCs w:val="24"/>
          <w:lang w:eastAsia="en-GB" w:bidi="bn-IN"/>
          <w14:ligatures w14:val="none"/>
        </w:rPr>
        <w:t>.</w:t>
      </w:r>
    </w:p>
    <w:p w14:paraId="233AA2FB" w14:textId="77777777" w:rsidR="009C468E" w:rsidRPr="001A46C5" w:rsidRDefault="009C468E" w:rsidP="009C468E">
      <w:pPr>
        <w:rPr>
          <w:rFonts w:ascii="Arial" w:eastAsia="Times New Roman" w:hAnsi="Arial" w:cs="Arial"/>
          <w:szCs w:val="24"/>
          <w:lang w:eastAsia="en-GB" w:bidi="bn-IN"/>
          <w14:ligatures w14:val="none"/>
        </w:rPr>
      </w:pPr>
    </w:p>
    <w:p w14:paraId="1B8B299D" w14:textId="77777777" w:rsidR="009C468E" w:rsidRPr="001A46C5" w:rsidRDefault="009C468E" w:rsidP="009C468E">
      <w:pPr>
        <w:rPr>
          <w:rFonts w:ascii="Arial" w:eastAsia="Times New Roman" w:hAnsi="Arial" w:cs="Arial"/>
          <w:szCs w:val="24"/>
          <w:lang w:eastAsia="en-GB" w:bidi="bn-IN"/>
          <w14:ligatures w14:val="none"/>
        </w:rPr>
      </w:pPr>
    </w:p>
    <w:p w14:paraId="3A7FF398" w14:textId="7873B692" w:rsidR="003A6EBB" w:rsidRPr="001A46C5" w:rsidRDefault="003A6EBB">
      <w:pPr>
        <w:spacing w:after="160" w:line="259" w:lineRule="auto"/>
        <w:jc w:val="left"/>
        <w:rPr>
          <w:rFonts w:ascii="Arial" w:hAnsi="Arial" w:cs="Arial"/>
        </w:rPr>
      </w:pPr>
      <w:r w:rsidRPr="001A46C5">
        <w:rPr>
          <w:rFonts w:ascii="Arial" w:hAnsi="Arial" w:cs="Arial"/>
        </w:rPr>
        <w:br w:type="page"/>
      </w:r>
    </w:p>
    <w:p w14:paraId="0A2FF9A0" w14:textId="53D94EC9" w:rsidR="00F73F60" w:rsidRPr="001A46C5" w:rsidRDefault="003A6EBB" w:rsidP="003A6EBB">
      <w:pPr>
        <w:pStyle w:val="Heading1"/>
        <w:rPr>
          <w:rFonts w:ascii="Arial" w:hAnsi="Arial" w:cs="Arial"/>
        </w:rPr>
      </w:pPr>
      <w:bookmarkStart w:id="35" w:name="_Toc228469831"/>
      <w:r w:rsidRPr="001A46C5">
        <w:rPr>
          <w:rFonts w:ascii="Arial" w:hAnsi="Arial" w:cs="Arial"/>
        </w:rPr>
        <w:t>Reference</w:t>
      </w:r>
      <w:bookmarkEnd w:id="35"/>
    </w:p>
    <w:p w14:paraId="73ED3516" w14:textId="77777777" w:rsidR="00927F29" w:rsidRPr="001A46C5" w:rsidRDefault="00927F29" w:rsidP="00185540">
      <w:pPr>
        <w:rPr>
          <w:rFonts w:ascii="Arial" w:hAnsi="Arial" w:cs="Arial"/>
          <w:lang w:val="en-US"/>
        </w:rPr>
      </w:pPr>
      <w:r w:rsidRPr="001A46C5">
        <w:rPr>
          <w:rFonts w:ascii="Arial" w:hAnsi="Arial" w:cs="Arial"/>
        </w:rPr>
        <w:t>Akhtar, M. and Sushil (2018) ‘Managing strategic performance in a dynamic business environment: A study of two Indian oil companies’, </w:t>
      </w:r>
      <w:r w:rsidRPr="001A46C5">
        <w:rPr>
          <w:rFonts w:ascii="Arial" w:hAnsi="Arial" w:cs="Arial"/>
          <w:i/>
        </w:rPr>
        <w:t>Global Business and Organizational Excellence</w:t>
      </w:r>
      <w:r w:rsidRPr="001A46C5">
        <w:rPr>
          <w:rFonts w:ascii="Arial" w:hAnsi="Arial" w:cs="Arial"/>
        </w:rPr>
        <w:t xml:space="preserve">, 37(5), pp. 47–62. Available at: </w:t>
      </w:r>
      <w:hyperlink r:id="rId15" w:history="1">
        <w:r w:rsidRPr="001A46C5">
          <w:rPr>
            <w:rStyle w:val="Hyperlink"/>
            <w:rFonts w:ascii="Arial" w:hAnsi="Arial" w:cs="Arial"/>
          </w:rPr>
          <w:t>https://doi.org/10.1002/joe.21876</w:t>
        </w:r>
      </w:hyperlink>
      <w:r w:rsidRPr="001A46C5">
        <w:rPr>
          <w:rFonts w:ascii="Arial" w:hAnsi="Arial" w:cs="Arial"/>
        </w:rPr>
        <w:t>.</w:t>
      </w:r>
      <w:r w:rsidRPr="001A46C5">
        <w:rPr>
          <w:rFonts w:ascii="Arial" w:hAnsi="Arial" w:cs="Arial"/>
          <w:lang w:val="en-US"/>
        </w:rPr>
        <w:t xml:space="preserve"> </w:t>
      </w:r>
    </w:p>
    <w:p w14:paraId="6E1A8A0C" w14:textId="77777777" w:rsidR="00927F29" w:rsidRPr="001A46C5" w:rsidRDefault="00927F29" w:rsidP="00185540">
      <w:pPr>
        <w:rPr>
          <w:rFonts w:ascii="Arial" w:hAnsi="Arial" w:cs="Arial"/>
          <w:lang w:val="en-US"/>
        </w:rPr>
      </w:pPr>
      <w:r w:rsidRPr="001A46C5">
        <w:rPr>
          <w:rFonts w:ascii="Arial" w:hAnsi="Arial" w:cs="Arial"/>
        </w:rPr>
        <w:t>Al-Mana, A.A., Nawaz, W., Kamal, A. and Koҫ, M. (2020) ‘Financial and operational efficiencies of national and international oil companies: An empirical investigation’, </w:t>
      </w:r>
      <w:r w:rsidRPr="001A46C5">
        <w:rPr>
          <w:rFonts w:ascii="Arial" w:hAnsi="Arial" w:cs="Arial"/>
          <w:i/>
        </w:rPr>
        <w:t>Resources Policy</w:t>
      </w:r>
      <w:r w:rsidRPr="001A46C5">
        <w:rPr>
          <w:rFonts w:ascii="Arial" w:hAnsi="Arial" w:cs="Arial"/>
        </w:rPr>
        <w:t xml:space="preserve">, 68, p. 101701. Available at: </w:t>
      </w:r>
      <w:hyperlink r:id="rId16" w:history="1">
        <w:r w:rsidRPr="001A46C5">
          <w:rPr>
            <w:rStyle w:val="Hyperlink"/>
            <w:rFonts w:ascii="Arial" w:hAnsi="Arial" w:cs="Arial"/>
          </w:rPr>
          <w:t>https://doi.org/10.1016/j.resourpol.2020.101701</w:t>
        </w:r>
      </w:hyperlink>
      <w:r w:rsidRPr="001A46C5">
        <w:rPr>
          <w:rFonts w:ascii="Arial" w:hAnsi="Arial" w:cs="Arial"/>
        </w:rPr>
        <w:t>.</w:t>
      </w:r>
      <w:r w:rsidRPr="001A46C5">
        <w:rPr>
          <w:rFonts w:ascii="Arial" w:hAnsi="Arial" w:cs="Arial"/>
          <w:lang w:val="en-US"/>
        </w:rPr>
        <w:t xml:space="preserve"> </w:t>
      </w:r>
    </w:p>
    <w:p w14:paraId="0B2ECE59" w14:textId="77777777" w:rsidR="00927F29" w:rsidRPr="001A46C5" w:rsidRDefault="00927F29" w:rsidP="00A855FB">
      <w:pPr>
        <w:rPr>
          <w:rFonts w:ascii="Arial" w:hAnsi="Arial" w:cs="Arial"/>
          <w:lang w:val="en-US"/>
        </w:rPr>
      </w:pPr>
      <w:r w:rsidRPr="00927F29">
        <w:rPr>
          <w:rFonts w:ascii="Arial" w:hAnsi="Arial" w:cs="Arial"/>
        </w:rPr>
        <w:t>Antràs, P. and Chor, D. (2022) ‘Global Value Chains’, </w:t>
      </w:r>
      <w:r w:rsidRPr="00927F29">
        <w:rPr>
          <w:rFonts w:ascii="Arial" w:hAnsi="Arial" w:cs="Arial"/>
          <w:i/>
        </w:rPr>
        <w:t>Handbook of International Economics: International Trade, Volume 5</w:t>
      </w:r>
      <w:r w:rsidRPr="00927F29">
        <w:rPr>
          <w:rFonts w:ascii="Arial" w:hAnsi="Arial" w:cs="Arial"/>
        </w:rPr>
        <w:t xml:space="preserve">, 5, pp. 297–376. Available at: </w:t>
      </w:r>
      <w:hyperlink r:id="rId17" w:history="1">
        <w:r w:rsidRPr="00927F29">
          <w:rPr>
            <w:rStyle w:val="Hyperlink"/>
            <w:rFonts w:ascii="Arial" w:hAnsi="Arial" w:cs="Arial"/>
          </w:rPr>
          <w:t>https://doi.org/10.1016/bs.hesint.2022.02.005</w:t>
        </w:r>
      </w:hyperlink>
      <w:r w:rsidRPr="00927F29">
        <w:rPr>
          <w:rFonts w:ascii="Arial" w:hAnsi="Arial" w:cs="Arial"/>
        </w:rPr>
        <w:t>.</w:t>
      </w:r>
      <w:r w:rsidRPr="001A46C5">
        <w:rPr>
          <w:rFonts w:ascii="Arial" w:hAnsi="Arial" w:cs="Arial"/>
          <w:lang w:val="en-US"/>
        </w:rPr>
        <w:t xml:space="preserve"> </w:t>
      </w:r>
    </w:p>
    <w:p w14:paraId="1DAED3AC" w14:textId="77777777" w:rsidR="00927F29" w:rsidRPr="001A46C5" w:rsidRDefault="00927F29" w:rsidP="00DA32E0">
      <w:pPr>
        <w:rPr>
          <w:rFonts w:ascii="Arial" w:hAnsi="Arial" w:cs="Arial"/>
          <w:lang w:val="en-US"/>
        </w:rPr>
      </w:pPr>
      <w:r w:rsidRPr="001A46C5">
        <w:rPr>
          <w:rFonts w:ascii="Arial" w:hAnsi="Arial" w:cs="Arial"/>
        </w:rPr>
        <w:t>Barker, D.J., Lencucha, J. and Anderson, R. (2016) ‘Kolb’s learning cycle as a framework for early fieldwork learning’, </w:t>
      </w:r>
      <w:r w:rsidRPr="001A46C5">
        <w:rPr>
          <w:rFonts w:ascii="Arial" w:hAnsi="Arial" w:cs="Arial"/>
          <w:i/>
        </w:rPr>
        <w:t>World Federation of Occupational Therapists Bulletin</w:t>
      </w:r>
      <w:r w:rsidRPr="001A46C5">
        <w:rPr>
          <w:rFonts w:ascii="Arial" w:hAnsi="Arial" w:cs="Arial"/>
        </w:rPr>
        <w:t xml:space="preserve">, 72(1), pp. 28–34. Available at: </w:t>
      </w:r>
      <w:hyperlink r:id="rId18" w:history="1">
        <w:r w:rsidRPr="001A46C5">
          <w:rPr>
            <w:rStyle w:val="Hyperlink"/>
            <w:rFonts w:ascii="Arial" w:hAnsi="Arial" w:cs="Arial"/>
          </w:rPr>
          <w:t>https://doi.org/10.1080/14473828.2016.1162373</w:t>
        </w:r>
      </w:hyperlink>
      <w:r w:rsidRPr="001A46C5">
        <w:rPr>
          <w:rFonts w:ascii="Arial" w:hAnsi="Arial" w:cs="Arial"/>
        </w:rPr>
        <w:t>.</w:t>
      </w:r>
      <w:r w:rsidRPr="001A46C5">
        <w:rPr>
          <w:rFonts w:ascii="Arial" w:hAnsi="Arial" w:cs="Arial"/>
          <w:lang w:val="en-US"/>
        </w:rPr>
        <w:t xml:space="preserve"> </w:t>
      </w:r>
    </w:p>
    <w:p w14:paraId="56FB2ED2" w14:textId="77777777" w:rsidR="00927F29" w:rsidRPr="001A46C5" w:rsidRDefault="00927F29" w:rsidP="00185540">
      <w:pPr>
        <w:rPr>
          <w:rFonts w:ascii="Arial" w:hAnsi="Arial" w:cs="Arial"/>
          <w:lang w:val="en-US"/>
        </w:rPr>
      </w:pPr>
      <w:r w:rsidRPr="001A46C5">
        <w:rPr>
          <w:rFonts w:ascii="Arial" w:hAnsi="Arial" w:cs="Arial"/>
        </w:rPr>
        <w:t>Bergh, L.I.V., Hinna, S., Leka, S. and Zwetsloot, G.I.J.M. (2016) ‘Developing and testing an internal audit tool of the psychosocial work environment in the oil and gas industry’, </w:t>
      </w:r>
      <w:r w:rsidRPr="001A46C5">
        <w:rPr>
          <w:rFonts w:ascii="Arial" w:hAnsi="Arial" w:cs="Arial"/>
          <w:i/>
        </w:rPr>
        <w:t>Safety Science</w:t>
      </w:r>
      <w:r w:rsidRPr="001A46C5">
        <w:rPr>
          <w:rFonts w:ascii="Arial" w:hAnsi="Arial" w:cs="Arial"/>
        </w:rPr>
        <w:t xml:space="preserve">, 88, pp. 232–241. Available at: </w:t>
      </w:r>
      <w:hyperlink r:id="rId19" w:history="1">
        <w:r w:rsidRPr="001A46C5">
          <w:rPr>
            <w:rStyle w:val="Hyperlink"/>
            <w:rFonts w:ascii="Arial" w:hAnsi="Arial" w:cs="Arial"/>
          </w:rPr>
          <w:t>https://doi.org/10.1016/j.ssci.2015.06.003</w:t>
        </w:r>
      </w:hyperlink>
      <w:r w:rsidRPr="001A46C5">
        <w:rPr>
          <w:rFonts w:ascii="Arial" w:hAnsi="Arial" w:cs="Arial"/>
        </w:rPr>
        <w:t>.</w:t>
      </w:r>
      <w:r w:rsidRPr="001A46C5">
        <w:rPr>
          <w:rFonts w:ascii="Arial" w:hAnsi="Arial" w:cs="Arial"/>
          <w:lang w:val="en-US"/>
        </w:rPr>
        <w:t xml:space="preserve"> </w:t>
      </w:r>
    </w:p>
    <w:p w14:paraId="7D40171C" w14:textId="77777777" w:rsidR="00927F29" w:rsidRPr="001A46C5" w:rsidRDefault="00927F29" w:rsidP="00185540">
      <w:pPr>
        <w:rPr>
          <w:rFonts w:ascii="Arial" w:eastAsia="Times New Roman" w:hAnsi="Arial" w:cs="Arial"/>
          <w:lang w:eastAsia="en-GB" w:bidi="bn-IN"/>
        </w:rPr>
      </w:pPr>
      <w:r w:rsidRPr="001A46C5">
        <w:rPr>
          <w:rFonts w:ascii="Arial" w:eastAsia="Times New Roman" w:hAnsi="Arial" w:cs="Arial"/>
          <w:lang w:eastAsia="en-GB" w:bidi="bn-IN"/>
        </w:rPr>
        <w:t>BP (2025) </w:t>
      </w:r>
      <w:r w:rsidRPr="001A46C5">
        <w:rPr>
          <w:rFonts w:ascii="Arial" w:eastAsia="Times New Roman" w:hAnsi="Arial" w:cs="Arial"/>
          <w:i/>
          <w:lang w:eastAsia="en-GB" w:bidi="bn-IN"/>
        </w:rPr>
        <w:t>Our history | Who we are | Home</w:t>
      </w:r>
      <w:r w:rsidRPr="001A46C5">
        <w:rPr>
          <w:rFonts w:ascii="Arial" w:eastAsia="Times New Roman" w:hAnsi="Arial" w:cs="Arial"/>
          <w:lang w:eastAsia="en-GB" w:bidi="bn-IN"/>
        </w:rPr>
        <w:t>, </w:t>
      </w:r>
      <w:r w:rsidRPr="001A46C5">
        <w:rPr>
          <w:rFonts w:ascii="Arial" w:eastAsia="Times New Roman" w:hAnsi="Arial" w:cs="Arial"/>
          <w:i/>
          <w:lang w:eastAsia="en-GB" w:bidi="bn-IN"/>
        </w:rPr>
        <w:t>BP global</w:t>
      </w:r>
      <w:r w:rsidRPr="001A46C5">
        <w:rPr>
          <w:rFonts w:ascii="Arial" w:eastAsia="Times New Roman" w:hAnsi="Arial" w:cs="Arial"/>
          <w:lang w:eastAsia="en-GB" w:bidi="bn-IN"/>
        </w:rPr>
        <w:t xml:space="preserve">. BP global. Available at: </w:t>
      </w:r>
      <w:hyperlink r:id="rId20" w:history="1">
        <w:r w:rsidRPr="001A46C5">
          <w:rPr>
            <w:rStyle w:val="Hyperlink"/>
            <w:rFonts w:ascii="Arial" w:eastAsia="Times New Roman" w:hAnsi="Arial" w:cs="Arial"/>
            <w:lang w:eastAsia="en-GB" w:bidi="bn-IN"/>
          </w:rPr>
          <w:t>https://www.bp.com/en/global/corporate/who-we-are/our-history.html</w:t>
        </w:r>
      </w:hyperlink>
      <w:r w:rsidRPr="001A46C5">
        <w:rPr>
          <w:rFonts w:ascii="Arial" w:eastAsia="Times New Roman" w:hAnsi="Arial" w:cs="Arial"/>
          <w:lang w:val="en-US" w:eastAsia="en-GB" w:bidi="bn-IN"/>
        </w:rPr>
        <w:t xml:space="preserve"> </w:t>
      </w:r>
      <w:r w:rsidRPr="001A46C5">
        <w:rPr>
          <w:rFonts w:ascii="Arial" w:eastAsia="Times New Roman" w:hAnsi="Arial" w:cs="Arial"/>
          <w:lang w:eastAsia="en-GB" w:bidi="bn-IN"/>
        </w:rPr>
        <w:t>(Accessed: 20 March 2026).</w:t>
      </w:r>
    </w:p>
    <w:p w14:paraId="1EC391CC" w14:textId="77777777" w:rsidR="00927F29" w:rsidRPr="001A46C5" w:rsidRDefault="00927F29" w:rsidP="00185540">
      <w:pPr>
        <w:rPr>
          <w:rFonts w:ascii="Arial" w:eastAsia="Times New Roman" w:hAnsi="Arial" w:cs="Arial"/>
          <w:lang w:eastAsia="en-GB" w:bidi="bn-IN"/>
        </w:rPr>
      </w:pPr>
      <w:r w:rsidRPr="001A46C5">
        <w:rPr>
          <w:rFonts w:ascii="Arial" w:eastAsia="Times New Roman" w:hAnsi="Arial" w:cs="Arial"/>
          <w:lang w:eastAsia="en-GB" w:bidi="bn-IN"/>
        </w:rPr>
        <w:t>BP plc (2026) </w:t>
      </w:r>
      <w:r w:rsidRPr="001A46C5">
        <w:rPr>
          <w:rFonts w:ascii="Arial" w:eastAsia="Times New Roman" w:hAnsi="Arial" w:cs="Arial"/>
          <w:i/>
          <w:lang w:eastAsia="en-GB" w:bidi="bn-IN"/>
        </w:rPr>
        <w:t>BP Annual Report and Form 20-F 2025</w:t>
      </w:r>
      <w:r w:rsidRPr="001A46C5">
        <w:rPr>
          <w:rFonts w:ascii="Arial" w:eastAsia="Times New Roman" w:hAnsi="Arial" w:cs="Arial"/>
          <w:lang w:eastAsia="en-GB" w:bidi="bn-IN"/>
        </w:rPr>
        <w:t>, </w:t>
      </w:r>
      <w:r w:rsidRPr="001A46C5">
        <w:rPr>
          <w:rFonts w:ascii="Arial" w:eastAsia="Times New Roman" w:hAnsi="Arial" w:cs="Arial"/>
          <w:i/>
          <w:lang w:eastAsia="en-GB" w:bidi="bn-IN"/>
        </w:rPr>
        <w:t>https://www.bp.com</w:t>
      </w:r>
      <w:r w:rsidRPr="001A46C5">
        <w:rPr>
          <w:rFonts w:ascii="Arial" w:eastAsia="Times New Roman" w:hAnsi="Arial" w:cs="Arial"/>
          <w:lang w:eastAsia="en-GB" w:bidi="bn-IN"/>
        </w:rPr>
        <w:t xml:space="preserve">. BP plc. Available at: </w:t>
      </w:r>
      <w:hyperlink r:id="rId21" w:history="1">
        <w:r w:rsidRPr="001A46C5">
          <w:rPr>
            <w:rStyle w:val="Hyperlink"/>
            <w:rFonts w:ascii="Arial" w:eastAsia="Times New Roman" w:hAnsi="Arial" w:cs="Arial"/>
            <w:lang w:eastAsia="en-GB" w:bidi="bn-IN"/>
          </w:rPr>
          <w:t>https://www.bp.com/content/dam/bp/business-sites/en/global/corporate/pdfs/investors/bp-annual-report-and-form-20f-2025.pdf</w:t>
        </w:r>
      </w:hyperlink>
      <w:r w:rsidRPr="001A46C5">
        <w:rPr>
          <w:rFonts w:ascii="Arial" w:eastAsia="Times New Roman" w:hAnsi="Arial" w:cs="Arial"/>
          <w:lang w:val="en-US" w:eastAsia="en-GB" w:bidi="bn-IN"/>
        </w:rPr>
        <w:t xml:space="preserve"> </w:t>
      </w:r>
      <w:r w:rsidRPr="001A46C5">
        <w:rPr>
          <w:rFonts w:ascii="Arial" w:eastAsia="Times New Roman" w:hAnsi="Arial" w:cs="Arial"/>
          <w:lang w:eastAsia="en-GB" w:bidi="bn-IN"/>
        </w:rPr>
        <w:t>(Accessed: 20 March 2026).</w:t>
      </w:r>
    </w:p>
    <w:p w14:paraId="4FBD05EA" w14:textId="77777777" w:rsidR="00927F29" w:rsidRPr="001A46C5" w:rsidRDefault="00927F29" w:rsidP="00185540">
      <w:pPr>
        <w:rPr>
          <w:rFonts w:ascii="Arial" w:eastAsia="Times New Roman" w:hAnsi="Arial" w:cs="Arial"/>
          <w:lang w:val="en-US" w:eastAsia="en-GB" w:bidi="bn-IN"/>
        </w:rPr>
      </w:pPr>
      <w:r w:rsidRPr="001A46C5">
        <w:rPr>
          <w:rFonts w:ascii="Arial" w:eastAsia="Times New Roman" w:hAnsi="Arial" w:cs="Arial"/>
          <w:lang w:eastAsia="en-GB" w:bidi="bn-IN"/>
        </w:rPr>
        <w:t>Bulgakov, S. and Makarenko, E. (2022) ‘The Development of an Integrated External Environment Monitoring Framework Aimed at the Internal Control of the Procurement Process of Fat and Oil Companies’, </w:t>
      </w:r>
      <w:r w:rsidRPr="001A46C5">
        <w:rPr>
          <w:rFonts w:ascii="Arial" w:eastAsia="Times New Roman" w:hAnsi="Arial" w:cs="Arial"/>
          <w:i/>
          <w:lang w:eastAsia="en-GB" w:bidi="bn-IN"/>
        </w:rPr>
        <w:t>Journal of Risk and Financial Management</w:t>
      </w:r>
      <w:r w:rsidRPr="001A46C5">
        <w:rPr>
          <w:rFonts w:ascii="Arial" w:eastAsia="Times New Roman" w:hAnsi="Arial" w:cs="Arial"/>
          <w:lang w:eastAsia="en-GB" w:bidi="bn-IN"/>
        </w:rPr>
        <w:t xml:space="preserve">, 15(2), p. 50. Available at: </w:t>
      </w:r>
      <w:hyperlink r:id="rId22" w:history="1">
        <w:r w:rsidRPr="001A46C5">
          <w:rPr>
            <w:rStyle w:val="Hyperlink"/>
            <w:rFonts w:ascii="Arial" w:eastAsia="Times New Roman" w:hAnsi="Arial" w:cs="Arial"/>
            <w:lang w:eastAsia="en-GB" w:bidi="bn-IN"/>
          </w:rPr>
          <w:t>https://doi.org/10.3390/jrfm15020050</w:t>
        </w:r>
      </w:hyperlink>
      <w:r w:rsidRPr="001A46C5">
        <w:rPr>
          <w:rFonts w:ascii="Arial" w:eastAsia="Times New Roman" w:hAnsi="Arial" w:cs="Arial"/>
          <w:lang w:eastAsia="en-GB" w:bidi="bn-IN"/>
        </w:rPr>
        <w:t>.</w:t>
      </w:r>
      <w:r w:rsidRPr="001A46C5">
        <w:rPr>
          <w:rFonts w:ascii="Arial" w:eastAsia="Times New Roman" w:hAnsi="Arial" w:cs="Arial"/>
          <w:lang w:val="en-US" w:eastAsia="en-GB" w:bidi="bn-IN"/>
        </w:rPr>
        <w:t xml:space="preserve"> </w:t>
      </w:r>
    </w:p>
    <w:p w14:paraId="2198D4CD" w14:textId="77777777" w:rsidR="00927F29" w:rsidRPr="001A46C5" w:rsidRDefault="00927F29" w:rsidP="00185540">
      <w:pPr>
        <w:rPr>
          <w:rFonts w:ascii="Arial" w:eastAsia="Times New Roman" w:hAnsi="Arial" w:cs="Arial"/>
          <w:lang w:eastAsia="en-GB" w:bidi="bn-IN"/>
        </w:rPr>
      </w:pPr>
      <w:r w:rsidRPr="001A46C5">
        <w:rPr>
          <w:rFonts w:ascii="Arial" w:eastAsia="Times New Roman" w:hAnsi="Arial" w:cs="Arial"/>
          <w:lang w:eastAsia="en-GB" w:bidi="bn-IN"/>
        </w:rPr>
        <w:t>Edser, N. (2026) ‘BP steps up cost cutting as profits slide’, </w:t>
      </w:r>
      <w:r w:rsidRPr="001A46C5">
        <w:rPr>
          <w:rFonts w:ascii="Arial" w:eastAsia="Times New Roman" w:hAnsi="Arial" w:cs="Arial"/>
          <w:i/>
          <w:lang w:eastAsia="en-GB" w:bidi="bn-IN"/>
        </w:rPr>
        <w:t>BBC News</w:t>
      </w:r>
      <w:r w:rsidRPr="001A46C5">
        <w:rPr>
          <w:rFonts w:ascii="Arial" w:eastAsia="Times New Roman" w:hAnsi="Arial" w:cs="Arial"/>
          <w:lang w:eastAsia="en-GB" w:bidi="bn-IN"/>
        </w:rPr>
        <w:t xml:space="preserve">, 10 February. Available at: </w:t>
      </w:r>
      <w:hyperlink r:id="rId23" w:history="1">
        <w:r w:rsidRPr="001A46C5">
          <w:rPr>
            <w:rStyle w:val="Hyperlink"/>
            <w:rFonts w:ascii="Arial" w:eastAsia="Times New Roman" w:hAnsi="Arial" w:cs="Arial"/>
            <w:lang w:eastAsia="en-GB" w:bidi="bn-IN"/>
          </w:rPr>
          <w:t>https://www.bbc.com/news/articles/cz0g4dkm77zo</w:t>
        </w:r>
      </w:hyperlink>
      <w:r w:rsidRPr="001A46C5">
        <w:rPr>
          <w:rFonts w:ascii="Arial" w:eastAsia="Times New Roman" w:hAnsi="Arial" w:cs="Arial"/>
          <w:lang w:val="en-US" w:eastAsia="en-GB" w:bidi="bn-IN"/>
        </w:rPr>
        <w:t xml:space="preserve"> </w:t>
      </w:r>
      <w:r w:rsidRPr="001A46C5">
        <w:rPr>
          <w:rFonts w:ascii="Arial" w:eastAsia="Times New Roman" w:hAnsi="Arial" w:cs="Arial"/>
          <w:lang w:eastAsia="en-GB" w:bidi="bn-IN"/>
        </w:rPr>
        <w:t xml:space="preserve"> (Accessed: 10 March 2026).</w:t>
      </w:r>
    </w:p>
    <w:p w14:paraId="7F287A6F" w14:textId="77777777" w:rsidR="00927F29" w:rsidRPr="001A46C5" w:rsidRDefault="00927F29" w:rsidP="00A855FB">
      <w:pPr>
        <w:rPr>
          <w:rFonts w:ascii="Arial" w:hAnsi="Arial" w:cs="Arial"/>
          <w:lang w:val="en-US"/>
        </w:rPr>
      </w:pPr>
      <w:r w:rsidRPr="001A46C5">
        <w:rPr>
          <w:rFonts w:ascii="Arial" w:hAnsi="Arial" w:cs="Arial"/>
        </w:rPr>
        <w:t xml:space="preserve">Hansen, M.W. (2020) ‘Toward a strategic management perspective on local content in African extractives: MNC procurement strategies between local responsiveness and global integration’, </w:t>
      </w:r>
      <w:r w:rsidRPr="001A46C5">
        <w:rPr>
          <w:rFonts w:ascii="Arial" w:hAnsi="Arial" w:cs="Arial"/>
          <w:i/>
        </w:rPr>
        <w:t>Africa Journal of Management</w:t>
      </w:r>
      <w:r w:rsidRPr="001A46C5">
        <w:rPr>
          <w:rFonts w:ascii="Arial" w:hAnsi="Arial" w:cs="Arial"/>
        </w:rPr>
        <w:t xml:space="preserve">, 6(1), pp. 1–19. Available at: </w:t>
      </w:r>
      <w:hyperlink r:id="rId24" w:history="1">
        <w:r w:rsidRPr="001A46C5">
          <w:rPr>
            <w:rStyle w:val="Hyperlink"/>
            <w:rFonts w:ascii="Arial" w:hAnsi="Arial" w:cs="Arial"/>
          </w:rPr>
          <w:t>https://doi.org/10.1080/23322373.2020.1717283</w:t>
        </w:r>
      </w:hyperlink>
      <w:r w:rsidRPr="001A46C5">
        <w:rPr>
          <w:rFonts w:ascii="Arial" w:hAnsi="Arial" w:cs="Arial"/>
        </w:rPr>
        <w:t>.</w:t>
      </w:r>
      <w:r w:rsidRPr="001A46C5">
        <w:rPr>
          <w:rFonts w:ascii="Arial" w:hAnsi="Arial" w:cs="Arial"/>
          <w:lang w:val="en-US"/>
        </w:rPr>
        <w:t xml:space="preserve"> </w:t>
      </w:r>
    </w:p>
    <w:p w14:paraId="4EEDFCD8" w14:textId="77777777" w:rsidR="00927F29" w:rsidRPr="001A46C5" w:rsidRDefault="00927F29" w:rsidP="00185540">
      <w:pPr>
        <w:rPr>
          <w:rFonts w:ascii="Arial" w:eastAsia="Times New Roman" w:hAnsi="Arial" w:cs="Arial"/>
          <w:lang w:val="en-US" w:eastAsia="en-GB" w:bidi="bn-IN"/>
        </w:rPr>
      </w:pPr>
      <w:r w:rsidRPr="001A46C5">
        <w:rPr>
          <w:rFonts w:ascii="Arial" w:eastAsia="Times New Roman" w:hAnsi="Arial" w:cs="Arial"/>
          <w:lang w:eastAsia="en-GB" w:bidi="bn-IN"/>
        </w:rPr>
        <w:t>Hashmi, M.H.A., Khan, M. and Ajmal, M.M. (2020) ‘The impact of internal and external factors on sustainable procurement: a case study of oil and gas companies’, </w:t>
      </w:r>
      <w:r w:rsidRPr="001A46C5">
        <w:rPr>
          <w:rFonts w:ascii="Arial" w:eastAsia="Times New Roman" w:hAnsi="Arial" w:cs="Arial"/>
          <w:i/>
          <w:lang w:eastAsia="en-GB" w:bidi="bn-IN"/>
        </w:rPr>
        <w:t>International Journal of Procurement Management</w:t>
      </w:r>
      <w:r w:rsidRPr="001A46C5">
        <w:rPr>
          <w:rFonts w:ascii="Arial" w:eastAsia="Times New Roman" w:hAnsi="Arial" w:cs="Arial"/>
          <w:lang w:eastAsia="en-GB" w:bidi="bn-IN"/>
        </w:rPr>
        <w:t xml:space="preserve">, 13(1), p. 42. Available at: </w:t>
      </w:r>
      <w:hyperlink r:id="rId25" w:history="1">
        <w:r w:rsidRPr="001A46C5">
          <w:rPr>
            <w:rStyle w:val="Hyperlink"/>
            <w:rFonts w:ascii="Arial" w:eastAsia="Times New Roman" w:hAnsi="Arial" w:cs="Arial"/>
            <w:lang w:eastAsia="en-GB" w:bidi="bn-IN"/>
          </w:rPr>
          <w:t>https://doi.org/10.1504/ijpm.2020.105189</w:t>
        </w:r>
      </w:hyperlink>
      <w:r w:rsidRPr="001A46C5">
        <w:rPr>
          <w:rFonts w:ascii="Arial" w:eastAsia="Times New Roman" w:hAnsi="Arial" w:cs="Arial"/>
          <w:lang w:eastAsia="en-GB" w:bidi="bn-IN"/>
        </w:rPr>
        <w:t>.</w:t>
      </w:r>
      <w:r w:rsidRPr="001A46C5">
        <w:rPr>
          <w:rFonts w:ascii="Arial" w:eastAsia="Times New Roman" w:hAnsi="Arial" w:cs="Arial"/>
          <w:lang w:val="en-US" w:eastAsia="en-GB" w:bidi="bn-IN"/>
        </w:rPr>
        <w:t xml:space="preserve"> </w:t>
      </w:r>
    </w:p>
    <w:p w14:paraId="1B09C25D" w14:textId="77777777" w:rsidR="00927F29" w:rsidRPr="001A46C5" w:rsidRDefault="00927F29" w:rsidP="00185540">
      <w:pPr>
        <w:rPr>
          <w:rFonts w:ascii="Arial" w:hAnsi="Arial" w:cs="Arial"/>
          <w:lang w:val="en-US"/>
        </w:rPr>
      </w:pPr>
      <w:r w:rsidRPr="001A46C5">
        <w:rPr>
          <w:rFonts w:ascii="Arial" w:hAnsi="Arial" w:cs="Arial"/>
        </w:rPr>
        <w:t>Kassem, M., Khoiry, M.A. and Hamzah, N. (2020) ‘Structural modelling of internal risk factors for oil and gas construction projects’, </w:t>
      </w:r>
      <w:r w:rsidRPr="001A46C5">
        <w:rPr>
          <w:rFonts w:ascii="Arial" w:hAnsi="Arial" w:cs="Arial"/>
          <w:i/>
        </w:rPr>
        <w:t>International Journal of Energy Sector Management</w:t>
      </w:r>
      <w:r w:rsidRPr="001A46C5">
        <w:rPr>
          <w:rFonts w:ascii="Arial" w:hAnsi="Arial" w:cs="Arial"/>
        </w:rPr>
        <w:t xml:space="preserve">, 14(5). Available at: </w:t>
      </w:r>
      <w:hyperlink r:id="rId26" w:history="1">
        <w:r w:rsidRPr="001A46C5">
          <w:rPr>
            <w:rStyle w:val="Hyperlink"/>
            <w:rFonts w:ascii="Arial" w:hAnsi="Arial" w:cs="Arial"/>
          </w:rPr>
          <w:t>https://doi.org/10.1108/ijesm-11-2019-0022</w:t>
        </w:r>
      </w:hyperlink>
      <w:r w:rsidRPr="001A46C5">
        <w:rPr>
          <w:rFonts w:ascii="Arial" w:hAnsi="Arial" w:cs="Arial"/>
        </w:rPr>
        <w:t>.</w:t>
      </w:r>
      <w:r w:rsidRPr="001A46C5">
        <w:rPr>
          <w:rFonts w:ascii="Arial" w:hAnsi="Arial" w:cs="Arial"/>
          <w:lang w:val="en-US"/>
        </w:rPr>
        <w:t xml:space="preserve"> </w:t>
      </w:r>
    </w:p>
    <w:p w14:paraId="60721FBB" w14:textId="77777777" w:rsidR="00927F29" w:rsidRPr="001A46C5" w:rsidRDefault="00927F29" w:rsidP="00DA32E0">
      <w:pPr>
        <w:rPr>
          <w:rFonts w:ascii="Arial" w:hAnsi="Arial" w:cs="Arial"/>
          <w:lang w:val="en-US"/>
        </w:rPr>
      </w:pPr>
      <w:r w:rsidRPr="001A46C5">
        <w:rPr>
          <w:rFonts w:ascii="Arial" w:hAnsi="Arial" w:cs="Arial"/>
        </w:rPr>
        <w:t>Kleinheksel, A.J., Chen, W., Rudd, M.J., Drowos, J., Gupta, S., Minor, S. and Bailey, J.M. (2023) ‘Putting reflection back into practice: Kolb’s theory of experiential learning as a theoretical framework for just-in-time faculty development’, </w:t>
      </w:r>
      <w:r w:rsidRPr="001A46C5">
        <w:rPr>
          <w:rFonts w:ascii="Arial" w:hAnsi="Arial" w:cs="Arial"/>
          <w:i/>
        </w:rPr>
        <w:t>SN Social Sciences</w:t>
      </w:r>
      <w:r w:rsidRPr="001A46C5">
        <w:rPr>
          <w:rFonts w:ascii="Arial" w:hAnsi="Arial" w:cs="Arial"/>
        </w:rPr>
        <w:t xml:space="preserve">, 3(3). Available at: </w:t>
      </w:r>
      <w:hyperlink r:id="rId27" w:history="1">
        <w:r w:rsidRPr="001A46C5">
          <w:rPr>
            <w:rStyle w:val="Hyperlink"/>
            <w:rFonts w:ascii="Arial" w:hAnsi="Arial" w:cs="Arial"/>
          </w:rPr>
          <w:t>https://doi.org/10.1007/s43545-023-00649-z</w:t>
        </w:r>
      </w:hyperlink>
      <w:r w:rsidRPr="001A46C5">
        <w:rPr>
          <w:rFonts w:ascii="Arial" w:hAnsi="Arial" w:cs="Arial"/>
        </w:rPr>
        <w:t>.</w:t>
      </w:r>
      <w:r w:rsidRPr="001A46C5">
        <w:rPr>
          <w:rFonts w:ascii="Arial" w:hAnsi="Arial" w:cs="Arial"/>
          <w:lang w:val="en-US"/>
        </w:rPr>
        <w:t xml:space="preserve"> </w:t>
      </w:r>
    </w:p>
    <w:p w14:paraId="153840BF" w14:textId="77777777" w:rsidR="00927F29" w:rsidRPr="001A46C5" w:rsidRDefault="00927F29" w:rsidP="00A855FB">
      <w:pPr>
        <w:rPr>
          <w:rFonts w:ascii="Arial" w:hAnsi="Arial" w:cs="Arial"/>
          <w:lang w:val="en-US"/>
        </w:rPr>
      </w:pPr>
      <w:r w:rsidRPr="001A46C5">
        <w:rPr>
          <w:rFonts w:ascii="Arial" w:hAnsi="Arial" w:cs="Arial"/>
        </w:rPr>
        <w:t xml:space="preserve">Lakshman, S., Lakshman, C. and Estay, C. (2017) ‘The relationship between MNCs’ strategies and executive staffing’, </w:t>
      </w:r>
      <w:r w:rsidRPr="001A46C5">
        <w:rPr>
          <w:rFonts w:ascii="Arial" w:hAnsi="Arial" w:cs="Arial"/>
          <w:i/>
        </w:rPr>
        <w:t>International Journal of Organizational Analysis</w:t>
      </w:r>
      <w:r w:rsidRPr="001A46C5">
        <w:rPr>
          <w:rFonts w:ascii="Arial" w:hAnsi="Arial" w:cs="Arial"/>
        </w:rPr>
        <w:t xml:space="preserve">, 25(2), pp. 233–250. Available at: </w:t>
      </w:r>
      <w:hyperlink r:id="rId28" w:history="1">
        <w:r w:rsidRPr="001A46C5">
          <w:rPr>
            <w:rStyle w:val="Hyperlink"/>
            <w:rFonts w:ascii="Arial" w:hAnsi="Arial" w:cs="Arial"/>
          </w:rPr>
          <w:t>https://doi.org/10.1108/ijoa-10-2015-0913</w:t>
        </w:r>
      </w:hyperlink>
      <w:r w:rsidRPr="001A46C5">
        <w:rPr>
          <w:rFonts w:ascii="Arial" w:hAnsi="Arial" w:cs="Arial"/>
        </w:rPr>
        <w:t>.</w:t>
      </w:r>
      <w:r w:rsidRPr="001A46C5">
        <w:rPr>
          <w:rFonts w:ascii="Arial" w:hAnsi="Arial" w:cs="Arial"/>
          <w:lang w:val="en-US"/>
        </w:rPr>
        <w:t xml:space="preserve"> </w:t>
      </w:r>
    </w:p>
    <w:p w14:paraId="2A18A3DF" w14:textId="77777777" w:rsidR="00927F29" w:rsidRPr="001A46C5" w:rsidRDefault="00927F29" w:rsidP="00DA32E0">
      <w:pPr>
        <w:rPr>
          <w:rFonts w:ascii="Arial" w:hAnsi="Arial" w:cs="Arial"/>
          <w:lang w:val="en-US"/>
        </w:rPr>
      </w:pPr>
      <w:r w:rsidRPr="001A46C5">
        <w:rPr>
          <w:rFonts w:ascii="Arial" w:hAnsi="Arial" w:cs="Arial"/>
        </w:rPr>
        <w:t>Meijer, M.W., Brandhuber, T., Schneider, A. and Berberat, P.O. (2022) ‘Implementing Kolb´s Experiential Learning Cycle by Linking Real Experience, Case-Based Discussion and Simulation’, </w:t>
      </w:r>
      <w:r w:rsidRPr="001A46C5">
        <w:rPr>
          <w:rFonts w:ascii="Arial" w:hAnsi="Arial" w:cs="Arial"/>
          <w:i/>
        </w:rPr>
        <w:t>Journal of Medical Education and Curricular Development</w:t>
      </w:r>
      <w:r w:rsidRPr="001A46C5">
        <w:rPr>
          <w:rFonts w:ascii="Arial" w:hAnsi="Arial" w:cs="Arial"/>
        </w:rPr>
        <w:t xml:space="preserve">, 9, pp. 1–5. Available at: </w:t>
      </w:r>
      <w:hyperlink r:id="rId29" w:history="1">
        <w:r w:rsidRPr="001A46C5">
          <w:rPr>
            <w:rStyle w:val="Hyperlink"/>
            <w:rFonts w:ascii="Arial" w:hAnsi="Arial" w:cs="Arial"/>
          </w:rPr>
          <w:t>https://journals.sagepub.com/doi/full/10.1177/23821205221091511</w:t>
        </w:r>
      </w:hyperlink>
      <w:r w:rsidRPr="001A46C5">
        <w:rPr>
          <w:rFonts w:ascii="Arial" w:hAnsi="Arial" w:cs="Arial"/>
        </w:rPr>
        <w:t>.</w:t>
      </w:r>
      <w:r w:rsidRPr="001A46C5">
        <w:rPr>
          <w:rFonts w:ascii="Arial" w:hAnsi="Arial" w:cs="Arial"/>
          <w:lang w:val="en-US"/>
        </w:rPr>
        <w:t xml:space="preserve"> </w:t>
      </w:r>
    </w:p>
    <w:p w14:paraId="0E537C9A" w14:textId="77777777" w:rsidR="00927F29" w:rsidRPr="001A46C5" w:rsidRDefault="00927F29" w:rsidP="00185540">
      <w:pPr>
        <w:rPr>
          <w:rFonts w:ascii="Arial" w:eastAsia="Times New Roman" w:hAnsi="Arial" w:cs="Arial"/>
          <w:lang w:val="en-US" w:eastAsia="en-GB" w:bidi="bn-IN"/>
        </w:rPr>
      </w:pPr>
      <w:r w:rsidRPr="001A46C5">
        <w:rPr>
          <w:rFonts w:ascii="Arial" w:eastAsia="Times New Roman" w:hAnsi="Arial" w:cs="Arial"/>
          <w:lang w:eastAsia="en-GB" w:bidi="bn-IN"/>
        </w:rPr>
        <w:t xml:space="preserve">Önören, M., Arar, T. and Yurdakul, G. (2017) ‘Developing Competitive Strategies Based on SWOT Analysis in Porter s Five Forces Model by DANP ’, </w:t>
      </w:r>
      <w:r w:rsidRPr="001A46C5">
        <w:rPr>
          <w:rFonts w:ascii="Arial" w:eastAsia="Times New Roman" w:hAnsi="Arial" w:cs="Arial"/>
          <w:i/>
          <w:lang w:eastAsia="en-GB" w:bidi="bn-IN"/>
        </w:rPr>
        <w:t>Journal of Business Research - Turk</w:t>
      </w:r>
      <w:r w:rsidRPr="001A46C5">
        <w:rPr>
          <w:rFonts w:ascii="Arial" w:eastAsia="Times New Roman" w:hAnsi="Arial" w:cs="Arial"/>
          <w:lang w:eastAsia="en-GB" w:bidi="bn-IN"/>
        </w:rPr>
        <w:t xml:space="preserve">, 9(2), pp. 511–528. Available at: </w:t>
      </w:r>
      <w:hyperlink r:id="rId30" w:history="1">
        <w:r w:rsidRPr="001A46C5">
          <w:rPr>
            <w:rStyle w:val="Hyperlink"/>
            <w:rFonts w:ascii="Arial" w:eastAsia="Times New Roman" w:hAnsi="Arial" w:cs="Arial"/>
            <w:lang w:eastAsia="en-GB" w:bidi="bn-IN"/>
          </w:rPr>
          <w:t>https://doi.org/10.20491/isarder.2017.282</w:t>
        </w:r>
      </w:hyperlink>
      <w:r w:rsidRPr="001A46C5">
        <w:rPr>
          <w:rFonts w:ascii="Arial" w:eastAsia="Times New Roman" w:hAnsi="Arial" w:cs="Arial"/>
          <w:lang w:eastAsia="en-GB" w:bidi="bn-IN"/>
        </w:rPr>
        <w:t>.</w:t>
      </w:r>
      <w:r w:rsidRPr="001A46C5">
        <w:rPr>
          <w:rFonts w:ascii="Arial" w:eastAsia="Times New Roman" w:hAnsi="Arial" w:cs="Arial"/>
          <w:lang w:val="en-US" w:eastAsia="en-GB" w:bidi="bn-IN"/>
        </w:rPr>
        <w:t xml:space="preserve"> </w:t>
      </w:r>
    </w:p>
    <w:p w14:paraId="33DFEA93" w14:textId="77777777" w:rsidR="00927F29" w:rsidRPr="001A46C5" w:rsidRDefault="00927F29" w:rsidP="00185540">
      <w:pPr>
        <w:rPr>
          <w:rFonts w:ascii="Arial" w:eastAsia="Times New Roman" w:hAnsi="Arial" w:cs="Arial"/>
          <w:lang w:eastAsia="en-GB" w:bidi="bn-IN"/>
        </w:rPr>
      </w:pPr>
      <w:r w:rsidRPr="001A46C5">
        <w:rPr>
          <w:rFonts w:ascii="Arial" w:eastAsia="Times New Roman" w:hAnsi="Arial" w:cs="Arial"/>
          <w:lang w:eastAsia="en-GB" w:bidi="bn-IN"/>
        </w:rPr>
        <w:t>Reuters (2026) ‘FTSE 100 rises as oil price retreat lifts market sentiment’, </w:t>
      </w:r>
      <w:r w:rsidRPr="001A46C5">
        <w:rPr>
          <w:rFonts w:ascii="Arial" w:eastAsia="Times New Roman" w:hAnsi="Arial" w:cs="Arial"/>
          <w:i/>
          <w:lang w:eastAsia="en-GB" w:bidi="bn-IN"/>
        </w:rPr>
        <w:t>Reuters</w:t>
      </w:r>
      <w:r w:rsidRPr="001A46C5">
        <w:rPr>
          <w:rFonts w:ascii="Arial" w:eastAsia="Times New Roman" w:hAnsi="Arial" w:cs="Arial"/>
          <w:lang w:eastAsia="en-GB" w:bidi="bn-IN"/>
        </w:rPr>
        <w:t xml:space="preserve">, 16 March. Available at: </w:t>
      </w:r>
      <w:hyperlink r:id="rId31" w:history="1">
        <w:r w:rsidRPr="001A46C5">
          <w:rPr>
            <w:rStyle w:val="Hyperlink"/>
            <w:rFonts w:ascii="Arial" w:eastAsia="Times New Roman" w:hAnsi="Arial" w:cs="Arial"/>
            <w:lang w:eastAsia="en-GB" w:bidi="bn-IN"/>
          </w:rPr>
          <w:t>https://www.reuters.com/world/uk/ftse-100-flat-energy-gains-offset-broader-weakness-2026-03-16/</w:t>
        </w:r>
      </w:hyperlink>
      <w:r w:rsidRPr="001A46C5">
        <w:rPr>
          <w:rFonts w:ascii="Arial" w:eastAsia="Times New Roman" w:hAnsi="Arial" w:cs="Arial"/>
          <w:lang w:val="en-US" w:eastAsia="en-GB" w:bidi="bn-IN"/>
        </w:rPr>
        <w:t xml:space="preserve"> </w:t>
      </w:r>
      <w:r w:rsidRPr="001A46C5">
        <w:rPr>
          <w:rFonts w:ascii="Arial" w:eastAsia="Times New Roman" w:hAnsi="Arial" w:cs="Arial"/>
          <w:lang w:eastAsia="en-GB" w:bidi="bn-IN"/>
        </w:rPr>
        <w:t>(Accessed: 17 March 2026).</w:t>
      </w:r>
    </w:p>
    <w:p w14:paraId="3036DFF2" w14:textId="77777777" w:rsidR="00927F29" w:rsidRPr="001A46C5" w:rsidRDefault="00927F29" w:rsidP="00A855FB">
      <w:pPr>
        <w:rPr>
          <w:rFonts w:ascii="Arial" w:hAnsi="Arial" w:cs="Arial"/>
          <w:lang w:val="en-US"/>
        </w:rPr>
      </w:pPr>
      <w:r w:rsidRPr="001A46C5">
        <w:rPr>
          <w:rFonts w:ascii="Arial" w:hAnsi="Arial" w:cs="Arial"/>
        </w:rPr>
        <w:t>Ryder, M. and Downs, C. (2022) ‘Rethinking Reflective practice: John Boyd’s OODA Loop as an Alternative to Kolb’, </w:t>
      </w:r>
      <w:r w:rsidRPr="001A46C5">
        <w:rPr>
          <w:rFonts w:ascii="Arial" w:hAnsi="Arial" w:cs="Arial"/>
          <w:i/>
        </w:rPr>
        <w:t>The International Journal of Management Education</w:t>
      </w:r>
      <w:r w:rsidRPr="001A46C5">
        <w:rPr>
          <w:rFonts w:ascii="Arial" w:hAnsi="Arial" w:cs="Arial"/>
        </w:rPr>
        <w:t xml:space="preserve">, 20(3), p. 100703. Available at: </w:t>
      </w:r>
      <w:hyperlink r:id="rId32" w:history="1">
        <w:r w:rsidRPr="001A46C5">
          <w:rPr>
            <w:rStyle w:val="Hyperlink"/>
            <w:rFonts w:ascii="Arial" w:hAnsi="Arial" w:cs="Arial"/>
          </w:rPr>
          <w:t>https://doi.org/10.1016/j.ijme.2022.100703</w:t>
        </w:r>
      </w:hyperlink>
      <w:r w:rsidRPr="001A46C5">
        <w:rPr>
          <w:rFonts w:ascii="Arial" w:hAnsi="Arial" w:cs="Arial"/>
        </w:rPr>
        <w:t>.</w:t>
      </w:r>
      <w:r w:rsidRPr="001A46C5">
        <w:rPr>
          <w:rFonts w:ascii="Arial" w:hAnsi="Arial" w:cs="Arial"/>
          <w:lang w:val="en-US"/>
        </w:rPr>
        <w:t xml:space="preserve"> </w:t>
      </w:r>
    </w:p>
    <w:p w14:paraId="443A18E3" w14:textId="77777777" w:rsidR="00927F29" w:rsidRPr="001A46C5" w:rsidRDefault="00927F29" w:rsidP="00A855FB">
      <w:pPr>
        <w:rPr>
          <w:rFonts w:ascii="Arial" w:hAnsi="Arial" w:cs="Arial"/>
        </w:rPr>
      </w:pPr>
      <w:r w:rsidRPr="001A46C5">
        <w:rPr>
          <w:rFonts w:ascii="Arial" w:hAnsi="Arial" w:cs="Arial"/>
        </w:rPr>
        <w:t xml:space="preserve">Sen, S. (2024) ‘Strategic Management Practices in Multinational Corporations: A Comparative Study’, </w:t>
      </w:r>
      <w:r w:rsidRPr="001A46C5">
        <w:rPr>
          <w:rFonts w:ascii="Arial" w:hAnsi="Arial" w:cs="Arial"/>
          <w:i/>
        </w:rPr>
        <w:t>Journal of Advanced Management Studies</w:t>
      </w:r>
      <w:r w:rsidRPr="001A46C5">
        <w:rPr>
          <w:rFonts w:ascii="Arial" w:hAnsi="Arial" w:cs="Arial"/>
        </w:rPr>
        <w:t xml:space="preserve">, 1(3), pp. 36–39. Available at: </w:t>
      </w:r>
      <w:hyperlink r:id="rId33" w:history="1">
        <w:r w:rsidRPr="001A46C5">
          <w:rPr>
            <w:rStyle w:val="Hyperlink"/>
            <w:rFonts w:ascii="Arial" w:hAnsi="Arial" w:cs="Arial"/>
          </w:rPr>
          <w:t>https://doi.org/10.36676/jams.v1.i3.18</w:t>
        </w:r>
      </w:hyperlink>
      <w:r w:rsidRPr="001A46C5">
        <w:rPr>
          <w:rFonts w:ascii="Arial" w:hAnsi="Arial" w:cs="Arial"/>
        </w:rPr>
        <w:t>.</w:t>
      </w:r>
    </w:p>
    <w:p w14:paraId="03D98B5E" w14:textId="77777777" w:rsidR="00927F29" w:rsidRPr="001A46C5" w:rsidRDefault="00927F29" w:rsidP="00185540">
      <w:pPr>
        <w:rPr>
          <w:rFonts w:ascii="Arial" w:hAnsi="Arial" w:cs="Arial"/>
          <w:lang w:val="en-US"/>
        </w:rPr>
      </w:pPr>
      <w:r w:rsidRPr="001A46C5">
        <w:rPr>
          <w:rFonts w:ascii="Arial" w:hAnsi="Arial" w:cs="Arial"/>
        </w:rPr>
        <w:t>Silvestre, H.C., Gomes, R.C., Lamba, J.R. and Correia, A.M. (2018) ‘Implementation of Brazil’s energy policy through the national oil company: From institutional chaos to strategic order’, </w:t>
      </w:r>
      <w:r w:rsidRPr="001A46C5">
        <w:rPr>
          <w:rFonts w:ascii="Arial" w:hAnsi="Arial" w:cs="Arial"/>
          <w:i/>
        </w:rPr>
        <w:t>Energy Policy</w:t>
      </w:r>
      <w:r w:rsidRPr="001A46C5">
        <w:rPr>
          <w:rFonts w:ascii="Arial" w:hAnsi="Arial" w:cs="Arial"/>
        </w:rPr>
        <w:t xml:space="preserve">, 119, pp. 87–96. Available at: </w:t>
      </w:r>
      <w:hyperlink r:id="rId34" w:history="1">
        <w:r w:rsidRPr="001A46C5">
          <w:rPr>
            <w:rStyle w:val="Hyperlink"/>
            <w:rFonts w:ascii="Arial" w:hAnsi="Arial" w:cs="Arial"/>
          </w:rPr>
          <w:t>https://doi.org/10.1016/j.enpol.2018.04.028</w:t>
        </w:r>
      </w:hyperlink>
      <w:r w:rsidRPr="001A46C5">
        <w:rPr>
          <w:rFonts w:ascii="Arial" w:hAnsi="Arial" w:cs="Arial"/>
        </w:rPr>
        <w:t>.</w:t>
      </w:r>
      <w:r w:rsidRPr="001A46C5">
        <w:rPr>
          <w:rFonts w:ascii="Arial" w:hAnsi="Arial" w:cs="Arial"/>
          <w:lang w:val="en-US"/>
        </w:rPr>
        <w:t xml:space="preserve"> </w:t>
      </w:r>
    </w:p>
    <w:p w14:paraId="4BC452E4" w14:textId="77777777" w:rsidR="00927F29" w:rsidRPr="001A46C5" w:rsidRDefault="00927F29" w:rsidP="00185540">
      <w:pPr>
        <w:rPr>
          <w:rFonts w:ascii="Arial" w:eastAsia="Times New Roman" w:hAnsi="Arial" w:cs="Arial"/>
          <w:lang w:val="en-US" w:eastAsia="en-GB" w:bidi="bn-IN"/>
        </w:rPr>
      </w:pPr>
      <w:r w:rsidRPr="001A46C5">
        <w:rPr>
          <w:rFonts w:ascii="Arial" w:eastAsia="Times New Roman" w:hAnsi="Arial" w:cs="Arial"/>
          <w:lang w:eastAsia="en-GB" w:bidi="bn-IN"/>
        </w:rPr>
        <w:t>Tharuniyaa Lakshmi (2026) ‘UK’s FTSE 100 closes at 2-month low as investors weigh BoE rate decision and Iran war’, </w:t>
      </w:r>
      <w:r w:rsidRPr="001A46C5">
        <w:rPr>
          <w:rFonts w:ascii="Arial" w:eastAsia="Times New Roman" w:hAnsi="Arial" w:cs="Arial"/>
          <w:i/>
          <w:lang w:eastAsia="en-GB" w:bidi="bn-IN"/>
        </w:rPr>
        <w:t>Reuters</w:t>
      </w:r>
      <w:r w:rsidRPr="001A46C5">
        <w:rPr>
          <w:rFonts w:ascii="Arial" w:eastAsia="Times New Roman" w:hAnsi="Arial" w:cs="Arial"/>
          <w:lang w:eastAsia="en-GB" w:bidi="bn-IN"/>
        </w:rPr>
        <w:t xml:space="preserve">, 19 March. Available at: </w:t>
      </w:r>
      <w:hyperlink r:id="rId35" w:history="1">
        <w:r w:rsidRPr="001A46C5">
          <w:rPr>
            <w:rStyle w:val="Hyperlink"/>
            <w:rFonts w:ascii="Arial" w:eastAsia="Times New Roman" w:hAnsi="Arial" w:cs="Arial"/>
            <w:lang w:eastAsia="en-GB" w:bidi="bn-IN"/>
          </w:rPr>
          <w:t>https://www.reuters.com/world/uk/uk-equities-slide-mideast-war-escalates-boe-decision-focus-2026-03-19/</w:t>
        </w:r>
      </w:hyperlink>
      <w:r w:rsidRPr="001A46C5">
        <w:rPr>
          <w:rFonts w:ascii="Arial" w:eastAsia="Times New Roman" w:hAnsi="Arial" w:cs="Arial"/>
          <w:lang w:val="en-US" w:eastAsia="en-GB" w:bidi="bn-IN"/>
        </w:rPr>
        <w:t xml:space="preserve"> </w:t>
      </w:r>
      <w:r w:rsidRPr="001A46C5">
        <w:rPr>
          <w:rFonts w:ascii="Arial" w:eastAsia="Times New Roman" w:hAnsi="Arial" w:cs="Arial"/>
          <w:lang w:eastAsia="en-GB" w:bidi="bn-IN"/>
        </w:rPr>
        <w:t>(Accessed: 19 March 2026).</w:t>
      </w:r>
      <w:r w:rsidRPr="001A46C5">
        <w:rPr>
          <w:rFonts w:ascii="Arial" w:eastAsia="Times New Roman" w:hAnsi="Arial" w:cs="Arial"/>
          <w:lang w:val="en-US" w:eastAsia="en-GB" w:bidi="bn-IN"/>
        </w:rPr>
        <w:t xml:space="preserve"> </w:t>
      </w:r>
    </w:p>
    <w:p w14:paraId="45ACC214" w14:textId="77777777" w:rsidR="00927F29" w:rsidRPr="001A46C5" w:rsidRDefault="00927F29" w:rsidP="00185540">
      <w:pPr>
        <w:rPr>
          <w:rFonts w:ascii="Arial" w:hAnsi="Arial" w:cs="Arial"/>
          <w:lang w:val="en-US"/>
        </w:rPr>
      </w:pPr>
      <w:r w:rsidRPr="001A46C5">
        <w:rPr>
          <w:rFonts w:ascii="Arial" w:hAnsi="Arial" w:cs="Arial"/>
        </w:rPr>
        <w:t>Wan Ahmad, W.N.K., Rezaei, J., de Brito, M.P. and Tavasszy, L.A. (2016) ‘The influence of external factors on supply chain sustainability goals of the oil and gas industry’, </w:t>
      </w:r>
      <w:r w:rsidRPr="001A46C5">
        <w:rPr>
          <w:rFonts w:ascii="Arial" w:hAnsi="Arial" w:cs="Arial"/>
          <w:i/>
        </w:rPr>
        <w:t>Resources Policy</w:t>
      </w:r>
      <w:r w:rsidRPr="001A46C5">
        <w:rPr>
          <w:rFonts w:ascii="Arial" w:hAnsi="Arial" w:cs="Arial"/>
        </w:rPr>
        <w:t xml:space="preserve">, 49, pp. 302–314. Available at: </w:t>
      </w:r>
      <w:hyperlink r:id="rId36" w:history="1">
        <w:r w:rsidRPr="001A46C5">
          <w:rPr>
            <w:rStyle w:val="Hyperlink"/>
            <w:rFonts w:ascii="Arial" w:hAnsi="Arial" w:cs="Arial"/>
          </w:rPr>
          <w:t>https://doi.org/10.1016/j.resourpol.2016.06.006</w:t>
        </w:r>
      </w:hyperlink>
      <w:r w:rsidRPr="001A46C5">
        <w:rPr>
          <w:rFonts w:ascii="Arial" w:hAnsi="Arial" w:cs="Arial"/>
        </w:rPr>
        <w:t>.</w:t>
      </w:r>
      <w:r w:rsidRPr="001A46C5">
        <w:rPr>
          <w:rFonts w:ascii="Arial" w:hAnsi="Arial" w:cs="Arial"/>
          <w:lang w:val="en-US"/>
        </w:rPr>
        <w:t xml:space="preserve"> </w:t>
      </w:r>
    </w:p>
    <w:p w14:paraId="0F9E5D86" w14:textId="77777777" w:rsidR="00927F29" w:rsidRPr="001A46C5" w:rsidRDefault="00927F29" w:rsidP="00185540">
      <w:pPr>
        <w:rPr>
          <w:rFonts w:ascii="Arial" w:hAnsi="Arial" w:cs="Arial"/>
          <w:lang w:val="en-US"/>
        </w:rPr>
      </w:pPr>
      <w:r w:rsidRPr="001A46C5">
        <w:rPr>
          <w:rFonts w:ascii="Arial" w:hAnsi="Arial" w:cs="Arial"/>
        </w:rPr>
        <w:t>Zakaria, K.M., Nawawi, A. and Salin, A.S.A.P. (2016) ‘Internal controls and fraud – empirical evidence from oil and gas company’, </w:t>
      </w:r>
      <w:r w:rsidRPr="001A46C5">
        <w:rPr>
          <w:rFonts w:ascii="Arial" w:hAnsi="Arial" w:cs="Arial"/>
          <w:i/>
        </w:rPr>
        <w:t>Journal of Financial Crime</w:t>
      </w:r>
      <w:r w:rsidRPr="001A46C5">
        <w:rPr>
          <w:rFonts w:ascii="Arial" w:hAnsi="Arial" w:cs="Arial"/>
        </w:rPr>
        <w:t xml:space="preserve">, 23(4), pp. 1154–1168. Available at: </w:t>
      </w:r>
      <w:hyperlink r:id="rId37" w:history="1">
        <w:r w:rsidRPr="001A46C5">
          <w:rPr>
            <w:rStyle w:val="Hyperlink"/>
            <w:rFonts w:ascii="Arial" w:hAnsi="Arial" w:cs="Arial"/>
          </w:rPr>
          <w:t>https://doi.org/10.1108/jfc-04-2016-0021</w:t>
        </w:r>
      </w:hyperlink>
      <w:r w:rsidRPr="001A46C5">
        <w:rPr>
          <w:rFonts w:ascii="Arial" w:hAnsi="Arial" w:cs="Arial"/>
        </w:rPr>
        <w:t>.</w:t>
      </w:r>
      <w:r w:rsidRPr="001A46C5">
        <w:rPr>
          <w:rFonts w:ascii="Arial" w:hAnsi="Arial" w:cs="Arial"/>
          <w:lang w:val="en-US"/>
        </w:rPr>
        <w:t xml:space="preserve"> </w:t>
      </w:r>
    </w:p>
    <w:sectPr w:rsidR="00927F29" w:rsidRPr="001A46C5" w:rsidSect="00DD0BD2">
      <w:footerReference w:type="default" r:id="rId3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95105" w14:textId="77777777" w:rsidR="00550949" w:rsidRDefault="00550949" w:rsidP="00DD0BD2">
      <w:pPr>
        <w:spacing w:after="0" w:line="240" w:lineRule="auto"/>
      </w:pPr>
      <w:r>
        <w:separator/>
      </w:r>
    </w:p>
  </w:endnote>
  <w:endnote w:type="continuationSeparator" w:id="0">
    <w:p w14:paraId="5360D68C" w14:textId="77777777" w:rsidR="00550949" w:rsidRDefault="00550949" w:rsidP="00DD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436965"/>
      <w:docPartObj>
        <w:docPartGallery w:val="Page Numbers (Bottom of Page)"/>
        <w:docPartUnique/>
      </w:docPartObj>
    </w:sdtPr>
    <w:sdtEndPr>
      <w:rPr>
        <w:color w:val="7F7F7F" w:themeColor="background1" w:themeShade="7F"/>
        <w:spacing w:val="60"/>
      </w:rPr>
    </w:sdtEndPr>
    <w:sdtContent>
      <w:p w14:paraId="5ECAF641" w14:textId="1D4E6273" w:rsidR="00DD0BD2" w:rsidRDefault="00DD0B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741655" w14:textId="77777777" w:rsidR="00DD0BD2" w:rsidRDefault="00DD0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3E37C" w14:textId="77777777" w:rsidR="00550949" w:rsidRDefault="00550949" w:rsidP="00DD0BD2">
      <w:pPr>
        <w:spacing w:after="0" w:line="240" w:lineRule="auto"/>
      </w:pPr>
      <w:r>
        <w:separator/>
      </w:r>
    </w:p>
  </w:footnote>
  <w:footnote w:type="continuationSeparator" w:id="0">
    <w:p w14:paraId="5D9EF15A" w14:textId="77777777" w:rsidR="00550949" w:rsidRDefault="00550949" w:rsidP="00DD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1980"/>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155058"/>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913EE8"/>
    <w:multiLevelType w:val="hybridMultilevel"/>
    <w:tmpl w:val="35CC3D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A7186"/>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E7779BD"/>
    <w:multiLevelType w:val="hybridMultilevel"/>
    <w:tmpl w:val="4EF2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204B6"/>
    <w:multiLevelType w:val="multilevel"/>
    <w:tmpl w:val="B068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49660A"/>
    <w:multiLevelType w:val="hybridMultilevel"/>
    <w:tmpl w:val="F228B21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7A77C4"/>
    <w:multiLevelType w:val="hybridMultilevel"/>
    <w:tmpl w:val="A21EC4C8"/>
    <w:lvl w:ilvl="0" w:tplc="0809000F">
      <w:start w:val="1"/>
      <w:numFmt w:val="decimal"/>
      <w:lvlText w:val="%1."/>
      <w:lvlJc w:val="left"/>
      <w:pPr>
        <w:ind w:left="720" w:hanging="360"/>
      </w:pPr>
    </w:lvl>
    <w:lvl w:ilvl="1" w:tplc="E726502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4D5F8B"/>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C5902AE"/>
    <w:multiLevelType w:val="hybridMultilevel"/>
    <w:tmpl w:val="BBBCBA5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F7EB3"/>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B0A366A"/>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80C3B63"/>
    <w:multiLevelType w:val="hybridMultilevel"/>
    <w:tmpl w:val="C50E4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FC4423"/>
    <w:multiLevelType w:val="hybridMultilevel"/>
    <w:tmpl w:val="17E866D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65A89"/>
    <w:multiLevelType w:val="hybridMultilevel"/>
    <w:tmpl w:val="7E2AAE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146F67"/>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73A0C5F"/>
    <w:multiLevelType w:val="hybridMultilevel"/>
    <w:tmpl w:val="725C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3927F6"/>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1106281"/>
    <w:multiLevelType w:val="hybridMultilevel"/>
    <w:tmpl w:val="8D4C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FA264C"/>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6AC7323"/>
    <w:multiLevelType w:val="hybridMultilevel"/>
    <w:tmpl w:val="BEA2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CA709E"/>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E1E06BF"/>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52516134">
    <w:abstractNumId w:val="17"/>
  </w:num>
  <w:num w:numId="2" w16cid:durableId="1668054483">
    <w:abstractNumId w:val="18"/>
  </w:num>
  <w:num w:numId="3" w16cid:durableId="447897541">
    <w:abstractNumId w:val="6"/>
  </w:num>
  <w:num w:numId="4" w16cid:durableId="1246036398">
    <w:abstractNumId w:val="4"/>
  </w:num>
  <w:num w:numId="5" w16cid:durableId="1579755092">
    <w:abstractNumId w:val="9"/>
  </w:num>
  <w:num w:numId="6" w16cid:durableId="1310674641">
    <w:abstractNumId w:val="1"/>
  </w:num>
  <w:num w:numId="7" w16cid:durableId="589392733">
    <w:abstractNumId w:val="22"/>
  </w:num>
  <w:num w:numId="8" w16cid:durableId="943073115">
    <w:abstractNumId w:val="11"/>
  </w:num>
  <w:num w:numId="9" w16cid:durableId="1856991063">
    <w:abstractNumId w:val="20"/>
  </w:num>
  <w:num w:numId="10" w16cid:durableId="892083499">
    <w:abstractNumId w:val="13"/>
  </w:num>
  <w:num w:numId="11" w16cid:durableId="130053291">
    <w:abstractNumId w:val="19"/>
  </w:num>
  <w:num w:numId="12" w16cid:durableId="460004749">
    <w:abstractNumId w:val="10"/>
  </w:num>
  <w:num w:numId="13" w16cid:durableId="1898709030">
    <w:abstractNumId w:val="21"/>
  </w:num>
  <w:num w:numId="14" w16cid:durableId="769011904">
    <w:abstractNumId w:val="3"/>
  </w:num>
  <w:num w:numId="15" w16cid:durableId="548996130">
    <w:abstractNumId w:val="16"/>
  </w:num>
  <w:num w:numId="16" w16cid:durableId="984427413">
    <w:abstractNumId w:val="14"/>
  </w:num>
  <w:num w:numId="17" w16cid:durableId="1281838933">
    <w:abstractNumId w:val="8"/>
  </w:num>
  <w:num w:numId="18" w16cid:durableId="110171954">
    <w:abstractNumId w:val="15"/>
  </w:num>
  <w:num w:numId="19" w16cid:durableId="968584911">
    <w:abstractNumId w:val="0"/>
  </w:num>
  <w:num w:numId="20" w16cid:durableId="1443768893">
    <w:abstractNumId w:val="5"/>
  </w:num>
  <w:num w:numId="21" w16cid:durableId="1749378852">
    <w:abstractNumId w:val="7"/>
  </w:num>
  <w:num w:numId="22" w16cid:durableId="1516076360">
    <w:abstractNumId w:val="2"/>
  </w:num>
  <w:num w:numId="23" w16cid:durableId="4101564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D2"/>
    <w:rsid w:val="0002233A"/>
    <w:rsid w:val="000243F0"/>
    <w:rsid w:val="0003411C"/>
    <w:rsid w:val="000615C3"/>
    <w:rsid w:val="000857E6"/>
    <w:rsid w:val="00091FAF"/>
    <w:rsid w:val="000A06D2"/>
    <w:rsid w:val="000C6F55"/>
    <w:rsid w:val="000E06A7"/>
    <w:rsid w:val="00163026"/>
    <w:rsid w:val="00185540"/>
    <w:rsid w:val="00191FB9"/>
    <w:rsid w:val="001A46C5"/>
    <w:rsid w:val="001C4B76"/>
    <w:rsid w:val="001D11FF"/>
    <w:rsid w:val="00214B6F"/>
    <w:rsid w:val="002166B8"/>
    <w:rsid w:val="00232FCC"/>
    <w:rsid w:val="002433DF"/>
    <w:rsid w:val="00256F59"/>
    <w:rsid w:val="002A34C3"/>
    <w:rsid w:val="002D2DFC"/>
    <w:rsid w:val="00302033"/>
    <w:rsid w:val="0033366D"/>
    <w:rsid w:val="00371D75"/>
    <w:rsid w:val="00384E83"/>
    <w:rsid w:val="003A6EBB"/>
    <w:rsid w:val="003D00A8"/>
    <w:rsid w:val="00424881"/>
    <w:rsid w:val="004254A2"/>
    <w:rsid w:val="00442E13"/>
    <w:rsid w:val="00473D42"/>
    <w:rsid w:val="00494A80"/>
    <w:rsid w:val="004B4DF1"/>
    <w:rsid w:val="004C3B8C"/>
    <w:rsid w:val="004E29A1"/>
    <w:rsid w:val="00504D95"/>
    <w:rsid w:val="00515807"/>
    <w:rsid w:val="00530806"/>
    <w:rsid w:val="00533481"/>
    <w:rsid w:val="0053691C"/>
    <w:rsid w:val="00550949"/>
    <w:rsid w:val="00561B8A"/>
    <w:rsid w:val="005A1BB1"/>
    <w:rsid w:val="005A3F2F"/>
    <w:rsid w:val="005B5B0C"/>
    <w:rsid w:val="005E46B0"/>
    <w:rsid w:val="00635955"/>
    <w:rsid w:val="00637ED0"/>
    <w:rsid w:val="00652E0A"/>
    <w:rsid w:val="00695FAA"/>
    <w:rsid w:val="007129BF"/>
    <w:rsid w:val="0072137C"/>
    <w:rsid w:val="00735570"/>
    <w:rsid w:val="00735DBB"/>
    <w:rsid w:val="0076328E"/>
    <w:rsid w:val="007A2129"/>
    <w:rsid w:val="007A6975"/>
    <w:rsid w:val="00867D07"/>
    <w:rsid w:val="0087618C"/>
    <w:rsid w:val="008D2EDE"/>
    <w:rsid w:val="00905401"/>
    <w:rsid w:val="00927F29"/>
    <w:rsid w:val="0094162D"/>
    <w:rsid w:val="009525C1"/>
    <w:rsid w:val="00957738"/>
    <w:rsid w:val="00964B1C"/>
    <w:rsid w:val="009933BB"/>
    <w:rsid w:val="009C468E"/>
    <w:rsid w:val="009D03A0"/>
    <w:rsid w:val="009D3DB5"/>
    <w:rsid w:val="009D7464"/>
    <w:rsid w:val="00A855FB"/>
    <w:rsid w:val="00AC2E58"/>
    <w:rsid w:val="00AD0493"/>
    <w:rsid w:val="00AF7542"/>
    <w:rsid w:val="00AF7992"/>
    <w:rsid w:val="00B03736"/>
    <w:rsid w:val="00B15CE8"/>
    <w:rsid w:val="00B552D7"/>
    <w:rsid w:val="00B65F15"/>
    <w:rsid w:val="00BA0C4D"/>
    <w:rsid w:val="00BC332D"/>
    <w:rsid w:val="00C06860"/>
    <w:rsid w:val="00C238E4"/>
    <w:rsid w:val="00C33C88"/>
    <w:rsid w:val="00C43826"/>
    <w:rsid w:val="00C44F76"/>
    <w:rsid w:val="00C74B3D"/>
    <w:rsid w:val="00C92E61"/>
    <w:rsid w:val="00C94BFE"/>
    <w:rsid w:val="00D13708"/>
    <w:rsid w:val="00D24CAE"/>
    <w:rsid w:val="00D64CE9"/>
    <w:rsid w:val="00D81DB7"/>
    <w:rsid w:val="00DA32E0"/>
    <w:rsid w:val="00DC4968"/>
    <w:rsid w:val="00DD0BD2"/>
    <w:rsid w:val="00DF2D2B"/>
    <w:rsid w:val="00E122B8"/>
    <w:rsid w:val="00E43F18"/>
    <w:rsid w:val="00E53E32"/>
    <w:rsid w:val="00E60AE3"/>
    <w:rsid w:val="00E756CB"/>
    <w:rsid w:val="00E94F42"/>
    <w:rsid w:val="00EB502D"/>
    <w:rsid w:val="00F350AB"/>
    <w:rsid w:val="00F4752D"/>
    <w:rsid w:val="00F54A8B"/>
    <w:rsid w:val="00F60332"/>
    <w:rsid w:val="00F725DF"/>
    <w:rsid w:val="00F73F60"/>
    <w:rsid w:val="00FC0E91"/>
    <w:rsid w:val="00FF0AB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69E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CE8"/>
    <w:pPr>
      <w:spacing w:after="200" w:line="360" w:lineRule="auto"/>
      <w:jc w:val="both"/>
    </w:pPr>
    <w:rPr>
      <w:rFonts w:ascii="Times New Roman" w:eastAsiaTheme="minorEastAsia" w:hAnsi="Times New Roman"/>
      <w:kern w:val="0"/>
      <w:sz w:val="24"/>
      <w:szCs w:val="21"/>
      <w:lang w:val="en-GB"/>
    </w:rPr>
  </w:style>
  <w:style w:type="paragraph" w:styleId="Heading1">
    <w:name w:val="heading 1"/>
    <w:basedOn w:val="Normal"/>
    <w:next w:val="Normal"/>
    <w:link w:val="Heading1Char"/>
    <w:autoRedefine/>
    <w:uiPriority w:val="9"/>
    <w:qFormat/>
    <w:rsid w:val="004B4DF1"/>
    <w:pPr>
      <w:keepNext/>
      <w:keepLines/>
      <w:spacing w:before="240" w:after="0"/>
      <w:ind w:left="480" w:hanging="48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A6EBB"/>
    <w:pPr>
      <w:keepNext/>
      <w:keepLines/>
      <w:spacing w:before="40" w:after="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autoRedefine/>
    <w:uiPriority w:val="9"/>
    <w:unhideWhenUsed/>
    <w:qFormat/>
    <w:rsid w:val="003A6EBB"/>
    <w:pPr>
      <w:keepNext/>
      <w:keepLines/>
      <w:spacing w:before="40" w:after="0"/>
      <w:outlineLvl w:val="2"/>
    </w:pPr>
    <w:rPr>
      <w:rFonts w:eastAsia="Times New Roman" w:cstheme="majorBidi"/>
      <w:b/>
      <w:i/>
      <w:color w:val="2F5496" w:themeColor="accent1" w:themeShade="BF"/>
      <w:sz w:val="26"/>
      <w:szCs w:val="24"/>
      <w:lang w:eastAsia="en-GB" w:bidi="bn-IN"/>
    </w:rPr>
  </w:style>
  <w:style w:type="paragraph" w:styleId="Heading4">
    <w:name w:val="heading 4"/>
    <w:basedOn w:val="Normal"/>
    <w:next w:val="Normal"/>
    <w:link w:val="Heading4Char"/>
    <w:autoRedefine/>
    <w:uiPriority w:val="9"/>
    <w:unhideWhenUsed/>
    <w:qFormat/>
    <w:rsid w:val="0003411C"/>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DF1"/>
    <w:rPr>
      <w:rFonts w:ascii="Times New Roman" w:eastAsiaTheme="majorEastAsia" w:hAnsi="Times New Roman" w:cstheme="majorBidi"/>
      <w:b/>
      <w:kern w:val="0"/>
      <w:sz w:val="32"/>
      <w:szCs w:val="32"/>
      <w:lang w:val="en-GB"/>
      <w14:ligatures w14:val="none"/>
    </w:rPr>
  </w:style>
  <w:style w:type="character" w:customStyle="1" w:styleId="Heading2Char">
    <w:name w:val="Heading 2 Char"/>
    <w:basedOn w:val="DefaultParagraphFont"/>
    <w:link w:val="Heading2"/>
    <w:uiPriority w:val="9"/>
    <w:rsid w:val="003A6EBB"/>
    <w:rPr>
      <w:rFonts w:ascii="Times New Roman" w:eastAsiaTheme="majorEastAsia" w:hAnsi="Times New Roman" w:cstheme="majorBidi"/>
      <w:b/>
      <w:color w:val="538135" w:themeColor="accent6" w:themeShade="BF"/>
      <w:kern w:val="0"/>
      <w:sz w:val="28"/>
      <w:szCs w:val="26"/>
      <w:lang w:val="en-GB"/>
    </w:rPr>
  </w:style>
  <w:style w:type="character" w:customStyle="1" w:styleId="Heading3Char">
    <w:name w:val="Heading 3 Char"/>
    <w:basedOn w:val="DefaultParagraphFont"/>
    <w:link w:val="Heading3"/>
    <w:uiPriority w:val="9"/>
    <w:rsid w:val="003A6EBB"/>
    <w:rPr>
      <w:rFonts w:ascii="Times New Roman" w:eastAsia="Times New Roman" w:hAnsi="Times New Roman" w:cstheme="majorBidi"/>
      <w:b/>
      <w:i/>
      <w:color w:val="2F5496" w:themeColor="accent1" w:themeShade="BF"/>
      <w:kern w:val="0"/>
      <w:sz w:val="26"/>
      <w:szCs w:val="24"/>
      <w:lang w:eastAsia="en-GB" w:bidi="bn-IN"/>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DD0BD2"/>
    <w:rPr>
      <w:b/>
      <w:bCs/>
    </w:rPr>
  </w:style>
  <w:style w:type="paragraph" w:styleId="NormalWeb">
    <w:name w:val="Normal (Web)"/>
    <w:basedOn w:val="Normal"/>
    <w:uiPriority w:val="99"/>
    <w:unhideWhenUsed/>
    <w:rsid w:val="00DD0BD2"/>
    <w:pPr>
      <w:spacing w:before="100" w:beforeAutospacing="1" w:after="100" w:afterAutospacing="1" w:line="240" w:lineRule="auto"/>
      <w:jc w:val="left"/>
    </w:pPr>
    <w:rPr>
      <w:rFonts w:eastAsia="Times New Roman" w:cs="Times New Roman"/>
      <w:szCs w:val="24"/>
      <w:lang w:eastAsia="en-GB"/>
    </w:rPr>
  </w:style>
  <w:style w:type="paragraph" w:styleId="IntenseQuote">
    <w:name w:val="Intense Quote"/>
    <w:basedOn w:val="Normal"/>
    <w:next w:val="Normal"/>
    <w:link w:val="IntenseQuoteChar"/>
    <w:uiPriority w:val="30"/>
    <w:qFormat/>
    <w:rsid w:val="00DD0BD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D0BD2"/>
    <w:rPr>
      <w:rFonts w:ascii="Times New Roman" w:eastAsiaTheme="minorEastAsia" w:hAnsi="Times New Roman"/>
      <w:i/>
      <w:iCs/>
      <w:color w:val="4472C4" w:themeColor="accent1"/>
      <w:kern w:val="0"/>
      <w:sz w:val="24"/>
      <w:szCs w:val="21"/>
      <w:lang w:val="en-GB"/>
      <w14:ligatures w14:val="none"/>
    </w:rPr>
  </w:style>
  <w:style w:type="paragraph" w:styleId="Header">
    <w:name w:val="header"/>
    <w:basedOn w:val="Normal"/>
    <w:link w:val="HeaderChar"/>
    <w:uiPriority w:val="99"/>
    <w:unhideWhenUsed/>
    <w:rsid w:val="00DD0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D2"/>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DD0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D2"/>
    <w:rPr>
      <w:rFonts w:ascii="Times New Roman" w:eastAsiaTheme="minorEastAsia" w:hAnsi="Times New Roman"/>
      <w:kern w:val="0"/>
      <w:sz w:val="24"/>
      <w:szCs w:val="21"/>
      <w:lang w:val="en-GB"/>
      <w14:ligatures w14:val="none"/>
    </w:rPr>
  </w:style>
  <w:style w:type="character" w:styleId="Emphasis">
    <w:name w:val="Emphasis"/>
    <w:basedOn w:val="DefaultParagraphFont"/>
    <w:uiPriority w:val="20"/>
    <w:qFormat/>
    <w:rsid w:val="00371D75"/>
    <w:rPr>
      <w:i/>
      <w:iCs/>
    </w:rPr>
  </w:style>
  <w:style w:type="character" w:styleId="Hyperlink">
    <w:name w:val="Hyperlink"/>
    <w:basedOn w:val="DefaultParagraphFont"/>
    <w:uiPriority w:val="99"/>
    <w:unhideWhenUsed/>
    <w:rsid w:val="00371D75"/>
    <w:rPr>
      <w:color w:val="0000FF"/>
      <w:u w:val="single"/>
    </w:rPr>
  </w:style>
  <w:style w:type="table" w:styleId="TableGridLight">
    <w:name w:val="Grid Table Light"/>
    <w:basedOn w:val="TableNormal"/>
    <w:uiPriority w:val="40"/>
    <w:rsid w:val="005B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B5B0C"/>
    <w:pPr>
      <w:ind w:left="720"/>
      <w:contextualSpacing/>
    </w:pPr>
  </w:style>
  <w:style w:type="table" w:styleId="GridTable1Light-Accent1">
    <w:name w:val="Grid Table 1 Light Accent 1"/>
    <w:basedOn w:val="TableNormal"/>
    <w:uiPriority w:val="46"/>
    <w:rsid w:val="00C4382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A3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5A3F2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9D03A0"/>
    <w:rPr>
      <w:color w:val="954F72" w:themeColor="followedHyperlink"/>
      <w:u w:val="single"/>
    </w:rPr>
  </w:style>
  <w:style w:type="character" w:styleId="UnresolvedMention">
    <w:name w:val="Unresolved Mention"/>
    <w:basedOn w:val="DefaultParagraphFont"/>
    <w:uiPriority w:val="99"/>
    <w:semiHidden/>
    <w:unhideWhenUsed/>
    <w:rsid w:val="009D03A0"/>
    <w:rPr>
      <w:color w:val="605E5C"/>
      <w:shd w:val="clear" w:color="auto" w:fill="E1DFDD"/>
    </w:rPr>
  </w:style>
  <w:style w:type="table" w:styleId="TableGrid">
    <w:name w:val="Table Grid"/>
    <w:basedOn w:val="TableNormal"/>
    <w:uiPriority w:val="39"/>
    <w:rsid w:val="0006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8E4"/>
    <w:pPr>
      <w:spacing w:line="259" w:lineRule="auto"/>
      <w:ind w:left="0"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238E4"/>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C238E4"/>
    <w:pPr>
      <w:spacing w:before="120" w:after="0"/>
      <w:ind w:left="240"/>
      <w:jc w:val="left"/>
    </w:pPr>
    <w:rPr>
      <w:rFonts w:asciiTheme="minorHAnsi" w:hAnsiTheme="minorHAnsi" w:cstheme="minorHAnsi"/>
      <w:b/>
      <w:bCs/>
      <w:sz w:val="22"/>
      <w:szCs w:val="26"/>
    </w:rPr>
  </w:style>
  <w:style w:type="table" w:styleId="PlainTable4">
    <w:name w:val="Plain Table 4"/>
    <w:basedOn w:val="TableNormal"/>
    <w:uiPriority w:val="44"/>
    <w:rsid w:val="00091F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3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94162D"/>
    <w:pPr>
      <w:spacing w:line="240" w:lineRule="auto"/>
    </w:pPr>
    <w:rPr>
      <w:i/>
      <w:iCs/>
      <w:color w:val="44546A" w:themeColor="text2"/>
      <w:sz w:val="18"/>
      <w:szCs w:val="18"/>
    </w:rPr>
  </w:style>
  <w:style w:type="paragraph" w:styleId="TOC3">
    <w:name w:val="toc 3"/>
    <w:basedOn w:val="Normal"/>
    <w:next w:val="Normal"/>
    <w:autoRedefine/>
    <w:uiPriority w:val="39"/>
    <w:unhideWhenUsed/>
    <w:rsid w:val="00BA0C4D"/>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BA0C4D"/>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BA0C4D"/>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BA0C4D"/>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BA0C4D"/>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BA0C4D"/>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BA0C4D"/>
    <w:pPr>
      <w:spacing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33366D"/>
  </w:style>
  <w:style w:type="table" w:styleId="PlainTable5">
    <w:name w:val="Plain Table 5"/>
    <w:basedOn w:val="TableNormal"/>
    <w:uiPriority w:val="45"/>
    <w:rsid w:val="002166B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1A46C5"/>
    <w:pPr>
      <w:spacing w:after="0" w:line="240" w:lineRule="auto"/>
      <w:jc w:val="both"/>
    </w:pPr>
    <w:rPr>
      <w:rFonts w:ascii="Times New Roman" w:eastAsiaTheme="minorEastAsia" w:hAnsi="Times New Roman"/>
      <w:kern w:val="0"/>
      <w:sz w:val="24"/>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31233">
      <w:bodyDiv w:val="1"/>
      <w:marLeft w:val="0"/>
      <w:marRight w:val="0"/>
      <w:marTop w:val="0"/>
      <w:marBottom w:val="0"/>
      <w:divBdr>
        <w:top w:val="none" w:sz="0" w:space="0" w:color="auto"/>
        <w:left w:val="none" w:sz="0" w:space="0" w:color="auto"/>
        <w:bottom w:val="none" w:sz="0" w:space="0" w:color="auto"/>
        <w:right w:val="none" w:sz="0" w:space="0" w:color="auto"/>
      </w:divBdr>
      <w:divsChild>
        <w:div w:id="1270506256">
          <w:marLeft w:val="0"/>
          <w:marRight w:val="0"/>
          <w:marTop w:val="0"/>
          <w:marBottom w:val="0"/>
          <w:divBdr>
            <w:top w:val="none" w:sz="0" w:space="0" w:color="auto"/>
            <w:left w:val="none" w:sz="0" w:space="0" w:color="auto"/>
            <w:bottom w:val="none" w:sz="0" w:space="0" w:color="auto"/>
            <w:right w:val="none" w:sz="0" w:space="0" w:color="auto"/>
          </w:divBdr>
        </w:div>
      </w:divsChild>
    </w:div>
    <w:div w:id="110172099">
      <w:bodyDiv w:val="1"/>
      <w:marLeft w:val="0"/>
      <w:marRight w:val="0"/>
      <w:marTop w:val="0"/>
      <w:marBottom w:val="0"/>
      <w:divBdr>
        <w:top w:val="none" w:sz="0" w:space="0" w:color="auto"/>
        <w:left w:val="none" w:sz="0" w:space="0" w:color="auto"/>
        <w:bottom w:val="none" w:sz="0" w:space="0" w:color="auto"/>
        <w:right w:val="none" w:sz="0" w:space="0" w:color="auto"/>
      </w:divBdr>
    </w:div>
    <w:div w:id="154076546">
      <w:bodyDiv w:val="1"/>
      <w:marLeft w:val="0"/>
      <w:marRight w:val="0"/>
      <w:marTop w:val="0"/>
      <w:marBottom w:val="0"/>
      <w:divBdr>
        <w:top w:val="none" w:sz="0" w:space="0" w:color="auto"/>
        <w:left w:val="none" w:sz="0" w:space="0" w:color="auto"/>
        <w:bottom w:val="none" w:sz="0" w:space="0" w:color="auto"/>
        <w:right w:val="none" w:sz="0" w:space="0" w:color="auto"/>
      </w:divBdr>
    </w:div>
    <w:div w:id="206378406">
      <w:bodyDiv w:val="1"/>
      <w:marLeft w:val="0"/>
      <w:marRight w:val="0"/>
      <w:marTop w:val="0"/>
      <w:marBottom w:val="0"/>
      <w:divBdr>
        <w:top w:val="none" w:sz="0" w:space="0" w:color="auto"/>
        <w:left w:val="none" w:sz="0" w:space="0" w:color="auto"/>
        <w:bottom w:val="none" w:sz="0" w:space="0" w:color="auto"/>
        <w:right w:val="none" w:sz="0" w:space="0" w:color="auto"/>
      </w:divBdr>
      <w:divsChild>
        <w:div w:id="801850196">
          <w:marLeft w:val="0"/>
          <w:marRight w:val="0"/>
          <w:marTop w:val="0"/>
          <w:marBottom w:val="0"/>
          <w:divBdr>
            <w:top w:val="none" w:sz="0" w:space="0" w:color="auto"/>
            <w:left w:val="none" w:sz="0" w:space="0" w:color="auto"/>
            <w:bottom w:val="none" w:sz="0" w:space="0" w:color="auto"/>
            <w:right w:val="none" w:sz="0" w:space="0" w:color="auto"/>
          </w:divBdr>
        </w:div>
      </w:divsChild>
    </w:div>
    <w:div w:id="243105134">
      <w:bodyDiv w:val="1"/>
      <w:marLeft w:val="0"/>
      <w:marRight w:val="0"/>
      <w:marTop w:val="0"/>
      <w:marBottom w:val="0"/>
      <w:divBdr>
        <w:top w:val="none" w:sz="0" w:space="0" w:color="auto"/>
        <w:left w:val="none" w:sz="0" w:space="0" w:color="auto"/>
        <w:bottom w:val="none" w:sz="0" w:space="0" w:color="auto"/>
        <w:right w:val="none" w:sz="0" w:space="0" w:color="auto"/>
      </w:divBdr>
    </w:div>
    <w:div w:id="278340422">
      <w:bodyDiv w:val="1"/>
      <w:marLeft w:val="0"/>
      <w:marRight w:val="0"/>
      <w:marTop w:val="0"/>
      <w:marBottom w:val="0"/>
      <w:divBdr>
        <w:top w:val="none" w:sz="0" w:space="0" w:color="auto"/>
        <w:left w:val="none" w:sz="0" w:space="0" w:color="auto"/>
        <w:bottom w:val="none" w:sz="0" w:space="0" w:color="auto"/>
        <w:right w:val="none" w:sz="0" w:space="0" w:color="auto"/>
      </w:divBdr>
      <w:divsChild>
        <w:div w:id="910388573">
          <w:marLeft w:val="0"/>
          <w:marRight w:val="0"/>
          <w:marTop w:val="0"/>
          <w:marBottom w:val="0"/>
          <w:divBdr>
            <w:top w:val="none" w:sz="0" w:space="0" w:color="auto"/>
            <w:left w:val="none" w:sz="0" w:space="0" w:color="auto"/>
            <w:bottom w:val="none" w:sz="0" w:space="0" w:color="auto"/>
            <w:right w:val="none" w:sz="0" w:space="0" w:color="auto"/>
          </w:divBdr>
          <w:divsChild>
            <w:div w:id="1137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6478">
      <w:bodyDiv w:val="1"/>
      <w:marLeft w:val="0"/>
      <w:marRight w:val="0"/>
      <w:marTop w:val="0"/>
      <w:marBottom w:val="0"/>
      <w:divBdr>
        <w:top w:val="none" w:sz="0" w:space="0" w:color="auto"/>
        <w:left w:val="none" w:sz="0" w:space="0" w:color="auto"/>
        <w:bottom w:val="none" w:sz="0" w:space="0" w:color="auto"/>
        <w:right w:val="none" w:sz="0" w:space="0" w:color="auto"/>
      </w:divBdr>
    </w:div>
    <w:div w:id="353042671">
      <w:bodyDiv w:val="1"/>
      <w:marLeft w:val="0"/>
      <w:marRight w:val="0"/>
      <w:marTop w:val="0"/>
      <w:marBottom w:val="0"/>
      <w:divBdr>
        <w:top w:val="none" w:sz="0" w:space="0" w:color="auto"/>
        <w:left w:val="none" w:sz="0" w:space="0" w:color="auto"/>
        <w:bottom w:val="none" w:sz="0" w:space="0" w:color="auto"/>
        <w:right w:val="none" w:sz="0" w:space="0" w:color="auto"/>
      </w:divBdr>
    </w:div>
    <w:div w:id="387152444">
      <w:bodyDiv w:val="1"/>
      <w:marLeft w:val="0"/>
      <w:marRight w:val="0"/>
      <w:marTop w:val="0"/>
      <w:marBottom w:val="0"/>
      <w:divBdr>
        <w:top w:val="none" w:sz="0" w:space="0" w:color="auto"/>
        <w:left w:val="none" w:sz="0" w:space="0" w:color="auto"/>
        <w:bottom w:val="none" w:sz="0" w:space="0" w:color="auto"/>
        <w:right w:val="none" w:sz="0" w:space="0" w:color="auto"/>
      </w:divBdr>
      <w:divsChild>
        <w:div w:id="267352400">
          <w:marLeft w:val="0"/>
          <w:marRight w:val="0"/>
          <w:marTop w:val="0"/>
          <w:marBottom w:val="0"/>
          <w:divBdr>
            <w:top w:val="none" w:sz="0" w:space="0" w:color="auto"/>
            <w:left w:val="none" w:sz="0" w:space="0" w:color="auto"/>
            <w:bottom w:val="none" w:sz="0" w:space="0" w:color="auto"/>
            <w:right w:val="none" w:sz="0" w:space="0" w:color="auto"/>
          </w:divBdr>
        </w:div>
      </w:divsChild>
    </w:div>
    <w:div w:id="450823920">
      <w:bodyDiv w:val="1"/>
      <w:marLeft w:val="0"/>
      <w:marRight w:val="0"/>
      <w:marTop w:val="0"/>
      <w:marBottom w:val="0"/>
      <w:divBdr>
        <w:top w:val="none" w:sz="0" w:space="0" w:color="auto"/>
        <w:left w:val="none" w:sz="0" w:space="0" w:color="auto"/>
        <w:bottom w:val="none" w:sz="0" w:space="0" w:color="auto"/>
        <w:right w:val="none" w:sz="0" w:space="0" w:color="auto"/>
      </w:divBdr>
    </w:div>
    <w:div w:id="475730381">
      <w:bodyDiv w:val="1"/>
      <w:marLeft w:val="0"/>
      <w:marRight w:val="0"/>
      <w:marTop w:val="0"/>
      <w:marBottom w:val="0"/>
      <w:divBdr>
        <w:top w:val="none" w:sz="0" w:space="0" w:color="auto"/>
        <w:left w:val="none" w:sz="0" w:space="0" w:color="auto"/>
        <w:bottom w:val="none" w:sz="0" w:space="0" w:color="auto"/>
        <w:right w:val="none" w:sz="0" w:space="0" w:color="auto"/>
      </w:divBdr>
      <w:divsChild>
        <w:div w:id="1780027240">
          <w:marLeft w:val="0"/>
          <w:marRight w:val="0"/>
          <w:marTop w:val="0"/>
          <w:marBottom w:val="0"/>
          <w:divBdr>
            <w:top w:val="none" w:sz="0" w:space="0" w:color="auto"/>
            <w:left w:val="none" w:sz="0" w:space="0" w:color="auto"/>
            <w:bottom w:val="none" w:sz="0" w:space="0" w:color="auto"/>
            <w:right w:val="none" w:sz="0" w:space="0" w:color="auto"/>
          </w:divBdr>
          <w:divsChild>
            <w:div w:id="312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329716">
      <w:bodyDiv w:val="1"/>
      <w:marLeft w:val="0"/>
      <w:marRight w:val="0"/>
      <w:marTop w:val="0"/>
      <w:marBottom w:val="0"/>
      <w:divBdr>
        <w:top w:val="none" w:sz="0" w:space="0" w:color="auto"/>
        <w:left w:val="none" w:sz="0" w:space="0" w:color="auto"/>
        <w:bottom w:val="none" w:sz="0" w:space="0" w:color="auto"/>
        <w:right w:val="none" w:sz="0" w:space="0" w:color="auto"/>
      </w:divBdr>
    </w:div>
    <w:div w:id="522669745">
      <w:bodyDiv w:val="1"/>
      <w:marLeft w:val="0"/>
      <w:marRight w:val="0"/>
      <w:marTop w:val="0"/>
      <w:marBottom w:val="0"/>
      <w:divBdr>
        <w:top w:val="none" w:sz="0" w:space="0" w:color="auto"/>
        <w:left w:val="none" w:sz="0" w:space="0" w:color="auto"/>
        <w:bottom w:val="none" w:sz="0" w:space="0" w:color="auto"/>
        <w:right w:val="none" w:sz="0" w:space="0" w:color="auto"/>
      </w:divBdr>
    </w:div>
    <w:div w:id="625966112">
      <w:bodyDiv w:val="1"/>
      <w:marLeft w:val="0"/>
      <w:marRight w:val="0"/>
      <w:marTop w:val="0"/>
      <w:marBottom w:val="0"/>
      <w:divBdr>
        <w:top w:val="none" w:sz="0" w:space="0" w:color="auto"/>
        <w:left w:val="none" w:sz="0" w:space="0" w:color="auto"/>
        <w:bottom w:val="none" w:sz="0" w:space="0" w:color="auto"/>
        <w:right w:val="none" w:sz="0" w:space="0" w:color="auto"/>
      </w:divBdr>
      <w:divsChild>
        <w:div w:id="1216312616">
          <w:marLeft w:val="0"/>
          <w:marRight w:val="0"/>
          <w:marTop w:val="0"/>
          <w:marBottom w:val="0"/>
          <w:divBdr>
            <w:top w:val="none" w:sz="0" w:space="0" w:color="auto"/>
            <w:left w:val="none" w:sz="0" w:space="0" w:color="auto"/>
            <w:bottom w:val="none" w:sz="0" w:space="0" w:color="auto"/>
            <w:right w:val="none" w:sz="0" w:space="0" w:color="auto"/>
          </w:divBdr>
          <w:divsChild>
            <w:div w:id="18647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78211">
      <w:bodyDiv w:val="1"/>
      <w:marLeft w:val="0"/>
      <w:marRight w:val="0"/>
      <w:marTop w:val="0"/>
      <w:marBottom w:val="0"/>
      <w:divBdr>
        <w:top w:val="none" w:sz="0" w:space="0" w:color="auto"/>
        <w:left w:val="none" w:sz="0" w:space="0" w:color="auto"/>
        <w:bottom w:val="none" w:sz="0" w:space="0" w:color="auto"/>
        <w:right w:val="none" w:sz="0" w:space="0" w:color="auto"/>
      </w:divBdr>
    </w:div>
    <w:div w:id="703485948">
      <w:bodyDiv w:val="1"/>
      <w:marLeft w:val="0"/>
      <w:marRight w:val="0"/>
      <w:marTop w:val="0"/>
      <w:marBottom w:val="0"/>
      <w:divBdr>
        <w:top w:val="none" w:sz="0" w:space="0" w:color="auto"/>
        <w:left w:val="none" w:sz="0" w:space="0" w:color="auto"/>
        <w:bottom w:val="none" w:sz="0" w:space="0" w:color="auto"/>
        <w:right w:val="none" w:sz="0" w:space="0" w:color="auto"/>
      </w:divBdr>
      <w:divsChild>
        <w:div w:id="974027369">
          <w:marLeft w:val="0"/>
          <w:marRight w:val="0"/>
          <w:marTop w:val="0"/>
          <w:marBottom w:val="0"/>
          <w:divBdr>
            <w:top w:val="none" w:sz="0" w:space="0" w:color="auto"/>
            <w:left w:val="none" w:sz="0" w:space="0" w:color="auto"/>
            <w:bottom w:val="none" w:sz="0" w:space="0" w:color="auto"/>
            <w:right w:val="none" w:sz="0" w:space="0" w:color="auto"/>
          </w:divBdr>
        </w:div>
      </w:divsChild>
    </w:div>
    <w:div w:id="726224502">
      <w:bodyDiv w:val="1"/>
      <w:marLeft w:val="0"/>
      <w:marRight w:val="0"/>
      <w:marTop w:val="0"/>
      <w:marBottom w:val="0"/>
      <w:divBdr>
        <w:top w:val="none" w:sz="0" w:space="0" w:color="auto"/>
        <w:left w:val="none" w:sz="0" w:space="0" w:color="auto"/>
        <w:bottom w:val="none" w:sz="0" w:space="0" w:color="auto"/>
        <w:right w:val="none" w:sz="0" w:space="0" w:color="auto"/>
      </w:divBdr>
    </w:div>
    <w:div w:id="788473722">
      <w:bodyDiv w:val="1"/>
      <w:marLeft w:val="0"/>
      <w:marRight w:val="0"/>
      <w:marTop w:val="0"/>
      <w:marBottom w:val="0"/>
      <w:divBdr>
        <w:top w:val="none" w:sz="0" w:space="0" w:color="auto"/>
        <w:left w:val="none" w:sz="0" w:space="0" w:color="auto"/>
        <w:bottom w:val="none" w:sz="0" w:space="0" w:color="auto"/>
        <w:right w:val="none" w:sz="0" w:space="0" w:color="auto"/>
      </w:divBdr>
      <w:divsChild>
        <w:div w:id="1559248764">
          <w:marLeft w:val="0"/>
          <w:marRight w:val="0"/>
          <w:marTop w:val="0"/>
          <w:marBottom w:val="0"/>
          <w:divBdr>
            <w:top w:val="none" w:sz="0" w:space="0" w:color="auto"/>
            <w:left w:val="none" w:sz="0" w:space="0" w:color="auto"/>
            <w:bottom w:val="none" w:sz="0" w:space="0" w:color="auto"/>
            <w:right w:val="none" w:sz="0" w:space="0" w:color="auto"/>
          </w:divBdr>
          <w:divsChild>
            <w:div w:id="1183015165">
              <w:marLeft w:val="0"/>
              <w:marRight w:val="0"/>
              <w:marTop w:val="0"/>
              <w:marBottom w:val="0"/>
              <w:divBdr>
                <w:top w:val="none" w:sz="0" w:space="0" w:color="auto"/>
                <w:left w:val="none" w:sz="0" w:space="0" w:color="auto"/>
                <w:bottom w:val="none" w:sz="0" w:space="0" w:color="auto"/>
                <w:right w:val="none" w:sz="0" w:space="0" w:color="auto"/>
              </w:divBdr>
            </w:div>
          </w:divsChild>
        </w:div>
        <w:div w:id="707023735">
          <w:marLeft w:val="0"/>
          <w:marRight w:val="0"/>
          <w:marTop w:val="0"/>
          <w:marBottom w:val="0"/>
          <w:divBdr>
            <w:top w:val="none" w:sz="0" w:space="0" w:color="auto"/>
            <w:left w:val="none" w:sz="0" w:space="0" w:color="auto"/>
            <w:bottom w:val="none" w:sz="0" w:space="0" w:color="auto"/>
            <w:right w:val="none" w:sz="0" w:space="0" w:color="auto"/>
          </w:divBdr>
          <w:divsChild>
            <w:div w:id="18423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97629">
      <w:bodyDiv w:val="1"/>
      <w:marLeft w:val="0"/>
      <w:marRight w:val="0"/>
      <w:marTop w:val="0"/>
      <w:marBottom w:val="0"/>
      <w:divBdr>
        <w:top w:val="none" w:sz="0" w:space="0" w:color="auto"/>
        <w:left w:val="none" w:sz="0" w:space="0" w:color="auto"/>
        <w:bottom w:val="none" w:sz="0" w:space="0" w:color="auto"/>
        <w:right w:val="none" w:sz="0" w:space="0" w:color="auto"/>
      </w:divBdr>
    </w:div>
    <w:div w:id="894321073">
      <w:bodyDiv w:val="1"/>
      <w:marLeft w:val="0"/>
      <w:marRight w:val="0"/>
      <w:marTop w:val="0"/>
      <w:marBottom w:val="0"/>
      <w:divBdr>
        <w:top w:val="none" w:sz="0" w:space="0" w:color="auto"/>
        <w:left w:val="none" w:sz="0" w:space="0" w:color="auto"/>
        <w:bottom w:val="none" w:sz="0" w:space="0" w:color="auto"/>
        <w:right w:val="none" w:sz="0" w:space="0" w:color="auto"/>
      </w:divBdr>
    </w:div>
    <w:div w:id="9101146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889">
          <w:marLeft w:val="0"/>
          <w:marRight w:val="0"/>
          <w:marTop w:val="0"/>
          <w:marBottom w:val="0"/>
          <w:divBdr>
            <w:top w:val="none" w:sz="0" w:space="0" w:color="auto"/>
            <w:left w:val="none" w:sz="0" w:space="0" w:color="auto"/>
            <w:bottom w:val="none" w:sz="0" w:space="0" w:color="auto"/>
            <w:right w:val="none" w:sz="0" w:space="0" w:color="auto"/>
          </w:divBdr>
          <w:divsChild>
            <w:div w:id="3874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2532">
      <w:bodyDiv w:val="1"/>
      <w:marLeft w:val="0"/>
      <w:marRight w:val="0"/>
      <w:marTop w:val="0"/>
      <w:marBottom w:val="0"/>
      <w:divBdr>
        <w:top w:val="none" w:sz="0" w:space="0" w:color="auto"/>
        <w:left w:val="none" w:sz="0" w:space="0" w:color="auto"/>
        <w:bottom w:val="none" w:sz="0" w:space="0" w:color="auto"/>
        <w:right w:val="none" w:sz="0" w:space="0" w:color="auto"/>
      </w:divBdr>
    </w:div>
    <w:div w:id="981544080">
      <w:bodyDiv w:val="1"/>
      <w:marLeft w:val="0"/>
      <w:marRight w:val="0"/>
      <w:marTop w:val="0"/>
      <w:marBottom w:val="0"/>
      <w:divBdr>
        <w:top w:val="none" w:sz="0" w:space="0" w:color="auto"/>
        <w:left w:val="none" w:sz="0" w:space="0" w:color="auto"/>
        <w:bottom w:val="none" w:sz="0" w:space="0" w:color="auto"/>
        <w:right w:val="none" w:sz="0" w:space="0" w:color="auto"/>
      </w:divBdr>
    </w:div>
    <w:div w:id="987201384">
      <w:bodyDiv w:val="1"/>
      <w:marLeft w:val="0"/>
      <w:marRight w:val="0"/>
      <w:marTop w:val="0"/>
      <w:marBottom w:val="0"/>
      <w:divBdr>
        <w:top w:val="none" w:sz="0" w:space="0" w:color="auto"/>
        <w:left w:val="none" w:sz="0" w:space="0" w:color="auto"/>
        <w:bottom w:val="none" w:sz="0" w:space="0" w:color="auto"/>
        <w:right w:val="none" w:sz="0" w:space="0" w:color="auto"/>
      </w:divBdr>
    </w:div>
    <w:div w:id="1007295988">
      <w:bodyDiv w:val="1"/>
      <w:marLeft w:val="0"/>
      <w:marRight w:val="0"/>
      <w:marTop w:val="0"/>
      <w:marBottom w:val="0"/>
      <w:divBdr>
        <w:top w:val="none" w:sz="0" w:space="0" w:color="auto"/>
        <w:left w:val="none" w:sz="0" w:space="0" w:color="auto"/>
        <w:bottom w:val="none" w:sz="0" w:space="0" w:color="auto"/>
        <w:right w:val="none" w:sz="0" w:space="0" w:color="auto"/>
      </w:divBdr>
    </w:div>
    <w:div w:id="1156071508">
      <w:bodyDiv w:val="1"/>
      <w:marLeft w:val="0"/>
      <w:marRight w:val="0"/>
      <w:marTop w:val="0"/>
      <w:marBottom w:val="0"/>
      <w:divBdr>
        <w:top w:val="none" w:sz="0" w:space="0" w:color="auto"/>
        <w:left w:val="none" w:sz="0" w:space="0" w:color="auto"/>
        <w:bottom w:val="none" w:sz="0" w:space="0" w:color="auto"/>
        <w:right w:val="none" w:sz="0" w:space="0" w:color="auto"/>
      </w:divBdr>
    </w:div>
    <w:div w:id="1166941889">
      <w:bodyDiv w:val="1"/>
      <w:marLeft w:val="0"/>
      <w:marRight w:val="0"/>
      <w:marTop w:val="0"/>
      <w:marBottom w:val="0"/>
      <w:divBdr>
        <w:top w:val="none" w:sz="0" w:space="0" w:color="auto"/>
        <w:left w:val="none" w:sz="0" w:space="0" w:color="auto"/>
        <w:bottom w:val="none" w:sz="0" w:space="0" w:color="auto"/>
        <w:right w:val="none" w:sz="0" w:space="0" w:color="auto"/>
      </w:divBdr>
    </w:div>
    <w:div w:id="1196190680">
      <w:bodyDiv w:val="1"/>
      <w:marLeft w:val="0"/>
      <w:marRight w:val="0"/>
      <w:marTop w:val="0"/>
      <w:marBottom w:val="0"/>
      <w:divBdr>
        <w:top w:val="none" w:sz="0" w:space="0" w:color="auto"/>
        <w:left w:val="none" w:sz="0" w:space="0" w:color="auto"/>
        <w:bottom w:val="none" w:sz="0" w:space="0" w:color="auto"/>
        <w:right w:val="none" w:sz="0" w:space="0" w:color="auto"/>
      </w:divBdr>
    </w:div>
    <w:div w:id="1318605788">
      <w:bodyDiv w:val="1"/>
      <w:marLeft w:val="0"/>
      <w:marRight w:val="0"/>
      <w:marTop w:val="0"/>
      <w:marBottom w:val="0"/>
      <w:divBdr>
        <w:top w:val="none" w:sz="0" w:space="0" w:color="auto"/>
        <w:left w:val="none" w:sz="0" w:space="0" w:color="auto"/>
        <w:bottom w:val="none" w:sz="0" w:space="0" w:color="auto"/>
        <w:right w:val="none" w:sz="0" w:space="0" w:color="auto"/>
      </w:divBdr>
      <w:divsChild>
        <w:div w:id="648899477">
          <w:marLeft w:val="0"/>
          <w:marRight w:val="0"/>
          <w:marTop w:val="0"/>
          <w:marBottom w:val="0"/>
          <w:divBdr>
            <w:top w:val="none" w:sz="0" w:space="0" w:color="auto"/>
            <w:left w:val="none" w:sz="0" w:space="0" w:color="auto"/>
            <w:bottom w:val="none" w:sz="0" w:space="0" w:color="auto"/>
            <w:right w:val="none" w:sz="0" w:space="0" w:color="auto"/>
          </w:divBdr>
        </w:div>
      </w:divsChild>
    </w:div>
    <w:div w:id="1331832004">
      <w:bodyDiv w:val="1"/>
      <w:marLeft w:val="0"/>
      <w:marRight w:val="0"/>
      <w:marTop w:val="0"/>
      <w:marBottom w:val="0"/>
      <w:divBdr>
        <w:top w:val="none" w:sz="0" w:space="0" w:color="auto"/>
        <w:left w:val="none" w:sz="0" w:space="0" w:color="auto"/>
        <w:bottom w:val="none" w:sz="0" w:space="0" w:color="auto"/>
        <w:right w:val="none" w:sz="0" w:space="0" w:color="auto"/>
      </w:divBdr>
    </w:div>
    <w:div w:id="1352145722">
      <w:bodyDiv w:val="1"/>
      <w:marLeft w:val="0"/>
      <w:marRight w:val="0"/>
      <w:marTop w:val="0"/>
      <w:marBottom w:val="0"/>
      <w:divBdr>
        <w:top w:val="none" w:sz="0" w:space="0" w:color="auto"/>
        <w:left w:val="none" w:sz="0" w:space="0" w:color="auto"/>
        <w:bottom w:val="none" w:sz="0" w:space="0" w:color="auto"/>
        <w:right w:val="none" w:sz="0" w:space="0" w:color="auto"/>
      </w:divBdr>
    </w:div>
    <w:div w:id="1360159181">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sChild>
        <w:div w:id="1480922419">
          <w:marLeft w:val="0"/>
          <w:marRight w:val="0"/>
          <w:marTop w:val="0"/>
          <w:marBottom w:val="0"/>
          <w:divBdr>
            <w:top w:val="none" w:sz="0" w:space="0" w:color="auto"/>
            <w:left w:val="none" w:sz="0" w:space="0" w:color="auto"/>
            <w:bottom w:val="none" w:sz="0" w:space="0" w:color="auto"/>
            <w:right w:val="none" w:sz="0" w:space="0" w:color="auto"/>
          </w:divBdr>
          <w:divsChild>
            <w:div w:id="167603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80764">
      <w:bodyDiv w:val="1"/>
      <w:marLeft w:val="0"/>
      <w:marRight w:val="0"/>
      <w:marTop w:val="0"/>
      <w:marBottom w:val="0"/>
      <w:divBdr>
        <w:top w:val="none" w:sz="0" w:space="0" w:color="auto"/>
        <w:left w:val="none" w:sz="0" w:space="0" w:color="auto"/>
        <w:bottom w:val="none" w:sz="0" w:space="0" w:color="auto"/>
        <w:right w:val="none" w:sz="0" w:space="0" w:color="auto"/>
      </w:divBdr>
      <w:divsChild>
        <w:div w:id="293754428">
          <w:marLeft w:val="0"/>
          <w:marRight w:val="0"/>
          <w:marTop w:val="0"/>
          <w:marBottom w:val="0"/>
          <w:divBdr>
            <w:top w:val="none" w:sz="0" w:space="0" w:color="auto"/>
            <w:left w:val="none" w:sz="0" w:space="0" w:color="auto"/>
            <w:bottom w:val="none" w:sz="0" w:space="0" w:color="auto"/>
            <w:right w:val="none" w:sz="0" w:space="0" w:color="auto"/>
          </w:divBdr>
          <w:divsChild>
            <w:div w:id="17097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3541">
      <w:bodyDiv w:val="1"/>
      <w:marLeft w:val="0"/>
      <w:marRight w:val="0"/>
      <w:marTop w:val="0"/>
      <w:marBottom w:val="0"/>
      <w:divBdr>
        <w:top w:val="none" w:sz="0" w:space="0" w:color="auto"/>
        <w:left w:val="none" w:sz="0" w:space="0" w:color="auto"/>
        <w:bottom w:val="none" w:sz="0" w:space="0" w:color="auto"/>
        <w:right w:val="none" w:sz="0" w:space="0" w:color="auto"/>
      </w:divBdr>
    </w:div>
    <w:div w:id="1556040506">
      <w:bodyDiv w:val="1"/>
      <w:marLeft w:val="0"/>
      <w:marRight w:val="0"/>
      <w:marTop w:val="0"/>
      <w:marBottom w:val="0"/>
      <w:divBdr>
        <w:top w:val="none" w:sz="0" w:space="0" w:color="auto"/>
        <w:left w:val="none" w:sz="0" w:space="0" w:color="auto"/>
        <w:bottom w:val="none" w:sz="0" w:space="0" w:color="auto"/>
        <w:right w:val="none" w:sz="0" w:space="0" w:color="auto"/>
      </w:divBdr>
    </w:div>
    <w:div w:id="1577780688">
      <w:bodyDiv w:val="1"/>
      <w:marLeft w:val="0"/>
      <w:marRight w:val="0"/>
      <w:marTop w:val="0"/>
      <w:marBottom w:val="0"/>
      <w:divBdr>
        <w:top w:val="none" w:sz="0" w:space="0" w:color="auto"/>
        <w:left w:val="none" w:sz="0" w:space="0" w:color="auto"/>
        <w:bottom w:val="none" w:sz="0" w:space="0" w:color="auto"/>
        <w:right w:val="none" w:sz="0" w:space="0" w:color="auto"/>
      </w:divBdr>
    </w:div>
    <w:div w:id="159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74425549">
          <w:marLeft w:val="0"/>
          <w:marRight w:val="0"/>
          <w:marTop w:val="0"/>
          <w:marBottom w:val="0"/>
          <w:divBdr>
            <w:top w:val="none" w:sz="0" w:space="0" w:color="auto"/>
            <w:left w:val="none" w:sz="0" w:space="0" w:color="auto"/>
            <w:bottom w:val="none" w:sz="0" w:space="0" w:color="auto"/>
            <w:right w:val="none" w:sz="0" w:space="0" w:color="auto"/>
          </w:divBdr>
          <w:divsChild>
            <w:div w:id="21366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19383">
      <w:bodyDiv w:val="1"/>
      <w:marLeft w:val="0"/>
      <w:marRight w:val="0"/>
      <w:marTop w:val="0"/>
      <w:marBottom w:val="0"/>
      <w:divBdr>
        <w:top w:val="none" w:sz="0" w:space="0" w:color="auto"/>
        <w:left w:val="none" w:sz="0" w:space="0" w:color="auto"/>
        <w:bottom w:val="none" w:sz="0" w:space="0" w:color="auto"/>
        <w:right w:val="none" w:sz="0" w:space="0" w:color="auto"/>
      </w:divBdr>
    </w:div>
    <w:div w:id="1767341201">
      <w:bodyDiv w:val="1"/>
      <w:marLeft w:val="0"/>
      <w:marRight w:val="0"/>
      <w:marTop w:val="0"/>
      <w:marBottom w:val="0"/>
      <w:divBdr>
        <w:top w:val="none" w:sz="0" w:space="0" w:color="auto"/>
        <w:left w:val="none" w:sz="0" w:space="0" w:color="auto"/>
        <w:bottom w:val="none" w:sz="0" w:space="0" w:color="auto"/>
        <w:right w:val="none" w:sz="0" w:space="0" w:color="auto"/>
      </w:divBdr>
    </w:div>
    <w:div w:id="1902862771">
      <w:bodyDiv w:val="1"/>
      <w:marLeft w:val="0"/>
      <w:marRight w:val="0"/>
      <w:marTop w:val="0"/>
      <w:marBottom w:val="0"/>
      <w:divBdr>
        <w:top w:val="none" w:sz="0" w:space="0" w:color="auto"/>
        <w:left w:val="none" w:sz="0" w:space="0" w:color="auto"/>
        <w:bottom w:val="none" w:sz="0" w:space="0" w:color="auto"/>
        <w:right w:val="none" w:sz="0" w:space="0" w:color="auto"/>
      </w:divBdr>
      <w:divsChild>
        <w:div w:id="1887177732">
          <w:marLeft w:val="0"/>
          <w:marRight w:val="0"/>
          <w:marTop w:val="0"/>
          <w:marBottom w:val="0"/>
          <w:divBdr>
            <w:top w:val="none" w:sz="0" w:space="0" w:color="auto"/>
            <w:left w:val="none" w:sz="0" w:space="0" w:color="auto"/>
            <w:bottom w:val="none" w:sz="0" w:space="0" w:color="auto"/>
            <w:right w:val="none" w:sz="0" w:space="0" w:color="auto"/>
          </w:divBdr>
        </w:div>
      </w:divsChild>
    </w:div>
    <w:div w:id="1947226036">
      <w:bodyDiv w:val="1"/>
      <w:marLeft w:val="0"/>
      <w:marRight w:val="0"/>
      <w:marTop w:val="0"/>
      <w:marBottom w:val="0"/>
      <w:divBdr>
        <w:top w:val="none" w:sz="0" w:space="0" w:color="auto"/>
        <w:left w:val="none" w:sz="0" w:space="0" w:color="auto"/>
        <w:bottom w:val="none" w:sz="0" w:space="0" w:color="auto"/>
        <w:right w:val="none" w:sz="0" w:space="0" w:color="auto"/>
      </w:divBdr>
    </w:div>
    <w:div w:id="1960645862">
      <w:bodyDiv w:val="1"/>
      <w:marLeft w:val="0"/>
      <w:marRight w:val="0"/>
      <w:marTop w:val="0"/>
      <w:marBottom w:val="0"/>
      <w:divBdr>
        <w:top w:val="none" w:sz="0" w:space="0" w:color="auto"/>
        <w:left w:val="none" w:sz="0" w:space="0" w:color="auto"/>
        <w:bottom w:val="none" w:sz="0" w:space="0" w:color="auto"/>
        <w:right w:val="none" w:sz="0" w:space="0" w:color="auto"/>
      </w:divBdr>
    </w:div>
    <w:div w:id="1988826988">
      <w:bodyDiv w:val="1"/>
      <w:marLeft w:val="0"/>
      <w:marRight w:val="0"/>
      <w:marTop w:val="0"/>
      <w:marBottom w:val="0"/>
      <w:divBdr>
        <w:top w:val="none" w:sz="0" w:space="0" w:color="auto"/>
        <w:left w:val="none" w:sz="0" w:space="0" w:color="auto"/>
        <w:bottom w:val="none" w:sz="0" w:space="0" w:color="auto"/>
        <w:right w:val="none" w:sz="0" w:space="0" w:color="auto"/>
      </w:divBdr>
    </w:div>
    <w:div w:id="2055154615">
      <w:bodyDiv w:val="1"/>
      <w:marLeft w:val="0"/>
      <w:marRight w:val="0"/>
      <w:marTop w:val="0"/>
      <w:marBottom w:val="0"/>
      <w:divBdr>
        <w:top w:val="none" w:sz="0" w:space="0" w:color="auto"/>
        <w:left w:val="none" w:sz="0" w:space="0" w:color="auto"/>
        <w:bottom w:val="none" w:sz="0" w:space="0" w:color="auto"/>
        <w:right w:val="none" w:sz="0" w:space="0" w:color="auto"/>
      </w:divBdr>
      <w:divsChild>
        <w:div w:id="1273975403">
          <w:marLeft w:val="0"/>
          <w:marRight w:val="0"/>
          <w:marTop w:val="0"/>
          <w:marBottom w:val="0"/>
          <w:divBdr>
            <w:top w:val="none" w:sz="0" w:space="0" w:color="auto"/>
            <w:left w:val="none" w:sz="0" w:space="0" w:color="auto"/>
            <w:bottom w:val="none" w:sz="0" w:space="0" w:color="auto"/>
            <w:right w:val="none" w:sz="0" w:space="0" w:color="auto"/>
          </w:divBdr>
          <w:divsChild>
            <w:div w:id="19792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doi.org/10.1080/14473828.2016.1162373" TargetMode="External" /><Relationship Id="rId26" Type="http://schemas.openxmlformats.org/officeDocument/2006/relationships/hyperlink" Target="https://doi.org/10.1108/ijesm-11-2019-0022" TargetMode="External"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www.bp.com/content/dam/bp/business-sites/en/global/corporate/pdfs/investors/bp-annual-report-and-form-20f-2025.pdf" TargetMode="External" /><Relationship Id="rId34" Type="http://schemas.openxmlformats.org/officeDocument/2006/relationships/hyperlink" Target="https://doi.org/10.1016/j.enpol.2018.04.028"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1016/bs.hesint.2022.02.005" TargetMode="External" /><Relationship Id="rId25" Type="http://schemas.openxmlformats.org/officeDocument/2006/relationships/hyperlink" Target="https://doi.org/10.1504/ijpm.2020.105189" TargetMode="External" /><Relationship Id="rId33" Type="http://schemas.openxmlformats.org/officeDocument/2006/relationships/hyperlink" Target="https://doi.org/10.36676/jams.v1.i3.18" TargetMode="External"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1016/j.resourpol.2020.101701" TargetMode="External" /><Relationship Id="rId20" Type="http://schemas.openxmlformats.org/officeDocument/2006/relationships/hyperlink" Target="https://www.bp.com/en/global/corporate/who-we-are/our-history.html" TargetMode="External" /><Relationship Id="rId29" Type="http://schemas.openxmlformats.org/officeDocument/2006/relationships/hyperlink" Target="https://journals.sagepub.com/doi/full/10.1177/2382120522109151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1080/23322373.2020.1717283" TargetMode="External" /><Relationship Id="rId32" Type="http://schemas.openxmlformats.org/officeDocument/2006/relationships/hyperlink" Target="https://doi.org/10.1016/j.ijme.2022.100703" TargetMode="External" /><Relationship Id="rId37" Type="http://schemas.openxmlformats.org/officeDocument/2006/relationships/hyperlink" Target="https://doi.org/10.1108/jfc-04-2016-0021" TargetMode="External"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1002/joe.21876" TargetMode="External" /><Relationship Id="rId23" Type="http://schemas.openxmlformats.org/officeDocument/2006/relationships/hyperlink" Target="https://www.bbc.com/news/articles/cz0g4dkm77zo" TargetMode="External" /><Relationship Id="rId28" Type="http://schemas.openxmlformats.org/officeDocument/2006/relationships/hyperlink" Target="https://doi.org/10.1108/ijoa-10-2015-0913" TargetMode="External" /><Relationship Id="rId36" Type="http://schemas.openxmlformats.org/officeDocument/2006/relationships/hyperlink" Target="https://doi.org/10.1016/j.resourpol.2016.06.006" TargetMode="External" /><Relationship Id="rId10" Type="http://schemas.openxmlformats.org/officeDocument/2006/relationships/image" Target="media/image3.png" /><Relationship Id="rId19" Type="http://schemas.openxmlformats.org/officeDocument/2006/relationships/hyperlink" Target="https://doi.org/10.1016/j.ssci.2015.06.003" TargetMode="External" /><Relationship Id="rId31" Type="http://schemas.openxmlformats.org/officeDocument/2006/relationships/hyperlink" Target="https://www.reuters.com/world/uk/ftse-100-flat-energy-gains-offset-broader-weakness-2026-03-1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doi.org/10.3390/jrfm15020050" TargetMode="External" /><Relationship Id="rId27" Type="http://schemas.openxmlformats.org/officeDocument/2006/relationships/hyperlink" Target="https://doi.org/10.1007/s43545-023-00649-z" TargetMode="External" /><Relationship Id="rId30" Type="http://schemas.openxmlformats.org/officeDocument/2006/relationships/hyperlink" Target="https://doi.org/10.20491/isarder.2017.282" TargetMode="External" /><Relationship Id="rId35" Type="http://schemas.openxmlformats.org/officeDocument/2006/relationships/hyperlink" Target="https://www.reuters.com/world/uk/uk-equities-slide-mideast-war-escalates-boe-decision-focus-2026-03-1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40BB-7A7F-4B10-82A5-0B421E5365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6296</Words>
  <Characters>43301</Characters>
  <Application>Microsoft Office Word</Application>
  <DocSecurity>0</DocSecurity>
  <Lines>360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2026-03-13T04:33:00Z</dcterms:created>
  <dcterms:modified xsi:type="dcterms:W3CDTF">2026-04-30T13:47:00Z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6ff9871c-9e4e-4ab7-9593-f02b040adf20</vt:lpwstr>
  </property>
</Properties>
</file>