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57486" w14:textId="77777777" w:rsidR="00FD2B86" w:rsidRPr="006E716E" w:rsidRDefault="00FD2B86" w:rsidP="006E716E">
      <w:pPr>
        <w:pStyle w:val="Heading1"/>
        <w:spacing w:line="360" w:lineRule="auto"/>
        <w:jc w:val="center"/>
        <w:rPr>
          <w:rFonts w:ascii="Arial" w:hAnsi="Arial" w:cs="Arial"/>
          <w:b/>
          <w:bCs/>
          <w:color w:val="auto"/>
          <w:sz w:val="24"/>
          <w:szCs w:val="24"/>
        </w:rPr>
      </w:pPr>
    </w:p>
    <w:p w14:paraId="24551656" w14:textId="77777777" w:rsidR="00FD2B86" w:rsidRPr="006E716E" w:rsidRDefault="00FD2B86" w:rsidP="006E716E">
      <w:pPr>
        <w:pStyle w:val="Heading1"/>
        <w:spacing w:line="360" w:lineRule="auto"/>
        <w:jc w:val="center"/>
        <w:rPr>
          <w:rFonts w:ascii="Arial" w:hAnsi="Arial" w:cs="Arial"/>
          <w:b/>
          <w:bCs/>
          <w:color w:val="auto"/>
          <w:sz w:val="24"/>
          <w:szCs w:val="24"/>
        </w:rPr>
      </w:pPr>
    </w:p>
    <w:p w14:paraId="02EC3B33" w14:textId="77777777" w:rsidR="00FD2B86" w:rsidRPr="006E716E" w:rsidRDefault="00FD2B86" w:rsidP="006E716E">
      <w:pPr>
        <w:pStyle w:val="Heading1"/>
        <w:spacing w:line="360" w:lineRule="auto"/>
        <w:jc w:val="center"/>
        <w:rPr>
          <w:rFonts w:ascii="Arial" w:hAnsi="Arial" w:cs="Arial"/>
          <w:b/>
          <w:bCs/>
          <w:color w:val="auto"/>
          <w:sz w:val="24"/>
          <w:szCs w:val="24"/>
        </w:rPr>
      </w:pPr>
    </w:p>
    <w:p w14:paraId="137148EE" w14:textId="6F469C6F" w:rsidR="006401DF" w:rsidRPr="006E716E" w:rsidRDefault="006401DF" w:rsidP="006E716E">
      <w:pPr>
        <w:spacing w:line="360" w:lineRule="auto"/>
        <w:jc w:val="center"/>
        <w:rPr>
          <w:rFonts w:ascii="Arial" w:hAnsi="Arial" w:cs="Arial"/>
          <w:b/>
          <w:bCs/>
          <w:sz w:val="24"/>
          <w:szCs w:val="24"/>
        </w:rPr>
      </w:pPr>
      <w:r w:rsidRPr="006E716E">
        <w:rPr>
          <w:rFonts w:ascii="Arial" w:hAnsi="Arial" w:cs="Arial"/>
          <w:b/>
          <w:bCs/>
          <w:sz w:val="24"/>
          <w:szCs w:val="24"/>
        </w:rPr>
        <w:t>Health, Wellbeing, and Sustainable Development</w:t>
      </w:r>
    </w:p>
    <w:p w14:paraId="4221B01C" w14:textId="77777777" w:rsidR="004E7F83" w:rsidRPr="006E716E" w:rsidRDefault="004E7F83" w:rsidP="006E716E">
      <w:pPr>
        <w:pStyle w:val="Default"/>
        <w:spacing w:line="360" w:lineRule="auto"/>
        <w:jc w:val="center"/>
        <w:rPr>
          <w:color w:val="auto"/>
        </w:rPr>
      </w:pPr>
    </w:p>
    <w:p w14:paraId="6EB1EA77" w14:textId="7B683B75" w:rsidR="004E7F83" w:rsidRPr="009C0C60" w:rsidRDefault="004E7F83" w:rsidP="006E716E">
      <w:pPr>
        <w:pStyle w:val="Default"/>
        <w:spacing w:line="360" w:lineRule="auto"/>
        <w:jc w:val="center"/>
        <w:rPr>
          <w:color w:val="auto"/>
          <w:sz w:val="22"/>
          <w:szCs w:val="22"/>
        </w:rPr>
      </w:pPr>
      <w:r w:rsidRPr="009C0C60">
        <w:rPr>
          <w:color w:val="auto"/>
          <w:sz w:val="22"/>
          <w:szCs w:val="22"/>
        </w:rPr>
        <w:t>Student’s Name</w:t>
      </w:r>
      <w:r w:rsidR="009C0C60" w:rsidRPr="009C0C60">
        <w:rPr>
          <w:color w:val="auto"/>
          <w:sz w:val="22"/>
          <w:szCs w:val="22"/>
        </w:rPr>
        <w:t>: Catalina Tihulca</w:t>
      </w:r>
    </w:p>
    <w:p w14:paraId="02917803" w14:textId="03373CDF" w:rsidR="0058012A" w:rsidRPr="009C0C60" w:rsidRDefault="0058012A" w:rsidP="006E716E">
      <w:pPr>
        <w:pStyle w:val="Default"/>
        <w:spacing w:line="360" w:lineRule="auto"/>
        <w:jc w:val="center"/>
        <w:rPr>
          <w:color w:val="auto"/>
          <w:sz w:val="22"/>
          <w:szCs w:val="22"/>
        </w:rPr>
      </w:pPr>
      <w:r w:rsidRPr="009C0C60">
        <w:rPr>
          <w:color w:val="auto"/>
          <w:sz w:val="22"/>
          <w:szCs w:val="22"/>
        </w:rPr>
        <w:t>Student Number</w:t>
      </w:r>
      <w:r w:rsidR="009C0C60" w:rsidRPr="009C0C60">
        <w:rPr>
          <w:color w:val="auto"/>
          <w:sz w:val="22"/>
          <w:szCs w:val="22"/>
        </w:rPr>
        <w:t>:2027642</w:t>
      </w:r>
    </w:p>
    <w:p w14:paraId="63B9F0C9" w14:textId="7926DDAC" w:rsidR="0058012A" w:rsidRPr="009C0C60" w:rsidRDefault="0058012A" w:rsidP="006E716E">
      <w:pPr>
        <w:pStyle w:val="Default"/>
        <w:spacing w:line="360" w:lineRule="auto"/>
        <w:jc w:val="center"/>
        <w:rPr>
          <w:color w:val="auto"/>
          <w:sz w:val="22"/>
          <w:szCs w:val="22"/>
        </w:rPr>
      </w:pPr>
      <w:r w:rsidRPr="009C0C60">
        <w:rPr>
          <w:color w:val="auto"/>
          <w:sz w:val="22"/>
          <w:szCs w:val="22"/>
        </w:rPr>
        <w:t>Module Code and Title</w:t>
      </w:r>
      <w:r w:rsidR="009C0C60" w:rsidRPr="009C0C60">
        <w:rPr>
          <w:color w:val="auto"/>
          <w:sz w:val="22"/>
          <w:szCs w:val="22"/>
        </w:rPr>
        <w:t xml:space="preserve"> </w:t>
      </w:r>
    </w:p>
    <w:p w14:paraId="61E82D97" w14:textId="5A53166C" w:rsidR="0058012A" w:rsidRPr="009C0C60" w:rsidRDefault="0058012A" w:rsidP="006E716E">
      <w:pPr>
        <w:pStyle w:val="Default"/>
        <w:spacing w:line="360" w:lineRule="auto"/>
        <w:jc w:val="center"/>
        <w:rPr>
          <w:color w:val="auto"/>
          <w:sz w:val="22"/>
          <w:szCs w:val="22"/>
        </w:rPr>
      </w:pPr>
      <w:r w:rsidRPr="009C0C60">
        <w:rPr>
          <w:color w:val="auto"/>
          <w:sz w:val="22"/>
          <w:szCs w:val="22"/>
        </w:rPr>
        <w:t>Lecturer’s Name</w:t>
      </w:r>
      <w:r w:rsidR="009C0C60" w:rsidRPr="009C0C60">
        <w:rPr>
          <w:color w:val="auto"/>
          <w:sz w:val="22"/>
          <w:szCs w:val="22"/>
        </w:rPr>
        <w:t xml:space="preserve">: </w:t>
      </w:r>
      <w:r w:rsidR="009C0C60" w:rsidRPr="009C0C60">
        <w:rPr>
          <w:rStyle w:val="Strong"/>
          <w:b w:val="0"/>
          <w:bCs w:val="0"/>
          <w:color w:val="1D2125"/>
          <w:sz w:val="22"/>
          <w:szCs w:val="22"/>
          <w:shd w:val="clear" w:color="auto" w:fill="FFFFFF"/>
        </w:rPr>
        <w:t>Chloe Harries</w:t>
      </w:r>
      <w:r w:rsidR="009C0C60" w:rsidRPr="009C0C60">
        <w:rPr>
          <w:rStyle w:val="Strong"/>
          <w:b w:val="0"/>
          <w:bCs w:val="0"/>
          <w:color w:val="1D2125"/>
          <w:sz w:val="22"/>
          <w:szCs w:val="22"/>
          <w:shd w:val="clear" w:color="auto" w:fill="FFFFFF"/>
        </w:rPr>
        <w:t xml:space="preserve">/ </w:t>
      </w:r>
      <w:r w:rsidR="009C0C60" w:rsidRPr="009C0C60">
        <w:rPr>
          <w:rStyle w:val="Strong"/>
          <w:b w:val="0"/>
          <w:bCs w:val="0"/>
          <w:color w:val="1D2125"/>
          <w:sz w:val="22"/>
          <w:szCs w:val="22"/>
          <w:shd w:val="clear" w:color="auto" w:fill="FFFFFF"/>
        </w:rPr>
        <w:t>Joanne Davies</w:t>
      </w:r>
    </w:p>
    <w:p w14:paraId="10E30DDD" w14:textId="2206F833" w:rsidR="0058012A" w:rsidRPr="009C0C60" w:rsidRDefault="004E7F83" w:rsidP="006E716E">
      <w:pPr>
        <w:spacing w:line="360" w:lineRule="auto"/>
        <w:jc w:val="center"/>
        <w:rPr>
          <w:rFonts w:ascii="Arial" w:hAnsi="Arial" w:cs="Arial"/>
          <w:lang w:val="en-GB"/>
        </w:rPr>
      </w:pPr>
      <w:r w:rsidRPr="009C0C60">
        <w:rPr>
          <w:rFonts w:ascii="Arial" w:hAnsi="Arial" w:cs="Arial"/>
        </w:rPr>
        <w:br w:type="page"/>
      </w:r>
    </w:p>
    <w:sdt>
      <w:sdtPr>
        <w:id w:val="-38086676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7BC6E58" w14:textId="7829BF8E" w:rsidR="009C0C60" w:rsidRDefault="009C0C60">
          <w:pPr>
            <w:pStyle w:val="TOCHeading"/>
          </w:pPr>
          <w:r>
            <w:t>Contents</w:t>
          </w:r>
        </w:p>
        <w:p w14:paraId="1E971504" w14:textId="15122C9F" w:rsidR="009C0C60" w:rsidRDefault="009C0C60">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1383698" w:history="1">
            <w:r w:rsidRPr="00C72461">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_Toc151383698 \h </w:instrText>
            </w:r>
            <w:r>
              <w:rPr>
                <w:noProof/>
                <w:webHidden/>
              </w:rPr>
            </w:r>
            <w:r>
              <w:rPr>
                <w:noProof/>
                <w:webHidden/>
              </w:rPr>
              <w:fldChar w:fldCharType="separate"/>
            </w:r>
            <w:r>
              <w:rPr>
                <w:noProof/>
                <w:webHidden/>
              </w:rPr>
              <w:t>3</w:t>
            </w:r>
            <w:r>
              <w:rPr>
                <w:noProof/>
                <w:webHidden/>
              </w:rPr>
              <w:fldChar w:fldCharType="end"/>
            </w:r>
          </w:hyperlink>
        </w:p>
        <w:p w14:paraId="250E0875" w14:textId="728FE42F" w:rsidR="009C0C60" w:rsidRDefault="009C0C60">
          <w:pPr>
            <w:pStyle w:val="TOC1"/>
            <w:tabs>
              <w:tab w:val="right" w:leader="dot" w:pos="9350"/>
            </w:tabs>
            <w:rPr>
              <w:rFonts w:eastAsiaTheme="minorEastAsia"/>
              <w:noProof/>
              <w:kern w:val="2"/>
              <w:lang w:val="en-GB" w:eastAsia="en-GB"/>
              <w14:ligatures w14:val="standardContextual"/>
            </w:rPr>
          </w:pPr>
          <w:hyperlink w:anchor="_Toc151383699" w:history="1">
            <w:r w:rsidRPr="00C7246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_Toc151383699 \h </w:instrText>
            </w:r>
            <w:r>
              <w:rPr>
                <w:noProof/>
                <w:webHidden/>
              </w:rPr>
            </w:r>
            <w:r>
              <w:rPr>
                <w:noProof/>
                <w:webHidden/>
              </w:rPr>
              <w:fldChar w:fldCharType="separate"/>
            </w:r>
            <w:r>
              <w:rPr>
                <w:noProof/>
                <w:webHidden/>
              </w:rPr>
              <w:t>4</w:t>
            </w:r>
            <w:r>
              <w:rPr>
                <w:noProof/>
                <w:webHidden/>
              </w:rPr>
              <w:fldChar w:fldCharType="end"/>
            </w:r>
          </w:hyperlink>
        </w:p>
        <w:p w14:paraId="2667275A" w14:textId="2F89E257" w:rsidR="009C0C60" w:rsidRDefault="009C0C60">
          <w:pPr>
            <w:pStyle w:val="TOC1"/>
            <w:tabs>
              <w:tab w:val="right" w:leader="dot" w:pos="9350"/>
            </w:tabs>
            <w:rPr>
              <w:rFonts w:eastAsiaTheme="minorEastAsia"/>
              <w:noProof/>
              <w:kern w:val="2"/>
              <w:lang w:val="en-GB" w:eastAsia="en-GB"/>
              <w14:ligatures w14:val="standardContextual"/>
            </w:rPr>
          </w:pPr>
          <w:hyperlink w:anchor="_Toc151383700" w:history="1">
            <w:r w:rsidRPr="00C72461">
              <w:rPr>
                <w:rStyle w:val="Hyperlink"/>
                <w:rFonts w:ascii="Arial" w:hAnsi="Arial" w:cs="Arial"/>
                <w:b/>
                <w:bCs/>
                <w:noProof/>
              </w:rPr>
              <w:t>Introduction to Concepts</w:t>
            </w:r>
            <w:r>
              <w:rPr>
                <w:noProof/>
                <w:webHidden/>
              </w:rPr>
              <w:tab/>
            </w:r>
            <w:r>
              <w:rPr>
                <w:noProof/>
                <w:webHidden/>
              </w:rPr>
              <w:fldChar w:fldCharType="begin"/>
            </w:r>
            <w:r>
              <w:rPr>
                <w:noProof/>
                <w:webHidden/>
              </w:rPr>
              <w:instrText xml:space="preserve"> PAGEREF _Toc151383700 \h </w:instrText>
            </w:r>
            <w:r>
              <w:rPr>
                <w:noProof/>
                <w:webHidden/>
              </w:rPr>
            </w:r>
            <w:r>
              <w:rPr>
                <w:noProof/>
                <w:webHidden/>
              </w:rPr>
              <w:fldChar w:fldCharType="separate"/>
            </w:r>
            <w:r>
              <w:rPr>
                <w:noProof/>
                <w:webHidden/>
              </w:rPr>
              <w:t>5</w:t>
            </w:r>
            <w:r>
              <w:rPr>
                <w:noProof/>
                <w:webHidden/>
              </w:rPr>
              <w:fldChar w:fldCharType="end"/>
            </w:r>
          </w:hyperlink>
        </w:p>
        <w:p w14:paraId="5E5D8009" w14:textId="1AB8F448" w:rsidR="009C0C60" w:rsidRDefault="009C0C60">
          <w:pPr>
            <w:pStyle w:val="TOC2"/>
            <w:tabs>
              <w:tab w:val="right" w:leader="dot" w:pos="9350"/>
            </w:tabs>
            <w:rPr>
              <w:rFonts w:eastAsiaTheme="minorEastAsia"/>
              <w:noProof/>
              <w:kern w:val="2"/>
              <w:lang w:val="en-GB" w:eastAsia="en-GB"/>
              <w14:ligatures w14:val="standardContextual"/>
            </w:rPr>
          </w:pPr>
          <w:hyperlink w:anchor="_Toc151383701" w:history="1">
            <w:r w:rsidRPr="00C72461">
              <w:rPr>
                <w:rStyle w:val="Hyperlink"/>
                <w:rFonts w:ascii="Arial" w:hAnsi="Arial" w:cs="Arial"/>
                <w:b/>
                <w:bCs/>
                <w:noProof/>
              </w:rPr>
              <w:t>Wellbeing</w:t>
            </w:r>
            <w:r>
              <w:rPr>
                <w:noProof/>
                <w:webHidden/>
              </w:rPr>
              <w:tab/>
            </w:r>
            <w:r>
              <w:rPr>
                <w:noProof/>
                <w:webHidden/>
              </w:rPr>
              <w:fldChar w:fldCharType="begin"/>
            </w:r>
            <w:r>
              <w:rPr>
                <w:noProof/>
                <w:webHidden/>
              </w:rPr>
              <w:instrText xml:space="preserve"> PAGEREF _Toc151383701 \h </w:instrText>
            </w:r>
            <w:r>
              <w:rPr>
                <w:noProof/>
                <w:webHidden/>
              </w:rPr>
            </w:r>
            <w:r>
              <w:rPr>
                <w:noProof/>
                <w:webHidden/>
              </w:rPr>
              <w:fldChar w:fldCharType="separate"/>
            </w:r>
            <w:r>
              <w:rPr>
                <w:noProof/>
                <w:webHidden/>
              </w:rPr>
              <w:t>5</w:t>
            </w:r>
            <w:r>
              <w:rPr>
                <w:noProof/>
                <w:webHidden/>
              </w:rPr>
              <w:fldChar w:fldCharType="end"/>
            </w:r>
          </w:hyperlink>
        </w:p>
        <w:p w14:paraId="4405B907" w14:textId="04AA0490" w:rsidR="009C0C60" w:rsidRDefault="009C0C60">
          <w:pPr>
            <w:pStyle w:val="TOC2"/>
            <w:tabs>
              <w:tab w:val="right" w:leader="dot" w:pos="9350"/>
            </w:tabs>
            <w:rPr>
              <w:rFonts w:eastAsiaTheme="minorEastAsia"/>
              <w:noProof/>
              <w:kern w:val="2"/>
              <w:lang w:val="en-GB" w:eastAsia="en-GB"/>
              <w14:ligatures w14:val="standardContextual"/>
            </w:rPr>
          </w:pPr>
          <w:hyperlink w:anchor="_Toc151383702" w:history="1">
            <w:r w:rsidRPr="00C72461">
              <w:rPr>
                <w:rStyle w:val="Hyperlink"/>
                <w:rFonts w:ascii="Arial" w:hAnsi="Arial" w:cs="Arial"/>
                <w:b/>
                <w:bCs/>
                <w:noProof/>
              </w:rPr>
              <w:t>Sustainable Development</w:t>
            </w:r>
            <w:r>
              <w:rPr>
                <w:noProof/>
                <w:webHidden/>
              </w:rPr>
              <w:tab/>
            </w:r>
            <w:r>
              <w:rPr>
                <w:noProof/>
                <w:webHidden/>
              </w:rPr>
              <w:fldChar w:fldCharType="begin"/>
            </w:r>
            <w:r>
              <w:rPr>
                <w:noProof/>
                <w:webHidden/>
              </w:rPr>
              <w:instrText xml:space="preserve"> PAGEREF _Toc151383702 \h </w:instrText>
            </w:r>
            <w:r>
              <w:rPr>
                <w:noProof/>
                <w:webHidden/>
              </w:rPr>
            </w:r>
            <w:r>
              <w:rPr>
                <w:noProof/>
                <w:webHidden/>
              </w:rPr>
              <w:fldChar w:fldCharType="separate"/>
            </w:r>
            <w:r>
              <w:rPr>
                <w:noProof/>
                <w:webHidden/>
              </w:rPr>
              <w:t>6</w:t>
            </w:r>
            <w:r>
              <w:rPr>
                <w:noProof/>
                <w:webHidden/>
              </w:rPr>
              <w:fldChar w:fldCharType="end"/>
            </w:r>
          </w:hyperlink>
        </w:p>
        <w:p w14:paraId="2A9820A1" w14:textId="131B86DB" w:rsidR="009C0C60" w:rsidRDefault="009C0C60">
          <w:pPr>
            <w:pStyle w:val="TOC2"/>
            <w:tabs>
              <w:tab w:val="right" w:leader="dot" w:pos="9350"/>
            </w:tabs>
            <w:rPr>
              <w:rFonts w:eastAsiaTheme="minorEastAsia"/>
              <w:noProof/>
              <w:kern w:val="2"/>
              <w:lang w:val="en-GB" w:eastAsia="en-GB"/>
              <w14:ligatures w14:val="standardContextual"/>
            </w:rPr>
          </w:pPr>
          <w:hyperlink w:anchor="_Toc151383703" w:history="1">
            <w:r w:rsidRPr="00C72461">
              <w:rPr>
                <w:rStyle w:val="Hyperlink"/>
                <w:rFonts w:ascii="Arial" w:hAnsi="Arial" w:cs="Arial"/>
                <w:b/>
                <w:bCs/>
                <w:noProof/>
              </w:rPr>
              <w:t>Health</w:t>
            </w:r>
            <w:r>
              <w:rPr>
                <w:noProof/>
                <w:webHidden/>
              </w:rPr>
              <w:tab/>
            </w:r>
            <w:r>
              <w:rPr>
                <w:noProof/>
                <w:webHidden/>
              </w:rPr>
              <w:fldChar w:fldCharType="begin"/>
            </w:r>
            <w:r>
              <w:rPr>
                <w:noProof/>
                <w:webHidden/>
              </w:rPr>
              <w:instrText xml:space="preserve"> PAGEREF _Toc151383703 \h </w:instrText>
            </w:r>
            <w:r>
              <w:rPr>
                <w:noProof/>
                <w:webHidden/>
              </w:rPr>
            </w:r>
            <w:r>
              <w:rPr>
                <w:noProof/>
                <w:webHidden/>
              </w:rPr>
              <w:fldChar w:fldCharType="separate"/>
            </w:r>
            <w:r>
              <w:rPr>
                <w:noProof/>
                <w:webHidden/>
              </w:rPr>
              <w:t>6</w:t>
            </w:r>
            <w:r>
              <w:rPr>
                <w:noProof/>
                <w:webHidden/>
              </w:rPr>
              <w:fldChar w:fldCharType="end"/>
            </w:r>
          </w:hyperlink>
        </w:p>
        <w:p w14:paraId="29288739" w14:textId="4D1E26C7" w:rsidR="009C0C60" w:rsidRDefault="009C0C60">
          <w:pPr>
            <w:pStyle w:val="TOC2"/>
            <w:tabs>
              <w:tab w:val="right" w:leader="dot" w:pos="9350"/>
            </w:tabs>
            <w:rPr>
              <w:rFonts w:eastAsiaTheme="minorEastAsia"/>
              <w:noProof/>
              <w:kern w:val="2"/>
              <w:lang w:val="en-GB" w:eastAsia="en-GB"/>
              <w14:ligatures w14:val="standardContextual"/>
            </w:rPr>
          </w:pPr>
          <w:hyperlink w:anchor="_Toc151383704" w:history="1">
            <w:r w:rsidRPr="00C72461">
              <w:rPr>
                <w:rStyle w:val="Hyperlink"/>
                <w:rFonts w:ascii="Arial" w:hAnsi="Arial" w:cs="Arial"/>
                <w:b/>
                <w:bCs/>
                <w:noProof/>
              </w:rPr>
              <w:t>Sustainable Development Goals (SDGs)</w:t>
            </w:r>
            <w:r>
              <w:rPr>
                <w:noProof/>
                <w:webHidden/>
              </w:rPr>
              <w:tab/>
            </w:r>
            <w:r>
              <w:rPr>
                <w:noProof/>
                <w:webHidden/>
              </w:rPr>
              <w:fldChar w:fldCharType="begin"/>
            </w:r>
            <w:r>
              <w:rPr>
                <w:noProof/>
                <w:webHidden/>
              </w:rPr>
              <w:instrText xml:space="preserve"> PAGEREF _Toc151383704 \h </w:instrText>
            </w:r>
            <w:r>
              <w:rPr>
                <w:noProof/>
                <w:webHidden/>
              </w:rPr>
            </w:r>
            <w:r>
              <w:rPr>
                <w:noProof/>
                <w:webHidden/>
              </w:rPr>
              <w:fldChar w:fldCharType="separate"/>
            </w:r>
            <w:r>
              <w:rPr>
                <w:noProof/>
                <w:webHidden/>
              </w:rPr>
              <w:t>7</w:t>
            </w:r>
            <w:r>
              <w:rPr>
                <w:noProof/>
                <w:webHidden/>
              </w:rPr>
              <w:fldChar w:fldCharType="end"/>
            </w:r>
          </w:hyperlink>
        </w:p>
        <w:p w14:paraId="12D85B2B" w14:textId="1BB94CAD" w:rsidR="009C0C60" w:rsidRDefault="009C0C60">
          <w:pPr>
            <w:pStyle w:val="TOC1"/>
            <w:tabs>
              <w:tab w:val="right" w:leader="dot" w:pos="9350"/>
            </w:tabs>
            <w:rPr>
              <w:rFonts w:eastAsiaTheme="minorEastAsia"/>
              <w:noProof/>
              <w:kern w:val="2"/>
              <w:lang w:val="en-GB" w:eastAsia="en-GB"/>
              <w14:ligatures w14:val="standardContextual"/>
            </w:rPr>
          </w:pPr>
          <w:hyperlink w:anchor="_Toc151383705" w:history="1">
            <w:r w:rsidRPr="00C72461">
              <w:rPr>
                <w:rStyle w:val="Hyperlink"/>
                <w:rFonts w:ascii="Arial" w:hAnsi="Arial" w:cs="Arial"/>
                <w:b/>
                <w:bCs/>
                <w:noProof/>
              </w:rPr>
              <w:t>Goal 1: Ending Poverty</w:t>
            </w:r>
            <w:r>
              <w:rPr>
                <w:noProof/>
                <w:webHidden/>
              </w:rPr>
              <w:tab/>
            </w:r>
            <w:r>
              <w:rPr>
                <w:noProof/>
                <w:webHidden/>
              </w:rPr>
              <w:fldChar w:fldCharType="begin"/>
            </w:r>
            <w:r>
              <w:rPr>
                <w:noProof/>
                <w:webHidden/>
              </w:rPr>
              <w:instrText xml:space="preserve"> PAGEREF _Toc151383705 \h </w:instrText>
            </w:r>
            <w:r>
              <w:rPr>
                <w:noProof/>
                <w:webHidden/>
              </w:rPr>
            </w:r>
            <w:r>
              <w:rPr>
                <w:noProof/>
                <w:webHidden/>
              </w:rPr>
              <w:fldChar w:fldCharType="separate"/>
            </w:r>
            <w:r>
              <w:rPr>
                <w:noProof/>
                <w:webHidden/>
              </w:rPr>
              <w:t>8</w:t>
            </w:r>
            <w:r>
              <w:rPr>
                <w:noProof/>
                <w:webHidden/>
              </w:rPr>
              <w:fldChar w:fldCharType="end"/>
            </w:r>
          </w:hyperlink>
        </w:p>
        <w:p w14:paraId="112E42B6" w14:textId="40BEB35B" w:rsidR="009C0C60" w:rsidRDefault="009C0C60">
          <w:pPr>
            <w:pStyle w:val="TOC2"/>
            <w:tabs>
              <w:tab w:val="right" w:leader="dot" w:pos="9350"/>
            </w:tabs>
            <w:rPr>
              <w:rFonts w:eastAsiaTheme="minorEastAsia"/>
              <w:noProof/>
              <w:kern w:val="2"/>
              <w:lang w:val="en-GB" w:eastAsia="en-GB"/>
              <w14:ligatures w14:val="standardContextual"/>
            </w:rPr>
          </w:pPr>
          <w:hyperlink w:anchor="_Toc151383706" w:history="1">
            <w:r w:rsidRPr="00C72461">
              <w:rPr>
                <w:rStyle w:val="Hyperlink"/>
                <w:rFonts w:ascii="Arial" w:hAnsi="Arial" w:cs="Arial"/>
                <w:b/>
                <w:bCs/>
                <w:noProof/>
              </w:rPr>
              <w:t>Definition of SDG 1</w:t>
            </w:r>
            <w:r>
              <w:rPr>
                <w:noProof/>
                <w:webHidden/>
              </w:rPr>
              <w:tab/>
            </w:r>
            <w:r>
              <w:rPr>
                <w:noProof/>
                <w:webHidden/>
              </w:rPr>
              <w:fldChar w:fldCharType="begin"/>
            </w:r>
            <w:r>
              <w:rPr>
                <w:noProof/>
                <w:webHidden/>
              </w:rPr>
              <w:instrText xml:space="preserve"> PAGEREF _Toc151383706 \h </w:instrText>
            </w:r>
            <w:r>
              <w:rPr>
                <w:noProof/>
                <w:webHidden/>
              </w:rPr>
            </w:r>
            <w:r>
              <w:rPr>
                <w:noProof/>
                <w:webHidden/>
              </w:rPr>
              <w:fldChar w:fldCharType="separate"/>
            </w:r>
            <w:r>
              <w:rPr>
                <w:noProof/>
                <w:webHidden/>
              </w:rPr>
              <w:t>8</w:t>
            </w:r>
            <w:r>
              <w:rPr>
                <w:noProof/>
                <w:webHidden/>
              </w:rPr>
              <w:fldChar w:fldCharType="end"/>
            </w:r>
          </w:hyperlink>
        </w:p>
        <w:p w14:paraId="36C1FB89" w14:textId="4B29C2DF" w:rsidR="009C0C60" w:rsidRDefault="009C0C60">
          <w:pPr>
            <w:pStyle w:val="TOC2"/>
            <w:tabs>
              <w:tab w:val="right" w:leader="dot" w:pos="9350"/>
            </w:tabs>
            <w:rPr>
              <w:rFonts w:eastAsiaTheme="minorEastAsia"/>
              <w:noProof/>
              <w:kern w:val="2"/>
              <w:lang w:val="en-GB" w:eastAsia="en-GB"/>
              <w14:ligatures w14:val="standardContextual"/>
            </w:rPr>
          </w:pPr>
          <w:hyperlink w:anchor="_Toc151383707" w:history="1">
            <w:r w:rsidRPr="00C72461">
              <w:rPr>
                <w:rStyle w:val="Hyperlink"/>
                <w:rFonts w:ascii="Arial" w:hAnsi="Arial" w:cs="Arial"/>
                <w:b/>
                <w:bCs/>
                <w:noProof/>
              </w:rPr>
              <w:t>UK Strategies/Programs for Implementing SDG 1</w:t>
            </w:r>
            <w:r>
              <w:rPr>
                <w:noProof/>
                <w:webHidden/>
              </w:rPr>
              <w:tab/>
            </w:r>
            <w:r>
              <w:rPr>
                <w:noProof/>
                <w:webHidden/>
              </w:rPr>
              <w:fldChar w:fldCharType="begin"/>
            </w:r>
            <w:r>
              <w:rPr>
                <w:noProof/>
                <w:webHidden/>
              </w:rPr>
              <w:instrText xml:space="preserve"> PAGEREF _Toc151383707 \h </w:instrText>
            </w:r>
            <w:r>
              <w:rPr>
                <w:noProof/>
                <w:webHidden/>
              </w:rPr>
            </w:r>
            <w:r>
              <w:rPr>
                <w:noProof/>
                <w:webHidden/>
              </w:rPr>
              <w:fldChar w:fldCharType="separate"/>
            </w:r>
            <w:r>
              <w:rPr>
                <w:noProof/>
                <w:webHidden/>
              </w:rPr>
              <w:t>8</w:t>
            </w:r>
            <w:r>
              <w:rPr>
                <w:noProof/>
                <w:webHidden/>
              </w:rPr>
              <w:fldChar w:fldCharType="end"/>
            </w:r>
          </w:hyperlink>
        </w:p>
        <w:p w14:paraId="4ADB922F" w14:textId="7055AD04" w:rsidR="009C0C60" w:rsidRDefault="009C0C60">
          <w:pPr>
            <w:pStyle w:val="TOC2"/>
            <w:tabs>
              <w:tab w:val="right" w:leader="dot" w:pos="9350"/>
            </w:tabs>
            <w:rPr>
              <w:rFonts w:eastAsiaTheme="minorEastAsia"/>
              <w:noProof/>
              <w:kern w:val="2"/>
              <w:lang w:val="en-GB" w:eastAsia="en-GB"/>
              <w14:ligatures w14:val="standardContextual"/>
            </w:rPr>
          </w:pPr>
          <w:hyperlink w:anchor="_Toc151383708" w:history="1">
            <w:r w:rsidRPr="00C72461">
              <w:rPr>
                <w:rStyle w:val="Hyperlink"/>
                <w:rFonts w:ascii="Arial" w:hAnsi="Arial" w:cs="Arial"/>
                <w:b/>
                <w:bCs/>
                <w:noProof/>
              </w:rPr>
              <w:t>Critical Review of Strategies/Programs</w:t>
            </w:r>
            <w:r>
              <w:rPr>
                <w:noProof/>
                <w:webHidden/>
              </w:rPr>
              <w:tab/>
            </w:r>
            <w:r>
              <w:rPr>
                <w:noProof/>
                <w:webHidden/>
              </w:rPr>
              <w:fldChar w:fldCharType="begin"/>
            </w:r>
            <w:r>
              <w:rPr>
                <w:noProof/>
                <w:webHidden/>
              </w:rPr>
              <w:instrText xml:space="preserve"> PAGEREF _Toc151383708 \h </w:instrText>
            </w:r>
            <w:r>
              <w:rPr>
                <w:noProof/>
                <w:webHidden/>
              </w:rPr>
            </w:r>
            <w:r>
              <w:rPr>
                <w:noProof/>
                <w:webHidden/>
              </w:rPr>
              <w:fldChar w:fldCharType="separate"/>
            </w:r>
            <w:r>
              <w:rPr>
                <w:noProof/>
                <w:webHidden/>
              </w:rPr>
              <w:t>9</w:t>
            </w:r>
            <w:r>
              <w:rPr>
                <w:noProof/>
                <w:webHidden/>
              </w:rPr>
              <w:fldChar w:fldCharType="end"/>
            </w:r>
          </w:hyperlink>
        </w:p>
        <w:p w14:paraId="6483DFA0" w14:textId="77EACE83" w:rsidR="009C0C60" w:rsidRDefault="009C0C60">
          <w:pPr>
            <w:pStyle w:val="TOC2"/>
            <w:tabs>
              <w:tab w:val="right" w:leader="dot" w:pos="9350"/>
            </w:tabs>
            <w:rPr>
              <w:rFonts w:eastAsiaTheme="minorEastAsia"/>
              <w:noProof/>
              <w:kern w:val="2"/>
              <w:lang w:val="en-GB" w:eastAsia="en-GB"/>
              <w14:ligatures w14:val="standardContextual"/>
            </w:rPr>
          </w:pPr>
          <w:hyperlink w:anchor="_Toc151383709" w:history="1">
            <w:r w:rsidRPr="00C72461">
              <w:rPr>
                <w:rStyle w:val="Hyperlink"/>
                <w:rFonts w:ascii="Arial" w:hAnsi="Arial" w:cs="Arial"/>
                <w:b/>
                <w:bCs/>
                <w:noProof/>
              </w:rPr>
              <w:t>Progress in Achieving SDG 1</w:t>
            </w:r>
            <w:r>
              <w:rPr>
                <w:noProof/>
                <w:webHidden/>
              </w:rPr>
              <w:tab/>
            </w:r>
            <w:r>
              <w:rPr>
                <w:noProof/>
                <w:webHidden/>
              </w:rPr>
              <w:fldChar w:fldCharType="begin"/>
            </w:r>
            <w:r>
              <w:rPr>
                <w:noProof/>
                <w:webHidden/>
              </w:rPr>
              <w:instrText xml:space="preserve"> PAGEREF _Toc151383709 \h </w:instrText>
            </w:r>
            <w:r>
              <w:rPr>
                <w:noProof/>
                <w:webHidden/>
              </w:rPr>
            </w:r>
            <w:r>
              <w:rPr>
                <w:noProof/>
                <w:webHidden/>
              </w:rPr>
              <w:fldChar w:fldCharType="separate"/>
            </w:r>
            <w:r>
              <w:rPr>
                <w:noProof/>
                <w:webHidden/>
              </w:rPr>
              <w:t>10</w:t>
            </w:r>
            <w:r>
              <w:rPr>
                <w:noProof/>
                <w:webHidden/>
              </w:rPr>
              <w:fldChar w:fldCharType="end"/>
            </w:r>
          </w:hyperlink>
        </w:p>
        <w:p w14:paraId="3226F310" w14:textId="14134C3F" w:rsidR="009C0C60" w:rsidRDefault="009C0C60">
          <w:pPr>
            <w:pStyle w:val="TOC2"/>
            <w:tabs>
              <w:tab w:val="right" w:leader="dot" w:pos="9350"/>
            </w:tabs>
            <w:rPr>
              <w:rFonts w:eastAsiaTheme="minorEastAsia"/>
              <w:noProof/>
              <w:kern w:val="2"/>
              <w:lang w:val="en-GB" w:eastAsia="en-GB"/>
              <w14:ligatures w14:val="standardContextual"/>
            </w:rPr>
          </w:pPr>
          <w:hyperlink w:anchor="_Toc151383710" w:history="1">
            <w:r w:rsidRPr="00C72461">
              <w:rPr>
                <w:rStyle w:val="Hyperlink"/>
                <w:rFonts w:ascii="Arial" w:hAnsi="Arial" w:cs="Arial"/>
                <w:b/>
                <w:bCs/>
                <w:noProof/>
              </w:rPr>
              <w:t>Impact on Health, Wellbeing, and Sustainable Development</w:t>
            </w:r>
            <w:r>
              <w:rPr>
                <w:noProof/>
                <w:webHidden/>
              </w:rPr>
              <w:tab/>
            </w:r>
            <w:r>
              <w:rPr>
                <w:noProof/>
                <w:webHidden/>
              </w:rPr>
              <w:fldChar w:fldCharType="begin"/>
            </w:r>
            <w:r>
              <w:rPr>
                <w:noProof/>
                <w:webHidden/>
              </w:rPr>
              <w:instrText xml:space="preserve"> PAGEREF _Toc151383710 \h </w:instrText>
            </w:r>
            <w:r>
              <w:rPr>
                <w:noProof/>
                <w:webHidden/>
              </w:rPr>
            </w:r>
            <w:r>
              <w:rPr>
                <w:noProof/>
                <w:webHidden/>
              </w:rPr>
              <w:fldChar w:fldCharType="separate"/>
            </w:r>
            <w:r>
              <w:rPr>
                <w:noProof/>
                <w:webHidden/>
              </w:rPr>
              <w:t>10</w:t>
            </w:r>
            <w:r>
              <w:rPr>
                <w:noProof/>
                <w:webHidden/>
              </w:rPr>
              <w:fldChar w:fldCharType="end"/>
            </w:r>
          </w:hyperlink>
        </w:p>
        <w:p w14:paraId="1B4782E8" w14:textId="1E371048" w:rsidR="009C0C60" w:rsidRDefault="009C0C60">
          <w:pPr>
            <w:pStyle w:val="TOC2"/>
            <w:tabs>
              <w:tab w:val="right" w:leader="dot" w:pos="9350"/>
            </w:tabs>
            <w:rPr>
              <w:rFonts w:eastAsiaTheme="minorEastAsia"/>
              <w:noProof/>
              <w:kern w:val="2"/>
              <w:lang w:val="en-GB" w:eastAsia="en-GB"/>
              <w14:ligatures w14:val="standardContextual"/>
            </w:rPr>
          </w:pPr>
          <w:hyperlink w:anchor="_Toc151383711" w:history="1">
            <w:r w:rsidRPr="00C72461">
              <w:rPr>
                <w:rStyle w:val="Hyperlink"/>
                <w:rFonts w:ascii="Arial" w:hAnsi="Arial" w:cs="Arial"/>
                <w:b/>
                <w:bCs/>
                <w:noProof/>
              </w:rPr>
              <w:t>Challenges in Implementing SDG 1</w:t>
            </w:r>
            <w:r>
              <w:rPr>
                <w:noProof/>
                <w:webHidden/>
              </w:rPr>
              <w:tab/>
            </w:r>
            <w:r>
              <w:rPr>
                <w:noProof/>
                <w:webHidden/>
              </w:rPr>
              <w:fldChar w:fldCharType="begin"/>
            </w:r>
            <w:r>
              <w:rPr>
                <w:noProof/>
                <w:webHidden/>
              </w:rPr>
              <w:instrText xml:space="preserve"> PAGEREF _Toc151383711 \h </w:instrText>
            </w:r>
            <w:r>
              <w:rPr>
                <w:noProof/>
                <w:webHidden/>
              </w:rPr>
            </w:r>
            <w:r>
              <w:rPr>
                <w:noProof/>
                <w:webHidden/>
              </w:rPr>
              <w:fldChar w:fldCharType="separate"/>
            </w:r>
            <w:r>
              <w:rPr>
                <w:noProof/>
                <w:webHidden/>
              </w:rPr>
              <w:t>10</w:t>
            </w:r>
            <w:r>
              <w:rPr>
                <w:noProof/>
                <w:webHidden/>
              </w:rPr>
              <w:fldChar w:fldCharType="end"/>
            </w:r>
          </w:hyperlink>
        </w:p>
        <w:p w14:paraId="2175CCCF" w14:textId="4587EECC" w:rsidR="009C0C60" w:rsidRDefault="009C0C60">
          <w:pPr>
            <w:pStyle w:val="TOC2"/>
            <w:tabs>
              <w:tab w:val="right" w:leader="dot" w:pos="9350"/>
            </w:tabs>
            <w:rPr>
              <w:rFonts w:eastAsiaTheme="minorEastAsia"/>
              <w:noProof/>
              <w:kern w:val="2"/>
              <w:lang w:val="en-GB" w:eastAsia="en-GB"/>
              <w14:ligatures w14:val="standardContextual"/>
            </w:rPr>
          </w:pPr>
          <w:hyperlink w:anchor="_Toc151383712" w:history="1">
            <w:r w:rsidRPr="00C72461">
              <w:rPr>
                <w:rStyle w:val="Hyperlink"/>
                <w:rFonts w:ascii="Arial" w:hAnsi="Arial" w:cs="Arial"/>
                <w:b/>
                <w:bCs/>
                <w:noProof/>
              </w:rPr>
              <w:t>Recommendations for Achieving SDG 1</w:t>
            </w:r>
            <w:r>
              <w:rPr>
                <w:noProof/>
                <w:webHidden/>
              </w:rPr>
              <w:tab/>
            </w:r>
            <w:r>
              <w:rPr>
                <w:noProof/>
                <w:webHidden/>
              </w:rPr>
              <w:fldChar w:fldCharType="begin"/>
            </w:r>
            <w:r>
              <w:rPr>
                <w:noProof/>
                <w:webHidden/>
              </w:rPr>
              <w:instrText xml:space="preserve"> PAGEREF _Toc151383712 \h </w:instrText>
            </w:r>
            <w:r>
              <w:rPr>
                <w:noProof/>
                <w:webHidden/>
              </w:rPr>
            </w:r>
            <w:r>
              <w:rPr>
                <w:noProof/>
                <w:webHidden/>
              </w:rPr>
              <w:fldChar w:fldCharType="separate"/>
            </w:r>
            <w:r>
              <w:rPr>
                <w:noProof/>
                <w:webHidden/>
              </w:rPr>
              <w:t>11</w:t>
            </w:r>
            <w:r>
              <w:rPr>
                <w:noProof/>
                <w:webHidden/>
              </w:rPr>
              <w:fldChar w:fldCharType="end"/>
            </w:r>
          </w:hyperlink>
        </w:p>
        <w:p w14:paraId="3F3EE276" w14:textId="0188D137" w:rsidR="009C0C60" w:rsidRDefault="009C0C60">
          <w:pPr>
            <w:pStyle w:val="TOC1"/>
            <w:tabs>
              <w:tab w:val="right" w:leader="dot" w:pos="9350"/>
            </w:tabs>
            <w:rPr>
              <w:rFonts w:eastAsiaTheme="minorEastAsia"/>
              <w:noProof/>
              <w:kern w:val="2"/>
              <w:lang w:val="en-GB" w:eastAsia="en-GB"/>
              <w14:ligatures w14:val="standardContextual"/>
            </w:rPr>
          </w:pPr>
          <w:hyperlink w:anchor="_Toc151383713" w:history="1">
            <w:r w:rsidRPr="00C72461">
              <w:rPr>
                <w:rStyle w:val="Hyperlink"/>
                <w:rFonts w:ascii="Arial" w:hAnsi="Arial" w:cs="Arial"/>
                <w:b/>
                <w:bCs/>
                <w:noProof/>
              </w:rPr>
              <w:t>Goal 5: Gender Equality and Empowering Women</w:t>
            </w:r>
            <w:r>
              <w:rPr>
                <w:noProof/>
                <w:webHidden/>
              </w:rPr>
              <w:tab/>
            </w:r>
            <w:r>
              <w:rPr>
                <w:noProof/>
                <w:webHidden/>
              </w:rPr>
              <w:fldChar w:fldCharType="begin"/>
            </w:r>
            <w:r>
              <w:rPr>
                <w:noProof/>
                <w:webHidden/>
              </w:rPr>
              <w:instrText xml:space="preserve"> PAGEREF _Toc151383713 \h </w:instrText>
            </w:r>
            <w:r>
              <w:rPr>
                <w:noProof/>
                <w:webHidden/>
              </w:rPr>
            </w:r>
            <w:r>
              <w:rPr>
                <w:noProof/>
                <w:webHidden/>
              </w:rPr>
              <w:fldChar w:fldCharType="separate"/>
            </w:r>
            <w:r>
              <w:rPr>
                <w:noProof/>
                <w:webHidden/>
              </w:rPr>
              <w:t>12</w:t>
            </w:r>
            <w:r>
              <w:rPr>
                <w:noProof/>
                <w:webHidden/>
              </w:rPr>
              <w:fldChar w:fldCharType="end"/>
            </w:r>
          </w:hyperlink>
        </w:p>
        <w:p w14:paraId="6A82AAB9" w14:textId="581599F6" w:rsidR="009C0C60" w:rsidRDefault="009C0C60">
          <w:pPr>
            <w:pStyle w:val="TOC2"/>
            <w:tabs>
              <w:tab w:val="right" w:leader="dot" w:pos="9350"/>
            </w:tabs>
            <w:rPr>
              <w:rFonts w:eastAsiaTheme="minorEastAsia"/>
              <w:noProof/>
              <w:kern w:val="2"/>
              <w:lang w:val="en-GB" w:eastAsia="en-GB"/>
              <w14:ligatures w14:val="standardContextual"/>
            </w:rPr>
          </w:pPr>
          <w:hyperlink w:anchor="_Toc151383714" w:history="1">
            <w:r w:rsidRPr="00C72461">
              <w:rPr>
                <w:rStyle w:val="Hyperlink"/>
                <w:rFonts w:ascii="Arial" w:hAnsi="Arial" w:cs="Arial"/>
                <w:b/>
                <w:bCs/>
                <w:noProof/>
              </w:rPr>
              <w:t>Definition of SDG 5</w:t>
            </w:r>
            <w:r>
              <w:rPr>
                <w:noProof/>
                <w:webHidden/>
              </w:rPr>
              <w:tab/>
            </w:r>
            <w:r>
              <w:rPr>
                <w:noProof/>
                <w:webHidden/>
              </w:rPr>
              <w:fldChar w:fldCharType="begin"/>
            </w:r>
            <w:r>
              <w:rPr>
                <w:noProof/>
                <w:webHidden/>
              </w:rPr>
              <w:instrText xml:space="preserve"> PAGEREF _Toc151383714 \h </w:instrText>
            </w:r>
            <w:r>
              <w:rPr>
                <w:noProof/>
                <w:webHidden/>
              </w:rPr>
            </w:r>
            <w:r>
              <w:rPr>
                <w:noProof/>
                <w:webHidden/>
              </w:rPr>
              <w:fldChar w:fldCharType="separate"/>
            </w:r>
            <w:r>
              <w:rPr>
                <w:noProof/>
                <w:webHidden/>
              </w:rPr>
              <w:t>12</w:t>
            </w:r>
            <w:r>
              <w:rPr>
                <w:noProof/>
                <w:webHidden/>
              </w:rPr>
              <w:fldChar w:fldCharType="end"/>
            </w:r>
          </w:hyperlink>
        </w:p>
        <w:p w14:paraId="31DC5D97" w14:textId="6977356C" w:rsidR="009C0C60" w:rsidRDefault="009C0C60">
          <w:pPr>
            <w:pStyle w:val="TOC2"/>
            <w:tabs>
              <w:tab w:val="right" w:leader="dot" w:pos="9350"/>
            </w:tabs>
            <w:rPr>
              <w:rFonts w:eastAsiaTheme="minorEastAsia"/>
              <w:noProof/>
              <w:kern w:val="2"/>
              <w:lang w:val="en-GB" w:eastAsia="en-GB"/>
              <w14:ligatures w14:val="standardContextual"/>
            </w:rPr>
          </w:pPr>
          <w:hyperlink w:anchor="_Toc151383715" w:history="1">
            <w:r w:rsidRPr="00C72461">
              <w:rPr>
                <w:rStyle w:val="Hyperlink"/>
                <w:rFonts w:ascii="Arial" w:hAnsi="Arial" w:cs="Arial"/>
                <w:b/>
                <w:bCs/>
                <w:noProof/>
              </w:rPr>
              <w:t>UK Strategies/Programs for Implementing SDG 5</w:t>
            </w:r>
            <w:r>
              <w:rPr>
                <w:noProof/>
                <w:webHidden/>
              </w:rPr>
              <w:tab/>
            </w:r>
            <w:r>
              <w:rPr>
                <w:noProof/>
                <w:webHidden/>
              </w:rPr>
              <w:fldChar w:fldCharType="begin"/>
            </w:r>
            <w:r>
              <w:rPr>
                <w:noProof/>
                <w:webHidden/>
              </w:rPr>
              <w:instrText xml:space="preserve"> PAGEREF _Toc151383715 \h </w:instrText>
            </w:r>
            <w:r>
              <w:rPr>
                <w:noProof/>
                <w:webHidden/>
              </w:rPr>
            </w:r>
            <w:r>
              <w:rPr>
                <w:noProof/>
                <w:webHidden/>
              </w:rPr>
              <w:fldChar w:fldCharType="separate"/>
            </w:r>
            <w:r>
              <w:rPr>
                <w:noProof/>
                <w:webHidden/>
              </w:rPr>
              <w:t>12</w:t>
            </w:r>
            <w:r>
              <w:rPr>
                <w:noProof/>
                <w:webHidden/>
              </w:rPr>
              <w:fldChar w:fldCharType="end"/>
            </w:r>
          </w:hyperlink>
        </w:p>
        <w:p w14:paraId="6DFF3049" w14:textId="245AC15E" w:rsidR="009C0C60" w:rsidRDefault="009C0C60">
          <w:pPr>
            <w:pStyle w:val="TOC2"/>
            <w:tabs>
              <w:tab w:val="right" w:leader="dot" w:pos="9350"/>
            </w:tabs>
            <w:rPr>
              <w:rFonts w:eastAsiaTheme="minorEastAsia"/>
              <w:noProof/>
              <w:kern w:val="2"/>
              <w:lang w:val="en-GB" w:eastAsia="en-GB"/>
              <w14:ligatures w14:val="standardContextual"/>
            </w:rPr>
          </w:pPr>
          <w:hyperlink w:anchor="_Toc151383716" w:history="1">
            <w:r w:rsidRPr="00C72461">
              <w:rPr>
                <w:rStyle w:val="Hyperlink"/>
                <w:rFonts w:ascii="Arial" w:hAnsi="Arial" w:cs="Arial"/>
                <w:b/>
                <w:bCs/>
                <w:noProof/>
              </w:rPr>
              <w:t>Critical Review of Strategies/Programs</w:t>
            </w:r>
            <w:r>
              <w:rPr>
                <w:noProof/>
                <w:webHidden/>
              </w:rPr>
              <w:tab/>
            </w:r>
            <w:r>
              <w:rPr>
                <w:noProof/>
                <w:webHidden/>
              </w:rPr>
              <w:fldChar w:fldCharType="begin"/>
            </w:r>
            <w:r>
              <w:rPr>
                <w:noProof/>
                <w:webHidden/>
              </w:rPr>
              <w:instrText xml:space="preserve"> PAGEREF _Toc151383716 \h </w:instrText>
            </w:r>
            <w:r>
              <w:rPr>
                <w:noProof/>
                <w:webHidden/>
              </w:rPr>
            </w:r>
            <w:r>
              <w:rPr>
                <w:noProof/>
                <w:webHidden/>
              </w:rPr>
              <w:fldChar w:fldCharType="separate"/>
            </w:r>
            <w:r>
              <w:rPr>
                <w:noProof/>
                <w:webHidden/>
              </w:rPr>
              <w:t>13</w:t>
            </w:r>
            <w:r>
              <w:rPr>
                <w:noProof/>
                <w:webHidden/>
              </w:rPr>
              <w:fldChar w:fldCharType="end"/>
            </w:r>
          </w:hyperlink>
        </w:p>
        <w:p w14:paraId="71EC56D4" w14:textId="19F22A49" w:rsidR="009C0C60" w:rsidRDefault="009C0C60">
          <w:pPr>
            <w:pStyle w:val="TOC2"/>
            <w:tabs>
              <w:tab w:val="right" w:leader="dot" w:pos="9350"/>
            </w:tabs>
            <w:rPr>
              <w:rFonts w:eastAsiaTheme="minorEastAsia"/>
              <w:noProof/>
              <w:kern w:val="2"/>
              <w:lang w:val="en-GB" w:eastAsia="en-GB"/>
              <w14:ligatures w14:val="standardContextual"/>
            </w:rPr>
          </w:pPr>
          <w:hyperlink w:anchor="_Toc151383717" w:history="1">
            <w:r w:rsidRPr="00C72461">
              <w:rPr>
                <w:rStyle w:val="Hyperlink"/>
                <w:rFonts w:ascii="Arial" w:hAnsi="Arial" w:cs="Arial"/>
                <w:b/>
                <w:bCs/>
                <w:noProof/>
              </w:rPr>
              <w:t>Progress in Achieving SDG 5</w:t>
            </w:r>
            <w:r>
              <w:rPr>
                <w:noProof/>
                <w:webHidden/>
              </w:rPr>
              <w:tab/>
            </w:r>
            <w:r>
              <w:rPr>
                <w:noProof/>
                <w:webHidden/>
              </w:rPr>
              <w:fldChar w:fldCharType="begin"/>
            </w:r>
            <w:r>
              <w:rPr>
                <w:noProof/>
                <w:webHidden/>
              </w:rPr>
              <w:instrText xml:space="preserve"> PAGEREF _Toc151383717 \h </w:instrText>
            </w:r>
            <w:r>
              <w:rPr>
                <w:noProof/>
                <w:webHidden/>
              </w:rPr>
            </w:r>
            <w:r>
              <w:rPr>
                <w:noProof/>
                <w:webHidden/>
              </w:rPr>
              <w:fldChar w:fldCharType="separate"/>
            </w:r>
            <w:r>
              <w:rPr>
                <w:noProof/>
                <w:webHidden/>
              </w:rPr>
              <w:t>13</w:t>
            </w:r>
            <w:r>
              <w:rPr>
                <w:noProof/>
                <w:webHidden/>
              </w:rPr>
              <w:fldChar w:fldCharType="end"/>
            </w:r>
          </w:hyperlink>
        </w:p>
        <w:p w14:paraId="12CBFC07" w14:textId="6F5D0CCC" w:rsidR="009C0C60" w:rsidRDefault="009C0C60">
          <w:pPr>
            <w:pStyle w:val="TOC2"/>
            <w:tabs>
              <w:tab w:val="right" w:leader="dot" w:pos="9350"/>
            </w:tabs>
            <w:rPr>
              <w:rFonts w:eastAsiaTheme="minorEastAsia"/>
              <w:noProof/>
              <w:kern w:val="2"/>
              <w:lang w:val="en-GB" w:eastAsia="en-GB"/>
              <w14:ligatures w14:val="standardContextual"/>
            </w:rPr>
          </w:pPr>
          <w:hyperlink w:anchor="_Toc151383718" w:history="1">
            <w:r w:rsidRPr="00C72461">
              <w:rPr>
                <w:rStyle w:val="Hyperlink"/>
                <w:rFonts w:ascii="Arial" w:hAnsi="Arial" w:cs="Arial"/>
                <w:b/>
                <w:bCs/>
                <w:noProof/>
              </w:rPr>
              <w:t>Impact on Health, Wellbeing, and Sustainable Development</w:t>
            </w:r>
            <w:r>
              <w:rPr>
                <w:noProof/>
                <w:webHidden/>
              </w:rPr>
              <w:tab/>
            </w:r>
            <w:r>
              <w:rPr>
                <w:noProof/>
                <w:webHidden/>
              </w:rPr>
              <w:fldChar w:fldCharType="begin"/>
            </w:r>
            <w:r>
              <w:rPr>
                <w:noProof/>
                <w:webHidden/>
              </w:rPr>
              <w:instrText xml:space="preserve"> PAGEREF _Toc151383718 \h </w:instrText>
            </w:r>
            <w:r>
              <w:rPr>
                <w:noProof/>
                <w:webHidden/>
              </w:rPr>
            </w:r>
            <w:r>
              <w:rPr>
                <w:noProof/>
                <w:webHidden/>
              </w:rPr>
              <w:fldChar w:fldCharType="separate"/>
            </w:r>
            <w:r>
              <w:rPr>
                <w:noProof/>
                <w:webHidden/>
              </w:rPr>
              <w:t>14</w:t>
            </w:r>
            <w:r>
              <w:rPr>
                <w:noProof/>
                <w:webHidden/>
              </w:rPr>
              <w:fldChar w:fldCharType="end"/>
            </w:r>
          </w:hyperlink>
        </w:p>
        <w:p w14:paraId="36905982" w14:textId="38411BDF" w:rsidR="009C0C60" w:rsidRDefault="009C0C60">
          <w:pPr>
            <w:pStyle w:val="TOC2"/>
            <w:tabs>
              <w:tab w:val="right" w:leader="dot" w:pos="9350"/>
            </w:tabs>
            <w:rPr>
              <w:rFonts w:eastAsiaTheme="minorEastAsia"/>
              <w:noProof/>
              <w:kern w:val="2"/>
              <w:lang w:val="en-GB" w:eastAsia="en-GB"/>
              <w14:ligatures w14:val="standardContextual"/>
            </w:rPr>
          </w:pPr>
          <w:hyperlink w:anchor="_Toc151383719" w:history="1">
            <w:r w:rsidRPr="00C72461">
              <w:rPr>
                <w:rStyle w:val="Hyperlink"/>
                <w:rFonts w:ascii="Arial" w:hAnsi="Arial" w:cs="Arial"/>
                <w:b/>
                <w:bCs/>
                <w:noProof/>
              </w:rPr>
              <w:t>Challenges in Implementing SDG 5</w:t>
            </w:r>
            <w:r>
              <w:rPr>
                <w:noProof/>
                <w:webHidden/>
              </w:rPr>
              <w:tab/>
            </w:r>
            <w:r>
              <w:rPr>
                <w:noProof/>
                <w:webHidden/>
              </w:rPr>
              <w:fldChar w:fldCharType="begin"/>
            </w:r>
            <w:r>
              <w:rPr>
                <w:noProof/>
                <w:webHidden/>
              </w:rPr>
              <w:instrText xml:space="preserve"> PAGEREF _Toc151383719 \h </w:instrText>
            </w:r>
            <w:r>
              <w:rPr>
                <w:noProof/>
                <w:webHidden/>
              </w:rPr>
            </w:r>
            <w:r>
              <w:rPr>
                <w:noProof/>
                <w:webHidden/>
              </w:rPr>
              <w:fldChar w:fldCharType="separate"/>
            </w:r>
            <w:r>
              <w:rPr>
                <w:noProof/>
                <w:webHidden/>
              </w:rPr>
              <w:t>14</w:t>
            </w:r>
            <w:r>
              <w:rPr>
                <w:noProof/>
                <w:webHidden/>
              </w:rPr>
              <w:fldChar w:fldCharType="end"/>
            </w:r>
          </w:hyperlink>
        </w:p>
        <w:p w14:paraId="5AC69635" w14:textId="37C1C392" w:rsidR="009C0C60" w:rsidRDefault="009C0C60">
          <w:pPr>
            <w:pStyle w:val="TOC2"/>
            <w:tabs>
              <w:tab w:val="right" w:leader="dot" w:pos="9350"/>
            </w:tabs>
            <w:rPr>
              <w:rFonts w:eastAsiaTheme="minorEastAsia"/>
              <w:noProof/>
              <w:kern w:val="2"/>
              <w:lang w:val="en-GB" w:eastAsia="en-GB"/>
              <w14:ligatures w14:val="standardContextual"/>
            </w:rPr>
          </w:pPr>
          <w:hyperlink w:anchor="_Toc151383720" w:history="1">
            <w:r w:rsidRPr="00C72461">
              <w:rPr>
                <w:rStyle w:val="Hyperlink"/>
                <w:rFonts w:ascii="Arial" w:hAnsi="Arial" w:cs="Arial"/>
                <w:b/>
                <w:bCs/>
                <w:noProof/>
              </w:rPr>
              <w:t>Recommendations for Achieving SDG 5</w:t>
            </w:r>
            <w:r>
              <w:rPr>
                <w:noProof/>
                <w:webHidden/>
              </w:rPr>
              <w:tab/>
            </w:r>
            <w:r>
              <w:rPr>
                <w:noProof/>
                <w:webHidden/>
              </w:rPr>
              <w:fldChar w:fldCharType="begin"/>
            </w:r>
            <w:r>
              <w:rPr>
                <w:noProof/>
                <w:webHidden/>
              </w:rPr>
              <w:instrText xml:space="preserve"> PAGEREF _Toc151383720 \h </w:instrText>
            </w:r>
            <w:r>
              <w:rPr>
                <w:noProof/>
                <w:webHidden/>
              </w:rPr>
            </w:r>
            <w:r>
              <w:rPr>
                <w:noProof/>
                <w:webHidden/>
              </w:rPr>
              <w:fldChar w:fldCharType="separate"/>
            </w:r>
            <w:r>
              <w:rPr>
                <w:noProof/>
                <w:webHidden/>
              </w:rPr>
              <w:t>14</w:t>
            </w:r>
            <w:r>
              <w:rPr>
                <w:noProof/>
                <w:webHidden/>
              </w:rPr>
              <w:fldChar w:fldCharType="end"/>
            </w:r>
          </w:hyperlink>
        </w:p>
        <w:p w14:paraId="0F7D621F" w14:textId="37327F26" w:rsidR="009C0C60" w:rsidRDefault="009C0C60">
          <w:pPr>
            <w:pStyle w:val="TOC1"/>
            <w:tabs>
              <w:tab w:val="right" w:leader="dot" w:pos="9350"/>
            </w:tabs>
            <w:rPr>
              <w:rFonts w:eastAsiaTheme="minorEastAsia"/>
              <w:noProof/>
              <w:kern w:val="2"/>
              <w:lang w:val="en-GB" w:eastAsia="en-GB"/>
              <w14:ligatures w14:val="standardContextual"/>
            </w:rPr>
          </w:pPr>
          <w:hyperlink w:anchor="_Toc151383721" w:history="1">
            <w:r w:rsidRPr="00C7246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_Toc151383721 \h </w:instrText>
            </w:r>
            <w:r>
              <w:rPr>
                <w:noProof/>
                <w:webHidden/>
              </w:rPr>
            </w:r>
            <w:r>
              <w:rPr>
                <w:noProof/>
                <w:webHidden/>
              </w:rPr>
              <w:fldChar w:fldCharType="separate"/>
            </w:r>
            <w:r>
              <w:rPr>
                <w:noProof/>
                <w:webHidden/>
              </w:rPr>
              <w:t>15</w:t>
            </w:r>
            <w:r>
              <w:rPr>
                <w:noProof/>
                <w:webHidden/>
              </w:rPr>
              <w:fldChar w:fldCharType="end"/>
            </w:r>
          </w:hyperlink>
        </w:p>
        <w:p w14:paraId="582A0432" w14:textId="30FD126B" w:rsidR="009C0C60" w:rsidRDefault="009C0C60">
          <w:pPr>
            <w:pStyle w:val="TOC1"/>
            <w:tabs>
              <w:tab w:val="right" w:leader="dot" w:pos="9350"/>
            </w:tabs>
            <w:rPr>
              <w:rFonts w:eastAsiaTheme="minorEastAsia"/>
              <w:noProof/>
              <w:kern w:val="2"/>
              <w:lang w:val="en-GB" w:eastAsia="en-GB"/>
              <w14:ligatures w14:val="standardContextual"/>
            </w:rPr>
          </w:pPr>
          <w:hyperlink w:anchor="_Toc151383722" w:history="1">
            <w:r w:rsidRPr="00C72461">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_Toc151383722 \h </w:instrText>
            </w:r>
            <w:r>
              <w:rPr>
                <w:noProof/>
                <w:webHidden/>
              </w:rPr>
            </w:r>
            <w:r>
              <w:rPr>
                <w:noProof/>
                <w:webHidden/>
              </w:rPr>
              <w:fldChar w:fldCharType="separate"/>
            </w:r>
            <w:r>
              <w:rPr>
                <w:noProof/>
                <w:webHidden/>
              </w:rPr>
              <w:t>17</w:t>
            </w:r>
            <w:r>
              <w:rPr>
                <w:noProof/>
                <w:webHidden/>
              </w:rPr>
              <w:fldChar w:fldCharType="end"/>
            </w:r>
          </w:hyperlink>
        </w:p>
        <w:p w14:paraId="32E1D27A" w14:textId="77B865E3" w:rsidR="009C0C60" w:rsidRDefault="009C0C60">
          <w:r>
            <w:rPr>
              <w:b/>
              <w:bCs/>
              <w:noProof/>
            </w:rPr>
            <w:fldChar w:fldCharType="end"/>
          </w:r>
        </w:p>
      </w:sdtContent>
    </w:sdt>
    <w:p w14:paraId="443EBD3F" w14:textId="77777777" w:rsidR="00FD2B86" w:rsidRPr="006E716E" w:rsidRDefault="00FD2B86" w:rsidP="006E716E">
      <w:pPr>
        <w:spacing w:line="360" w:lineRule="auto"/>
        <w:rPr>
          <w:rFonts w:ascii="Arial" w:eastAsiaTheme="majorEastAsia" w:hAnsi="Arial" w:cs="Arial"/>
          <w:sz w:val="24"/>
          <w:szCs w:val="24"/>
        </w:rPr>
      </w:pPr>
      <w:r w:rsidRPr="006E716E">
        <w:rPr>
          <w:rFonts w:ascii="Arial" w:hAnsi="Arial" w:cs="Arial"/>
          <w:sz w:val="24"/>
          <w:szCs w:val="24"/>
        </w:rPr>
        <w:br w:type="page"/>
      </w:r>
    </w:p>
    <w:p w14:paraId="2A25DDCE" w14:textId="19CC0DEB" w:rsidR="0058012A" w:rsidRPr="006E716E" w:rsidRDefault="0058012A" w:rsidP="006E716E">
      <w:pPr>
        <w:pStyle w:val="Heading1"/>
        <w:spacing w:line="360" w:lineRule="auto"/>
        <w:jc w:val="both"/>
        <w:rPr>
          <w:rFonts w:ascii="Arial" w:hAnsi="Arial" w:cs="Arial"/>
          <w:b/>
          <w:bCs/>
          <w:color w:val="auto"/>
          <w:sz w:val="24"/>
          <w:szCs w:val="24"/>
        </w:rPr>
      </w:pPr>
      <w:bookmarkStart w:id="0" w:name="_Toc151383698"/>
      <w:r w:rsidRPr="006E716E">
        <w:rPr>
          <w:rFonts w:ascii="Arial" w:hAnsi="Arial" w:cs="Arial"/>
          <w:b/>
          <w:bCs/>
          <w:color w:val="auto"/>
          <w:sz w:val="24"/>
          <w:szCs w:val="24"/>
        </w:rPr>
        <w:lastRenderedPageBreak/>
        <w:t>Abstract</w:t>
      </w:r>
      <w:bookmarkEnd w:id="0"/>
    </w:p>
    <w:p w14:paraId="1D525E09" w14:textId="238A91CC" w:rsidR="0002711F" w:rsidRPr="006E716E" w:rsidRDefault="008A0972" w:rsidP="006E716E">
      <w:pPr>
        <w:spacing w:line="360" w:lineRule="auto"/>
        <w:ind w:firstLine="720"/>
        <w:rPr>
          <w:rFonts w:ascii="Arial" w:eastAsiaTheme="majorEastAsia" w:hAnsi="Arial" w:cs="Arial"/>
          <w:b/>
          <w:bCs/>
          <w:sz w:val="24"/>
          <w:szCs w:val="24"/>
        </w:rPr>
      </w:pPr>
      <w:r w:rsidRPr="006E716E">
        <w:rPr>
          <w:rFonts w:ascii="Arial" w:hAnsi="Arial" w:cs="Arial"/>
          <w:sz w:val="24"/>
          <w:szCs w:val="24"/>
        </w:rPr>
        <w:t>This comprehensive report critically examines the United Kingdom's progress in achieving Sustainable Development Goals (SDGs) 1 and 5, focusing on "Ending Poverty" and "Gender Equality and Empowering Women." Assessing strategies such as Universal Credit and Gender Pay Gap Reporting, the paper navigates the intricate intersections of health, wellbeing, and sustainable development. The analysis extends to the UK's commitment to dismantling gender-based disparities, addressing challenges in economic empowerment and representation. Recommendations emphasize enforceable measures for pay equality, the promotion of inclusive leadership, comprehensive gender education, and strategic actions against gender-based violence. Ultimately, the report underscores the interconnectedness of these goals and the imperative of ongoing efforts for transformative societal progress.</w:t>
      </w:r>
      <w:r w:rsidR="0002711F" w:rsidRPr="006E716E">
        <w:rPr>
          <w:rFonts w:ascii="Arial" w:hAnsi="Arial" w:cs="Arial"/>
          <w:b/>
          <w:bCs/>
          <w:sz w:val="24"/>
          <w:szCs w:val="24"/>
        </w:rPr>
        <w:br w:type="page"/>
      </w:r>
    </w:p>
    <w:p w14:paraId="026DBDFE" w14:textId="039C46BC" w:rsidR="00C10C8C" w:rsidRPr="006E716E" w:rsidRDefault="00C10C8C" w:rsidP="006E716E">
      <w:pPr>
        <w:pStyle w:val="Heading1"/>
        <w:spacing w:line="360" w:lineRule="auto"/>
        <w:jc w:val="both"/>
        <w:rPr>
          <w:rFonts w:ascii="Arial" w:hAnsi="Arial" w:cs="Arial"/>
          <w:b/>
          <w:bCs/>
          <w:color w:val="auto"/>
          <w:sz w:val="24"/>
          <w:szCs w:val="24"/>
        </w:rPr>
      </w:pPr>
      <w:bookmarkStart w:id="1" w:name="_Toc151383699"/>
      <w:r w:rsidRPr="006E716E">
        <w:rPr>
          <w:rFonts w:ascii="Arial" w:hAnsi="Arial" w:cs="Arial"/>
          <w:b/>
          <w:bCs/>
          <w:color w:val="auto"/>
          <w:sz w:val="24"/>
          <w:szCs w:val="24"/>
        </w:rPr>
        <w:lastRenderedPageBreak/>
        <w:t>Introduction</w:t>
      </w:r>
      <w:bookmarkEnd w:id="1"/>
    </w:p>
    <w:p w14:paraId="2F4270D1" w14:textId="0D2D4B05" w:rsidR="006D096C" w:rsidRPr="006D096C" w:rsidRDefault="006D096C" w:rsidP="006E716E">
      <w:pPr>
        <w:spacing w:line="360" w:lineRule="auto"/>
        <w:ind w:firstLine="720"/>
        <w:jc w:val="both"/>
        <w:rPr>
          <w:rFonts w:ascii="Arial" w:hAnsi="Arial" w:cs="Arial"/>
          <w:sz w:val="24"/>
          <w:szCs w:val="24"/>
          <w:lang w:val="en-GB"/>
        </w:rPr>
      </w:pPr>
      <w:r w:rsidRPr="006D096C">
        <w:rPr>
          <w:rFonts w:ascii="Arial" w:hAnsi="Arial" w:cs="Arial"/>
          <w:sz w:val="24"/>
          <w:szCs w:val="24"/>
          <w:lang w:val="en-GB"/>
        </w:rPr>
        <w:t>In the pursuit of sustainable development and the overarching commitment to address global challenges, the United Kingdom has pledged to achieve the United Nations' Sustainable Development Goals (SDGs). This report delves into a comprehensive analysis of the progress made within the UK's healthcare sector concerning two pivotal SDGs: Goal 1 - "Ending Poverty" and Goal 5 - "Gender Equality and Empowering Women." As a health and wellbeing consultant, the objective is to critically evaluate the strategies and programs employed by the UK government to attain these goals and assess their profound impact on health, wellbeing, and sustainable development.</w:t>
      </w:r>
      <w:r w:rsidRPr="006E716E">
        <w:rPr>
          <w:rFonts w:ascii="Arial" w:hAnsi="Arial" w:cs="Arial"/>
          <w:sz w:val="24"/>
          <w:szCs w:val="24"/>
          <w:lang w:val="en-GB"/>
        </w:rPr>
        <w:t xml:space="preserve"> </w:t>
      </w:r>
      <w:r w:rsidRPr="006D096C">
        <w:rPr>
          <w:rFonts w:ascii="Arial" w:hAnsi="Arial" w:cs="Arial"/>
          <w:sz w:val="24"/>
          <w:szCs w:val="24"/>
          <w:lang w:val="en-GB"/>
        </w:rPr>
        <w:t>The backdrop of the United Kingdom's commitment to the SDGs is crucial to understanding the broader implications of this report. As a nation with a robust healthcare system and a reputation for social welfare, the UK has positioned itself at the forefront of global efforts to eradicate poverty and promote gender equality</w:t>
      </w:r>
      <w:r w:rsidR="00447C10" w:rsidRPr="006E716E">
        <w:rPr>
          <w:rFonts w:ascii="Arial" w:hAnsi="Arial" w:cs="Arial"/>
          <w:sz w:val="24"/>
          <w:szCs w:val="24"/>
          <w:lang w:val="en-GB"/>
        </w:rPr>
        <w:t xml:space="preserve"> (Odera and Mulusa, 2020)</w:t>
      </w:r>
      <w:r w:rsidRPr="006D096C">
        <w:rPr>
          <w:rFonts w:ascii="Arial" w:hAnsi="Arial" w:cs="Arial"/>
          <w:sz w:val="24"/>
          <w:szCs w:val="24"/>
          <w:lang w:val="en-GB"/>
        </w:rPr>
        <w:t>. The integration of these goals into national policies reflects a comprehensive approach to address not only economic and social disparities but also the intricate connections between poverty, gender inequality, and health outcomes.</w:t>
      </w:r>
      <w:r w:rsidRPr="006E716E">
        <w:rPr>
          <w:rFonts w:ascii="Arial" w:hAnsi="Arial" w:cs="Arial"/>
          <w:sz w:val="24"/>
          <w:szCs w:val="24"/>
          <w:lang w:val="en-GB"/>
        </w:rPr>
        <w:t xml:space="preserve"> </w:t>
      </w:r>
      <w:r w:rsidRPr="006D096C">
        <w:rPr>
          <w:rFonts w:ascii="Arial" w:hAnsi="Arial" w:cs="Arial"/>
          <w:sz w:val="24"/>
          <w:szCs w:val="24"/>
          <w:lang w:val="en-GB"/>
        </w:rPr>
        <w:t>Goal 1, "Ending Poverty," stands as a fundamental pillar in the global pursuit of sustainable development</w:t>
      </w:r>
      <w:r w:rsidR="00447C10" w:rsidRPr="006E716E">
        <w:rPr>
          <w:rFonts w:ascii="Arial" w:hAnsi="Arial" w:cs="Arial"/>
          <w:sz w:val="24"/>
          <w:szCs w:val="24"/>
          <w:lang w:val="en-GB"/>
        </w:rPr>
        <w:t xml:space="preserve"> (Vyas-Doorgapersad, 2021)</w:t>
      </w:r>
      <w:r w:rsidRPr="006D096C">
        <w:rPr>
          <w:rFonts w:ascii="Arial" w:hAnsi="Arial" w:cs="Arial"/>
          <w:sz w:val="24"/>
          <w:szCs w:val="24"/>
          <w:lang w:val="en-GB"/>
        </w:rPr>
        <w:t xml:space="preserve">. This goal acknowledges that poverty is not solely an economic issue but a multifaceted challenge that encompasses access to healthcare, education, and overall well-being. The report will </w:t>
      </w:r>
      <w:r w:rsidRPr="006E716E">
        <w:rPr>
          <w:rFonts w:ascii="Arial" w:hAnsi="Arial" w:cs="Arial"/>
          <w:sz w:val="24"/>
          <w:szCs w:val="24"/>
          <w:lang w:val="en-GB"/>
        </w:rPr>
        <w:t xml:space="preserve">well </w:t>
      </w:r>
      <w:r w:rsidRPr="006D096C">
        <w:rPr>
          <w:rFonts w:ascii="Arial" w:hAnsi="Arial" w:cs="Arial"/>
          <w:sz w:val="24"/>
          <w:szCs w:val="24"/>
          <w:lang w:val="en-GB"/>
        </w:rPr>
        <w:t>outline the definition of Goal 1, identify and assess two prominent UK strategies/programs to implement this goal, evaluate the progress achieved thus far, critically examine the impact on health and wellbeing within the healthcare sector, delve into the challenges encountered, and propose evidence-based recommendations for further advancements.</w:t>
      </w:r>
    </w:p>
    <w:p w14:paraId="1186B52A" w14:textId="1F485A59" w:rsidR="00C10C8C" w:rsidRPr="006E716E" w:rsidRDefault="006D096C" w:rsidP="006E716E">
      <w:pPr>
        <w:spacing w:line="360" w:lineRule="auto"/>
        <w:ind w:firstLine="720"/>
        <w:jc w:val="both"/>
        <w:rPr>
          <w:rFonts w:ascii="Arial" w:hAnsi="Arial" w:cs="Arial"/>
          <w:sz w:val="24"/>
          <w:szCs w:val="24"/>
          <w:lang w:val="en-GB"/>
        </w:rPr>
      </w:pPr>
      <w:r w:rsidRPr="006D096C">
        <w:rPr>
          <w:rFonts w:ascii="Arial" w:hAnsi="Arial" w:cs="Arial"/>
          <w:sz w:val="24"/>
          <w:szCs w:val="24"/>
          <w:lang w:val="en-GB"/>
        </w:rPr>
        <w:t xml:space="preserve">Goal 5, "Gender Equality and Empowering Women," underscores the recognition that achieving sustainable development requires dismantling gender-based disparities. Beyond being a matter of social justice, gender equality is intrinsically linked to improved health outcomes and the overall well-being of societies. This report will provide a comprehensive exploration of Goal 5, encompassing its definition, critical evaluation of UK strategies/programs, assessment of progress, examination of the impact on health and wellbeing, identification of challenges, and formulation of recommendations </w:t>
      </w:r>
      <w:r w:rsidRPr="006D096C">
        <w:rPr>
          <w:rFonts w:ascii="Arial" w:hAnsi="Arial" w:cs="Arial"/>
          <w:sz w:val="24"/>
          <w:szCs w:val="24"/>
          <w:lang w:val="en-GB"/>
        </w:rPr>
        <w:lastRenderedPageBreak/>
        <w:t>grounded in supporting evidence.</w:t>
      </w:r>
      <w:r w:rsidRPr="006E716E">
        <w:rPr>
          <w:rFonts w:ascii="Arial" w:hAnsi="Arial" w:cs="Arial"/>
          <w:sz w:val="24"/>
          <w:szCs w:val="24"/>
          <w:lang w:val="en-GB"/>
        </w:rPr>
        <w:t xml:space="preserve"> </w:t>
      </w:r>
      <w:r w:rsidRPr="006D096C">
        <w:rPr>
          <w:rFonts w:ascii="Arial" w:hAnsi="Arial" w:cs="Arial"/>
          <w:sz w:val="24"/>
          <w:szCs w:val="24"/>
          <w:lang w:val="en-GB"/>
        </w:rPr>
        <w:t>Through a systematic exploration of these SDGs, this report aims to contribute valuable insights to the National Health Service Chief, policy-makers, and stakeholders. By examining the strategies employed, assessing their efficacy, and proposing informed recommendations, this report seeks to guide the trajectory of the UK's healthcare sector towards a future marked by reduced poverty, enhanced gender equality, and improved health outcomes. The subsequent sections will delve into the core concepts of wellbeing, sustainable development, health, and SDGs, providing a robust foundation for the critical examination and evaluation that follows</w:t>
      </w:r>
      <w:r w:rsidR="00C10C8C" w:rsidRPr="006E716E">
        <w:rPr>
          <w:rFonts w:ascii="Arial" w:hAnsi="Arial" w:cs="Arial"/>
          <w:sz w:val="24"/>
          <w:szCs w:val="24"/>
        </w:rPr>
        <w:t>.</w:t>
      </w:r>
    </w:p>
    <w:p w14:paraId="3973AB58" w14:textId="77777777" w:rsidR="00C10C8C" w:rsidRPr="006E716E" w:rsidRDefault="00C10C8C" w:rsidP="006E716E">
      <w:pPr>
        <w:pStyle w:val="Heading1"/>
        <w:spacing w:line="360" w:lineRule="auto"/>
        <w:jc w:val="both"/>
        <w:rPr>
          <w:rFonts w:ascii="Arial" w:hAnsi="Arial" w:cs="Arial"/>
          <w:b/>
          <w:bCs/>
          <w:color w:val="auto"/>
          <w:sz w:val="24"/>
          <w:szCs w:val="24"/>
        </w:rPr>
      </w:pPr>
      <w:bookmarkStart w:id="2" w:name="_Toc151383700"/>
      <w:r w:rsidRPr="006E716E">
        <w:rPr>
          <w:rFonts w:ascii="Arial" w:hAnsi="Arial" w:cs="Arial"/>
          <w:b/>
          <w:bCs/>
          <w:color w:val="auto"/>
          <w:sz w:val="24"/>
          <w:szCs w:val="24"/>
        </w:rPr>
        <w:t>Introduction to Concepts</w:t>
      </w:r>
      <w:bookmarkEnd w:id="2"/>
    </w:p>
    <w:p w14:paraId="2581127B" w14:textId="06E8A8B8" w:rsidR="00C10C8C" w:rsidRPr="006E716E" w:rsidRDefault="006D096C" w:rsidP="006E716E">
      <w:pPr>
        <w:spacing w:line="360" w:lineRule="auto"/>
        <w:ind w:firstLine="720"/>
        <w:jc w:val="both"/>
        <w:rPr>
          <w:rFonts w:ascii="Arial" w:hAnsi="Arial" w:cs="Arial"/>
          <w:sz w:val="24"/>
          <w:szCs w:val="24"/>
        </w:rPr>
      </w:pPr>
      <w:r w:rsidRPr="006E716E">
        <w:rPr>
          <w:rFonts w:ascii="Arial" w:hAnsi="Arial" w:cs="Arial"/>
          <w:sz w:val="24"/>
          <w:szCs w:val="24"/>
        </w:rPr>
        <w:t>The exploration of foundational concepts within the realm of health and social care is an essential factor to understanding the nuanced interplay between sustainable development goals, policy implementation, and societal well-being. This expansive examination delve</w:t>
      </w:r>
      <w:r w:rsidR="00730903" w:rsidRPr="006E716E">
        <w:rPr>
          <w:rFonts w:ascii="Arial" w:hAnsi="Arial" w:cs="Arial"/>
          <w:sz w:val="24"/>
          <w:szCs w:val="24"/>
        </w:rPr>
        <w:t>s</w:t>
      </w:r>
      <w:r w:rsidRPr="006E716E">
        <w:rPr>
          <w:rFonts w:ascii="Arial" w:hAnsi="Arial" w:cs="Arial"/>
          <w:sz w:val="24"/>
          <w:szCs w:val="24"/>
        </w:rPr>
        <w:t xml:space="preserve"> into four pivotal concepts: “Wellbeing, Sustainable Development, Health, and Sustainable Development Goals (SDGs),” unraveling their significance and interconnectedness within the context of the United Kingdom's healthcare sector</w:t>
      </w:r>
      <w:r w:rsidR="00C10C8C" w:rsidRPr="006E716E">
        <w:rPr>
          <w:rFonts w:ascii="Arial" w:hAnsi="Arial" w:cs="Arial"/>
          <w:sz w:val="24"/>
          <w:szCs w:val="24"/>
        </w:rPr>
        <w:t>.</w:t>
      </w:r>
    </w:p>
    <w:p w14:paraId="3A610686" w14:textId="77777777" w:rsidR="0032451B" w:rsidRPr="006E716E" w:rsidRDefault="0032451B" w:rsidP="006E716E">
      <w:pPr>
        <w:pStyle w:val="Heading2"/>
        <w:spacing w:line="360" w:lineRule="auto"/>
        <w:jc w:val="both"/>
        <w:rPr>
          <w:rFonts w:ascii="Arial" w:hAnsi="Arial" w:cs="Arial"/>
          <w:b/>
          <w:bCs/>
          <w:color w:val="auto"/>
          <w:sz w:val="24"/>
          <w:szCs w:val="24"/>
        </w:rPr>
      </w:pPr>
      <w:bookmarkStart w:id="3" w:name="_Toc151383701"/>
      <w:r w:rsidRPr="006E716E">
        <w:rPr>
          <w:rFonts w:ascii="Arial" w:hAnsi="Arial" w:cs="Arial"/>
          <w:b/>
          <w:bCs/>
          <w:color w:val="auto"/>
          <w:sz w:val="24"/>
          <w:szCs w:val="24"/>
        </w:rPr>
        <w:t>Wellbeing</w:t>
      </w:r>
      <w:bookmarkEnd w:id="3"/>
    </w:p>
    <w:p w14:paraId="11EC5129" w14:textId="151760D1" w:rsidR="00327593" w:rsidRPr="00327593" w:rsidRDefault="00327593" w:rsidP="006E716E">
      <w:pPr>
        <w:spacing w:line="360" w:lineRule="auto"/>
        <w:ind w:firstLine="720"/>
        <w:jc w:val="both"/>
        <w:rPr>
          <w:rFonts w:ascii="Arial" w:hAnsi="Arial" w:cs="Arial"/>
          <w:sz w:val="24"/>
          <w:szCs w:val="24"/>
          <w:lang w:val="en-GB"/>
        </w:rPr>
      </w:pPr>
      <w:r w:rsidRPr="00327593">
        <w:rPr>
          <w:rFonts w:ascii="Arial" w:hAnsi="Arial" w:cs="Arial"/>
          <w:sz w:val="24"/>
          <w:szCs w:val="24"/>
          <w:lang w:val="en-GB"/>
        </w:rPr>
        <w:t>Wellbeing, in the context of health and social care, encompasses a comprehensive and multidimensional assessment of an individual's overall state of being, extending beyond the traditional biomedical model to consider aspects of physical, mental, and social health</w:t>
      </w:r>
      <w:r w:rsidR="00F73122" w:rsidRPr="006E716E">
        <w:rPr>
          <w:rFonts w:ascii="Arial" w:hAnsi="Arial" w:cs="Arial"/>
          <w:sz w:val="24"/>
          <w:szCs w:val="24"/>
          <w:lang w:val="en-GB"/>
        </w:rPr>
        <w:t xml:space="preserve"> (Ruggeri et al., 2020)</w:t>
      </w:r>
      <w:r w:rsidRPr="00327593">
        <w:rPr>
          <w:rFonts w:ascii="Arial" w:hAnsi="Arial" w:cs="Arial"/>
          <w:sz w:val="24"/>
          <w:szCs w:val="24"/>
          <w:lang w:val="en-GB"/>
        </w:rPr>
        <w:t>. This concept embraces the subjective experience of individuals and their perceived quality of life, emphasizing the intricacies of holistic health beyond mere absence of illness. Rooted in the biopsychosocial model, wellbeing reflects the dynamic interplay between biological, psychological, and social factors, acknowledging that health outcomes are profoundly influenced by an individual's internal state, psychological resilience, and the broader socio-cultural environment.</w:t>
      </w:r>
    </w:p>
    <w:p w14:paraId="4B20CAD3" w14:textId="06E79C22" w:rsidR="0032451B" w:rsidRPr="006E716E" w:rsidRDefault="00327593" w:rsidP="006E716E">
      <w:pPr>
        <w:spacing w:line="360" w:lineRule="auto"/>
        <w:ind w:firstLine="720"/>
        <w:jc w:val="both"/>
        <w:rPr>
          <w:rFonts w:ascii="Arial" w:hAnsi="Arial" w:cs="Arial"/>
          <w:sz w:val="24"/>
          <w:szCs w:val="24"/>
          <w:lang w:val="en-GB"/>
        </w:rPr>
      </w:pPr>
      <w:r w:rsidRPr="00327593">
        <w:rPr>
          <w:rFonts w:ascii="Arial" w:hAnsi="Arial" w:cs="Arial"/>
          <w:sz w:val="24"/>
          <w:szCs w:val="24"/>
          <w:lang w:val="en-GB"/>
        </w:rPr>
        <w:t>Furthermore, wellbeing is a dynamic and evolving construct that is subject to variations across the lifespan and in response to environmental stimuli. It encompasses not only the absence of disease but also the presence of positive attributes such as life satisfaction, fulfillment, and a sense of purpose</w:t>
      </w:r>
      <w:r w:rsidR="00A613B3" w:rsidRPr="006E716E">
        <w:rPr>
          <w:rFonts w:ascii="Arial" w:hAnsi="Arial" w:cs="Arial"/>
          <w:sz w:val="24"/>
          <w:szCs w:val="24"/>
          <w:lang w:val="en-GB"/>
        </w:rPr>
        <w:t xml:space="preserve"> (Luhmann et al., 2021)</w:t>
      </w:r>
      <w:r w:rsidRPr="00327593">
        <w:rPr>
          <w:rFonts w:ascii="Arial" w:hAnsi="Arial" w:cs="Arial"/>
          <w:sz w:val="24"/>
          <w:szCs w:val="24"/>
          <w:lang w:val="en-GB"/>
        </w:rPr>
        <w:t xml:space="preserve">. The multifaceted nature of wellbeing necessitates a comprehensive and interdisciplinary approach in </w:t>
      </w:r>
      <w:r w:rsidRPr="00327593">
        <w:rPr>
          <w:rFonts w:ascii="Arial" w:hAnsi="Arial" w:cs="Arial"/>
          <w:sz w:val="24"/>
          <w:szCs w:val="24"/>
          <w:lang w:val="en-GB"/>
        </w:rPr>
        <w:lastRenderedPageBreak/>
        <w:t>health and social care settings, recognizing the interconnections between physical health, mental health, and social factors. In academic discourse, wellbeing is not merely a static state but rather an ongoing process influenced by diverse determinants, ranging from genetic predispositions to socio-economic conditions, making it a critical area of study and intervention within the broader spectrum of health and social care</w:t>
      </w:r>
      <w:r w:rsidR="0032451B" w:rsidRPr="006E716E">
        <w:rPr>
          <w:rFonts w:ascii="Arial" w:hAnsi="Arial" w:cs="Arial"/>
          <w:sz w:val="24"/>
          <w:szCs w:val="24"/>
        </w:rPr>
        <w:t>.</w:t>
      </w:r>
    </w:p>
    <w:p w14:paraId="4411DB51" w14:textId="77777777" w:rsidR="0032451B" w:rsidRPr="006E716E" w:rsidRDefault="0032451B" w:rsidP="006E716E">
      <w:pPr>
        <w:pStyle w:val="Heading2"/>
        <w:spacing w:line="360" w:lineRule="auto"/>
        <w:jc w:val="both"/>
        <w:rPr>
          <w:rFonts w:ascii="Arial" w:hAnsi="Arial" w:cs="Arial"/>
          <w:b/>
          <w:bCs/>
          <w:color w:val="auto"/>
          <w:sz w:val="24"/>
          <w:szCs w:val="24"/>
        </w:rPr>
      </w:pPr>
      <w:bookmarkStart w:id="4" w:name="_Toc151383702"/>
      <w:r w:rsidRPr="006E716E">
        <w:rPr>
          <w:rFonts w:ascii="Arial" w:hAnsi="Arial" w:cs="Arial"/>
          <w:b/>
          <w:bCs/>
          <w:color w:val="auto"/>
          <w:sz w:val="24"/>
          <w:szCs w:val="24"/>
        </w:rPr>
        <w:t>Sustainable Development</w:t>
      </w:r>
      <w:bookmarkEnd w:id="4"/>
    </w:p>
    <w:p w14:paraId="47C795F9" w14:textId="289E0CB0" w:rsidR="004925AC" w:rsidRPr="004925AC" w:rsidRDefault="004925AC" w:rsidP="006E716E">
      <w:pPr>
        <w:spacing w:line="360" w:lineRule="auto"/>
        <w:ind w:firstLine="720"/>
        <w:jc w:val="both"/>
        <w:rPr>
          <w:rFonts w:ascii="Arial" w:hAnsi="Arial" w:cs="Arial"/>
          <w:sz w:val="24"/>
          <w:szCs w:val="24"/>
          <w:lang w:val="en-GB"/>
        </w:rPr>
      </w:pPr>
      <w:r w:rsidRPr="004925AC">
        <w:rPr>
          <w:rFonts w:ascii="Arial" w:hAnsi="Arial" w:cs="Arial"/>
          <w:sz w:val="24"/>
          <w:szCs w:val="24"/>
          <w:lang w:val="en-GB"/>
        </w:rPr>
        <w:t>Sustainable Development, a pivotal concept in contemporary global discourse, intricately navigates the delicate equilibrium between economic growth, social equity, and environmental conservation. This tripartite balancing act acknowledges the interconnectedness of these three pillars, emphasizing the imperative for a holistic approach to development. In essence, Sustainable Development urges nations to meet the needs of the present without compromising the ability of future generations to meet their own needs</w:t>
      </w:r>
      <w:r w:rsidR="00277801" w:rsidRPr="006E716E">
        <w:rPr>
          <w:rFonts w:ascii="Arial" w:hAnsi="Arial" w:cs="Arial"/>
          <w:sz w:val="24"/>
          <w:szCs w:val="24"/>
          <w:lang w:val="en-GB"/>
        </w:rPr>
        <w:t xml:space="preserve"> (Ruggerio, 2021)</w:t>
      </w:r>
      <w:r w:rsidRPr="004925AC">
        <w:rPr>
          <w:rFonts w:ascii="Arial" w:hAnsi="Arial" w:cs="Arial"/>
          <w:sz w:val="24"/>
          <w:szCs w:val="24"/>
          <w:lang w:val="en-GB"/>
        </w:rPr>
        <w:t>.</w:t>
      </w:r>
    </w:p>
    <w:p w14:paraId="2D30AC9A" w14:textId="3700FCFB" w:rsidR="0032451B" w:rsidRPr="006E716E" w:rsidRDefault="004925AC" w:rsidP="006E716E">
      <w:pPr>
        <w:spacing w:line="360" w:lineRule="auto"/>
        <w:ind w:firstLine="720"/>
        <w:jc w:val="both"/>
        <w:rPr>
          <w:rFonts w:ascii="Arial" w:hAnsi="Arial" w:cs="Arial"/>
          <w:sz w:val="24"/>
          <w:szCs w:val="24"/>
          <w:lang w:val="en-GB"/>
        </w:rPr>
      </w:pPr>
      <w:r w:rsidRPr="004925AC">
        <w:rPr>
          <w:rFonts w:ascii="Arial" w:hAnsi="Arial" w:cs="Arial"/>
          <w:sz w:val="24"/>
          <w:szCs w:val="24"/>
          <w:lang w:val="en-GB"/>
        </w:rPr>
        <w:t>Within the United Kingdom's healthcare sector, Sustainable Development transcends theoretical realms, manifesting as a pragmatic approach to ensure healthcare operations align with long-term environmental and societal goals. This involves concrete practices, including efficient waste management, the integration of renewable energy sources, and a commitment to fostering inclusivity, equity, and community resilience</w:t>
      </w:r>
      <w:r w:rsidR="000E6823" w:rsidRPr="006E716E">
        <w:rPr>
          <w:rFonts w:ascii="Arial" w:hAnsi="Arial" w:cs="Arial"/>
          <w:sz w:val="24"/>
          <w:szCs w:val="24"/>
          <w:lang w:val="en-GB"/>
        </w:rPr>
        <w:t xml:space="preserve"> (Karliner et al., 2020)</w:t>
      </w:r>
      <w:r w:rsidRPr="004925AC">
        <w:rPr>
          <w:rFonts w:ascii="Arial" w:hAnsi="Arial" w:cs="Arial"/>
          <w:sz w:val="24"/>
          <w:szCs w:val="24"/>
          <w:lang w:val="en-GB"/>
        </w:rPr>
        <w:t>. The concept underscores that sustainability in healthcare extends beyond immediate health concerns; it entails strategies that contribute to broader goals of environmental preservation and societal well-being. As a guiding principle, Sustainable Development advocates for policies and practices that not only address the immediate healthcare needs of the population but also advance the overarching goals of sustainability, acknowledging the intricate dance between environmental health, societal well-being, and economic viability</w:t>
      </w:r>
      <w:r w:rsidR="0032451B" w:rsidRPr="006E716E">
        <w:rPr>
          <w:rFonts w:ascii="Arial" w:hAnsi="Arial" w:cs="Arial"/>
          <w:sz w:val="24"/>
          <w:szCs w:val="24"/>
        </w:rPr>
        <w:t>.</w:t>
      </w:r>
    </w:p>
    <w:p w14:paraId="3F5A624B" w14:textId="77777777" w:rsidR="0032451B" w:rsidRPr="006E716E" w:rsidRDefault="0032451B" w:rsidP="006E716E">
      <w:pPr>
        <w:pStyle w:val="Heading2"/>
        <w:spacing w:line="360" w:lineRule="auto"/>
        <w:jc w:val="both"/>
        <w:rPr>
          <w:rFonts w:ascii="Arial" w:hAnsi="Arial" w:cs="Arial"/>
          <w:b/>
          <w:bCs/>
          <w:color w:val="auto"/>
          <w:sz w:val="24"/>
          <w:szCs w:val="24"/>
        </w:rPr>
      </w:pPr>
      <w:bookmarkStart w:id="5" w:name="_Toc151383703"/>
      <w:r w:rsidRPr="006E716E">
        <w:rPr>
          <w:rFonts w:ascii="Arial" w:hAnsi="Arial" w:cs="Arial"/>
          <w:b/>
          <w:bCs/>
          <w:color w:val="auto"/>
          <w:sz w:val="24"/>
          <w:szCs w:val="24"/>
        </w:rPr>
        <w:t>Health</w:t>
      </w:r>
      <w:bookmarkEnd w:id="5"/>
    </w:p>
    <w:p w14:paraId="1A60A3A0" w14:textId="16B3D7FA" w:rsidR="0032451B" w:rsidRPr="006E716E" w:rsidRDefault="002B54EF" w:rsidP="006E716E">
      <w:pPr>
        <w:spacing w:line="360" w:lineRule="auto"/>
        <w:ind w:firstLine="720"/>
        <w:jc w:val="both"/>
        <w:rPr>
          <w:rFonts w:ascii="Arial" w:hAnsi="Arial" w:cs="Arial"/>
          <w:sz w:val="24"/>
          <w:szCs w:val="24"/>
          <w:lang w:val="en-GB"/>
        </w:rPr>
      </w:pPr>
      <w:r w:rsidRPr="002B54EF">
        <w:rPr>
          <w:rFonts w:ascii="Arial" w:hAnsi="Arial" w:cs="Arial"/>
          <w:sz w:val="24"/>
          <w:szCs w:val="24"/>
          <w:lang w:val="en-GB"/>
        </w:rPr>
        <w:t>Health</w:t>
      </w:r>
      <w:r w:rsidRPr="006E716E">
        <w:rPr>
          <w:rFonts w:ascii="Arial" w:hAnsi="Arial" w:cs="Arial"/>
          <w:sz w:val="24"/>
          <w:szCs w:val="24"/>
          <w:lang w:val="en-GB"/>
        </w:rPr>
        <w:t xml:space="preserve"> </w:t>
      </w:r>
      <w:r w:rsidRPr="002B54EF">
        <w:rPr>
          <w:rFonts w:ascii="Arial" w:hAnsi="Arial" w:cs="Arial"/>
          <w:sz w:val="24"/>
          <w:szCs w:val="24"/>
          <w:lang w:val="en-GB"/>
        </w:rPr>
        <w:t xml:space="preserve">is a multifaceted and intricate concept encompassing not only the absence of disease but a state of complete physical, mental, and social wellbeing. Rooted in the definition provided by the World Health Organization, health extends beyond a mere biomedical perspective, acknowledging the intricate interplay of social determinants, </w:t>
      </w:r>
      <w:r w:rsidRPr="002B54EF">
        <w:rPr>
          <w:rFonts w:ascii="Arial" w:hAnsi="Arial" w:cs="Arial"/>
          <w:sz w:val="24"/>
          <w:szCs w:val="24"/>
          <w:lang w:val="en-GB"/>
        </w:rPr>
        <w:lastRenderedPageBreak/>
        <w:t>lifestyle factors, and mental wellbeing</w:t>
      </w:r>
      <w:r w:rsidR="00277801" w:rsidRPr="006E716E">
        <w:rPr>
          <w:rFonts w:ascii="Arial" w:hAnsi="Arial" w:cs="Arial"/>
          <w:sz w:val="24"/>
          <w:szCs w:val="24"/>
          <w:lang w:val="en-GB"/>
        </w:rPr>
        <w:t xml:space="preserve"> (WHO, 2019)</w:t>
      </w:r>
      <w:r w:rsidRPr="002B54EF">
        <w:rPr>
          <w:rFonts w:ascii="Arial" w:hAnsi="Arial" w:cs="Arial"/>
          <w:sz w:val="24"/>
          <w:szCs w:val="24"/>
          <w:lang w:val="en-GB"/>
        </w:rPr>
        <w:t>. This holistic understanding aligns with the broader discourse on the Social Determinants of Health (SDH), emphasizing the significance of socio-economic conditions, environmental factors, and individual behaviors in shaping health outcomes. The complexity of health transcends individual attributes, intertwining with societal structures and policies, necessitating a comprehensive analysis within the healthcare sector.</w:t>
      </w:r>
      <w:r w:rsidR="00730903" w:rsidRPr="006E716E">
        <w:rPr>
          <w:rFonts w:ascii="Arial" w:hAnsi="Arial" w:cs="Arial"/>
          <w:sz w:val="24"/>
          <w:szCs w:val="24"/>
          <w:lang w:val="en-GB"/>
        </w:rPr>
        <w:t xml:space="preserve"> </w:t>
      </w:r>
      <w:r w:rsidRPr="002B54EF">
        <w:rPr>
          <w:rFonts w:ascii="Arial" w:hAnsi="Arial" w:cs="Arial"/>
          <w:sz w:val="24"/>
          <w:szCs w:val="24"/>
          <w:lang w:val="en-GB"/>
        </w:rPr>
        <w:t xml:space="preserve">Furthermore, health is integral to the achievement of the Sustainable Development Goals (SDGs), acting as both an outcome and determinant. As </w:t>
      </w:r>
      <w:r w:rsidRPr="006E716E">
        <w:rPr>
          <w:rFonts w:ascii="Arial" w:hAnsi="Arial" w:cs="Arial"/>
          <w:sz w:val="24"/>
          <w:szCs w:val="24"/>
          <w:lang w:val="en-GB"/>
        </w:rPr>
        <w:t>one of the goals</w:t>
      </w:r>
      <w:r w:rsidRPr="002B54EF">
        <w:rPr>
          <w:rFonts w:ascii="Arial" w:hAnsi="Arial" w:cs="Arial"/>
          <w:sz w:val="24"/>
          <w:szCs w:val="24"/>
          <w:lang w:val="en-GB"/>
        </w:rPr>
        <w:t xml:space="preserve"> explicitly focus on </w:t>
      </w:r>
      <w:r w:rsidRPr="006E716E">
        <w:rPr>
          <w:rFonts w:ascii="Arial" w:hAnsi="Arial" w:cs="Arial"/>
          <w:sz w:val="24"/>
          <w:szCs w:val="24"/>
          <w:lang w:val="en-GB"/>
        </w:rPr>
        <w:t>promoting g</w:t>
      </w:r>
      <w:r w:rsidRPr="002B54EF">
        <w:rPr>
          <w:rFonts w:ascii="Arial" w:hAnsi="Arial" w:cs="Arial"/>
          <w:sz w:val="24"/>
          <w:szCs w:val="24"/>
          <w:lang w:val="en-GB"/>
        </w:rPr>
        <w:t xml:space="preserve">ood </w:t>
      </w:r>
      <w:r w:rsidRPr="006E716E">
        <w:rPr>
          <w:rFonts w:ascii="Arial" w:hAnsi="Arial" w:cs="Arial"/>
          <w:sz w:val="24"/>
          <w:szCs w:val="24"/>
          <w:lang w:val="en-GB"/>
        </w:rPr>
        <w:t>h</w:t>
      </w:r>
      <w:r w:rsidRPr="002B54EF">
        <w:rPr>
          <w:rFonts w:ascii="Arial" w:hAnsi="Arial" w:cs="Arial"/>
          <w:sz w:val="24"/>
          <w:szCs w:val="24"/>
          <w:lang w:val="en-GB"/>
        </w:rPr>
        <w:t xml:space="preserve">ealth and </w:t>
      </w:r>
      <w:r w:rsidRPr="006E716E">
        <w:rPr>
          <w:rFonts w:ascii="Arial" w:hAnsi="Arial" w:cs="Arial"/>
          <w:sz w:val="24"/>
          <w:szCs w:val="24"/>
          <w:lang w:val="en-GB"/>
        </w:rPr>
        <w:t>w</w:t>
      </w:r>
      <w:r w:rsidRPr="002B54EF">
        <w:rPr>
          <w:rFonts w:ascii="Arial" w:hAnsi="Arial" w:cs="Arial"/>
          <w:sz w:val="24"/>
          <w:szCs w:val="24"/>
          <w:lang w:val="en-GB"/>
        </w:rPr>
        <w:t>ell-being, a robust comprehension of health is pivotal for evaluating progress within the healthcare sector. In the pursuit of universal health coverage, it becomes imperative to dissect the intricate web of factors influencing health disparities, access to healthcare, and the broader implications of health on societal wellbeing. Hence, this report navigate</w:t>
      </w:r>
      <w:r w:rsidRPr="006E716E">
        <w:rPr>
          <w:rFonts w:ascii="Arial" w:hAnsi="Arial" w:cs="Arial"/>
          <w:sz w:val="24"/>
          <w:szCs w:val="24"/>
          <w:lang w:val="en-GB"/>
        </w:rPr>
        <w:t>s</w:t>
      </w:r>
      <w:r w:rsidRPr="002B54EF">
        <w:rPr>
          <w:rFonts w:ascii="Arial" w:hAnsi="Arial" w:cs="Arial"/>
          <w:sz w:val="24"/>
          <w:szCs w:val="24"/>
          <w:lang w:val="en-GB"/>
        </w:rPr>
        <w:t xml:space="preserve"> the landscape of health, critically examining its definitions, its intersections with sustainable development, and its role as a fundamental pillar in the pursuit of global health equity and wellbeing</w:t>
      </w:r>
      <w:r w:rsidR="0032451B" w:rsidRPr="006E716E">
        <w:rPr>
          <w:rFonts w:ascii="Arial" w:hAnsi="Arial" w:cs="Arial"/>
          <w:sz w:val="24"/>
          <w:szCs w:val="24"/>
        </w:rPr>
        <w:t>.</w:t>
      </w:r>
    </w:p>
    <w:p w14:paraId="08720041" w14:textId="77777777" w:rsidR="0032451B" w:rsidRPr="006E716E" w:rsidRDefault="0032451B" w:rsidP="006E716E">
      <w:pPr>
        <w:pStyle w:val="Heading2"/>
        <w:spacing w:line="360" w:lineRule="auto"/>
        <w:jc w:val="both"/>
        <w:rPr>
          <w:rFonts w:ascii="Arial" w:hAnsi="Arial" w:cs="Arial"/>
          <w:b/>
          <w:bCs/>
          <w:color w:val="auto"/>
          <w:sz w:val="24"/>
          <w:szCs w:val="24"/>
        </w:rPr>
      </w:pPr>
      <w:bookmarkStart w:id="6" w:name="_Toc151383704"/>
      <w:r w:rsidRPr="006E716E">
        <w:rPr>
          <w:rFonts w:ascii="Arial" w:hAnsi="Arial" w:cs="Arial"/>
          <w:b/>
          <w:bCs/>
          <w:color w:val="auto"/>
          <w:sz w:val="24"/>
          <w:szCs w:val="24"/>
        </w:rPr>
        <w:t>Sustainable Development Goals (SDGs)</w:t>
      </w:r>
      <w:bookmarkEnd w:id="6"/>
    </w:p>
    <w:p w14:paraId="10E4363F" w14:textId="51A3183F" w:rsidR="00730903" w:rsidRPr="00730903" w:rsidRDefault="00730903" w:rsidP="006E716E">
      <w:pPr>
        <w:spacing w:line="360" w:lineRule="auto"/>
        <w:ind w:firstLine="720"/>
        <w:jc w:val="both"/>
        <w:rPr>
          <w:rFonts w:ascii="Arial" w:hAnsi="Arial" w:cs="Arial"/>
          <w:sz w:val="24"/>
          <w:szCs w:val="24"/>
          <w:lang w:val="en-GB"/>
        </w:rPr>
      </w:pPr>
      <w:r w:rsidRPr="00730903">
        <w:rPr>
          <w:rFonts w:ascii="Arial" w:hAnsi="Arial" w:cs="Arial"/>
          <w:sz w:val="24"/>
          <w:szCs w:val="24"/>
          <w:lang w:val="en-GB"/>
        </w:rPr>
        <w:t>The Sustainable Development Goals (SDGs) represent a landmark framework adopted by the United Nations to address the complex and interrelated challenges facing the global community. Encompassing 17 distinct objectives, the SDGs aim to guide nations toward a more equitable, sustainable, and inclusive future by the year 2030</w:t>
      </w:r>
      <w:r w:rsidR="000E6823" w:rsidRPr="006E716E">
        <w:rPr>
          <w:rFonts w:ascii="Arial" w:hAnsi="Arial" w:cs="Arial"/>
          <w:sz w:val="24"/>
          <w:szCs w:val="24"/>
          <w:lang w:val="en-GB"/>
        </w:rPr>
        <w:t xml:space="preserve"> (Bensu et al., 2020)</w:t>
      </w:r>
      <w:r w:rsidRPr="00730903">
        <w:rPr>
          <w:rFonts w:ascii="Arial" w:hAnsi="Arial" w:cs="Arial"/>
          <w:sz w:val="24"/>
          <w:szCs w:val="24"/>
          <w:lang w:val="en-GB"/>
        </w:rPr>
        <w:t>. Emerging from a recognition of the pressing need to integrate economic, social, and environmental dimensions into a cohesive strategy, the SDGs go beyond their predecessor, the Millennium Development Goals, emphasizing a holistic and interconnected approach to development.</w:t>
      </w:r>
      <w:r w:rsidRPr="006E716E">
        <w:rPr>
          <w:rFonts w:ascii="Arial" w:hAnsi="Arial" w:cs="Arial"/>
          <w:sz w:val="24"/>
          <w:szCs w:val="24"/>
          <w:lang w:val="en-GB"/>
        </w:rPr>
        <w:t xml:space="preserve"> </w:t>
      </w:r>
      <w:r w:rsidRPr="00730903">
        <w:rPr>
          <w:rFonts w:ascii="Arial" w:hAnsi="Arial" w:cs="Arial"/>
          <w:sz w:val="24"/>
          <w:szCs w:val="24"/>
          <w:lang w:val="en-GB"/>
        </w:rPr>
        <w:t>The SDGs span a diverse array of critical issues, ranging from poverty eradication to climate action and beyond</w:t>
      </w:r>
      <w:r w:rsidR="00F73122" w:rsidRPr="006E716E">
        <w:rPr>
          <w:rFonts w:ascii="Arial" w:hAnsi="Arial" w:cs="Arial"/>
          <w:sz w:val="24"/>
          <w:szCs w:val="24"/>
          <w:lang w:val="en-GB"/>
        </w:rPr>
        <w:t xml:space="preserve"> (Roy et al., 2018)</w:t>
      </w:r>
      <w:r w:rsidRPr="00730903">
        <w:rPr>
          <w:rFonts w:ascii="Arial" w:hAnsi="Arial" w:cs="Arial"/>
          <w:sz w:val="24"/>
          <w:szCs w:val="24"/>
          <w:lang w:val="en-GB"/>
        </w:rPr>
        <w:t>. Each goal articulates specific targets and indicators, providing a comprehensive roadmap for nations to navigate the intricate challenges of the 21st century. Importantly, the SDGs underscore the indivisibility of development, acknowledging that progress in one area is contingent upon advancements in others. This interconnectedness positions the SDGs as a visionary framework that transcends national boundaries, calling for unprecedented international collaboration and shared responsibility.</w:t>
      </w:r>
    </w:p>
    <w:p w14:paraId="4865013F" w14:textId="0998EEAE" w:rsidR="00C10C8C" w:rsidRPr="006E716E" w:rsidRDefault="00730903" w:rsidP="006E716E">
      <w:pPr>
        <w:spacing w:line="360" w:lineRule="auto"/>
        <w:ind w:firstLine="720"/>
        <w:jc w:val="both"/>
        <w:rPr>
          <w:rFonts w:ascii="Arial" w:hAnsi="Arial" w:cs="Arial"/>
          <w:sz w:val="24"/>
          <w:szCs w:val="24"/>
          <w:lang w:val="en-GB"/>
        </w:rPr>
      </w:pPr>
      <w:r w:rsidRPr="00730903">
        <w:rPr>
          <w:rFonts w:ascii="Arial" w:hAnsi="Arial" w:cs="Arial"/>
          <w:sz w:val="24"/>
          <w:szCs w:val="24"/>
          <w:lang w:val="en-GB"/>
        </w:rPr>
        <w:lastRenderedPageBreak/>
        <w:t>Crucially, the SDGs encapsulate a commitment to leaving no one behind, explicitly addressing the needs of the most vulnerable and marginalized populations. By emphasizing inclusivity and social equity, the SDGs challenge nations to reevaluate traditional development paradigms and strive for outcomes that benefit all segments of society. As an academic concept, the SDGs reflect a paradigm shift in global governance, aligning with principles of sustainable development that intertwine economic growth, social well-being, and environmental stewardship</w:t>
      </w:r>
      <w:r w:rsidR="002C0F96" w:rsidRPr="006E716E">
        <w:rPr>
          <w:rFonts w:ascii="Arial" w:hAnsi="Arial" w:cs="Arial"/>
          <w:sz w:val="24"/>
          <w:szCs w:val="24"/>
          <w:lang w:val="en-GB"/>
        </w:rPr>
        <w:t xml:space="preserve"> (Abhayawansa et al., 2021)</w:t>
      </w:r>
      <w:r w:rsidRPr="00730903">
        <w:rPr>
          <w:rFonts w:ascii="Arial" w:hAnsi="Arial" w:cs="Arial"/>
          <w:sz w:val="24"/>
          <w:szCs w:val="24"/>
          <w:lang w:val="en-GB"/>
        </w:rPr>
        <w:t>. In academia, the SDGs serve as a focal point for interdisciplinary research, encouraging scholars to explore the intersections of economics, sociology, environmental science, and beyond in the pursuit of sustainable and equitable solutions to complex global challenges</w:t>
      </w:r>
      <w:r w:rsidR="0003559C" w:rsidRPr="006E716E">
        <w:rPr>
          <w:rFonts w:ascii="Arial" w:hAnsi="Arial" w:cs="Arial"/>
          <w:sz w:val="24"/>
          <w:szCs w:val="24"/>
        </w:rPr>
        <w:t>.</w:t>
      </w:r>
    </w:p>
    <w:p w14:paraId="19704477" w14:textId="0A12D17B" w:rsidR="00C10C8C" w:rsidRPr="006E716E" w:rsidRDefault="00C10C8C" w:rsidP="006E716E">
      <w:pPr>
        <w:pStyle w:val="Heading1"/>
        <w:spacing w:line="360" w:lineRule="auto"/>
        <w:jc w:val="both"/>
        <w:rPr>
          <w:rFonts w:ascii="Arial" w:hAnsi="Arial" w:cs="Arial"/>
          <w:b/>
          <w:bCs/>
          <w:color w:val="auto"/>
          <w:sz w:val="24"/>
          <w:szCs w:val="24"/>
        </w:rPr>
      </w:pPr>
      <w:bookmarkStart w:id="7" w:name="_Toc151383705"/>
      <w:r w:rsidRPr="006E716E">
        <w:rPr>
          <w:rFonts w:ascii="Arial" w:hAnsi="Arial" w:cs="Arial"/>
          <w:b/>
          <w:bCs/>
          <w:color w:val="auto"/>
          <w:sz w:val="24"/>
          <w:szCs w:val="24"/>
        </w:rPr>
        <w:t xml:space="preserve">Goal </w:t>
      </w:r>
      <w:r w:rsidR="00327593" w:rsidRPr="006E716E">
        <w:rPr>
          <w:rFonts w:ascii="Arial" w:hAnsi="Arial" w:cs="Arial"/>
          <w:b/>
          <w:bCs/>
          <w:color w:val="auto"/>
          <w:sz w:val="24"/>
          <w:szCs w:val="24"/>
        </w:rPr>
        <w:t>1</w:t>
      </w:r>
      <w:r w:rsidRPr="006E716E">
        <w:rPr>
          <w:rFonts w:ascii="Arial" w:hAnsi="Arial" w:cs="Arial"/>
          <w:b/>
          <w:bCs/>
          <w:color w:val="auto"/>
          <w:sz w:val="24"/>
          <w:szCs w:val="24"/>
        </w:rPr>
        <w:t xml:space="preserve">: </w:t>
      </w:r>
      <w:r w:rsidR="00327593" w:rsidRPr="006E716E">
        <w:rPr>
          <w:rFonts w:ascii="Arial" w:hAnsi="Arial" w:cs="Arial"/>
          <w:b/>
          <w:bCs/>
          <w:color w:val="auto"/>
          <w:sz w:val="24"/>
          <w:szCs w:val="24"/>
        </w:rPr>
        <w:t>Ending Poverty</w:t>
      </w:r>
      <w:bookmarkEnd w:id="7"/>
    </w:p>
    <w:p w14:paraId="185DB42C" w14:textId="4FC3B21A" w:rsidR="00C10C8C" w:rsidRPr="006E716E" w:rsidRDefault="00C10C8C" w:rsidP="006E716E">
      <w:pPr>
        <w:pStyle w:val="Heading2"/>
        <w:spacing w:line="360" w:lineRule="auto"/>
        <w:jc w:val="both"/>
        <w:rPr>
          <w:rFonts w:ascii="Arial" w:hAnsi="Arial" w:cs="Arial"/>
          <w:b/>
          <w:bCs/>
          <w:color w:val="auto"/>
          <w:sz w:val="24"/>
          <w:szCs w:val="24"/>
        </w:rPr>
      </w:pPr>
      <w:bookmarkStart w:id="8" w:name="_Toc151383706"/>
      <w:r w:rsidRPr="006E716E">
        <w:rPr>
          <w:rFonts w:ascii="Arial" w:hAnsi="Arial" w:cs="Arial"/>
          <w:b/>
          <w:bCs/>
          <w:color w:val="auto"/>
          <w:sz w:val="24"/>
          <w:szCs w:val="24"/>
        </w:rPr>
        <w:t xml:space="preserve">Definition of SDG </w:t>
      </w:r>
      <w:r w:rsidR="00327593" w:rsidRPr="006E716E">
        <w:rPr>
          <w:rFonts w:ascii="Arial" w:hAnsi="Arial" w:cs="Arial"/>
          <w:b/>
          <w:bCs/>
          <w:color w:val="auto"/>
          <w:sz w:val="24"/>
          <w:szCs w:val="24"/>
        </w:rPr>
        <w:t>1</w:t>
      </w:r>
      <w:bookmarkEnd w:id="8"/>
    </w:p>
    <w:p w14:paraId="5DD5CB1C" w14:textId="0A253E46" w:rsidR="00C10C8C" w:rsidRPr="006E716E" w:rsidRDefault="00327593" w:rsidP="006E716E">
      <w:pPr>
        <w:spacing w:line="360" w:lineRule="auto"/>
        <w:ind w:firstLine="720"/>
        <w:jc w:val="both"/>
        <w:rPr>
          <w:rFonts w:ascii="Arial" w:hAnsi="Arial" w:cs="Arial"/>
          <w:sz w:val="24"/>
          <w:szCs w:val="24"/>
        </w:rPr>
      </w:pPr>
      <w:r w:rsidRPr="006E716E">
        <w:rPr>
          <w:rFonts w:ascii="Arial" w:hAnsi="Arial" w:cs="Arial"/>
          <w:sz w:val="24"/>
          <w:szCs w:val="24"/>
        </w:rPr>
        <w:t>SDG 1 revolves around the eradication of poverty in its multifaceted dimensions. This goal, aptly titled "Ending Poverty," transcends the conventional understanding of economic deprivation, delving into the intricate interplay of factors that contribute to the perpetuation of poverty</w:t>
      </w:r>
      <w:r w:rsidR="00F73122" w:rsidRPr="006E716E">
        <w:rPr>
          <w:rFonts w:ascii="Arial" w:hAnsi="Arial" w:cs="Arial"/>
          <w:sz w:val="24"/>
          <w:szCs w:val="24"/>
        </w:rPr>
        <w:t xml:space="preserve"> (Saks, 2022)</w:t>
      </w:r>
      <w:r w:rsidRPr="006E716E">
        <w:rPr>
          <w:rFonts w:ascii="Arial" w:hAnsi="Arial" w:cs="Arial"/>
          <w:sz w:val="24"/>
          <w:szCs w:val="24"/>
        </w:rPr>
        <w:t>. Poverty, in this context, is not merely defined by income levels but encompasses a spectrum of deprivations, including limited access to education, healthcare, adequate housing, and social participation. By positioning poverty as a multidimensional challenge, Goal 1 emphasizes the need for a comprehensive and inclusive approach that addresses the root causes of poverty and acknowledges the interconnectedness of various societal factors that contribute to its persistence</w:t>
      </w:r>
      <w:r w:rsidR="00C10C8C" w:rsidRPr="006E716E">
        <w:rPr>
          <w:rFonts w:ascii="Arial" w:hAnsi="Arial" w:cs="Arial"/>
          <w:sz w:val="24"/>
          <w:szCs w:val="24"/>
        </w:rPr>
        <w:t>.</w:t>
      </w:r>
    </w:p>
    <w:p w14:paraId="6DDDDAD1" w14:textId="4A077D4A" w:rsidR="00C10C8C" w:rsidRPr="006E716E" w:rsidRDefault="00C10C8C" w:rsidP="006E716E">
      <w:pPr>
        <w:pStyle w:val="Heading2"/>
        <w:spacing w:line="360" w:lineRule="auto"/>
        <w:jc w:val="both"/>
        <w:rPr>
          <w:rFonts w:ascii="Arial" w:hAnsi="Arial" w:cs="Arial"/>
          <w:b/>
          <w:bCs/>
          <w:color w:val="auto"/>
          <w:sz w:val="24"/>
          <w:szCs w:val="24"/>
        </w:rPr>
      </w:pPr>
      <w:bookmarkStart w:id="9" w:name="_Toc151383707"/>
      <w:r w:rsidRPr="006E716E">
        <w:rPr>
          <w:rFonts w:ascii="Arial" w:hAnsi="Arial" w:cs="Arial"/>
          <w:b/>
          <w:bCs/>
          <w:color w:val="auto"/>
          <w:sz w:val="24"/>
          <w:szCs w:val="24"/>
        </w:rPr>
        <w:t xml:space="preserve">UK Strategies/Programs for Implementing SDG </w:t>
      </w:r>
      <w:r w:rsidR="00D2753F" w:rsidRPr="006E716E">
        <w:rPr>
          <w:rFonts w:ascii="Arial" w:hAnsi="Arial" w:cs="Arial"/>
          <w:b/>
          <w:bCs/>
          <w:color w:val="auto"/>
          <w:sz w:val="24"/>
          <w:szCs w:val="24"/>
        </w:rPr>
        <w:t>1</w:t>
      </w:r>
      <w:bookmarkEnd w:id="9"/>
    </w:p>
    <w:p w14:paraId="0DEC8774" w14:textId="7009FFAC" w:rsidR="00CC691E" w:rsidRPr="006E716E" w:rsidRDefault="00D2753F" w:rsidP="006E716E">
      <w:pPr>
        <w:spacing w:line="360" w:lineRule="auto"/>
        <w:ind w:firstLine="720"/>
        <w:jc w:val="both"/>
        <w:rPr>
          <w:rFonts w:ascii="Arial" w:hAnsi="Arial" w:cs="Arial"/>
          <w:sz w:val="24"/>
          <w:szCs w:val="24"/>
        </w:rPr>
      </w:pPr>
      <w:r w:rsidRPr="006E716E">
        <w:rPr>
          <w:rFonts w:ascii="Arial" w:hAnsi="Arial" w:cs="Arial"/>
          <w:sz w:val="24"/>
          <w:szCs w:val="24"/>
        </w:rPr>
        <w:t>The United Kingdom, in its commitment to achieving Goal 1, has undertaken multifaceted strategies and programs aimed at addressing the intricate web of challenges associated with poverty. One prominent initiative is the implementation of Universal Credit, a flagship welfare reform that consolidates multiple benefits into a single payment, ostensibly streamlining the welfare system and promoting financial self-sufficiency</w:t>
      </w:r>
      <w:r w:rsidR="00F73122" w:rsidRPr="006E716E">
        <w:rPr>
          <w:rFonts w:ascii="Arial" w:hAnsi="Arial" w:cs="Arial"/>
          <w:sz w:val="24"/>
          <w:szCs w:val="24"/>
        </w:rPr>
        <w:t xml:space="preserve"> (Cheetham et al., 2019)</w:t>
      </w:r>
      <w:r w:rsidRPr="006E716E">
        <w:rPr>
          <w:rFonts w:ascii="Arial" w:hAnsi="Arial" w:cs="Arial"/>
          <w:sz w:val="24"/>
          <w:szCs w:val="24"/>
        </w:rPr>
        <w:t xml:space="preserve">. This strategy, while lauded for its intent to simplify the benefits structure, has been met with a barrage of critiques. Critics argue that the rollout of Universal Credit has been fraught with administrative challenges, leading to delays in </w:t>
      </w:r>
      <w:r w:rsidRPr="006E716E">
        <w:rPr>
          <w:rFonts w:ascii="Arial" w:hAnsi="Arial" w:cs="Arial"/>
          <w:sz w:val="24"/>
          <w:szCs w:val="24"/>
        </w:rPr>
        <w:lastRenderedPageBreak/>
        <w:t>payments and financial instability for recipients. The voluntary nature of Gender Pay Gap Reporting has also drawn scrutiny, with calls for more enforceable measures to ensure organizations take concrete actions to rectify identified disparities</w:t>
      </w:r>
      <w:r w:rsidR="00CC691E" w:rsidRPr="006E716E">
        <w:rPr>
          <w:rFonts w:ascii="Arial" w:hAnsi="Arial" w:cs="Arial"/>
          <w:sz w:val="24"/>
          <w:szCs w:val="24"/>
        </w:rPr>
        <w:t>.</w:t>
      </w:r>
    </w:p>
    <w:p w14:paraId="46151F91" w14:textId="7A1D8B74" w:rsidR="00CC691E" w:rsidRPr="006E716E" w:rsidRDefault="00D2753F" w:rsidP="006E716E">
      <w:pPr>
        <w:spacing w:line="360" w:lineRule="auto"/>
        <w:ind w:firstLine="720"/>
        <w:jc w:val="both"/>
        <w:rPr>
          <w:rFonts w:ascii="Arial" w:hAnsi="Arial" w:cs="Arial"/>
          <w:sz w:val="24"/>
          <w:szCs w:val="24"/>
        </w:rPr>
      </w:pPr>
      <w:r w:rsidRPr="006E716E">
        <w:rPr>
          <w:rFonts w:ascii="Arial" w:hAnsi="Arial" w:cs="Arial"/>
          <w:sz w:val="24"/>
          <w:szCs w:val="24"/>
        </w:rPr>
        <w:t xml:space="preserve">The Child Poverty Action Group (CPAG), another noteworthy initiative, operates as a national charity dedicated to eradicating child poverty in the UK. Through research, advocacy, and legal work, CPAG seeks to influence policies and practices that perpetuate child </w:t>
      </w:r>
      <w:r w:rsidR="00277801" w:rsidRPr="006E716E">
        <w:rPr>
          <w:rFonts w:ascii="Arial" w:hAnsi="Arial" w:cs="Arial"/>
          <w:sz w:val="24"/>
          <w:szCs w:val="24"/>
        </w:rPr>
        <w:t>poverty (Lansley, 2021)</w:t>
      </w:r>
      <w:r w:rsidRPr="006E716E">
        <w:rPr>
          <w:rFonts w:ascii="Arial" w:hAnsi="Arial" w:cs="Arial"/>
          <w:sz w:val="24"/>
          <w:szCs w:val="24"/>
        </w:rPr>
        <w:t>. However, despite its commendable efforts, the persistence of child poverty raises questions about the effectiveness of policy influence in translating into tangible outcomes. Academic discourse surrounding these strategies necessitates an examination of their impact on diverse demographic groups and the identification of potential unintended consequences, contributing to a nuanced understanding of their effectiveness</w:t>
      </w:r>
      <w:r w:rsidR="00CC691E" w:rsidRPr="006E716E">
        <w:rPr>
          <w:rFonts w:ascii="Arial" w:hAnsi="Arial" w:cs="Arial"/>
          <w:sz w:val="24"/>
          <w:szCs w:val="24"/>
        </w:rPr>
        <w:t>.</w:t>
      </w:r>
    </w:p>
    <w:p w14:paraId="399EFDD9" w14:textId="31F5C465" w:rsidR="0079533C" w:rsidRPr="006E716E" w:rsidRDefault="00C10C8C" w:rsidP="006E716E">
      <w:pPr>
        <w:pStyle w:val="Heading2"/>
        <w:spacing w:line="360" w:lineRule="auto"/>
        <w:jc w:val="both"/>
        <w:rPr>
          <w:rFonts w:ascii="Arial" w:hAnsi="Arial" w:cs="Arial"/>
          <w:b/>
          <w:bCs/>
          <w:color w:val="auto"/>
          <w:sz w:val="24"/>
          <w:szCs w:val="24"/>
        </w:rPr>
      </w:pPr>
      <w:bookmarkStart w:id="10" w:name="_Toc151383708"/>
      <w:r w:rsidRPr="006E716E">
        <w:rPr>
          <w:rFonts w:ascii="Arial" w:hAnsi="Arial" w:cs="Arial"/>
          <w:b/>
          <w:bCs/>
          <w:color w:val="auto"/>
          <w:sz w:val="24"/>
          <w:szCs w:val="24"/>
        </w:rPr>
        <w:t>Critical Review of Strategies/Programs</w:t>
      </w:r>
      <w:bookmarkEnd w:id="10"/>
    </w:p>
    <w:p w14:paraId="51ACFA22" w14:textId="09CEDF2A" w:rsidR="00C10C8C" w:rsidRPr="006E716E" w:rsidRDefault="00D2753F" w:rsidP="006E716E">
      <w:pPr>
        <w:spacing w:line="360" w:lineRule="auto"/>
        <w:ind w:firstLine="720"/>
        <w:jc w:val="both"/>
        <w:rPr>
          <w:rFonts w:ascii="Arial" w:hAnsi="Arial" w:cs="Arial"/>
          <w:sz w:val="24"/>
          <w:szCs w:val="24"/>
          <w:lang w:val="en-GB"/>
        </w:rPr>
      </w:pPr>
      <w:r w:rsidRPr="00D2753F">
        <w:rPr>
          <w:rFonts w:ascii="Arial" w:hAnsi="Arial" w:cs="Arial"/>
          <w:sz w:val="24"/>
          <w:szCs w:val="24"/>
          <w:lang w:val="en-GB"/>
        </w:rPr>
        <w:t>The critical review of the UK's strategies and programs to implement Goal 1 requires an in-depth exploration of their strengths and limitations. Universal Credit, while conceptually sound in its objective to incentivize employment and simplify welfare systems, has faced significant backlash for its implementation challenges. The administrative issues and delays in payments have been critiqued for exacerbating financial hardships for vulnerable populations, precisely the demographic that welfare reforms aim to support. The voluntary nature of Gender Pay Gap Reporting has garnered skepticism, as organizations may choose not to disclose data, hindering the goal of promoting transparency and addressing workplace inequalities</w:t>
      </w:r>
      <w:r w:rsidR="000E6823" w:rsidRPr="006E716E">
        <w:rPr>
          <w:rFonts w:ascii="Arial" w:hAnsi="Arial" w:cs="Arial"/>
          <w:sz w:val="24"/>
          <w:szCs w:val="24"/>
          <w:lang w:val="en-GB"/>
        </w:rPr>
        <w:t xml:space="preserve"> (Baker et al., 2019)</w:t>
      </w:r>
      <w:r w:rsidRPr="00D2753F">
        <w:rPr>
          <w:rFonts w:ascii="Arial" w:hAnsi="Arial" w:cs="Arial"/>
          <w:sz w:val="24"/>
          <w:szCs w:val="24"/>
          <w:lang w:val="en-GB"/>
        </w:rPr>
        <w:t>.</w:t>
      </w:r>
      <w:r w:rsidRPr="006E716E">
        <w:rPr>
          <w:rFonts w:ascii="Arial" w:hAnsi="Arial" w:cs="Arial"/>
          <w:sz w:val="24"/>
          <w:szCs w:val="24"/>
          <w:lang w:val="en-GB"/>
        </w:rPr>
        <w:t xml:space="preserve"> </w:t>
      </w:r>
      <w:r w:rsidRPr="00D2753F">
        <w:rPr>
          <w:rFonts w:ascii="Arial" w:hAnsi="Arial" w:cs="Arial"/>
          <w:sz w:val="24"/>
          <w:szCs w:val="24"/>
          <w:lang w:val="en-GB"/>
        </w:rPr>
        <w:t>In the realm of child poverty, the efforts of the Child Poverty Action Group (CPAG) in advocating for policy changes and legal interventions are commendable. However, the persistent existence of child poverty underscores the need for a more profound examination of the structural and systemic factors contributing to its endurance</w:t>
      </w:r>
      <w:r w:rsidR="002F2E1D" w:rsidRPr="006E716E">
        <w:rPr>
          <w:rFonts w:ascii="Arial" w:hAnsi="Arial" w:cs="Arial"/>
          <w:sz w:val="24"/>
          <w:szCs w:val="24"/>
          <w:lang w:val="en-GB"/>
        </w:rPr>
        <w:t xml:space="preserve"> (Stewart and Roberts, 2019)</w:t>
      </w:r>
      <w:r w:rsidRPr="00D2753F">
        <w:rPr>
          <w:rFonts w:ascii="Arial" w:hAnsi="Arial" w:cs="Arial"/>
          <w:sz w:val="24"/>
          <w:szCs w:val="24"/>
          <w:lang w:val="en-GB"/>
        </w:rPr>
        <w:t>. A critical discourse on these strategies necessitates not only an evaluation of their immediate impact but also an exploration of their potential long-term consequences and their effectiveness in addressing the root causes of poverty</w:t>
      </w:r>
      <w:r w:rsidR="0079533C" w:rsidRPr="006E716E">
        <w:rPr>
          <w:rFonts w:ascii="Arial" w:hAnsi="Arial" w:cs="Arial"/>
          <w:sz w:val="24"/>
          <w:szCs w:val="24"/>
        </w:rPr>
        <w:t>.</w:t>
      </w:r>
    </w:p>
    <w:p w14:paraId="7404D3B3" w14:textId="157E0C36" w:rsidR="00C10C8C" w:rsidRPr="006E716E" w:rsidRDefault="00C10C8C" w:rsidP="006E716E">
      <w:pPr>
        <w:pStyle w:val="Heading2"/>
        <w:spacing w:line="360" w:lineRule="auto"/>
        <w:jc w:val="both"/>
        <w:rPr>
          <w:rFonts w:ascii="Arial" w:hAnsi="Arial" w:cs="Arial"/>
          <w:b/>
          <w:bCs/>
          <w:color w:val="auto"/>
          <w:sz w:val="24"/>
          <w:szCs w:val="24"/>
        </w:rPr>
      </w:pPr>
      <w:bookmarkStart w:id="11" w:name="_Toc151383709"/>
      <w:r w:rsidRPr="006E716E">
        <w:rPr>
          <w:rFonts w:ascii="Arial" w:hAnsi="Arial" w:cs="Arial"/>
          <w:b/>
          <w:bCs/>
          <w:color w:val="auto"/>
          <w:sz w:val="24"/>
          <w:szCs w:val="24"/>
        </w:rPr>
        <w:lastRenderedPageBreak/>
        <w:t xml:space="preserve">Progress in Achieving SDG </w:t>
      </w:r>
      <w:r w:rsidR="00D2753F" w:rsidRPr="006E716E">
        <w:rPr>
          <w:rFonts w:ascii="Arial" w:hAnsi="Arial" w:cs="Arial"/>
          <w:b/>
          <w:bCs/>
          <w:color w:val="auto"/>
          <w:sz w:val="24"/>
          <w:szCs w:val="24"/>
        </w:rPr>
        <w:t>1</w:t>
      </w:r>
      <w:bookmarkEnd w:id="11"/>
    </w:p>
    <w:p w14:paraId="783A62B3" w14:textId="43DCEE76" w:rsidR="00C10C8C" w:rsidRPr="006E716E" w:rsidRDefault="00D2753F" w:rsidP="006E716E">
      <w:pPr>
        <w:spacing w:line="360" w:lineRule="auto"/>
        <w:ind w:firstLine="720"/>
        <w:jc w:val="both"/>
        <w:rPr>
          <w:rFonts w:ascii="Arial" w:hAnsi="Arial" w:cs="Arial"/>
          <w:sz w:val="24"/>
          <w:szCs w:val="24"/>
        </w:rPr>
      </w:pPr>
      <w:r w:rsidRPr="006E716E">
        <w:rPr>
          <w:rFonts w:ascii="Arial" w:hAnsi="Arial" w:cs="Arial"/>
          <w:sz w:val="24"/>
          <w:szCs w:val="24"/>
        </w:rPr>
        <w:t>While progress has been made in certain aspects, such as increasing employment rates, the overall success of UK efforts in achieving Goal 1 is mixed. The reduction in the overall poverty figures masks persistent inequalities, with specific demographic groups, such as children and ethnic minorities, experiencing higher rates of poverty</w:t>
      </w:r>
      <w:r w:rsidR="002C0F96" w:rsidRPr="006E716E">
        <w:rPr>
          <w:rFonts w:ascii="Arial" w:hAnsi="Arial" w:cs="Arial"/>
          <w:sz w:val="24"/>
          <w:szCs w:val="24"/>
        </w:rPr>
        <w:t xml:space="preserve"> (Beales et al., 2020)</w:t>
      </w:r>
      <w:r w:rsidRPr="006E716E">
        <w:rPr>
          <w:rFonts w:ascii="Arial" w:hAnsi="Arial" w:cs="Arial"/>
          <w:sz w:val="24"/>
          <w:szCs w:val="24"/>
        </w:rPr>
        <w:t>. The economic fallout from global events, such as the recent pandemic, has further highlighted the vulnerability of certain populations to economic shocks</w:t>
      </w:r>
      <w:r w:rsidR="00C10C8C" w:rsidRPr="006E716E">
        <w:rPr>
          <w:rFonts w:ascii="Arial" w:hAnsi="Arial" w:cs="Arial"/>
          <w:sz w:val="24"/>
          <w:szCs w:val="24"/>
        </w:rPr>
        <w:t>.</w:t>
      </w:r>
    </w:p>
    <w:p w14:paraId="72E963C9" w14:textId="5FACB337" w:rsidR="00C10C8C" w:rsidRPr="006E716E" w:rsidRDefault="00C10C8C" w:rsidP="006E716E">
      <w:pPr>
        <w:pStyle w:val="Heading2"/>
        <w:spacing w:line="360" w:lineRule="auto"/>
        <w:jc w:val="both"/>
        <w:rPr>
          <w:rFonts w:ascii="Arial" w:hAnsi="Arial" w:cs="Arial"/>
          <w:b/>
          <w:bCs/>
          <w:color w:val="auto"/>
          <w:sz w:val="24"/>
          <w:szCs w:val="24"/>
        </w:rPr>
      </w:pPr>
      <w:bookmarkStart w:id="12" w:name="_Toc151383710"/>
      <w:r w:rsidRPr="006E716E">
        <w:rPr>
          <w:rFonts w:ascii="Arial" w:hAnsi="Arial" w:cs="Arial"/>
          <w:b/>
          <w:bCs/>
          <w:color w:val="auto"/>
          <w:sz w:val="24"/>
          <w:szCs w:val="24"/>
        </w:rPr>
        <w:t>Impact on Health, Wellbeing, and Sustainable Development</w:t>
      </w:r>
      <w:bookmarkEnd w:id="12"/>
    </w:p>
    <w:p w14:paraId="6A07B72F" w14:textId="77777777" w:rsidR="00943A5E" w:rsidRPr="00943A5E" w:rsidRDefault="00943A5E" w:rsidP="006E716E">
      <w:pPr>
        <w:spacing w:line="360" w:lineRule="auto"/>
        <w:ind w:firstLine="720"/>
        <w:jc w:val="both"/>
        <w:rPr>
          <w:rFonts w:ascii="Arial" w:hAnsi="Arial" w:cs="Arial"/>
          <w:sz w:val="24"/>
          <w:szCs w:val="24"/>
          <w:lang w:val="en-GB"/>
        </w:rPr>
      </w:pPr>
      <w:r w:rsidRPr="00943A5E">
        <w:rPr>
          <w:rFonts w:ascii="Arial" w:hAnsi="Arial" w:cs="Arial"/>
          <w:sz w:val="24"/>
          <w:szCs w:val="24"/>
          <w:lang w:val="en-GB"/>
        </w:rPr>
        <w:t>The implementation of Goal 1 has profound implications for health, wellbeing, and the broader framework of sustainable development. Poverty's adverse impact on health outcomes is well-documented, with individuals facing financial hardships often experiencing elevated levels of stress, limited access to healthcare, and heightened susceptibility to various health conditions. The intricate interplay between poverty, health, and wellbeing necessitates a thorough examination of how poverty alleviation strategies contribute to improved health outcomes and enhance overall wellbeing. Moreover, sustainable development, characterized by inclusive growth and societal progress, is inherently hindered when a substantial portion of the population grapples with economic instability.</w:t>
      </w:r>
    </w:p>
    <w:p w14:paraId="7EA61279" w14:textId="3997494F" w:rsidR="00C10C8C" w:rsidRPr="006E716E" w:rsidRDefault="00943A5E" w:rsidP="006E716E">
      <w:pPr>
        <w:spacing w:line="360" w:lineRule="auto"/>
        <w:ind w:firstLine="720"/>
        <w:jc w:val="both"/>
        <w:rPr>
          <w:rFonts w:ascii="Arial" w:hAnsi="Arial" w:cs="Arial"/>
          <w:sz w:val="24"/>
          <w:szCs w:val="24"/>
          <w:lang w:val="en-GB"/>
        </w:rPr>
      </w:pPr>
      <w:r w:rsidRPr="00943A5E">
        <w:rPr>
          <w:rFonts w:ascii="Arial" w:hAnsi="Arial" w:cs="Arial"/>
          <w:sz w:val="24"/>
          <w:szCs w:val="24"/>
          <w:lang w:val="en-GB"/>
        </w:rPr>
        <w:t>The impact of Goal 1 on health underscores the need for interdisciplinary research that bridges public health, social sciences, and economics. A</w:t>
      </w:r>
      <w:r w:rsidRPr="006E716E">
        <w:rPr>
          <w:rFonts w:ascii="Arial" w:hAnsi="Arial" w:cs="Arial"/>
          <w:sz w:val="24"/>
          <w:szCs w:val="24"/>
          <w:lang w:val="en-GB"/>
        </w:rPr>
        <w:t xml:space="preserve">s stated by </w:t>
      </w:r>
      <w:r w:rsidR="00F73122" w:rsidRPr="006E716E">
        <w:rPr>
          <w:rFonts w:ascii="Arial" w:hAnsi="Arial" w:cs="Arial"/>
          <w:sz w:val="24"/>
          <w:szCs w:val="24"/>
          <w:lang w:val="en-GB"/>
        </w:rPr>
        <w:t>Owusu-Addo et al. (2019)</w:t>
      </w:r>
      <w:r w:rsidRPr="006E716E">
        <w:rPr>
          <w:rFonts w:ascii="Arial" w:hAnsi="Arial" w:cs="Arial"/>
          <w:sz w:val="24"/>
          <w:szCs w:val="24"/>
          <w:lang w:val="en-GB"/>
        </w:rPr>
        <w:t>, a</w:t>
      </w:r>
      <w:r w:rsidRPr="00943A5E">
        <w:rPr>
          <w:rFonts w:ascii="Arial" w:hAnsi="Arial" w:cs="Arial"/>
          <w:sz w:val="24"/>
          <w:szCs w:val="24"/>
          <w:lang w:val="en-GB"/>
        </w:rPr>
        <w:t>n exploration of the psychosocial determinants of health within the context of poverty alleviation strategies enriches the discourse, providing insights into the complex interactions between socio-economic policies and individual health outcomes. Sustainable development, as framed within Goal 1, necessitates an examination of the long-term implications of poverty eradication on societal progress, environmental sustainability, and the creation of resilient and inclusive communities</w:t>
      </w:r>
      <w:r w:rsidR="00C10C8C" w:rsidRPr="006E716E">
        <w:rPr>
          <w:rFonts w:ascii="Arial" w:hAnsi="Arial" w:cs="Arial"/>
          <w:sz w:val="24"/>
          <w:szCs w:val="24"/>
        </w:rPr>
        <w:t>.</w:t>
      </w:r>
    </w:p>
    <w:p w14:paraId="441FA0EC" w14:textId="7CA6739B" w:rsidR="00C10C8C" w:rsidRPr="006E716E" w:rsidRDefault="00C10C8C" w:rsidP="006E716E">
      <w:pPr>
        <w:pStyle w:val="Heading2"/>
        <w:spacing w:line="360" w:lineRule="auto"/>
        <w:jc w:val="both"/>
        <w:rPr>
          <w:rFonts w:ascii="Arial" w:hAnsi="Arial" w:cs="Arial"/>
          <w:b/>
          <w:bCs/>
          <w:color w:val="auto"/>
          <w:sz w:val="24"/>
          <w:szCs w:val="24"/>
        </w:rPr>
      </w:pPr>
      <w:bookmarkStart w:id="13" w:name="_Toc151383711"/>
      <w:r w:rsidRPr="006E716E">
        <w:rPr>
          <w:rFonts w:ascii="Arial" w:hAnsi="Arial" w:cs="Arial"/>
          <w:b/>
          <w:bCs/>
          <w:color w:val="auto"/>
          <w:sz w:val="24"/>
          <w:szCs w:val="24"/>
        </w:rPr>
        <w:t xml:space="preserve">Challenges in Implementing SDG </w:t>
      </w:r>
      <w:r w:rsidR="00943A5E" w:rsidRPr="006E716E">
        <w:rPr>
          <w:rFonts w:ascii="Arial" w:hAnsi="Arial" w:cs="Arial"/>
          <w:b/>
          <w:bCs/>
          <w:color w:val="auto"/>
          <w:sz w:val="24"/>
          <w:szCs w:val="24"/>
        </w:rPr>
        <w:t>1</w:t>
      </w:r>
      <w:bookmarkEnd w:id="13"/>
    </w:p>
    <w:p w14:paraId="0C6D460B" w14:textId="61A28CB1" w:rsidR="00C10C8C" w:rsidRPr="006E716E" w:rsidRDefault="00943A5E" w:rsidP="006E716E">
      <w:pPr>
        <w:spacing w:line="360" w:lineRule="auto"/>
        <w:ind w:firstLine="720"/>
        <w:jc w:val="both"/>
        <w:rPr>
          <w:rFonts w:ascii="Arial" w:hAnsi="Arial" w:cs="Arial"/>
          <w:sz w:val="24"/>
          <w:szCs w:val="24"/>
          <w:lang w:val="en-GB"/>
        </w:rPr>
      </w:pPr>
      <w:r w:rsidRPr="00943A5E">
        <w:rPr>
          <w:rFonts w:ascii="Arial" w:hAnsi="Arial" w:cs="Arial"/>
          <w:sz w:val="24"/>
          <w:szCs w:val="24"/>
          <w:lang w:val="en-GB"/>
        </w:rPr>
        <w:t xml:space="preserve">Identifying the challenges in implementing Goal 1 requires a comprehensive examination of systemic barriers, structural inequalities, and the complex dynamics that perpetuate poverty. One of the foremost challenges lies in addressing the enduring </w:t>
      </w:r>
      <w:r w:rsidRPr="00943A5E">
        <w:rPr>
          <w:rFonts w:ascii="Arial" w:hAnsi="Arial" w:cs="Arial"/>
          <w:sz w:val="24"/>
          <w:szCs w:val="24"/>
          <w:lang w:val="en-GB"/>
        </w:rPr>
        <w:lastRenderedPageBreak/>
        <w:t>inequality gaps that persist despite efforts to reduce headline poverty figures</w:t>
      </w:r>
      <w:r w:rsidR="00F21F90" w:rsidRPr="006E716E">
        <w:rPr>
          <w:rFonts w:ascii="Arial" w:hAnsi="Arial" w:cs="Arial"/>
          <w:sz w:val="24"/>
          <w:szCs w:val="24"/>
          <w:lang w:val="en-GB"/>
        </w:rPr>
        <w:t xml:space="preserve"> (Nelson, 2021)</w:t>
      </w:r>
      <w:r w:rsidRPr="00943A5E">
        <w:rPr>
          <w:rFonts w:ascii="Arial" w:hAnsi="Arial" w:cs="Arial"/>
          <w:sz w:val="24"/>
          <w:szCs w:val="24"/>
          <w:lang w:val="en-GB"/>
        </w:rPr>
        <w:t>. The interplay of socio-economic factors, including education, employment opportunities, and access to resources, necessitates a multifaceted approach to bridge existing disparities.</w:t>
      </w:r>
      <w:r w:rsidRPr="006E716E">
        <w:rPr>
          <w:rFonts w:ascii="Arial" w:hAnsi="Arial" w:cs="Arial"/>
          <w:sz w:val="24"/>
          <w:szCs w:val="24"/>
          <w:lang w:val="en-GB"/>
        </w:rPr>
        <w:t xml:space="preserve"> </w:t>
      </w:r>
      <w:r w:rsidRPr="00943A5E">
        <w:rPr>
          <w:rFonts w:ascii="Arial" w:hAnsi="Arial" w:cs="Arial"/>
          <w:sz w:val="24"/>
          <w:szCs w:val="24"/>
          <w:lang w:val="en-GB"/>
        </w:rPr>
        <w:t xml:space="preserve">Administrative issues, exemplified by the challenges in the rollout of Universal Credit, pose a substantial hurdle in the effective implementation of poverty eradication strategies. </w:t>
      </w:r>
      <w:r w:rsidRPr="006E716E">
        <w:rPr>
          <w:rFonts w:ascii="Arial" w:hAnsi="Arial" w:cs="Arial"/>
          <w:sz w:val="24"/>
          <w:szCs w:val="24"/>
          <w:lang w:val="en-GB"/>
        </w:rPr>
        <w:t>Also, d</w:t>
      </w:r>
      <w:r w:rsidRPr="00943A5E">
        <w:rPr>
          <w:rFonts w:ascii="Arial" w:hAnsi="Arial" w:cs="Arial"/>
          <w:sz w:val="24"/>
          <w:szCs w:val="24"/>
          <w:lang w:val="en-GB"/>
        </w:rPr>
        <w:t>elays in payments, bureaucratic complexities, and the unintended consequences of welfare reforms contribute to financial uncertainty for recipients, particularly those in vulnerable situations</w:t>
      </w:r>
      <w:r w:rsidR="00E22B5A" w:rsidRPr="006E716E">
        <w:rPr>
          <w:rFonts w:ascii="Arial" w:hAnsi="Arial" w:cs="Arial"/>
          <w:sz w:val="24"/>
          <w:szCs w:val="24"/>
          <w:lang w:val="en-GB"/>
        </w:rPr>
        <w:t xml:space="preserve"> (Leal Filho et al., 2021)</w:t>
      </w:r>
      <w:r w:rsidRPr="00943A5E">
        <w:rPr>
          <w:rFonts w:ascii="Arial" w:hAnsi="Arial" w:cs="Arial"/>
          <w:sz w:val="24"/>
          <w:szCs w:val="24"/>
          <w:lang w:val="en-GB"/>
        </w:rPr>
        <w:t>. External economic shocks, such as the recent global pandemic, have laid bare the fragility of poverty alleviation strategies, demanding adaptive and resilient policy responses</w:t>
      </w:r>
      <w:r w:rsidR="00C10C8C" w:rsidRPr="006E716E">
        <w:rPr>
          <w:rFonts w:ascii="Arial" w:hAnsi="Arial" w:cs="Arial"/>
          <w:sz w:val="24"/>
          <w:szCs w:val="24"/>
        </w:rPr>
        <w:t>.</w:t>
      </w:r>
      <w:r w:rsidRPr="006E716E">
        <w:rPr>
          <w:rFonts w:ascii="Arial" w:hAnsi="Arial" w:cs="Arial"/>
          <w:sz w:val="24"/>
          <w:szCs w:val="24"/>
        </w:rPr>
        <w:t xml:space="preserve"> These challenges should be viewed not merely as obstacles but as opportunities for refining and strengthening poverty alleviation strategies, ensuring their relevance and effectiveness in diverse socio-cultural contexts.</w:t>
      </w:r>
    </w:p>
    <w:p w14:paraId="5724D256" w14:textId="6BC9243D" w:rsidR="00C10C8C" w:rsidRPr="006E716E" w:rsidRDefault="00C10C8C" w:rsidP="006E716E">
      <w:pPr>
        <w:pStyle w:val="Heading2"/>
        <w:spacing w:line="360" w:lineRule="auto"/>
        <w:jc w:val="both"/>
        <w:rPr>
          <w:rFonts w:ascii="Arial" w:hAnsi="Arial" w:cs="Arial"/>
          <w:b/>
          <w:bCs/>
          <w:color w:val="auto"/>
          <w:sz w:val="24"/>
          <w:szCs w:val="24"/>
        </w:rPr>
      </w:pPr>
      <w:bookmarkStart w:id="14" w:name="_Toc151383712"/>
      <w:r w:rsidRPr="006E716E">
        <w:rPr>
          <w:rFonts w:ascii="Arial" w:hAnsi="Arial" w:cs="Arial"/>
          <w:b/>
          <w:bCs/>
          <w:color w:val="auto"/>
          <w:sz w:val="24"/>
          <w:szCs w:val="24"/>
        </w:rPr>
        <w:t xml:space="preserve">Recommendations for Achieving SDG </w:t>
      </w:r>
      <w:r w:rsidR="008A0972" w:rsidRPr="006E716E">
        <w:rPr>
          <w:rFonts w:ascii="Arial" w:hAnsi="Arial" w:cs="Arial"/>
          <w:b/>
          <w:bCs/>
          <w:color w:val="auto"/>
          <w:sz w:val="24"/>
          <w:szCs w:val="24"/>
        </w:rPr>
        <w:t>1</w:t>
      </w:r>
      <w:bookmarkEnd w:id="14"/>
    </w:p>
    <w:p w14:paraId="5C0F6175" w14:textId="55C71F4C" w:rsidR="00C10C8C" w:rsidRPr="006E716E" w:rsidRDefault="00C243D0" w:rsidP="006E716E">
      <w:pPr>
        <w:spacing w:line="360" w:lineRule="auto"/>
        <w:ind w:firstLine="720"/>
        <w:jc w:val="both"/>
        <w:rPr>
          <w:rFonts w:ascii="Arial" w:hAnsi="Arial" w:cs="Arial"/>
          <w:sz w:val="24"/>
          <w:szCs w:val="24"/>
          <w:lang w:val="en-GB"/>
        </w:rPr>
      </w:pPr>
      <w:r w:rsidRPr="00C243D0">
        <w:rPr>
          <w:rFonts w:ascii="Arial" w:hAnsi="Arial" w:cs="Arial"/>
          <w:sz w:val="24"/>
          <w:szCs w:val="24"/>
          <w:lang w:val="en-GB"/>
        </w:rPr>
        <w:t xml:space="preserve">Proposing recommendations for achieving Goal 1 demands a </w:t>
      </w:r>
      <w:r w:rsidRPr="006E716E">
        <w:rPr>
          <w:rFonts w:ascii="Arial" w:hAnsi="Arial" w:cs="Arial"/>
          <w:sz w:val="24"/>
          <w:szCs w:val="24"/>
          <w:lang w:val="en-GB"/>
        </w:rPr>
        <w:t>critical</w:t>
      </w:r>
      <w:r w:rsidRPr="00C243D0">
        <w:rPr>
          <w:rFonts w:ascii="Arial" w:hAnsi="Arial" w:cs="Arial"/>
          <w:sz w:val="24"/>
          <w:szCs w:val="24"/>
          <w:lang w:val="en-GB"/>
        </w:rPr>
        <w:t xml:space="preserve"> examination of the identified challenges and a consideration of evidence-based interventions. A comprehensive review of welfare reforms, such as Universal Credit, is essential, emphasizing the need for adaptive strategies that address administrative issues and ensure timely and adequate support for individuals and families. </w:t>
      </w:r>
      <w:r w:rsidRPr="006E716E">
        <w:rPr>
          <w:rFonts w:ascii="Arial" w:hAnsi="Arial" w:cs="Arial"/>
          <w:sz w:val="24"/>
          <w:szCs w:val="24"/>
          <w:lang w:val="en-GB"/>
        </w:rPr>
        <w:t>Also, i</w:t>
      </w:r>
      <w:r w:rsidRPr="00C243D0">
        <w:rPr>
          <w:rFonts w:ascii="Arial" w:hAnsi="Arial" w:cs="Arial"/>
          <w:sz w:val="24"/>
          <w:szCs w:val="24"/>
          <w:lang w:val="en-GB"/>
        </w:rPr>
        <w:t>nvestments in education and skills development emerge as a strategic recommendation, as breaking the cycle of intergenerational poverty requires a proactive approach to enhancing employability and fostering economic resilience</w:t>
      </w:r>
      <w:r w:rsidR="00447C10" w:rsidRPr="006E716E">
        <w:rPr>
          <w:rFonts w:ascii="Arial" w:hAnsi="Arial" w:cs="Arial"/>
          <w:sz w:val="24"/>
          <w:szCs w:val="24"/>
          <w:lang w:val="en-GB"/>
        </w:rPr>
        <w:t xml:space="preserve"> (Tyagi et al., 2020)</w:t>
      </w:r>
      <w:r w:rsidRPr="00C243D0">
        <w:rPr>
          <w:rFonts w:ascii="Arial" w:hAnsi="Arial" w:cs="Arial"/>
          <w:sz w:val="24"/>
          <w:szCs w:val="24"/>
          <w:lang w:val="en-GB"/>
        </w:rPr>
        <w:t>.</w:t>
      </w:r>
      <w:r w:rsidRPr="006E716E">
        <w:rPr>
          <w:rFonts w:ascii="Arial" w:hAnsi="Arial" w:cs="Arial"/>
          <w:sz w:val="24"/>
          <w:szCs w:val="24"/>
          <w:lang w:val="en-GB"/>
        </w:rPr>
        <w:t xml:space="preserve"> </w:t>
      </w:r>
      <w:r w:rsidRPr="00C243D0">
        <w:rPr>
          <w:rFonts w:ascii="Arial" w:hAnsi="Arial" w:cs="Arial"/>
          <w:sz w:val="24"/>
          <w:szCs w:val="24"/>
          <w:lang w:val="en-GB"/>
        </w:rPr>
        <w:t xml:space="preserve">Moreover, strengthening social safety nets is imperative to shield vulnerable populations from economic downturns, providing a robust support system that prevents individuals from falling into poverty. </w:t>
      </w:r>
      <w:r w:rsidRPr="006E716E">
        <w:rPr>
          <w:rFonts w:ascii="Arial" w:hAnsi="Arial" w:cs="Arial"/>
          <w:sz w:val="24"/>
          <w:szCs w:val="24"/>
          <w:lang w:val="en-GB"/>
        </w:rPr>
        <w:t xml:space="preserve">As stated by </w:t>
      </w:r>
      <w:r w:rsidR="00F73122" w:rsidRPr="006E716E">
        <w:rPr>
          <w:rFonts w:ascii="Arial" w:hAnsi="Arial" w:cs="Arial"/>
          <w:sz w:val="24"/>
          <w:szCs w:val="24"/>
          <w:lang w:val="en-GB"/>
        </w:rPr>
        <w:t>Manitra et al. (2023)</w:t>
      </w:r>
      <w:r w:rsidRPr="006E716E">
        <w:rPr>
          <w:rFonts w:ascii="Arial" w:hAnsi="Arial" w:cs="Arial"/>
          <w:sz w:val="24"/>
          <w:szCs w:val="24"/>
          <w:lang w:val="en-GB"/>
        </w:rPr>
        <w:t>, c</w:t>
      </w:r>
      <w:r w:rsidRPr="00C243D0">
        <w:rPr>
          <w:rFonts w:ascii="Arial" w:hAnsi="Arial" w:cs="Arial"/>
          <w:sz w:val="24"/>
          <w:szCs w:val="24"/>
          <w:lang w:val="en-GB"/>
        </w:rPr>
        <w:t xml:space="preserve">ommunity-driven solutions, underlined by initiatives that empower local communities to address specific poverty-related challenges, are integral to fostering inclusivity and tailoring interventions to the unique needs of diverse communities. </w:t>
      </w:r>
    </w:p>
    <w:p w14:paraId="07C361FF" w14:textId="0ABA85DA" w:rsidR="00C10C8C" w:rsidRPr="006E716E" w:rsidRDefault="00C10C8C" w:rsidP="006E716E">
      <w:pPr>
        <w:pStyle w:val="Heading1"/>
        <w:spacing w:line="360" w:lineRule="auto"/>
        <w:jc w:val="both"/>
        <w:rPr>
          <w:rFonts w:ascii="Arial" w:hAnsi="Arial" w:cs="Arial"/>
          <w:b/>
          <w:bCs/>
          <w:color w:val="auto"/>
          <w:sz w:val="24"/>
          <w:szCs w:val="24"/>
        </w:rPr>
      </w:pPr>
      <w:bookmarkStart w:id="15" w:name="_Toc151383713"/>
      <w:r w:rsidRPr="006E716E">
        <w:rPr>
          <w:rFonts w:ascii="Arial" w:hAnsi="Arial" w:cs="Arial"/>
          <w:b/>
          <w:bCs/>
          <w:color w:val="auto"/>
          <w:sz w:val="24"/>
          <w:szCs w:val="24"/>
        </w:rPr>
        <w:lastRenderedPageBreak/>
        <w:t xml:space="preserve">Goal </w:t>
      </w:r>
      <w:r w:rsidR="00F10F01" w:rsidRPr="006E716E">
        <w:rPr>
          <w:rFonts w:ascii="Arial" w:hAnsi="Arial" w:cs="Arial"/>
          <w:b/>
          <w:bCs/>
          <w:color w:val="auto"/>
          <w:sz w:val="24"/>
          <w:szCs w:val="24"/>
        </w:rPr>
        <w:t>5</w:t>
      </w:r>
      <w:r w:rsidRPr="006E716E">
        <w:rPr>
          <w:rFonts w:ascii="Arial" w:hAnsi="Arial" w:cs="Arial"/>
          <w:b/>
          <w:bCs/>
          <w:color w:val="auto"/>
          <w:sz w:val="24"/>
          <w:szCs w:val="24"/>
        </w:rPr>
        <w:t xml:space="preserve">: </w:t>
      </w:r>
      <w:r w:rsidR="00F10F01" w:rsidRPr="006E716E">
        <w:rPr>
          <w:rFonts w:ascii="Arial" w:hAnsi="Arial" w:cs="Arial"/>
          <w:b/>
          <w:bCs/>
          <w:color w:val="auto"/>
          <w:sz w:val="24"/>
          <w:szCs w:val="24"/>
        </w:rPr>
        <w:t>Gender Equality and Empowering Women</w:t>
      </w:r>
      <w:bookmarkEnd w:id="15"/>
    </w:p>
    <w:p w14:paraId="6D932C6E" w14:textId="4D697F02" w:rsidR="00C10C8C" w:rsidRPr="006E716E" w:rsidRDefault="00C10C8C" w:rsidP="006E716E">
      <w:pPr>
        <w:pStyle w:val="Heading2"/>
        <w:spacing w:line="360" w:lineRule="auto"/>
        <w:jc w:val="both"/>
        <w:rPr>
          <w:rFonts w:ascii="Arial" w:hAnsi="Arial" w:cs="Arial"/>
          <w:b/>
          <w:bCs/>
          <w:color w:val="auto"/>
          <w:sz w:val="24"/>
          <w:szCs w:val="24"/>
        </w:rPr>
      </w:pPr>
      <w:bookmarkStart w:id="16" w:name="_Toc151383714"/>
      <w:r w:rsidRPr="006E716E">
        <w:rPr>
          <w:rFonts w:ascii="Arial" w:hAnsi="Arial" w:cs="Arial"/>
          <w:b/>
          <w:bCs/>
          <w:color w:val="auto"/>
          <w:sz w:val="24"/>
          <w:szCs w:val="24"/>
        </w:rPr>
        <w:t xml:space="preserve">Definition of SDG </w:t>
      </w:r>
      <w:r w:rsidR="00F10F01" w:rsidRPr="006E716E">
        <w:rPr>
          <w:rFonts w:ascii="Arial" w:hAnsi="Arial" w:cs="Arial"/>
          <w:b/>
          <w:bCs/>
          <w:color w:val="auto"/>
          <w:sz w:val="24"/>
          <w:szCs w:val="24"/>
        </w:rPr>
        <w:t>5</w:t>
      </w:r>
      <w:bookmarkEnd w:id="16"/>
    </w:p>
    <w:p w14:paraId="421C6C06" w14:textId="32A5F680" w:rsidR="00C10C8C" w:rsidRPr="006E716E" w:rsidRDefault="00F41073" w:rsidP="006E716E">
      <w:pPr>
        <w:spacing w:line="360" w:lineRule="auto"/>
        <w:ind w:firstLine="720"/>
        <w:jc w:val="both"/>
        <w:rPr>
          <w:rFonts w:ascii="Arial" w:hAnsi="Arial" w:cs="Arial"/>
          <w:sz w:val="24"/>
          <w:szCs w:val="24"/>
          <w:lang w:val="en-GB"/>
        </w:rPr>
      </w:pPr>
      <w:r w:rsidRPr="00F41073">
        <w:rPr>
          <w:rFonts w:ascii="Arial" w:hAnsi="Arial" w:cs="Arial"/>
          <w:sz w:val="24"/>
          <w:szCs w:val="24"/>
          <w:lang w:val="en-GB"/>
        </w:rPr>
        <w:t>Goal 5</w:t>
      </w:r>
      <w:r w:rsidRPr="006E716E">
        <w:rPr>
          <w:rFonts w:ascii="Arial" w:hAnsi="Arial" w:cs="Arial"/>
          <w:sz w:val="24"/>
          <w:szCs w:val="24"/>
          <w:lang w:val="en-GB"/>
        </w:rPr>
        <w:t xml:space="preserve"> </w:t>
      </w:r>
      <w:r w:rsidRPr="00F41073">
        <w:rPr>
          <w:rFonts w:ascii="Arial" w:hAnsi="Arial" w:cs="Arial"/>
          <w:sz w:val="24"/>
          <w:szCs w:val="24"/>
          <w:lang w:val="en-GB"/>
        </w:rPr>
        <w:t xml:space="preserve">serves as a pivotal framework dedicated to advancing "Gender Equality and Empowering Women." This goal </w:t>
      </w:r>
      <w:r w:rsidRPr="006E716E">
        <w:rPr>
          <w:rFonts w:ascii="Arial" w:hAnsi="Arial" w:cs="Arial"/>
          <w:sz w:val="24"/>
          <w:szCs w:val="24"/>
          <w:lang w:val="en-GB"/>
        </w:rPr>
        <w:t>involves</w:t>
      </w:r>
      <w:r w:rsidRPr="00F41073">
        <w:rPr>
          <w:rFonts w:ascii="Arial" w:hAnsi="Arial" w:cs="Arial"/>
          <w:sz w:val="24"/>
          <w:szCs w:val="24"/>
          <w:lang w:val="en-GB"/>
        </w:rPr>
        <w:t xml:space="preserve"> a commitment to dismantling ingrained societal norms and systemic structures that perpetuate gender-based discrimination and disparities</w:t>
      </w:r>
      <w:r w:rsidR="00E22B5A" w:rsidRPr="006E716E">
        <w:rPr>
          <w:rFonts w:ascii="Arial" w:hAnsi="Arial" w:cs="Arial"/>
          <w:sz w:val="24"/>
          <w:szCs w:val="24"/>
          <w:lang w:val="en-GB"/>
        </w:rPr>
        <w:t xml:space="preserve"> (Nanda et al., 2020)</w:t>
      </w:r>
      <w:r w:rsidRPr="00F41073">
        <w:rPr>
          <w:rFonts w:ascii="Arial" w:hAnsi="Arial" w:cs="Arial"/>
          <w:sz w:val="24"/>
          <w:szCs w:val="24"/>
          <w:lang w:val="en-GB"/>
        </w:rPr>
        <w:t>. The overarching vision is rooted in the belief that achieving sustainable development necessitates transformative changes in societal attitudes, structures, and policies, ensuring that women and girls are not only equal beneficiaries of progress but active contributors to and architects of societal advancement.</w:t>
      </w:r>
      <w:r w:rsidRPr="006E716E">
        <w:rPr>
          <w:rFonts w:ascii="Arial" w:hAnsi="Arial" w:cs="Arial"/>
          <w:sz w:val="24"/>
          <w:szCs w:val="24"/>
          <w:lang w:val="en-GB"/>
        </w:rPr>
        <w:t xml:space="preserve"> </w:t>
      </w:r>
      <w:r w:rsidRPr="00F41073">
        <w:rPr>
          <w:rFonts w:ascii="Arial" w:hAnsi="Arial" w:cs="Arial"/>
          <w:sz w:val="24"/>
          <w:szCs w:val="24"/>
          <w:lang w:val="en-GB"/>
        </w:rPr>
        <w:t>Th</w:t>
      </w:r>
      <w:r w:rsidRPr="006E716E">
        <w:rPr>
          <w:rFonts w:ascii="Arial" w:hAnsi="Arial" w:cs="Arial"/>
          <w:sz w:val="24"/>
          <w:szCs w:val="24"/>
          <w:lang w:val="en-GB"/>
        </w:rPr>
        <w:t>e</w:t>
      </w:r>
      <w:r w:rsidRPr="00F41073">
        <w:rPr>
          <w:rFonts w:ascii="Arial" w:hAnsi="Arial" w:cs="Arial"/>
          <w:sz w:val="24"/>
          <w:szCs w:val="24"/>
          <w:lang w:val="en-GB"/>
        </w:rPr>
        <w:t xml:space="preserve"> nuanced perspective </w:t>
      </w:r>
      <w:r w:rsidRPr="006E716E">
        <w:rPr>
          <w:rFonts w:ascii="Arial" w:hAnsi="Arial" w:cs="Arial"/>
          <w:sz w:val="24"/>
          <w:szCs w:val="24"/>
          <w:lang w:val="en-GB"/>
        </w:rPr>
        <w:t xml:space="preserve">of this goal </w:t>
      </w:r>
      <w:r w:rsidRPr="00F41073">
        <w:rPr>
          <w:rFonts w:ascii="Arial" w:hAnsi="Arial" w:cs="Arial"/>
          <w:sz w:val="24"/>
          <w:szCs w:val="24"/>
          <w:lang w:val="en-GB"/>
        </w:rPr>
        <w:t>acknowledges the historical imbalances that women have endured across various spheres, including education, employment, and political representation</w:t>
      </w:r>
      <w:r w:rsidR="00277801" w:rsidRPr="006E716E">
        <w:rPr>
          <w:rFonts w:ascii="Arial" w:hAnsi="Arial" w:cs="Arial"/>
          <w:sz w:val="24"/>
          <w:szCs w:val="24"/>
          <w:lang w:val="en-GB"/>
        </w:rPr>
        <w:t xml:space="preserve"> (Cislaghi and Heise, 2020)</w:t>
      </w:r>
      <w:r w:rsidRPr="00F41073">
        <w:rPr>
          <w:rFonts w:ascii="Arial" w:hAnsi="Arial" w:cs="Arial"/>
          <w:sz w:val="24"/>
          <w:szCs w:val="24"/>
          <w:lang w:val="en-GB"/>
        </w:rPr>
        <w:t>. It recognizes the multifaceted dimensions of empowerment, encompassing economic autonomy, access to education, and participation in decision-making processes. Consequently, Goal 5 posits that gender equality is a catalyst for achieving broader societal goals, fostering resilience, and enhancing the overall well-being of communities</w:t>
      </w:r>
      <w:r w:rsidR="00C10C8C" w:rsidRPr="006E716E">
        <w:rPr>
          <w:rFonts w:ascii="Arial" w:hAnsi="Arial" w:cs="Arial"/>
          <w:sz w:val="24"/>
          <w:szCs w:val="24"/>
        </w:rPr>
        <w:t>.</w:t>
      </w:r>
    </w:p>
    <w:p w14:paraId="576909F4" w14:textId="46435CA1" w:rsidR="00C10C8C" w:rsidRPr="006E716E" w:rsidRDefault="00C10C8C" w:rsidP="006E716E">
      <w:pPr>
        <w:pStyle w:val="Heading2"/>
        <w:spacing w:line="360" w:lineRule="auto"/>
        <w:jc w:val="both"/>
        <w:rPr>
          <w:rFonts w:ascii="Arial" w:hAnsi="Arial" w:cs="Arial"/>
          <w:b/>
          <w:bCs/>
          <w:color w:val="auto"/>
          <w:sz w:val="24"/>
          <w:szCs w:val="24"/>
        </w:rPr>
      </w:pPr>
      <w:bookmarkStart w:id="17" w:name="_Toc151383715"/>
      <w:r w:rsidRPr="006E716E">
        <w:rPr>
          <w:rFonts w:ascii="Arial" w:hAnsi="Arial" w:cs="Arial"/>
          <w:b/>
          <w:bCs/>
          <w:color w:val="auto"/>
          <w:sz w:val="24"/>
          <w:szCs w:val="24"/>
        </w:rPr>
        <w:t xml:space="preserve">UK Strategies/Programs for Implementing SDG </w:t>
      </w:r>
      <w:r w:rsidR="00F41073" w:rsidRPr="006E716E">
        <w:rPr>
          <w:rFonts w:ascii="Arial" w:hAnsi="Arial" w:cs="Arial"/>
          <w:b/>
          <w:bCs/>
          <w:color w:val="auto"/>
          <w:sz w:val="24"/>
          <w:szCs w:val="24"/>
        </w:rPr>
        <w:t>5</w:t>
      </w:r>
      <w:bookmarkEnd w:id="17"/>
    </w:p>
    <w:p w14:paraId="74376709" w14:textId="4B758FFC" w:rsidR="00F41073" w:rsidRPr="00F41073" w:rsidRDefault="00F41073" w:rsidP="006E716E">
      <w:pPr>
        <w:spacing w:line="360" w:lineRule="auto"/>
        <w:ind w:firstLine="720"/>
        <w:jc w:val="both"/>
        <w:rPr>
          <w:rFonts w:ascii="Arial" w:hAnsi="Arial" w:cs="Arial"/>
          <w:sz w:val="24"/>
          <w:szCs w:val="24"/>
          <w:lang w:val="en-GB"/>
        </w:rPr>
      </w:pPr>
      <w:r w:rsidRPr="00F41073">
        <w:rPr>
          <w:rFonts w:ascii="Arial" w:hAnsi="Arial" w:cs="Arial"/>
          <w:sz w:val="24"/>
          <w:szCs w:val="24"/>
          <w:lang w:val="en-GB"/>
        </w:rPr>
        <w:t xml:space="preserve">The United Kingdom, in alignment with its commitment to Goal 5, has implemented several strategies and programmes aimed at dismantling gender-based inequalities. One prominent initiative is the Gender Pay Gap Reporting, a policy </w:t>
      </w:r>
      <w:r w:rsidRPr="006E716E">
        <w:rPr>
          <w:rFonts w:ascii="Arial" w:hAnsi="Arial" w:cs="Arial"/>
          <w:sz w:val="24"/>
          <w:szCs w:val="24"/>
          <w:lang w:val="en-GB"/>
        </w:rPr>
        <w:t xml:space="preserve">that </w:t>
      </w:r>
      <w:r w:rsidRPr="00F41073">
        <w:rPr>
          <w:rFonts w:ascii="Arial" w:hAnsi="Arial" w:cs="Arial"/>
          <w:sz w:val="24"/>
          <w:szCs w:val="24"/>
          <w:lang w:val="en-GB"/>
        </w:rPr>
        <w:t>mandat</w:t>
      </w:r>
      <w:r w:rsidRPr="006E716E">
        <w:rPr>
          <w:rFonts w:ascii="Arial" w:hAnsi="Arial" w:cs="Arial"/>
          <w:sz w:val="24"/>
          <w:szCs w:val="24"/>
          <w:lang w:val="en-GB"/>
        </w:rPr>
        <w:t>es</w:t>
      </w:r>
      <w:r w:rsidRPr="00F41073">
        <w:rPr>
          <w:rFonts w:ascii="Arial" w:hAnsi="Arial" w:cs="Arial"/>
          <w:sz w:val="24"/>
          <w:szCs w:val="24"/>
          <w:lang w:val="en-GB"/>
        </w:rPr>
        <w:t xml:space="preserve"> organizations with 250 or more employees to disclose annual reports detailing the gender pay gaps within their workforce</w:t>
      </w:r>
      <w:r w:rsidR="00A613B3" w:rsidRPr="006E716E">
        <w:rPr>
          <w:rFonts w:ascii="Arial" w:hAnsi="Arial" w:cs="Arial"/>
          <w:sz w:val="24"/>
          <w:szCs w:val="24"/>
          <w:lang w:val="en-GB"/>
        </w:rPr>
        <w:t xml:space="preserve"> (Bargain et al., 2019)</w:t>
      </w:r>
      <w:r w:rsidRPr="00F41073">
        <w:rPr>
          <w:rFonts w:ascii="Arial" w:hAnsi="Arial" w:cs="Arial"/>
          <w:sz w:val="24"/>
          <w:szCs w:val="24"/>
          <w:lang w:val="en-GB"/>
        </w:rPr>
        <w:t>. The underlying premise is to instigate transparency, thereby compelling organizations to scrutinize and rectify existing disparities in pay scales and representation across different hierarchical levels. This initiative, grounded in principles of organizational accountability, seeks to unravel the intricate web of gender-based wage differentials that persist despite legal frameworks advocating equal pay.</w:t>
      </w:r>
    </w:p>
    <w:p w14:paraId="384F767D" w14:textId="4A6E20DB" w:rsidR="002B75F1" w:rsidRPr="006E716E" w:rsidRDefault="00F41073" w:rsidP="006E716E">
      <w:pPr>
        <w:spacing w:line="360" w:lineRule="auto"/>
        <w:ind w:firstLine="720"/>
        <w:jc w:val="both"/>
        <w:rPr>
          <w:rFonts w:ascii="Arial" w:hAnsi="Arial" w:cs="Arial"/>
          <w:sz w:val="24"/>
          <w:szCs w:val="24"/>
          <w:lang w:val="en-GB"/>
        </w:rPr>
      </w:pPr>
      <w:r w:rsidRPr="00F41073">
        <w:rPr>
          <w:rFonts w:ascii="Arial" w:hAnsi="Arial" w:cs="Arial"/>
          <w:sz w:val="24"/>
          <w:szCs w:val="24"/>
          <w:lang w:val="en-GB"/>
        </w:rPr>
        <w:t>Another significant endeavour is the establishment of the Women's Business Council (WBC), an advisory body comprised of influential business leaders and entrepreneurs</w:t>
      </w:r>
      <w:r w:rsidR="00F73122" w:rsidRPr="006E716E">
        <w:rPr>
          <w:rFonts w:ascii="Arial" w:hAnsi="Arial" w:cs="Arial"/>
          <w:sz w:val="24"/>
          <w:szCs w:val="24"/>
          <w:lang w:val="en-GB"/>
        </w:rPr>
        <w:t xml:space="preserve"> (Henry et al., 2022)</w:t>
      </w:r>
      <w:r w:rsidRPr="00F41073">
        <w:rPr>
          <w:rFonts w:ascii="Arial" w:hAnsi="Arial" w:cs="Arial"/>
          <w:sz w:val="24"/>
          <w:szCs w:val="24"/>
          <w:lang w:val="en-GB"/>
        </w:rPr>
        <w:t xml:space="preserve">. The WBC focuses on formulating recommendations </w:t>
      </w:r>
      <w:r w:rsidRPr="00F41073">
        <w:rPr>
          <w:rFonts w:ascii="Arial" w:hAnsi="Arial" w:cs="Arial"/>
          <w:sz w:val="24"/>
          <w:szCs w:val="24"/>
          <w:lang w:val="en-GB"/>
        </w:rPr>
        <w:lastRenderedPageBreak/>
        <w:t>and policies to foster women's economic empowerment. By leveraging the collective expertise of its members, the WBC aims to influence systemic changes within the business landscape, fostering an environment where women can thrive professionally. However, the critical examination of these initiatives requires a discerning lens to ascertain their efficacy in translating rhetoric into tangible outcomes</w:t>
      </w:r>
      <w:r w:rsidR="002B75F1" w:rsidRPr="006E716E">
        <w:rPr>
          <w:rFonts w:ascii="Arial" w:hAnsi="Arial" w:cs="Arial"/>
          <w:sz w:val="24"/>
          <w:szCs w:val="24"/>
        </w:rPr>
        <w:t>.</w:t>
      </w:r>
    </w:p>
    <w:p w14:paraId="7B99F81E" w14:textId="524354F6" w:rsidR="00C10C8C" w:rsidRPr="006E716E" w:rsidRDefault="00C10C8C" w:rsidP="006E716E">
      <w:pPr>
        <w:pStyle w:val="Heading2"/>
        <w:spacing w:line="360" w:lineRule="auto"/>
        <w:jc w:val="both"/>
        <w:rPr>
          <w:rFonts w:ascii="Arial" w:hAnsi="Arial" w:cs="Arial"/>
          <w:b/>
          <w:bCs/>
          <w:color w:val="auto"/>
          <w:sz w:val="24"/>
          <w:szCs w:val="24"/>
        </w:rPr>
      </w:pPr>
      <w:bookmarkStart w:id="18" w:name="_Toc151383716"/>
      <w:r w:rsidRPr="006E716E">
        <w:rPr>
          <w:rFonts w:ascii="Arial" w:hAnsi="Arial" w:cs="Arial"/>
          <w:b/>
          <w:bCs/>
          <w:color w:val="auto"/>
          <w:sz w:val="24"/>
          <w:szCs w:val="24"/>
        </w:rPr>
        <w:t>Critical Review of Strategies/Programs</w:t>
      </w:r>
      <w:bookmarkEnd w:id="18"/>
    </w:p>
    <w:p w14:paraId="5CD0A1AA" w14:textId="65394343" w:rsidR="00C10C8C" w:rsidRPr="006E716E" w:rsidRDefault="00D87A1A" w:rsidP="006E716E">
      <w:pPr>
        <w:spacing w:line="360" w:lineRule="auto"/>
        <w:ind w:firstLine="720"/>
        <w:jc w:val="both"/>
        <w:rPr>
          <w:rFonts w:ascii="Arial" w:hAnsi="Arial" w:cs="Arial"/>
          <w:sz w:val="24"/>
          <w:szCs w:val="24"/>
        </w:rPr>
      </w:pPr>
      <w:r w:rsidRPr="006E716E">
        <w:rPr>
          <w:rFonts w:ascii="Arial" w:hAnsi="Arial" w:cs="Arial"/>
          <w:sz w:val="24"/>
          <w:szCs w:val="24"/>
        </w:rPr>
        <w:t>The implementation of Gender Pay Gap Reporting has garnered both praise and critique within academic spheres. On the positive side, this initiative has succeeded in illuminating the pervasive issue of gender-based wage gaps, triggering a much-needed discourse on workplace inequalities. However, its voluntary nature and the absence of stringent enforcement mechanisms have prompted skepticism about the actual impact on rectifying existing disparities. The Women's Business Council, while instrumental in articulating recommendations for gender empowerment, faces scrutiny regarding the translation of its proposals into tangible changes within organizational structures</w:t>
      </w:r>
      <w:r w:rsidR="00A613B3" w:rsidRPr="006E716E">
        <w:rPr>
          <w:rFonts w:ascii="Arial" w:hAnsi="Arial" w:cs="Arial"/>
          <w:sz w:val="24"/>
          <w:szCs w:val="24"/>
        </w:rPr>
        <w:t xml:space="preserve"> (Gov.UK, 2018)</w:t>
      </w:r>
      <w:r w:rsidRPr="006E716E">
        <w:rPr>
          <w:rFonts w:ascii="Arial" w:hAnsi="Arial" w:cs="Arial"/>
          <w:sz w:val="24"/>
          <w:szCs w:val="24"/>
        </w:rPr>
        <w:t>. The critical review necessitates a nuanced understanding of the complexities inherent in dismantling deeply ingrained gender inequalities and the necessity for continual refinement of policy instruments</w:t>
      </w:r>
      <w:r w:rsidR="00C10C8C" w:rsidRPr="006E716E">
        <w:rPr>
          <w:rFonts w:ascii="Arial" w:hAnsi="Arial" w:cs="Arial"/>
          <w:sz w:val="24"/>
          <w:szCs w:val="24"/>
        </w:rPr>
        <w:t>.</w:t>
      </w:r>
    </w:p>
    <w:p w14:paraId="4AD6DFE2" w14:textId="7D86BCAD" w:rsidR="00C10C8C" w:rsidRPr="006E716E" w:rsidRDefault="00C10C8C" w:rsidP="006E716E">
      <w:pPr>
        <w:pStyle w:val="Heading2"/>
        <w:spacing w:line="360" w:lineRule="auto"/>
        <w:jc w:val="both"/>
        <w:rPr>
          <w:rFonts w:ascii="Arial" w:hAnsi="Arial" w:cs="Arial"/>
          <w:b/>
          <w:bCs/>
          <w:color w:val="auto"/>
          <w:sz w:val="24"/>
          <w:szCs w:val="24"/>
        </w:rPr>
      </w:pPr>
      <w:bookmarkStart w:id="19" w:name="_Toc151383717"/>
      <w:r w:rsidRPr="006E716E">
        <w:rPr>
          <w:rFonts w:ascii="Arial" w:hAnsi="Arial" w:cs="Arial"/>
          <w:b/>
          <w:bCs/>
          <w:color w:val="auto"/>
          <w:sz w:val="24"/>
          <w:szCs w:val="24"/>
        </w:rPr>
        <w:t xml:space="preserve">Progress in Achieving SDG </w:t>
      </w:r>
      <w:r w:rsidR="00D87A1A" w:rsidRPr="006E716E">
        <w:rPr>
          <w:rFonts w:ascii="Arial" w:hAnsi="Arial" w:cs="Arial"/>
          <w:b/>
          <w:bCs/>
          <w:color w:val="auto"/>
          <w:sz w:val="24"/>
          <w:szCs w:val="24"/>
        </w:rPr>
        <w:t>5</w:t>
      </w:r>
      <w:bookmarkEnd w:id="19"/>
    </w:p>
    <w:p w14:paraId="3057B4DF" w14:textId="245AE0BE" w:rsidR="00C10C8C" w:rsidRPr="006E716E" w:rsidRDefault="00D87A1A" w:rsidP="006E716E">
      <w:pPr>
        <w:spacing w:line="360" w:lineRule="auto"/>
        <w:ind w:firstLine="720"/>
        <w:jc w:val="both"/>
        <w:rPr>
          <w:rFonts w:ascii="Arial" w:hAnsi="Arial" w:cs="Arial"/>
          <w:sz w:val="24"/>
          <w:szCs w:val="24"/>
          <w:lang w:val="en-GB"/>
        </w:rPr>
      </w:pPr>
      <w:r w:rsidRPr="00D87A1A">
        <w:rPr>
          <w:rFonts w:ascii="Arial" w:hAnsi="Arial" w:cs="Arial"/>
          <w:sz w:val="24"/>
          <w:szCs w:val="24"/>
          <w:lang w:val="en-GB"/>
        </w:rPr>
        <w:t>The United Kingdom has made significant strides in advancing gender equality, notably evidenced by the increased representation of women in leadership roles across various sectors. The business landscape, in particular, has witnessed a perceptible shift with more women occupying key positions. Educational institutions have also made commendable progress, with a narrowing gender gap in enrollment and attainment</w:t>
      </w:r>
      <w:r w:rsidR="00E22B5A" w:rsidRPr="006E716E">
        <w:rPr>
          <w:rFonts w:ascii="Arial" w:hAnsi="Arial" w:cs="Arial"/>
          <w:sz w:val="24"/>
          <w:szCs w:val="24"/>
          <w:lang w:val="en-GB"/>
        </w:rPr>
        <w:t xml:space="preserve"> (Evans et al., 2020)</w:t>
      </w:r>
      <w:r w:rsidRPr="00D87A1A">
        <w:rPr>
          <w:rFonts w:ascii="Arial" w:hAnsi="Arial" w:cs="Arial"/>
          <w:sz w:val="24"/>
          <w:szCs w:val="24"/>
          <w:lang w:val="en-GB"/>
        </w:rPr>
        <w:t>. However, nuanced challenges persist, exemplified by the enduring gender pay gap, disparities in political representation, and persistent stereotypes that hinder the full realization of gender equality.</w:t>
      </w:r>
      <w:r w:rsidRPr="006E716E">
        <w:rPr>
          <w:rFonts w:ascii="Arial" w:hAnsi="Arial" w:cs="Arial"/>
          <w:sz w:val="24"/>
          <w:szCs w:val="24"/>
          <w:lang w:val="en-GB"/>
        </w:rPr>
        <w:t xml:space="preserve"> </w:t>
      </w:r>
      <w:r w:rsidRPr="00D87A1A">
        <w:rPr>
          <w:rFonts w:ascii="Arial" w:hAnsi="Arial" w:cs="Arial"/>
          <w:sz w:val="24"/>
          <w:szCs w:val="24"/>
          <w:lang w:val="en-GB"/>
        </w:rPr>
        <w:t xml:space="preserve">The assessment of progress must extend beyond numerical metrics to encompass the quality of empowerment achieved. While numerical representation is crucial, the quality of women's participation in decision-making processes, economic activities, and societal discourse is equally vital. The evolving landscape of progress in the UK demands continuous evaluation to identify </w:t>
      </w:r>
      <w:r w:rsidRPr="00D87A1A">
        <w:rPr>
          <w:rFonts w:ascii="Arial" w:hAnsi="Arial" w:cs="Arial"/>
          <w:sz w:val="24"/>
          <w:szCs w:val="24"/>
          <w:lang w:val="en-GB"/>
        </w:rPr>
        <w:lastRenderedPageBreak/>
        <w:t>areas requiring targeted interventions and a recalibration of strategies to address emerging challenges</w:t>
      </w:r>
      <w:r w:rsidR="00C10C8C" w:rsidRPr="006E716E">
        <w:rPr>
          <w:rFonts w:ascii="Arial" w:hAnsi="Arial" w:cs="Arial"/>
          <w:sz w:val="24"/>
          <w:szCs w:val="24"/>
        </w:rPr>
        <w:t>.</w:t>
      </w:r>
    </w:p>
    <w:p w14:paraId="2FC2ABB3" w14:textId="643745F1" w:rsidR="00C10C8C" w:rsidRPr="006E716E" w:rsidRDefault="00C10C8C" w:rsidP="006E716E">
      <w:pPr>
        <w:pStyle w:val="Heading2"/>
        <w:tabs>
          <w:tab w:val="left" w:pos="8272"/>
        </w:tabs>
        <w:spacing w:line="360" w:lineRule="auto"/>
        <w:jc w:val="both"/>
        <w:rPr>
          <w:rFonts w:ascii="Arial" w:hAnsi="Arial" w:cs="Arial"/>
          <w:b/>
          <w:bCs/>
          <w:color w:val="auto"/>
          <w:sz w:val="24"/>
          <w:szCs w:val="24"/>
        </w:rPr>
      </w:pPr>
      <w:bookmarkStart w:id="20" w:name="_Toc151383718"/>
      <w:r w:rsidRPr="006E716E">
        <w:rPr>
          <w:rFonts w:ascii="Arial" w:hAnsi="Arial" w:cs="Arial"/>
          <w:b/>
          <w:bCs/>
          <w:color w:val="auto"/>
          <w:sz w:val="24"/>
          <w:szCs w:val="24"/>
        </w:rPr>
        <w:t>Impact on Health, Wellbeing, and Sustainable Development</w:t>
      </w:r>
      <w:bookmarkEnd w:id="20"/>
      <w:r w:rsidR="003C33D7" w:rsidRPr="006E716E">
        <w:rPr>
          <w:rFonts w:ascii="Arial" w:hAnsi="Arial" w:cs="Arial"/>
          <w:b/>
          <w:bCs/>
          <w:color w:val="auto"/>
          <w:sz w:val="24"/>
          <w:szCs w:val="24"/>
        </w:rPr>
        <w:tab/>
      </w:r>
    </w:p>
    <w:p w14:paraId="5A41BFF4" w14:textId="63C96C09" w:rsidR="00C10C8C" w:rsidRPr="006E716E" w:rsidRDefault="00905659" w:rsidP="006E716E">
      <w:pPr>
        <w:spacing w:line="360" w:lineRule="auto"/>
        <w:ind w:firstLine="720"/>
        <w:jc w:val="both"/>
        <w:rPr>
          <w:rFonts w:ascii="Arial" w:hAnsi="Arial" w:cs="Arial"/>
          <w:sz w:val="24"/>
          <w:szCs w:val="24"/>
          <w:lang w:val="en-GB"/>
        </w:rPr>
      </w:pPr>
      <w:r w:rsidRPr="00905659">
        <w:rPr>
          <w:rFonts w:ascii="Arial" w:hAnsi="Arial" w:cs="Arial"/>
          <w:sz w:val="24"/>
          <w:szCs w:val="24"/>
          <w:lang w:val="en-GB"/>
        </w:rPr>
        <w:t>The implementation of Goal 5 has profound implications for health, wellbeing, and sustainable development. Gender equality is not merely a sociopolitical objective; it is a determinant of overall societal health. Empowered women are more likely to access healthcare, make informed health-related decisions, and contribute meaningfully to community well-being. Conversely, persistent gender-based disparities contribute to health inequities, hindering the achievement of broader sustainability goals</w:t>
      </w:r>
      <w:r w:rsidR="00E22B5A" w:rsidRPr="006E716E">
        <w:rPr>
          <w:rFonts w:ascii="Arial" w:hAnsi="Arial" w:cs="Arial"/>
          <w:sz w:val="24"/>
          <w:szCs w:val="24"/>
          <w:lang w:val="en-GB"/>
        </w:rPr>
        <w:t xml:space="preserve"> (Azcona and Bhatt, 2020)</w:t>
      </w:r>
      <w:r w:rsidRPr="00905659">
        <w:rPr>
          <w:rFonts w:ascii="Arial" w:hAnsi="Arial" w:cs="Arial"/>
          <w:sz w:val="24"/>
          <w:szCs w:val="24"/>
          <w:lang w:val="en-GB"/>
        </w:rPr>
        <w:t>.</w:t>
      </w:r>
      <w:r w:rsidRPr="006E716E">
        <w:rPr>
          <w:rFonts w:ascii="Arial" w:hAnsi="Arial" w:cs="Arial"/>
          <w:sz w:val="24"/>
          <w:szCs w:val="24"/>
          <w:lang w:val="en-GB"/>
        </w:rPr>
        <w:t xml:space="preserve"> </w:t>
      </w:r>
      <w:r w:rsidRPr="00905659">
        <w:rPr>
          <w:rFonts w:ascii="Arial" w:hAnsi="Arial" w:cs="Arial"/>
          <w:sz w:val="24"/>
          <w:szCs w:val="24"/>
          <w:lang w:val="en-GB"/>
        </w:rPr>
        <w:t>In the realm of wellbeing, gender equality fosters an environment where women can make choices that align with their aspirations, contributing to a sense of fulfillment and life satisfaction. The societal impact extends to sustainable development, as gender equality correlates with increased economic productivity, improved education outcomes, and enhanced community resilience. The interconnectedness of these domains underscores the integral role women play in shaping societal progress and the imperative of integrating gender perspectives into broader development frameworks</w:t>
      </w:r>
      <w:r w:rsidR="00AC330B" w:rsidRPr="006E716E">
        <w:rPr>
          <w:rFonts w:ascii="Arial" w:hAnsi="Arial" w:cs="Arial"/>
          <w:sz w:val="24"/>
          <w:szCs w:val="24"/>
        </w:rPr>
        <w:t>.</w:t>
      </w:r>
    </w:p>
    <w:p w14:paraId="276DC9E3" w14:textId="73134910" w:rsidR="00C10C8C" w:rsidRPr="006E716E" w:rsidRDefault="00C10C8C" w:rsidP="006E716E">
      <w:pPr>
        <w:pStyle w:val="Heading2"/>
        <w:spacing w:line="360" w:lineRule="auto"/>
        <w:jc w:val="both"/>
        <w:rPr>
          <w:rFonts w:ascii="Arial" w:hAnsi="Arial" w:cs="Arial"/>
          <w:b/>
          <w:bCs/>
          <w:color w:val="auto"/>
          <w:sz w:val="24"/>
          <w:szCs w:val="24"/>
        </w:rPr>
      </w:pPr>
      <w:bookmarkStart w:id="21" w:name="_Toc151383719"/>
      <w:r w:rsidRPr="006E716E">
        <w:rPr>
          <w:rFonts w:ascii="Arial" w:hAnsi="Arial" w:cs="Arial"/>
          <w:b/>
          <w:bCs/>
          <w:color w:val="auto"/>
          <w:sz w:val="24"/>
          <w:szCs w:val="24"/>
        </w:rPr>
        <w:t xml:space="preserve">Challenges in Implementing SDG </w:t>
      </w:r>
      <w:r w:rsidR="00905659" w:rsidRPr="006E716E">
        <w:rPr>
          <w:rFonts w:ascii="Arial" w:hAnsi="Arial" w:cs="Arial"/>
          <w:b/>
          <w:bCs/>
          <w:color w:val="auto"/>
          <w:sz w:val="24"/>
          <w:szCs w:val="24"/>
        </w:rPr>
        <w:t>5</w:t>
      </w:r>
      <w:bookmarkEnd w:id="21"/>
    </w:p>
    <w:p w14:paraId="39E6BF90" w14:textId="5A011A8B" w:rsidR="00C10C8C" w:rsidRPr="006E716E" w:rsidRDefault="00905659" w:rsidP="006E716E">
      <w:pPr>
        <w:spacing w:line="360" w:lineRule="auto"/>
        <w:ind w:firstLine="720"/>
        <w:jc w:val="both"/>
        <w:rPr>
          <w:rFonts w:ascii="Arial" w:hAnsi="Arial" w:cs="Arial"/>
          <w:sz w:val="24"/>
          <w:szCs w:val="24"/>
        </w:rPr>
      </w:pPr>
      <w:r w:rsidRPr="006E716E">
        <w:rPr>
          <w:rFonts w:ascii="Arial" w:hAnsi="Arial" w:cs="Arial"/>
          <w:sz w:val="24"/>
          <w:szCs w:val="24"/>
        </w:rPr>
        <w:t>Despite commendable efforts, several challenges impede the full realization of Goal 5. The persistent gender pay gap remains a formidable obstacle, reflecting deeply ingrained workplace inequities. The underrepresentation of women in decision-making roles, particularly in political spheres, highlights structural barriers that hinder women's full participation. Gender-based violence, a pervasive issue, further impedes progress, adversely affecting the health, wellbeing, and economic independence of women</w:t>
      </w:r>
      <w:r w:rsidR="00E22B5A" w:rsidRPr="006E716E">
        <w:rPr>
          <w:rFonts w:ascii="Arial" w:hAnsi="Arial" w:cs="Arial"/>
          <w:sz w:val="24"/>
          <w:szCs w:val="24"/>
        </w:rPr>
        <w:t xml:space="preserve"> (Grugel et al., 2022)</w:t>
      </w:r>
      <w:r w:rsidRPr="006E716E">
        <w:rPr>
          <w:rFonts w:ascii="Arial" w:hAnsi="Arial" w:cs="Arial"/>
          <w:sz w:val="24"/>
          <w:szCs w:val="24"/>
        </w:rPr>
        <w:t>. Addressing these challenges necessitates a multifaceted approach that spans legislative reforms, cultural shifts, and targeted interventions</w:t>
      </w:r>
      <w:r w:rsidR="00C10C8C" w:rsidRPr="006E716E">
        <w:rPr>
          <w:rFonts w:ascii="Arial" w:hAnsi="Arial" w:cs="Arial"/>
          <w:sz w:val="24"/>
          <w:szCs w:val="24"/>
        </w:rPr>
        <w:t>.</w:t>
      </w:r>
    </w:p>
    <w:p w14:paraId="0EDCF7F6" w14:textId="6EEC4B4A" w:rsidR="00E9382F" w:rsidRPr="006E716E" w:rsidRDefault="00C10C8C" w:rsidP="006E716E">
      <w:pPr>
        <w:pStyle w:val="Heading2"/>
        <w:spacing w:line="360" w:lineRule="auto"/>
        <w:jc w:val="both"/>
        <w:rPr>
          <w:rFonts w:ascii="Arial" w:hAnsi="Arial" w:cs="Arial"/>
          <w:b/>
          <w:bCs/>
          <w:color w:val="auto"/>
          <w:sz w:val="24"/>
          <w:szCs w:val="24"/>
        </w:rPr>
      </w:pPr>
      <w:bookmarkStart w:id="22" w:name="_Toc151383720"/>
      <w:r w:rsidRPr="006E716E">
        <w:rPr>
          <w:rFonts w:ascii="Arial" w:hAnsi="Arial" w:cs="Arial"/>
          <w:b/>
          <w:bCs/>
          <w:color w:val="auto"/>
          <w:sz w:val="24"/>
          <w:szCs w:val="24"/>
        </w:rPr>
        <w:t xml:space="preserve">Recommendations for Achieving SDG </w:t>
      </w:r>
      <w:r w:rsidR="00905659" w:rsidRPr="006E716E">
        <w:rPr>
          <w:rFonts w:ascii="Arial" w:hAnsi="Arial" w:cs="Arial"/>
          <w:b/>
          <w:bCs/>
          <w:color w:val="auto"/>
          <w:sz w:val="24"/>
          <w:szCs w:val="24"/>
        </w:rPr>
        <w:t>5</w:t>
      </w:r>
      <w:bookmarkEnd w:id="22"/>
    </w:p>
    <w:p w14:paraId="22D0B07C" w14:textId="4DA91C6F" w:rsidR="00C10C8C" w:rsidRPr="006E716E" w:rsidRDefault="00905659" w:rsidP="006E716E">
      <w:pPr>
        <w:spacing w:line="360" w:lineRule="auto"/>
        <w:ind w:firstLine="720"/>
        <w:jc w:val="both"/>
        <w:rPr>
          <w:rFonts w:ascii="Arial" w:hAnsi="Arial" w:cs="Arial"/>
          <w:sz w:val="24"/>
          <w:szCs w:val="24"/>
        </w:rPr>
      </w:pPr>
      <w:r w:rsidRPr="006E716E">
        <w:rPr>
          <w:rFonts w:ascii="Arial" w:hAnsi="Arial" w:cs="Arial"/>
          <w:sz w:val="24"/>
          <w:szCs w:val="24"/>
        </w:rPr>
        <w:t xml:space="preserve">To comprehensively achieve Goal 5: "Gender Equality and Empowering Women" in the United Kingdom, a multifaceted approach is imperative. Firstly, the UK should institute enforceable measures for gender pay equality by replacing voluntary reporting with legally binding frameworks, compelling organizations to rectify identified disparities </w:t>
      </w:r>
      <w:r w:rsidRPr="006E716E">
        <w:rPr>
          <w:rFonts w:ascii="Arial" w:hAnsi="Arial" w:cs="Arial"/>
          <w:sz w:val="24"/>
          <w:szCs w:val="24"/>
        </w:rPr>
        <w:lastRenderedPageBreak/>
        <w:t>and fostering economic parity. Secondly, there is a critical need to promote inclusive leadership within organizations, challenging stereotypical perceptions hindering women's ascent to leadership roles and fostering an organizational culture that values diversity and equal opportunities</w:t>
      </w:r>
      <w:r w:rsidR="00E22B5A" w:rsidRPr="006E716E">
        <w:rPr>
          <w:rFonts w:ascii="Arial" w:hAnsi="Arial" w:cs="Arial"/>
          <w:sz w:val="24"/>
          <w:szCs w:val="24"/>
        </w:rPr>
        <w:t xml:space="preserve"> (Mason, 2019)</w:t>
      </w:r>
      <w:r w:rsidRPr="006E716E">
        <w:rPr>
          <w:rFonts w:ascii="Arial" w:hAnsi="Arial" w:cs="Arial"/>
          <w:sz w:val="24"/>
          <w:szCs w:val="24"/>
        </w:rPr>
        <w:t xml:space="preserve">. In addition, the integration of comprehensive gender education into school curricula and workplace training programs is paramount. As stated by </w:t>
      </w:r>
      <w:r w:rsidR="00E22B5A" w:rsidRPr="006E716E">
        <w:rPr>
          <w:rFonts w:ascii="Arial" w:hAnsi="Arial" w:cs="Arial"/>
          <w:sz w:val="24"/>
          <w:szCs w:val="24"/>
        </w:rPr>
        <w:t>Kurian (2023)</w:t>
      </w:r>
      <w:r w:rsidRPr="006E716E">
        <w:rPr>
          <w:rFonts w:ascii="Arial" w:hAnsi="Arial" w:cs="Arial"/>
          <w:sz w:val="24"/>
          <w:szCs w:val="24"/>
        </w:rPr>
        <w:t>, education serves as a powerful tool to challenge stereotypes, cultivate empathy, and instill a culture of equality from an early age, contributing to the development of a society that recognizes and respects diverse contributions. Lastly, strategic actions against gender-based violence should be prioritized, involving the strengthening of legal frameworks, the establishment of robust support systems for victims, and widespread public awareness campaigns to challenge societal norms that perpetuate violence against women</w:t>
      </w:r>
      <w:r w:rsidR="00277801" w:rsidRPr="006E716E">
        <w:rPr>
          <w:rFonts w:ascii="Arial" w:hAnsi="Arial" w:cs="Arial"/>
          <w:sz w:val="24"/>
          <w:szCs w:val="24"/>
        </w:rPr>
        <w:t xml:space="preserve"> (Dale et al., 2021)</w:t>
      </w:r>
      <w:r w:rsidRPr="006E716E">
        <w:rPr>
          <w:rFonts w:ascii="Arial" w:hAnsi="Arial" w:cs="Arial"/>
          <w:sz w:val="24"/>
          <w:szCs w:val="24"/>
        </w:rPr>
        <w:t>. This multifaceted strategy, combining economic, organizational, educational, and societal dimensions, is crucial for realizing the transformative vision encapsulated in Goal 5 and fostering a society where gender equality is not only a principle but a lived reality</w:t>
      </w:r>
      <w:r w:rsidR="00E9382F" w:rsidRPr="006E716E">
        <w:rPr>
          <w:rFonts w:ascii="Arial" w:hAnsi="Arial" w:cs="Arial"/>
          <w:sz w:val="24"/>
          <w:szCs w:val="24"/>
        </w:rPr>
        <w:t>.</w:t>
      </w:r>
    </w:p>
    <w:p w14:paraId="29E7D34A" w14:textId="77777777" w:rsidR="00C10C8C" w:rsidRPr="006E716E" w:rsidRDefault="00C10C8C" w:rsidP="006E716E">
      <w:pPr>
        <w:pStyle w:val="Heading1"/>
        <w:spacing w:line="360" w:lineRule="auto"/>
        <w:jc w:val="both"/>
        <w:rPr>
          <w:rFonts w:ascii="Arial" w:hAnsi="Arial" w:cs="Arial"/>
          <w:b/>
          <w:bCs/>
          <w:color w:val="auto"/>
          <w:sz w:val="24"/>
          <w:szCs w:val="24"/>
        </w:rPr>
      </w:pPr>
      <w:bookmarkStart w:id="23" w:name="_Toc151383721"/>
      <w:r w:rsidRPr="006E716E">
        <w:rPr>
          <w:rFonts w:ascii="Arial" w:hAnsi="Arial" w:cs="Arial"/>
          <w:b/>
          <w:bCs/>
          <w:color w:val="auto"/>
          <w:sz w:val="24"/>
          <w:szCs w:val="24"/>
        </w:rPr>
        <w:t>Conclusion</w:t>
      </w:r>
      <w:bookmarkEnd w:id="23"/>
    </w:p>
    <w:p w14:paraId="3A7F62FD" w14:textId="333FEC90" w:rsidR="005B42D4" w:rsidRPr="005B42D4" w:rsidRDefault="005B42D4" w:rsidP="006E716E">
      <w:pPr>
        <w:spacing w:line="360" w:lineRule="auto"/>
        <w:ind w:firstLine="720"/>
        <w:jc w:val="both"/>
        <w:rPr>
          <w:rFonts w:ascii="Arial" w:hAnsi="Arial" w:cs="Arial"/>
          <w:sz w:val="24"/>
          <w:szCs w:val="24"/>
          <w:lang w:val="en-GB"/>
        </w:rPr>
      </w:pPr>
      <w:r w:rsidRPr="006E716E">
        <w:rPr>
          <w:rFonts w:ascii="Arial" w:hAnsi="Arial" w:cs="Arial"/>
          <w:sz w:val="24"/>
          <w:szCs w:val="24"/>
          <w:lang w:val="en-GB"/>
        </w:rPr>
        <w:t>The</w:t>
      </w:r>
      <w:r w:rsidRPr="005B42D4">
        <w:rPr>
          <w:rFonts w:ascii="Arial" w:hAnsi="Arial" w:cs="Arial"/>
          <w:sz w:val="24"/>
          <w:szCs w:val="24"/>
          <w:lang w:val="en-GB"/>
        </w:rPr>
        <w:t xml:space="preserve"> examination of the United Kingdom's efforts to achieve Sustainable Development Goals (SDGs), specifically Goal 1: "Ending Poverty" and Goal 5: "Gender Equality and Empowering Women," reveals a nuanced landscape marked by progress, challenges, and the imperative for continual improvement. The pursuit of these goals aligns with the broader commitment to global cooperation and shared responsibility, as articulated by the United Nations.</w:t>
      </w:r>
      <w:r w:rsidR="008A0972" w:rsidRPr="006E716E">
        <w:rPr>
          <w:rFonts w:ascii="Arial" w:hAnsi="Arial" w:cs="Arial"/>
          <w:sz w:val="24"/>
          <w:szCs w:val="24"/>
          <w:lang w:val="en-GB"/>
        </w:rPr>
        <w:t xml:space="preserve"> </w:t>
      </w:r>
      <w:r w:rsidRPr="005B42D4">
        <w:rPr>
          <w:rFonts w:ascii="Arial" w:hAnsi="Arial" w:cs="Arial"/>
          <w:sz w:val="24"/>
          <w:szCs w:val="24"/>
          <w:lang w:val="en-GB"/>
        </w:rPr>
        <w:t xml:space="preserve">Goal </w:t>
      </w:r>
      <w:r w:rsidR="008A0972" w:rsidRPr="006E716E">
        <w:rPr>
          <w:rFonts w:ascii="Arial" w:hAnsi="Arial" w:cs="Arial"/>
          <w:sz w:val="24"/>
          <w:szCs w:val="24"/>
          <w:lang w:val="en-GB"/>
        </w:rPr>
        <w:t>1 “</w:t>
      </w:r>
      <w:r w:rsidRPr="005B42D4">
        <w:rPr>
          <w:rFonts w:ascii="Arial" w:hAnsi="Arial" w:cs="Arial"/>
          <w:sz w:val="24"/>
          <w:szCs w:val="24"/>
          <w:lang w:val="en-GB"/>
        </w:rPr>
        <w:t>Ending Poverty</w:t>
      </w:r>
      <w:r w:rsidR="008A0972" w:rsidRPr="006E716E">
        <w:rPr>
          <w:rFonts w:ascii="Arial" w:hAnsi="Arial" w:cs="Arial"/>
          <w:sz w:val="24"/>
          <w:szCs w:val="24"/>
          <w:lang w:val="en-GB"/>
        </w:rPr>
        <w:t>”</w:t>
      </w:r>
      <w:r w:rsidRPr="005B42D4">
        <w:rPr>
          <w:rFonts w:ascii="Arial" w:hAnsi="Arial" w:cs="Arial"/>
          <w:sz w:val="24"/>
          <w:szCs w:val="24"/>
          <w:lang w:val="en-GB"/>
        </w:rPr>
        <w:t xml:space="preserve"> underscores the multifaceted nature of poverty, extending beyond mere economic considerations to encompass access to education, healthcare, and social inclusion. The UK's strategies, exemplified by initiatives like Universal Credit and the Child Poverty Action Group, reflect a commitment to addressing the root causes of poverty. However, the critical review reveals inherent challenges, including administrative issues and the impact of external economic shocks. The interplay between poverty, health, wellbeing, and sustainable development underscores the interconnectedness of these domains. Recommendations emphasize the need for comprehensive welfare reforms, increased investments in education and skills, and resilient social safety nets to eradicate poverty and foster inclusive growth.</w:t>
      </w:r>
    </w:p>
    <w:p w14:paraId="50BC502C" w14:textId="2BB8274C" w:rsidR="005B42D4" w:rsidRPr="005B42D4" w:rsidRDefault="005B42D4" w:rsidP="006E716E">
      <w:pPr>
        <w:spacing w:line="360" w:lineRule="auto"/>
        <w:ind w:firstLine="720"/>
        <w:jc w:val="both"/>
        <w:rPr>
          <w:rFonts w:ascii="Arial" w:hAnsi="Arial" w:cs="Arial"/>
          <w:sz w:val="24"/>
          <w:szCs w:val="24"/>
          <w:lang w:val="en-GB"/>
        </w:rPr>
      </w:pPr>
      <w:r w:rsidRPr="005B42D4">
        <w:rPr>
          <w:rFonts w:ascii="Arial" w:hAnsi="Arial" w:cs="Arial"/>
          <w:sz w:val="24"/>
          <w:szCs w:val="24"/>
          <w:lang w:val="en-GB"/>
        </w:rPr>
        <w:lastRenderedPageBreak/>
        <w:t>Turning to Goal 5</w:t>
      </w:r>
      <w:r w:rsidR="008A0972" w:rsidRPr="006E716E">
        <w:rPr>
          <w:rFonts w:ascii="Arial" w:hAnsi="Arial" w:cs="Arial"/>
          <w:sz w:val="24"/>
          <w:szCs w:val="24"/>
          <w:lang w:val="en-GB"/>
        </w:rPr>
        <w:t xml:space="preserve"> “</w:t>
      </w:r>
      <w:r w:rsidRPr="005B42D4">
        <w:rPr>
          <w:rFonts w:ascii="Arial" w:hAnsi="Arial" w:cs="Arial"/>
          <w:sz w:val="24"/>
          <w:szCs w:val="24"/>
          <w:lang w:val="en-GB"/>
        </w:rPr>
        <w:t>Gender Equality and Empowering Women,</w:t>
      </w:r>
      <w:r w:rsidR="008A0972" w:rsidRPr="006E716E">
        <w:rPr>
          <w:rFonts w:ascii="Arial" w:hAnsi="Arial" w:cs="Arial"/>
          <w:sz w:val="24"/>
          <w:szCs w:val="24"/>
          <w:lang w:val="en-GB"/>
        </w:rPr>
        <w:t>”</w:t>
      </w:r>
      <w:r w:rsidRPr="005B42D4">
        <w:rPr>
          <w:rFonts w:ascii="Arial" w:hAnsi="Arial" w:cs="Arial"/>
          <w:sz w:val="24"/>
          <w:szCs w:val="24"/>
          <w:lang w:val="en-GB"/>
        </w:rPr>
        <w:t xml:space="preserve"> the UK's commitment is evident through initiatives like Gender Pay Gap Reporting and the Women's Business Council. However, the critical review surfaces challenges such as the persistent gender pay gap, underrepresentation in decision-making, and the prevalence of gender-based violence. The impact of gender equality on health, wellbeing, and sustainable development emphasizes the integral role women play in shaping societal progress. Recommendations advocate for enforceable measures to address the gender pay gap, the promotion of inclusive leadership, comprehensive gender education, and stringent actions against gender-based violence.</w:t>
      </w:r>
      <w:r w:rsidR="008A0972" w:rsidRPr="006E716E">
        <w:rPr>
          <w:rFonts w:ascii="Arial" w:hAnsi="Arial" w:cs="Arial"/>
          <w:sz w:val="24"/>
          <w:szCs w:val="24"/>
          <w:lang w:val="en-GB"/>
        </w:rPr>
        <w:t xml:space="preserve"> </w:t>
      </w:r>
      <w:r w:rsidRPr="005B42D4">
        <w:rPr>
          <w:rFonts w:ascii="Arial" w:hAnsi="Arial" w:cs="Arial"/>
          <w:sz w:val="24"/>
          <w:szCs w:val="24"/>
          <w:lang w:val="en-GB"/>
        </w:rPr>
        <w:t>In both cases, the progress made by the UK government is commendable, yet it highlights the need for adaptive strategies, continuous evaluation, and a commitment to addressing persistent challenges. The impact on health, wellbeing, and sustainable development demonstrates the intricate interconnectedness of these goals and their relevance to overarching societal progress. The recommendations put forth are not only strategic but imperative for navigating the complex terrain of poverty eradication and gender equality.</w:t>
      </w:r>
      <w:r w:rsidR="008A0972" w:rsidRPr="006E716E">
        <w:rPr>
          <w:rFonts w:ascii="Arial" w:hAnsi="Arial" w:cs="Arial"/>
          <w:sz w:val="24"/>
          <w:szCs w:val="24"/>
          <w:lang w:val="en-GB"/>
        </w:rPr>
        <w:t xml:space="preserve"> </w:t>
      </w:r>
      <w:r w:rsidRPr="005B42D4">
        <w:rPr>
          <w:rFonts w:ascii="Arial" w:hAnsi="Arial" w:cs="Arial"/>
          <w:sz w:val="24"/>
          <w:szCs w:val="24"/>
          <w:lang w:val="en-GB"/>
        </w:rPr>
        <w:t>As the UK continues on its trajectory toward achieving these SDGs, it is paramount to recognize that the pursuit of these goals is a dynamic and ongoing process. The recommendations outlined here serve as a roadmap, suggesting areas for refinement, innovation, and a steadfast commitment to inclusivity. The interconnected concepts of wellbeing, sustainable development, health, and the SDGs are not isolated ideals but facets of a collective effort to build a society that prioritizes the dignity, equality, and prosperity of all its members.</w:t>
      </w:r>
    </w:p>
    <w:p w14:paraId="7BB96D84" w14:textId="3F4C308B" w:rsidR="007C583E" w:rsidRPr="006E716E" w:rsidRDefault="007C583E" w:rsidP="006E716E">
      <w:pPr>
        <w:spacing w:line="360" w:lineRule="auto"/>
        <w:ind w:firstLine="720"/>
        <w:jc w:val="both"/>
        <w:rPr>
          <w:rFonts w:ascii="Arial" w:hAnsi="Arial" w:cs="Arial"/>
          <w:sz w:val="24"/>
          <w:szCs w:val="24"/>
        </w:rPr>
      </w:pPr>
    </w:p>
    <w:p w14:paraId="55A9777E" w14:textId="77777777" w:rsidR="005C54E5" w:rsidRPr="006E716E" w:rsidRDefault="005C54E5" w:rsidP="006E716E">
      <w:pPr>
        <w:spacing w:line="360" w:lineRule="auto"/>
        <w:jc w:val="both"/>
        <w:rPr>
          <w:rFonts w:ascii="Arial" w:eastAsiaTheme="majorEastAsia" w:hAnsi="Arial" w:cs="Arial"/>
          <w:b/>
          <w:bCs/>
          <w:sz w:val="24"/>
          <w:szCs w:val="24"/>
        </w:rPr>
      </w:pPr>
      <w:r w:rsidRPr="006E716E">
        <w:rPr>
          <w:rFonts w:ascii="Arial" w:hAnsi="Arial" w:cs="Arial"/>
          <w:b/>
          <w:bCs/>
          <w:sz w:val="24"/>
          <w:szCs w:val="24"/>
        </w:rPr>
        <w:br w:type="page"/>
      </w:r>
    </w:p>
    <w:p w14:paraId="77C0C722" w14:textId="4B27EC85" w:rsidR="004C6FFD" w:rsidRPr="006E716E" w:rsidRDefault="004C6FFD" w:rsidP="006E716E">
      <w:pPr>
        <w:pStyle w:val="Heading1"/>
        <w:spacing w:line="360" w:lineRule="auto"/>
        <w:jc w:val="center"/>
        <w:rPr>
          <w:rFonts w:ascii="Arial" w:hAnsi="Arial" w:cs="Arial"/>
          <w:b/>
          <w:bCs/>
          <w:color w:val="auto"/>
          <w:sz w:val="24"/>
          <w:szCs w:val="24"/>
        </w:rPr>
      </w:pPr>
      <w:bookmarkStart w:id="24" w:name="_Toc151383722"/>
      <w:r w:rsidRPr="006E716E">
        <w:rPr>
          <w:rFonts w:ascii="Arial" w:hAnsi="Arial" w:cs="Arial"/>
          <w:b/>
          <w:bCs/>
          <w:color w:val="auto"/>
          <w:sz w:val="24"/>
          <w:szCs w:val="24"/>
        </w:rPr>
        <w:lastRenderedPageBreak/>
        <w:t>Reference List</w:t>
      </w:r>
      <w:bookmarkEnd w:id="24"/>
    </w:p>
    <w:p w14:paraId="6716B4E8" w14:textId="3B805F11" w:rsidR="00447C10" w:rsidRPr="006E716E" w:rsidRDefault="00447C10" w:rsidP="006E716E">
      <w:pPr>
        <w:spacing w:line="360" w:lineRule="auto"/>
        <w:ind w:left="720" w:hanging="720"/>
        <w:jc w:val="both"/>
        <w:rPr>
          <w:rFonts w:ascii="Arial" w:hAnsi="Arial" w:cs="Arial"/>
          <w:sz w:val="24"/>
          <w:szCs w:val="24"/>
          <w:shd w:val="clear" w:color="auto" w:fill="FFFFFF"/>
        </w:rPr>
      </w:pPr>
      <w:r w:rsidRPr="006E716E">
        <w:rPr>
          <w:rFonts w:ascii="Arial" w:hAnsi="Arial" w:cs="Arial"/>
          <w:color w:val="222222"/>
          <w:sz w:val="24"/>
          <w:szCs w:val="24"/>
          <w:shd w:val="clear" w:color="auto" w:fill="FFFFFF"/>
        </w:rPr>
        <w:t>Abhayawansa, S., Adams, C. A., and Neesham, C. (2021). ‘Accountability and governance in pursuit of Sustainable Development Goals: conceptualising how governments create value.’ </w:t>
      </w:r>
      <w:r w:rsidRPr="006E716E">
        <w:rPr>
          <w:rFonts w:ascii="Arial" w:hAnsi="Arial" w:cs="Arial"/>
          <w:i/>
          <w:iCs/>
          <w:color w:val="222222"/>
          <w:sz w:val="24"/>
          <w:szCs w:val="24"/>
          <w:shd w:val="clear" w:color="auto" w:fill="FFFFFF"/>
        </w:rPr>
        <w:t>Accounting, Auditing and Accountability Journal</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34</w:t>
      </w:r>
      <w:r w:rsidRPr="006E716E">
        <w:rPr>
          <w:rFonts w:ascii="Arial" w:hAnsi="Arial" w:cs="Arial"/>
          <w:color w:val="222222"/>
          <w:sz w:val="24"/>
          <w:szCs w:val="24"/>
          <w:shd w:val="clear" w:color="auto" w:fill="FFFFFF"/>
        </w:rPr>
        <w:t>(4), pp.923-945.</w:t>
      </w:r>
      <w:r w:rsidR="000146B0" w:rsidRPr="006E716E">
        <w:rPr>
          <w:rFonts w:ascii="Arial" w:hAnsi="Arial" w:cs="Arial"/>
          <w:color w:val="222222"/>
          <w:sz w:val="24"/>
          <w:szCs w:val="24"/>
          <w:shd w:val="clear" w:color="auto" w:fill="FFFFFF"/>
        </w:rPr>
        <w:t xml:space="preserve"> </w:t>
      </w:r>
      <w:hyperlink r:id="rId8" w:history="1">
        <w:r w:rsidR="000146B0" w:rsidRPr="006E716E">
          <w:rPr>
            <w:rStyle w:val="Hyperlink"/>
            <w:rFonts w:ascii="Arial" w:hAnsi="Arial" w:cs="Arial"/>
            <w:sz w:val="24"/>
            <w:szCs w:val="24"/>
            <w:shd w:val="clear" w:color="auto" w:fill="FFFFFF"/>
          </w:rPr>
          <w:t>https://doi.org/10.1108/AAAJ-07-2020-4667</w:t>
        </w:r>
      </w:hyperlink>
      <w:r w:rsidR="000146B0" w:rsidRPr="006E716E">
        <w:rPr>
          <w:rFonts w:ascii="Arial" w:hAnsi="Arial" w:cs="Arial"/>
          <w:color w:val="222222"/>
          <w:sz w:val="24"/>
          <w:szCs w:val="24"/>
          <w:shd w:val="clear" w:color="auto" w:fill="FFFFFF"/>
        </w:rPr>
        <w:t xml:space="preserve"> </w:t>
      </w:r>
    </w:p>
    <w:p w14:paraId="6D272230" w14:textId="6D56F9B1" w:rsidR="00447C10" w:rsidRPr="006E716E" w:rsidRDefault="00447C10" w:rsidP="006E716E">
      <w:pPr>
        <w:spacing w:line="360" w:lineRule="auto"/>
        <w:ind w:left="720" w:hanging="720"/>
        <w:jc w:val="both"/>
        <w:rPr>
          <w:rFonts w:ascii="Arial" w:hAnsi="Arial" w:cs="Arial"/>
          <w:sz w:val="24"/>
          <w:szCs w:val="24"/>
          <w:shd w:val="clear" w:color="auto" w:fill="FFFFFF"/>
        </w:rPr>
      </w:pPr>
      <w:r w:rsidRPr="006E716E">
        <w:rPr>
          <w:rFonts w:ascii="Arial" w:hAnsi="Arial" w:cs="Arial"/>
          <w:color w:val="222222"/>
          <w:sz w:val="24"/>
          <w:szCs w:val="24"/>
          <w:shd w:val="clear" w:color="auto" w:fill="FFFFFF"/>
        </w:rPr>
        <w:t>Azcona, G., and Bhatt, A. (2020). ‘Inequality, gender, and sustainable development: measuring feminist progress.’ </w:t>
      </w:r>
      <w:r w:rsidRPr="006E716E">
        <w:rPr>
          <w:rFonts w:ascii="Arial" w:hAnsi="Arial" w:cs="Arial"/>
          <w:i/>
          <w:iCs/>
          <w:color w:val="222222"/>
          <w:sz w:val="24"/>
          <w:szCs w:val="24"/>
          <w:shd w:val="clear" w:color="auto" w:fill="FFFFFF"/>
        </w:rPr>
        <w:t>Gender and Development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28</w:t>
      </w:r>
      <w:r w:rsidRPr="006E716E">
        <w:rPr>
          <w:rFonts w:ascii="Arial" w:hAnsi="Arial" w:cs="Arial"/>
          <w:color w:val="222222"/>
          <w:sz w:val="24"/>
          <w:szCs w:val="24"/>
          <w:shd w:val="clear" w:color="auto" w:fill="FFFFFF"/>
        </w:rPr>
        <w:t>(2), pp.337-355.</w:t>
      </w:r>
      <w:r w:rsidR="000146B0" w:rsidRPr="006E716E">
        <w:rPr>
          <w:rFonts w:ascii="Arial" w:hAnsi="Arial" w:cs="Arial"/>
          <w:color w:val="222222"/>
          <w:sz w:val="24"/>
          <w:szCs w:val="24"/>
          <w:shd w:val="clear" w:color="auto" w:fill="FFFFFF"/>
        </w:rPr>
        <w:t xml:space="preserve"> </w:t>
      </w:r>
      <w:hyperlink r:id="rId9" w:history="1">
        <w:r w:rsidR="000146B0" w:rsidRPr="006E716E">
          <w:rPr>
            <w:rStyle w:val="Hyperlink"/>
            <w:rFonts w:ascii="Arial" w:hAnsi="Arial" w:cs="Arial"/>
            <w:sz w:val="24"/>
            <w:szCs w:val="24"/>
            <w:shd w:val="clear" w:color="auto" w:fill="FFFFFF"/>
          </w:rPr>
          <w:t>https://doi.org/10.1080/13552074.2020.1753390</w:t>
        </w:r>
      </w:hyperlink>
      <w:r w:rsidR="000146B0" w:rsidRPr="006E716E">
        <w:rPr>
          <w:rFonts w:ascii="Arial" w:hAnsi="Arial" w:cs="Arial"/>
          <w:color w:val="222222"/>
          <w:sz w:val="24"/>
          <w:szCs w:val="24"/>
          <w:shd w:val="clear" w:color="auto" w:fill="FFFFFF"/>
        </w:rPr>
        <w:t xml:space="preserve"> </w:t>
      </w:r>
    </w:p>
    <w:p w14:paraId="11577996" w14:textId="070A6F58"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Baker, M., Halberstam, Y., Kroft, K., Mas, A., and Messacar, D. (2019). </w:t>
      </w:r>
      <w:r w:rsidRPr="006E716E">
        <w:rPr>
          <w:rFonts w:ascii="Arial" w:hAnsi="Arial" w:cs="Arial"/>
          <w:i/>
          <w:iCs/>
          <w:color w:val="222222"/>
          <w:sz w:val="24"/>
          <w:szCs w:val="24"/>
          <w:shd w:val="clear" w:color="auto" w:fill="FFFFFF"/>
        </w:rPr>
        <w:t>Pay transparency and the gender gap</w:t>
      </w:r>
      <w:r w:rsidRPr="006E716E">
        <w:rPr>
          <w:rFonts w:ascii="Arial" w:hAnsi="Arial" w:cs="Arial"/>
          <w:color w:val="222222"/>
          <w:sz w:val="24"/>
          <w:szCs w:val="24"/>
          <w:shd w:val="clear" w:color="auto" w:fill="FFFFFF"/>
        </w:rPr>
        <w:t> (No. w25834). National Bureau of Economic Research.</w:t>
      </w:r>
    </w:p>
    <w:p w14:paraId="63E02391" w14:textId="1CFF9D4B"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Bargain, O., Doorley, K., and Van Kerm, P. (2019). ‘Minimum wages and the gender gap in pay: new evidence from the United Kingdom and Ireland.’ </w:t>
      </w:r>
      <w:r w:rsidRPr="006E716E">
        <w:rPr>
          <w:rFonts w:ascii="Arial" w:hAnsi="Arial" w:cs="Arial"/>
          <w:i/>
          <w:iCs/>
          <w:color w:val="222222"/>
          <w:sz w:val="24"/>
          <w:szCs w:val="24"/>
          <w:shd w:val="clear" w:color="auto" w:fill="FFFFFF"/>
        </w:rPr>
        <w:t>Review of Income and Wealth</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65</w:t>
      </w:r>
      <w:r w:rsidRPr="006E716E">
        <w:rPr>
          <w:rFonts w:ascii="Arial" w:hAnsi="Arial" w:cs="Arial"/>
          <w:color w:val="222222"/>
          <w:sz w:val="24"/>
          <w:szCs w:val="24"/>
          <w:shd w:val="clear" w:color="auto" w:fill="FFFFFF"/>
        </w:rPr>
        <w:t>(3), pp.514-539.</w:t>
      </w:r>
      <w:r w:rsidR="000146B0" w:rsidRPr="006E716E">
        <w:rPr>
          <w:rFonts w:ascii="Arial" w:hAnsi="Arial" w:cs="Arial"/>
          <w:color w:val="222222"/>
          <w:sz w:val="24"/>
          <w:szCs w:val="24"/>
          <w:shd w:val="clear" w:color="auto" w:fill="FFFFFF"/>
        </w:rPr>
        <w:t xml:space="preserve"> </w:t>
      </w:r>
      <w:hyperlink r:id="rId10" w:history="1">
        <w:r w:rsidR="000146B0" w:rsidRPr="006E716E">
          <w:rPr>
            <w:rStyle w:val="Hyperlink"/>
            <w:rFonts w:ascii="Arial" w:hAnsi="Arial" w:cs="Arial"/>
            <w:sz w:val="24"/>
            <w:szCs w:val="24"/>
            <w:shd w:val="clear" w:color="auto" w:fill="FFFFFF"/>
          </w:rPr>
          <w:t>https://doi.org/10.1111/roiw.12384</w:t>
        </w:r>
      </w:hyperlink>
      <w:r w:rsidR="000146B0" w:rsidRPr="006E716E">
        <w:rPr>
          <w:rFonts w:ascii="Arial" w:hAnsi="Arial" w:cs="Arial"/>
          <w:color w:val="222222"/>
          <w:sz w:val="24"/>
          <w:szCs w:val="24"/>
          <w:shd w:val="clear" w:color="auto" w:fill="FFFFFF"/>
        </w:rPr>
        <w:t xml:space="preserve"> </w:t>
      </w:r>
    </w:p>
    <w:p w14:paraId="28C154BC" w14:textId="543DC013"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Beales, S., Gelber, G., and Heidegger, P. (2020). ‘A Wake-up Call for Change: The Impacts of COVID-19 on SDG Implementation and Reduction of Inequalities in and by the EU.’ </w:t>
      </w:r>
      <w:r w:rsidRPr="006E716E">
        <w:rPr>
          <w:rFonts w:ascii="Arial" w:hAnsi="Arial" w:cs="Arial"/>
          <w:i/>
          <w:iCs/>
          <w:color w:val="222222"/>
          <w:sz w:val="24"/>
          <w:szCs w:val="24"/>
          <w:shd w:val="clear" w:color="auto" w:fill="FFFFFF"/>
        </w:rPr>
        <w:t>Time to Reach for the Moon. The EU Needs to Step up Action and Lead the Transformation to Sustainability</w:t>
      </w:r>
      <w:r w:rsidRPr="006E716E">
        <w:rPr>
          <w:rFonts w:ascii="Arial" w:hAnsi="Arial" w:cs="Arial"/>
          <w:color w:val="222222"/>
          <w:sz w:val="24"/>
          <w:szCs w:val="24"/>
          <w:shd w:val="clear" w:color="auto" w:fill="FFFFFF"/>
        </w:rPr>
        <w:t>.</w:t>
      </w:r>
    </w:p>
    <w:p w14:paraId="1BDC68B8" w14:textId="3C7EC708"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Bonsu, N. O., TyreeHageman, J., and Kele, J. (2020). ‘Beyond agenda 2030: Future-oriented mechanisms in localising the sustainable development goals (SDGs).’ </w:t>
      </w:r>
      <w:r w:rsidRPr="006E716E">
        <w:rPr>
          <w:rFonts w:ascii="Arial" w:hAnsi="Arial" w:cs="Arial"/>
          <w:i/>
          <w:iCs/>
          <w:color w:val="222222"/>
          <w:sz w:val="24"/>
          <w:szCs w:val="24"/>
          <w:shd w:val="clear" w:color="auto" w:fill="FFFFFF"/>
        </w:rPr>
        <w:t>Sustainability</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12</w:t>
      </w:r>
      <w:r w:rsidRPr="006E716E">
        <w:rPr>
          <w:rFonts w:ascii="Arial" w:hAnsi="Arial" w:cs="Arial"/>
          <w:color w:val="222222"/>
          <w:sz w:val="24"/>
          <w:szCs w:val="24"/>
          <w:shd w:val="clear" w:color="auto" w:fill="FFFFFF"/>
        </w:rPr>
        <w:t>(23), pp.9797.</w:t>
      </w:r>
      <w:r w:rsidR="000146B0" w:rsidRPr="006E716E">
        <w:rPr>
          <w:rFonts w:ascii="Arial" w:hAnsi="Arial" w:cs="Arial"/>
          <w:color w:val="222222"/>
          <w:sz w:val="24"/>
          <w:szCs w:val="24"/>
          <w:shd w:val="clear" w:color="auto" w:fill="FFFFFF"/>
        </w:rPr>
        <w:t xml:space="preserve"> </w:t>
      </w:r>
      <w:hyperlink r:id="rId11" w:history="1">
        <w:r w:rsidR="000146B0" w:rsidRPr="006E716E">
          <w:rPr>
            <w:rStyle w:val="Hyperlink"/>
            <w:rFonts w:ascii="Arial" w:hAnsi="Arial" w:cs="Arial"/>
            <w:sz w:val="24"/>
            <w:szCs w:val="24"/>
            <w:shd w:val="clear" w:color="auto" w:fill="FFFFFF"/>
          </w:rPr>
          <w:t>https://doi.org/10.3390/su12239797</w:t>
        </w:r>
      </w:hyperlink>
      <w:r w:rsidR="000146B0" w:rsidRPr="006E716E">
        <w:rPr>
          <w:rFonts w:ascii="Arial" w:hAnsi="Arial" w:cs="Arial"/>
          <w:color w:val="222222"/>
          <w:sz w:val="24"/>
          <w:szCs w:val="24"/>
          <w:shd w:val="clear" w:color="auto" w:fill="FFFFFF"/>
        </w:rPr>
        <w:t xml:space="preserve"> </w:t>
      </w:r>
    </w:p>
    <w:p w14:paraId="71AA2C10" w14:textId="1D8FC473"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Cheetham, M., Moffatt, S., Addison, M., and Wiseman, A. (2019). ‘Impact of Universal Credit in North East England: a qualitative study of claimants and support staff.’ </w:t>
      </w:r>
      <w:r w:rsidRPr="006E716E">
        <w:rPr>
          <w:rFonts w:ascii="Arial" w:hAnsi="Arial" w:cs="Arial"/>
          <w:i/>
          <w:iCs/>
          <w:color w:val="222222"/>
          <w:sz w:val="24"/>
          <w:szCs w:val="24"/>
          <w:shd w:val="clear" w:color="auto" w:fill="FFFFFF"/>
        </w:rPr>
        <w:t>BMJ open</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9</w:t>
      </w:r>
      <w:r w:rsidRPr="006E716E">
        <w:rPr>
          <w:rFonts w:ascii="Arial" w:hAnsi="Arial" w:cs="Arial"/>
          <w:color w:val="222222"/>
          <w:sz w:val="24"/>
          <w:szCs w:val="24"/>
          <w:shd w:val="clear" w:color="auto" w:fill="FFFFFF"/>
        </w:rPr>
        <w:t>(7), e029611.</w:t>
      </w:r>
    </w:p>
    <w:p w14:paraId="28695E1F" w14:textId="7E835742"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Cislaghi, B., and Heise, L. (2020). ‘Gender norms and social norms: differences, similarities and why they matter in prevention science.’ </w:t>
      </w:r>
      <w:r w:rsidRPr="006E716E">
        <w:rPr>
          <w:rFonts w:ascii="Arial" w:hAnsi="Arial" w:cs="Arial"/>
          <w:i/>
          <w:iCs/>
          <w:color w:val="222222"/>
          <w:sz w:val="24"/>
          <w:szCs w:val="24"/>
          <w:shd w:val="clear" w:color="auto" w:fill="FFFFFF"/>
        </w:rPr>
        <w:t>Sociology of health and illness</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42</w:t>
      </w:r>
      <w:r w:rsidRPr="006E716E">
        <w:rPr>
          <w:rFonts w:ascii="Arial" w:hAnsi="Arial" w:cs="Arial"/>
          <w:color w:val="222222"/>
          <w:sz w:val="24"/>
          <w:szCs w:val="24"/>
          <w:shd w:val="clear" w:color="auto" w:fill="FFFFFF"/>
        </w:rPr>
        <w:t>(2), pp.407-422.</w:t>
      </w:r>
      <w:r w:rsidR="000146B0" w:rsidRPr="006E716E">
        <w:rPr>
          <w:rFonts w:ascii="Arial" w:hAnsi="Arial" w:cs="Arial"/>
          <w:color w:val="222222"/>
          <w:sz w:val="24"/>
          <w:szCs w:val="24"/>
          <w:shd w:val="clear" w:color="auto" w:fill="FFFFFF"/>
        </w:rPr>
        <w:t xml:space="preserve"> </w:t>
      </w:r>
      <w:hyperlink r:id="rId12" w:history="1">
        <w:r w:rsidR="000146B0" w:rsidRPr="006E716E">
          <w:rPr>
            <w:rStyle w:val="Hyperlink"/>
            <w:rFonts w:ascii="Arial" w:hAnsi="Arial" w:cs="Arial"/>
            <w:sz w:val="24"/>
            <w:szCs w:val="24"/>
            <w:shd w:val="clear" w:color="auto" w:fill="FFFFFF"/>
          </w:rPr>
          <w:t>https://doi.org/10.1111/1467-9566.13008</w:t>
        </w:r>
      </w:hyperlink>
      <w:r w:rsidR="000146B0" w:rsidRPr="006E716E">
        <w:rPr>
          <w:rFonts w:ascii="Arial" w:hAnsi="Arial" w:cs="Arial"/>
          <w:color w:val="222222"/>
          <w:sz w:val="24"/>
          <w:szCs w:val="24"/>
          <w:shd w:val="clear" w:color="auto" w:fill="FFFFFF"/>
        </w:rPr>
        <w:t xml:space="preserve"> </w:t>
      </w:r>
    </w:p>
    <w:p w14:paraId="6D4C8BEC" w14:textId="374FD9BF"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lastRenderedPageBreak/>
        <w:t>Dale, A., Maki, K., and Nitia, R. (2021). </w:t>
      </w:r>
      <w:r w:rsidRPr="006E716E">
        <w:rPr>
          <w:rFonts w:ascii="Arial" w:hAnsi="Arial" w:cs="Arial"/>
          <w:i/>
          <w:iCs/>
          <w:color w:val="222222"/>
          <w:sz w:val="24"/>
          <w:szCs w:val="24"/>
          <w:shd w:val="clear" w:color="auto" w:fill="FFFFFF"/>
        </w:rPr>
        <w:t>A report to guide the implementation of a National Action Plan on violence against women and gender-based violence</w:t>
      </w:r>
      <w:r w:rsidRPr="006E716E">
        <w:rPr>
          <w:rFonts w:ascii="Arial" w:hAnsi="Arial" w:cs="Arial"/>
          <w:color w:val="222222"/>
          <w:sz w:val="24"/>
          <w:szCs w:val="24"/>
          <w:shd w:val="clear" w:color="auto" w:fill="FFFFFF"/>
        </w:rPr>
        <w:t>. Women's Shelters Canada.</w:t>
      </w:r>
    </w:p>
    <w:p w14:paraId="2CA0D392" w14:textId="3EACBD31"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Evans, D. K., Akmal, M., and Jakiela, P. (2020). ‘Gender gaps in education: The long view.’ </w:t>
      </w:r>
      <w:r w:rsidRPr="006E716E">
        <w:rPr>
          <w:rFonts w:ascii="Arial" w:hAnsi="Arial" w:cs="Arial"/>
          <w:i/>
          <w:iCs/>
          <w:color w:val="222222"/>
          <w:sz w:val="24"/>
          <w:szCs w:val="24"/>
          <w:shd w:val="clear" w:color="auto" w:fill="FFFFFF"/>
        </w:rPr>
        <w:t>IZA Journal of Development and Migration</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12</w:t>
      </w:r>
      <w:r w:rsidRPr="006E716E">
        <w:rPr>
          <w:rFonts w:ascii="Arial" w:hAnsi="Arial" w:cs="Arial"/>
          <w:color w:val="222222"/>
          <w:sz w:val="24"/>
          <w:szCs w:val="24"/>
          <w:shd w:val="clear" w:color="auto" w:fill="FFFFFF"/>
        </w:rPr>
        <w:t>(1).</w:t>
      </w:r>
      <w:r w:rsidR="00371FCF" w:rsidRPr="006E716E">
        <w:rPr>
          <w:rFonts w:ascii="Arial" w:hAnsi="Arial" w:cs="Arial"/>
          <w:color w:val="222222"/>
          <w:sz w:val="24"/>
          <w:szCs w:val="24"/>
          <w:shd w:val="clear" w:color="auto" w:fill="FFFFFF"/>
        </w:rPr>
        <w:t xml:space="preserve"> </w:t>
      </w:r>
      <w:hyperlink r:id="rId13" w:history="1">
        <w:r w:rsidR="00371FCF" w:rsidRPr="006E716E">
          <w:rPr>
            <w:rStyle w:val="Hyperlink"/>
            <w:rFonts w:ascii="Arial" w:hAnsi="Arial" w:cs="Arial"/>
            <w:sz w:val="24"/>
            <w:szCs w:val="24"/>
            <w:shd w:val="clear" w:color="auto" w:fill="FFFFFF"/>
          </w:rPr>
          <w:t>https://doi.org/10.2478/izajodm-2021-0001</w:t>
        </w:r>
      </w:hyperlink>
      <w:r w:rsidR="00371FCF" w:rsidRPr="006E716E">
        <w:rPr>
          <w:rFonts w:ascii="Arial" w:hAnsi="Arial" w:cs="Arial"/>
          <w:color w:val="222222"/>
          <w:sz w:val="24"/>
          <w:szCs w:val="24"/>
          <w:shd w:val="clear" w:color="auto" w:fill="FFFFFF"/>
        </w:rPr>
        <w:t xml:space="preserve"> </w:t>
      </w:r>
    </w:p>
    <w:p w14:paraId="30E1652D" w14:textId="195F67C3"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Gov.UK. (2018). ‘Maximising women’s contribution to future economic growth.’ Women’s Business Council.</w:t>
      </w:r>
    </w:p>
    <w:p w14:paraId="51F340B8" w14:textId="05BC12DA"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Grugel, J., Barlow, M., Lines, T., Giraudo, M. E., and Omukuti, J. (2022). ‘Exacerbating inequalities: gender-based violence and sexual and reproductive health. In </w:t>
      </w:r>
      <w:r w:rsidRPr="006E716E">
        <w:rPr>
          <w:rFonts w:ascii="Arial" w:hAnsi="Arial" w:cs="Arial"/>
          <w:i/>
          <w:iCs/>
          <w:color w:val="222222"/>
          <w:sz w:val="24"/>
          <w:szCs w:val="24"/>
          <w:shd w:val="clear" w:color="auto" w:fill="FFFFFF"/>
        </w:rPr>
        <w:t>The Gendered Face of COVID-19 in the Global South</w:t>
      </w:r>
      <w:r w:rsidRPr="006E716E">
        <w:rPr>
          <w:rFonts w:ascii="Arial" w:hAnsi="Arial" w:cs="Arial"/>
          <w:color w:val="222222"/>
          <w:sz w:val="24"/>
          <w:szCs w:val="24"/>
          <w:shd w:val="clear" w:color="auto" w:fill="FFFFFF"/>
        </w:rPr>
        <w:t> (pp. 94-122).’ Bristol University Press.</w:t>
      </w:r>
    </w:p>
    <w:p w14:paraId="7C06B6B8" w14:textId="7BC86B63"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Henry, C., Coleman, S., Orser, B., and Foss, L. (2022). ‘Women’s entrepreneurship policy and access to financial capital in different countries: an institutional perspective.’ </w:t>
      </w:r>
      <w:r w:rsidRPr="006E716E">
        <w:rPr>
          <w:rFonts w:ascii="Arial" w:hAnsi="Arial" w:cs="Arial"/>
          <w:i/>
          <w:iCs/>
          <w:color w:val="222222"/>
          <w:sz w:val="24"/>
          <w:szCs w:val="24"/>
          <w:shd w:val="clear" w:color="auto" w:fill="FFFFFF"/>
        </w:rPr>
        <w:t>Entrepreneurship Research Journal</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12</w:t>
      </w:r>
      <w:r w:rsidRPr="006E716E">
        <w:rPr>
          <w:rFonts w:ascii="Arial" w:hAnsi="Arial" w:cs="Arial"/>
          <w:color w:val="222222"/>
          <w:sz w:val="24"/>
          <w:szCs w:val="24"/>
          <w:shd w:val="clear" w:color="auto" w:fill="FFFFFF"/>
        </w:rPr>
        <w:t>(3), pp.227-262.</w:t>
      </w:r>
      <w:r w:rsidR="00371FCF" w:rsidRPr="006E716E">
        <w:rPr>
          <w:rFonts w:ascii="Arial" w:hAnsi="Arial" w:cs="Arial"/>
          <w:color w:val="222222"/>
          <w:sz w:val="24"/>
          <w:szCs w:val="24"/>
          <w:shd w:val="clear" w:color="auto" w:fill="FFFFFF"/>
        </w:rPr>
        <w:t xml:space="preserve"> </w:t>
      </w:r>
      <w:hyperlink r:id="rId14" w:history="1">
        <w:r w:rsidR="00371FCF" w:rsidRPr="006E716E">
          <w:rPr>
            <w:rStyle w:val="Hyperlink"/>
            <w:rFonts w:ascii="Arial" w:hAnsi="Arial" w:cs="Arial"/>
            <w:sz w:val="24"/>
            <w:szCs w:val="24"/>
            <w:shd w:val="clear" w:color="auto" w:fill="FFFFFF"/>
          </w:rPr>
          <w:t>https://doi.org/10.1515/erj-2022-0234</w:t>
        </w:r>
      </w:hyperlink>
      <w:r w:rsidR="00371FCF" w:rsidRPr="006E716E">
        <w:rPr>
          <w:rFonts w:ascii="Arial" w:hAnsi="Arial" w:cs="Arial"/>
          <w:color w:val="222222"/>
          <w:sz w:val="24"/>
          <w:szCs w:val="24"/>
          <w:shd w:val="clear" w:color="auto" w:fill="FFFFFF"/>
        </w:rPr>
        <w:t xml:space="preserve"> </w:t>
      </w:r>
    </w:p>
    <w:p w14:paraId="708D628B" w14:textId="77777777" w:rsidR="000146B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Karliner, J., Slotterback, S., Boyd, R., Ashby, B., Steele, K., and Wang, J. (2020). ‘Health care’s climate footprint: the health sector contribution and opportunities for action.’ </w:t>
      </w:r>
      <w:r w:rsidRPr="006E716E">
        <w:rPr>
          <w:rFonts w:ascii="Arial" w:hAnsi="Arial" w:cs="Arial"/>
          <w:i/>
          <w:iCs/>
          <w:color w:val="222222"/>
          <w:sz w:val="24"/>
          <w:szCs w:val="24"/>
          <w:shd w:val="clear" w:color="auto" w:fill="FFFFFF"/>
        </w:rPr>
        <w:t>European journal of public health</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30</w:t>
      </w:r>
      <w:r w:rsidRPr="006E716E">
        <w:rPr>
          <w:rFonts w:ascii="Arial" w:hAnsi="Arial" w:cs="Arial"/>
          <w:color w:val="222222"/>
          <w:sz w:val="24"/>
          <w:szCs w:val="24"/>
          <w:shd w:val="clear" w:color="auto" w:fill="FFFFFF"/>
        </w:rPr>
        <w:t>(Supplement_5), pp.165-843.</w:t>
      </w:r>
    </w:p>
    <w:p w14:paraId="1EFBC2A1" w14:textId="4EC18162"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Kurian, N. (2023). ‘Building inclusive, multicultural early years classrooms: Strategies for a culturally responsive ethic of care.’ </w:t>
      </w:r>
      <w:r w:rsidRPr="006E716E">
        <w:rPr>
          <w:rFonts w:ascii="Arial" w:hAnsi="Arial" w:cs="Arial"/>
          <w:i/>
          <w:iCs/>
          <w:color w:val="222222"/>
          <w:sz w:val="24"/>
          <w:szCs w:val="24"/>
          <w:shd w:val="clear" w:color="auto" w:fill="FFFFFF"/>
        </w:rPr>
        <w:t>Early Childhood Education Journal</w:t>
      </w:r>
      <w:r w:rsidRPr="006E716E">
        <w:rPr>
          <w:rFonts w:ascii="Arial" w:hAnsi="Arial" w:cs="Arial"/>
          <w:color w:val="222222"/>
          <w:sz w:val="24"/>
          <w:szCs w:val="24"/>
          <w:shd w:val="clear" w:color="auto" w:fill="FFFFFF"/>
        </w:rPr>
        <w:t>, pp.1-16.</w:t>
      </w:r>
      <w:r w:rsidR="000146B0" w:rsidRPr="006E716E">
        <w:rPr>
          <w:rFonts w:ascii="Arial" w:hAnsi="Arial" w:cs="Arial"/>
          <w:color w:val="222222"/>
          <w:sz w:val="24"/>
          <w:szCs w:val="24"/>
          <w:shd w:val="clear" w:color="auto" w:fill="FFFFFF"/>
        </w:rPr>
        <w:t xml:space="preserve"> </w:t>
      </w:r>
      <w:hyperlink r:id="rId15" w:history="1">
        <w:r w:rsidR="000146B0" w:rsidRPr="006E716E">
          <w:rPr>
            <w:rStyle w:val="Hyperlink"/>
            <w:rFonts w:ascii="Arial" w:hAnsi="Arial" w:cs="Arial"/>
            <w:sz w:val="24"/>
            <w:szCs w:val="24"/>
            <w:shd w:val="clear" w:color="auto" w:fill="FFFFFF"/>
          </w:rPr>
          <w:t>https://doi.org/10.1007/s10643-023-01456-0</w:t>
        </w:r>
      </w:hyperlink>
      <w:r w:rsidR="000146B0" w:rsidRPr="006E716E">
        <w:rPr>
          <w:rFonts w:ascii="Arial" w:hAnsi="Arial" w:cs="Arial"/>
          <w:color w:val="222222"/>
          <w:sz w:val="24"/>
          <w:szCs w:val="24"/>
          <w:shd w:val="clear" w:color="auto" w:fill="FFFFFF"/>
        </w:rPr>
        <w:t xml:space="preserve"> </w:t>
      </w:r>
    </w:p>
    <w:p w14:paraId="3B664E30" w14:textId="3D69CA7C"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Lansley, S. (2021). ‘The rediscovery of poverty.</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xml:space="preserve"> In </w:t>
      </w:r>
      <w:r w:rsidRPr="006E716E">
        <w:rPr>
          <w:rFonts w:ascii="Arial" w:hAnsi="Arial" w:cs="Arial"/>
          <w:i/>
          <w:iCs/>
          <w:color w:val="222222"/>
          <w:sz w:val="24"/>
          <w:szCs w:val="24"/>
          <w:shd w:val="clear" w:color="auto" w:fill="FFFFFF"/>
        </w:rPr>
        <w:t>The Richer, The Poorer</w:t>
      </w:r>
      <w:r w:rsidRPr="006E716E">
        <w:rPr>
          <w:rFonts w:ascii="Arial" w:hAnsi="Arial" w:cs="Arial"/>
          <w:color w:val="222222"/>
          <w:sz w:val="24"/>
          <w:szCs w:val="24"/>
          <w:shd w:val="clear" w:color="auto" w:fill="FFFFFF"/>
        </w:rPr>
        <w:t> (pp. 83-89). Policy Press.</w:t>
      </w:r>
    </w:p>
    <w:p w14:paraId="5ED26E03" w14:textId="76644815"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Leal Filho, W., Lovren, V. O., Will, M., Salvia, A. L., and Frankenberger, F. (2021).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Poverty: A central barrier to the implementation of the UN Sustainable Development Goals.</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Environmental Science and Policy</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125</w:t>
      </w:r>
      <w:r w:rsidRPr="006E716E">
        <w:rPr>
          <w:rFonts w:ascii="Arial" w:hAnsi="Arial" w:cs="Arial"/>
          <w:color w:val="222222"/>
          <w:sz w:val="24"/>
          <w:szCs w:val="24"/>
          <w:shd w:val="clear" w:color="auto" w:fill="FFFFFF"/>
        </w:rPr>
        <w:t xml:space="preserve">, </w:t>
      </w:r>
      <w:r w:rsidR="003323EF" w:rsidRPr="006E716E">
        <w:rPr>
          <w:rFonts w:ascii="Arial" w:hAnsi="Arial" w:cs="Arial"/>
          <w:color w:val="222222"/>
          <w:sz w:val="24"/>
          <w:szCs w:val="24"/>
          <w:shd w:val="clear" w:color="auto" w:fill="FFFFFF"/>
        </w:rPr>
        <w:t>pp.</w:t>
      </w:r>
      <w:r w:rsidRPr="006E716E">
        <w:rPr>
          <w:rFonts w:ascii="Arial" w:hAnsi="Arial" w:cs="Arial"/>
          <w:color w:val="222222"/>
          <w:sz w:val="24"/>
          <w:szCs w:val="24"/>
          <w:shd w:val="clear" w:color="auto" w:fill="FFFFFF"/>
        </w:rPr>
        <w:t>96-104.</w:t>
      </w:r>
      <w:r w:rsidR="000146B0" w:rsidRPr="006E716E">
        <w:rPr>
          <w:rFonts w:ascii="Arial" w:hAnsi="Arial" w:cs="Arial"/>
          <w:color w:val="222222"/>
          <w:sz w:val="24"/>
          <w:szCs w:val="24"/>
          <w:shd w:val="clear" w:color="auto" w:fill="FFFFFF"/>
        </w:rPr>
        <w:t xml:space="preserve"> </w:t>
      </w:r>
      <w:hyperlink r:id="rId16" w:history="1">
        <w:r w:rsidR="000146B0" w:rsidRPr="006E716E">
          <w:rPr>
            <w:rStyle w:val="Hyperlink"/>
            <w:rFonts w:ascii="Arial" w:hAnsi="Arial" w:cs="Arial"/>
            <w:sz w:val="24"/>
            <w:szCs w:val="24"/>
            <w:shd w:val="clear" w:color="auto" w:fill="FFFFFF"/>
          </w:rPr>
          <w:t>https://doi.org/10.1016/j.envsci.2021.08.020</w:t>
        </w:r>
      </w:hyperlink>
      <w:r w:rsidR="000146B0" w:rsidRPr="006E716E">
        <w:rPr>
          <w:rFonts w:ascii="Arial" w:hAnsi="Arial" w:cs="Arial"/>
          <w:color w:val="222222"/>
          <w:sz w:val="24"/>
          <w:szCs w:val="24"/>
          <w:shd w:val="clear" w:color="auto" w:fill="FFFFFF"/>
        </w:rPr>
        <w:t xml:space="preserve"> </w:t>
      </w:r>
    </w:p>
    <w:p w14:paraId="49D35C7B" w14:textId="5DE53CE6"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lastRenderedPageBreak/>
        <w:t xml:space="preserve">Luhmann, M., Krasko, J., and Terwiel, S. (2021).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Subjective well-being as a dynamic construct.</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xml:space="preserve"> In </w:t>
      </w:r>
      <w:r w:rsidRPr="006E716E">
        <w:rPr>
          <w:rFonts w:ascii="Arial" w:hAnsi="Arial" w:cs="Arial"/>
          <w:i/>
          <w:iCs/>
          <w:color w:val="222222"/>
          <w:sz w:val="24"/>
          <w:szCs w:val="24"/>
          <w:shd w:val="clear" w:color="auto" w:fill="FFFFFF"/>
        </w:rPr>
        <w:t>The handbook of personality dynamics and processes</w:t>
      </w:r>
      <w:r w:rsidRPr="006E716E">
        <w:rPr>
          <w:rFonts w:ascii="Arial" w:hAnsi="Arial" w:cs="Arial"/>
          <w:color w:val="222222"/>
          <w:sz w:val="24"/>
          <w:szCs w:val="24"/>
          <w:shd w:val="clear" w:color="auto" w:fill="FFFFFF"/>
        </w:rPr>
        <w:t> (pp. 1231-1249). Academic Press.</w:t>
      </w:r>
      <w:r w:rsidR="000146B0" w:rsidRPr="006E716E">
        <w:rPr>
          <w:rFonts w:ascii="Arial" w:hAnsi="Arial" w:cs="Arial"/>
          <w:color w:val="222222"/>
          <w:sz w:val="24"/>
          <w:szCs w:val="24"/>
          <w:shd w:val="clear" w:color="auto" w:fill="FFFFFF"/>
        </w:rPr>
        <w:t xml:space="preserve"> </w:t>
      </w:r>
      <w:hyperlink r:id="rId17" w:history="1">
        <w:r w:rsidR="000146B0" w:rsidRPr="006E716E">
          <w:rPr>
            <w:rStyle w:val="Hyperlink"/>
            <w:rFonts w:ascii="Arial" w:hAnsi="Arial" w:cs="Arial"/>
            <w:sz w:val="24"/>
            <w:szCs w:val="24"/>
            <w:shd w:val="clear" w:color="auto" w:fill="FFFFFF"/>
          </w:rPr>
          <w:t>https://doi.org/10.1016/B978-0-12-813995-0.00048-0</w:t>
        </w:r>
      </w:hyperlink>
      <w:r w:rsidR="000146B0" w:rsidRPr="006E716E">
        <w:rPr>
          <w:rFonts w:ascii="Arial" w:hAnsi="Arial" w:cs="Arial"/>
          <w:color w:val="222222"/>
          <w:sz w:val="24"/>
          <w:szCs w:val="24"/>
          <w:shd w:val="clear" w:color="auto" w:fill="FFFFFF"/>
        </w:rPr>
        <w:t xml:space="preserve"> </w:t>
      </w:r>
    </w:p>
    <w:p w14:paraId="4C8FAA08" w14:textId="04E26426"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Manitra, M., Ranaivo, R., and Muhammad, F. (2023).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Implementation of Village Law as a Tool for Poverty Alleviation: in-depth Perspective of Lerep Tourism Village.</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Available at SSRN 4539748</w:t>
      </w:r>
      <w:r w:rsidRPr="006E716E">
        <w:rPr>
          <w:rFonts w:ascii="Arial" w:hAnsi="Arial" w:cs="Arial"/>
          <w:color w:val="222222"/>
          <w:sz w:val="24"/>
          <w:szCs w:val="24"/>
          <w:shd w:val="clear" w:color="auto" w:fill="FFFFFF"/>
        </w:rPr>
        <w:t>.</w:t>
      </w:r>
    </w:p>
    <w:p w14:paraId="3E7ADC75" w14:textId="77777777"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Mason, B. V. (2019). </w:t>
      </w:r>
      <w:r w:rsidRPr="006E716E">
        <w:rPr>
          <w:rFonts w:ascii="Arial" w:hAnsi="Arial" w:cs="Arial"/>
          <w:i/>
          <w:iCs/>
          <w:color w:val="222222"/>
          <w:sz w:val="24"/>
          <w:szCs w:val="24"/>
          <w:shd w:val="clear" w:color="auto" w:fill="FFFFFF"/>
        </w:rPr>
        <w:t>A Qualitative Case Study of Women in Mid-level Leadership: Challenges to Attaining Higher Leadership Positions</w:t>
      </w:r>
      <w:r w:rsidRPr="006E716E">
        <w:rPr>
          <w:rFonts w:ascii="Arial" w:hAnsi="Arial" w:cs="Arial"/>
          <w:color w:val="222222"/>
          <w:sz w:val="24"/>
          <w:szCs w:val="24"/>
          <w:shd w:val="clear" w:color="auto" w:fill="FFFFFF"/>
        </w:rPr>
        <w:t> (Doctoral dissertation, Northcentral University).</w:t>
      </w:r>
    </w:p>
    <w:p w14:paraId="0A684F65" w14:textId="2FB9834B"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Nanda, V., Nayak, M., and Goldstein, J. (2020).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Global efforts to realize the essential but elusive goal of gender equality and women's empowerment (SDG 5).</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Denv. J. Int'l L. and Pol'y</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48</w:t>
      </w:r>
      <w:r w:rsidRPr="006E716E">
        <w:rPr>
          <w:rFonts w:ascii="Arial" w:hAnsi="Arial" w:cs="Arial"/>
          <w:color w:val="222222"/>
          <w:sz w:val="24"/>
          <w:szCs w:val="24"/>
          <w:shd w:val="clear" w:color="auto" w:fill="FFFFFF"/>
        </w:rPr>
        <w:t xml:space="preserve">, </w:t>
      </w:r>
      <w:r w:rsidR="003323EF" w:rsidRPr="006E716E">
        <w:rPr>
          <w:rFonts w:ascii="Arial" w:hAnsi="Arial" w:cs="Arial"/>
          <w:color w:val="222222"/>
          <w:sz w:val="24"/>
          <w:szCs w:val="24"/>
          <w:shd w:val="clear" w:color="auto" w:fill="FFFFFF"/>
        </w:rPr>
        <w:t>p.</w:t>
      </w:r>
      <w:r w:rsidRPr="006E716E">
        <w:rPr>
          <w:rFonts w:ascii="Arial" w:hAnsi="Arial" w:cs="Arial"/>
          <w:color w:val="222222"/>
          <w:sz w:val="24"/>
          <w:szCs w:val="24"/>
          <w:shd w:val="clear" w:color="auto" w:fill="FFFFFF"/>
        </w:rPr>
        <w:t>1.</w:t>
      </w:r>
    </w:p>
    <w:p w14:paraId="5EBA95D4" w14:textId="77777777"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Nelson, P. J. (2021). </w:t>
      </w:r>
      <w:r w:rsidRPr="006E716E">
        <w:rPr>
          <w:rFonts w:ascii="Arial" w:hAnsi="Arial" w:cs="Arial"/>
          <w:i/>
          <w:iCs/>
          <w:color w:val="222222"/>
          <w:sz w:val="24"/>
          <w:szCs w:val="24"/>
          <w:shd w:val="clear" w:color="auto" w:fill="FFFFFF"/>
        </w:rPr>
        <w:t>Global Development and Human Rights: The Sustainable Development Goals and Beyond</w:t>
      </w:r>
      <w:r w:rsidRPr="006E716E">
        <w:rPr>
          <w:rFonts w:ascii="Arial" w:hAnsi="Arial" w:cs="Arial"/>
          <w:color w:val="222222"/>
          <w:sz w:val="24"/>
          <w:szCs w:val="24"/>
          <w:shd w:val="clear" w:color="auto" w:fill="FFFFFF"/>
        </w:rPr>
        <w:t>. University of Toronto Press.</w:t>
      </w:r>
    </w:p>
    <w:p w14:paraId="3712D270" w14:textId="715FC6CA"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Odera, J. A., and Mulusa, J. (2020).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SDGs, gender equality and women’s empowerment: what prospects for delivery.</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Sustainable development goals and human rights: springer</w:t>
      </w:r>
      <w:r w:rsidRPr="006E716E">
        <w:rPr>
          <w:rFonts w:ascii="Arial" w:hAnsi="Arial" w:cs="Arial"/>
          <w:color w:val="222222"/>
          <w:sz w:val="24"/>
          <w:szCs w:val="24"/>
          <w:shd w:val="clear" w:color="auto" w:fill="FFFFFF"/>
        </w:rPr>
        <w:t xml:space="preserve">, </w:t>
      </w:r>
      <w:r w:rsidR="003323EF" w:rsidRPr="006E716E">
        <w:rPr>
          <w:rFonts w:ascii="Arial" w:hAnsi="Arial" w:cs="Arial"/>
          <w:color w:val="222222"/>
          <w:sz w:val="24"/>
          <w:szCs w:val="24"/>
          <w:shd w:val="clear" w:color="auto" w:fill="FFFFFF"/>
        </w:rPr>
        <w:t>pp.</w:t>
      </w:r>
      <w:r w:rsidRPr="006E716E">
        <w:rPr>
          <w:rFonts w:ascii="Arial" w:hAnsi="Arial" w:cs="Arial"/>
          <w:color w:val="222222"/>
          <w:sz w:val="24"/>
          <w:szCs w:val="24"/>
          <w:shd w:val="clear" w:color="auto" w:fill="FFFFFF"/>
        </w:rPr>
        <w:t>95-118.</w:t>
      </w:r>
    </w:p>
    <w:p w14:paraId="681FE628" w14:textId="09CE574D"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Owusu-Addo, E., Renzaho, A. M., and Smith, B. J. (2019).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Cash transfers and the social determinants of health: a conceptual framework.</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Health promotion international</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34</w:t>
      </w:r>
      <w:r w:rsidRPr="006E716E">
        <w:rPr>
          <w:rFonts w:ascii="Arial" w:hAnsi="Arial" w:cs="Arial"/>
          <w:color w:val="222222"/>
          <w:sz w:val="24"/>
          <w:szCs w:val="24"/>
          <w:shd w:val="clear" w:color="auto" w:fill="FFFFFF"/>
        </w:rPr>
        <w:t>(6), e106-e118.</w:t>
      </w:r>
      <w:r w:rsidR="000146B0" w:rsidRPr="006E716E">
        <w:rPr>
          <w:rFonts w:ascii="Arial" w:hAnsi="Arial" w:cs="Arial"/>
          <w:color w:val="222222"/>
          <w:sz w:val="24"/>
          <w:szCs w:val="24"/>
          <w:shd w:val="clear" w:color="auto" w:fill="FFFFFF"/>
        </w:rPr>
        <w:t xml:space="preserve"> </w:t>
      </w:r>
      <w:hyperlink r:id="rId18" w:history="1">
        <w:r w:rsidR="000146B0" w:rsidRPr="006E716E">
          <w:rPr>
            <w:rStyle w:val="Hyperlink"/>
            <w:rFonts w:ascii="Arial" w:hAnsi="Arial" w:cs="Arial"/>
            <w:sz w:val="24"/>
            <w:szCs w:val="24"/>
            <w:shd w:val="clear" w:color="auto" w:fill="FFFFFF"/>
          </w:rPr>
          <w:t>https://doi.org/10.1093/heapro/day079</w:t>
        </w:r>
      </w:hyperlink>
      <w:r w:rsidR="000146B0" w:rsidRPr="006E716E">
        <w:rPr>
          <w:rFonts w:ascii="Arial" w:hAnsi="Arial" w:cs="Arial"/>
          <w:color w:val="222222"/>
          <w:sz w:val="24"/>
          <w:szCs w:val="24"/>
          <w:shd w:val="clear" w:color="auto" w:fill="FFFFFF"/>
        </w:rPr>
        <w:t xml:space="preserve"> </w:t>
      </w:r>
    </w:p>
    <w:p w14:paraId="10D34211" w14:textId="77777777" w:rsidR="00371FCF" w:rsidRPr="006E716E" w:rsidRDefault="00447C10" w:rsidP="006E716E">
      <w:pPr>
        <w:spacing w:line="360" w:lineRule="auto"/>
        <w:ind w:left="720" w:hanging="720"/>
        <w:jc w:val="both"/>
        <w:rPr>
          <w:rFonts w:ascii="Arial" w:hAnsi="Arial" w:cs="Arial"/>
          <w:sz w:val="24"/>
          <w:szCs w:val="24"/>
          <w:shd w:val="clear" w:color="auto" w:fill="FFFFFF"/>
        </w:rPr>
      </w:pPr>
      <w:r w:rsidRPr="006E716E">
        <w:rPr>
          <w:rFonts w:ascii="Arial" w:hAnsi="Arial" w:cs="Arial"/>
          <w:sz w:val="24"/>
          <w:szCs w:val="24"/>
          <w:shd w:val="clear" w:color="auto" w:fill="FFFFFF"/>
        </w:rPr>
        <w:t xml:space="preserve"> </w:t>
      </w:r>
      <w:r w:rsidRPr="006E716E">
        <w:rPr>
          <w:rFonts w:ascii="Arial" w:hAnsi="Arial" w:cs="Arial"/>
          <w:color w:val="222222"/>
          <w:sz w:val="24"/>
          <w:szCs w:val="24"/>
          <w:shd w:val="clear" w:color="auto" w:fill="FFFFFF"/>
        </w:rPr>
        <w:t xml:space="preserve">Roy, J., Tscharket, P., Waisman, H., Abdul Halim, S., Antwi-Agyei, P., Dasgupta, P., ... and Suarez Rodriguez, A. G. (2018).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Sustainable development, poverty eradication and reducing inequalities.</w:t>
      </w:r>
      <w:r w:rsidR="003323EF" w:rsidRPr="006E716E">
        <w:rPr>
          <w:rFonts w:ascii="Arial" w:hAnsi="Arial" w:cs="Arial"/>
          <w:color w:val="222222"/>
          <w:sz w:val="24"/>
          <w:szCs w:val="24"/>
          <w:shd w:val="clear" w:color="auto" w:fill="FFFFFF"/>
        </w:rPr>
        <w:t>’</w:t>
      </w:r>
    </w:p>
    <w:p w14:paraId="26DCC52A" w14:textId="7D2BB532" w:rsidR="00447C10" w:rsidRPr="006E716E" w:rsidRDefault="00447C10" w:rsidP="006E716E">
      <w:pPr>
        <w:spacing w:line="360" w:lineRule="auto"/>
        <w:ind w:left="720" w:hanging="720"/>
        <w:jc w:val="both"/>
        <w:rPr>
          <w:rFonts w:ascii="Arial" w:hAnsi="Arial" w:cs="Arial"/>
          <w:sz w:val="24"/>
          <w:szCs w:val="24"/>
          <w:shd w:val="clear" w:color="auto" w:fill="FFFFFF"/>
        </w:rPr>
      </w:pPr>
      <w:r w:rsidRPr="006E716E">
        <w:rPr>
          <w:rFonts w:ascii="Arial" w:hAnsi="Arial" w:cs="Arial"/>
          <w:sz w:val="24"/>
          <w:szCs w:val="24"/>
          <w:shd w:val="clear" w:color="auto" w:fill="FFFFFF"/>
        </w:rPr>
        <w:t xml:space="preserve">Ruggeri, K., Garcia-Garzon, E., Maguire, Á., Matz, S., and Huppert, F. A. (2020). </w:t>
      </w:r>
      <w:r w:rsidR="003323EF" w:rsidRPr="006E716E">
        <w:rPr>
          <w:rFonts w:ascii="Arial" w:hAnsi="Arial" w:cs="Arial"/>
          <w:sz w:val="24"/>
          <w:szCs w:val="24"/>
          <w:shd w:val="clear" w:color="auto" w:fill="FFFFFF"/>
        </w:rPr>
        <w:t>‘</w:t>
      </w:r>
      <w:r w:rsidRPr="006E716E">
        <w:rPr>
          <w:rFonts w:ascii="Arial" w:hAnsi="Arial" w:cs="Arial"/>
          <w:sz w:val="24"/>
          <w:szCs w:val="24"/>
          <w:shd w:val="clear" w:color="auto" w:fill="FFFFFF"/>
        </w:rPr>
        <w:t>Well-being is more than happiness and life satisfaction: a multidimensional analysis of 21 countries.</w:t>
      </w:r>
      <w:r w:rsidR="003323EF" w:rsidRPr="006E716E">
        <w:rPr>
          <w:rFonts w:ascii="Arial" w:hAnsi="Arial" w:cs="Arial"/>
          <w:sz w:val="24"/>
          <w:szCs w:val="24"/>
          <w:shd w:val="clear" w:color="auto" w:fill="FFFFFF"/>
        </w:rPr>
        <w:t>’</w:t>
      </w:r>
      <w:r w:rsidRPr="006E716E">
        <w:rPr>
          <w:rFonts w:ascii="Arial" w:hAnsi="Arial" w:cs="Arial"/>
          <w:sz w:val="24"/>
          <w:szCs w:val="24"/>
          <w:shd w:val="clear" w:color="auto" w:fill="FFFFFF"/>
        </w:rPr>
        <w:t> </w:t>
      </w:r>
      <w:r w:rsidRPr="006E716E">
        <w:rPr>
          <w:rFonts w:ascii="Arial" w:hAnsi="Arial" w:cs="Arial"/>
          <w:i/>
          <w:iCs/>
          <w:sz w:val="24"/>
          <w:szCs w:val="24"/>
          <w:shd w:val="clear" w:color="auto" w:fill="FFFFFF"/>
        </w:rPr>
        <w:t>Health and quality of life outcomes</w:t>
      </w:r>
      <w:r w:rsidRPr="006E716E">
        <w:rPr>
          <w:rFonts w:ascii="Arial" w:hAnsi="Arial" w:cs="Arial"/>
          <w:sz w:val="24"/>
          <w:szCs w:val="24"/>
          <w:shd w:val="clear" w:color="auto" w:fill="FFFFFF"/>
        </w:rPr>
        <w:t>, </w:t>
      </w:r>
      <w:r w:rsidRPr="006E716E">
        <w:rPr>
          <w:rFonts w:ascii="Arial" w:hAnsi="Arial" w:cs="Arial"/>
          <w:i/>
          <w:iCs/>
          <w:sz w:val="24"/>
          <w:szCs w:val="24"/>
          <w:shd w:val="clear" w:color="auto" w:fill="FFFFFF"/>
        </w:rPr>
        <w:t>18</w:t>
      </w:r>
      <w:r w:rsidRPr="006E716E">
        <w:rPr>
          <w:rFonts w:ascii="Arial" w:hAnsi="Arial" w:cs="Arial"/>
          <w:sz w:val="24"/>
          <w:szCs w:val="24"/>
          <w:shd w:val="clear" w:color="auto" w:fill="FFFFFF"/>
        </w:rPr>
        <w:t xml:space="preserve">(1), </w:t>
      </w:r>
      <w:r w:rsidR="003323EF" w:rsidRPr="006E716E">
        <w:rPr>
          <w:rFonts w:ascii="Arial" w:hAnsi="Arial" w:cs="Arial"/>
          <w:sz w:val="24"/>
          <w:szCs w:val="24"/>
          <w:shd w:val="clear" w:color="auto" w:fill="FFFFFF"/>
        </w:rPr>
        <w:t>pp.</w:t>
      </w:r>
      <w:r w:rsidRPr="006E716E">
        <w:rPr>
          <w:rFonts w:ascii="Arial" w:hAnsi="Arial" w:cs="Arial"/>
          <w:sz w:val="24"/>
          <w:szCs w:val="24"/>
          <w:shd w:val="clear" w:color="auto" w:fill="FFFFFF"/>
        </w:rPr>
        <w:t>1-16.</w:t>
      </w:r>
      <w:r w:rsidR="00371FCF" w:rsidRPr="006E716E">
        <w:rPr>
          <w:rFonts w:ascii="Arial" w:hAnsi="Arial" w:cs="Arial"/>
          <w:sz w:val="24"/>
          <w:szCs w:val="24"/>
          <w:shd w:val="clear" w:color="auto" w:fill="FFFFFF"/>
        </w:rPr>
        <w:t xml:space="preserve"> </w:t>
      </w:r>
      <w:hyperlink r:id="rId19" w:history="1">
        <w:r w:rsidR="00371FCF" w:rsidRPr="006E716E">
          <w:rPr>
            <w:rStyle w:val="Hyperlink"/>
            <w:rFonts w:ascii="Arial" w:hAnsi="Arial" w:cs="Arial"/>
            <w:sz w:val="24"/>
            <w:szCs w:val="24"/>
            <w:shd w:val="clear" w:color="auto" w:fill="FFFFFF"/>
          </w:rPr>
          <w:t>https://doi.org/10.1186/s12955-020-01423-y</w:t>
        </w:r>
      </w:hyperlink>
      <w:r w:rsidR="00371FCF" w:rsidRPr="006E716E">
        <w:rPr>
          <w:rFonts w:ascii="Arial" w:hAnsi="Arial" w:cs="Arial"/>
          <w:sz w:val="24"/>
          <w:szCs w:val="24"/>
          <w:shd w:val="clear" w:color="auto" w:fill="FFFFFF"/>
        </w:rPr>
        <w:t xml:space="preserve"> </w:t>
      </w:r>
    </w:p>
    <w:p w14:paraId="7E84B100" w14:textId="3E492BDE"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lastRenderedPageBreak/>
        <w:t xml:space="preserve">Ruggerio, C. A. (2021).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Sustainability and sustainable development: A review of principles and definitions.</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Science of the Total Environment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786</w:t>
      </w:r>
      <w:r w:rsidRPr="006E716E">
        <w:rPr>
          <w:rFonts w:ascii="Arial" w:hAnsi="Arial" w:cs="Arial"/>
          <w:color w:val="222222"/>
          <w:sz w:val="24"/>
          <w:szCs w:val="24"/>
          <w:shd w:val="clear" w:color="auto" w:fill="FFFFFF"/>
        </w:rPr>
        <w:t xml:space="preserve">, </w:t>
      </w:r>
      <w:r w:rsidR="003323EF" w:rsidRPr="006E716E">
        <w:rPr>
          <w:rFonts w:ascii="Arial" w:hAnsi="Arial" w:cs="Arial"/>
          <w:color w:val="222222"/>
          <w:sz w:val="24"/>
          <w:szCs w:val="24"/>
          <w:shd w:val="clear" w:color="auto" w:fill="FFFFFF"/>
        </w:rPr>
        <w:t>pp.</w:t>
      </w:r>
      <w:r w:rsidRPr="006E716E">
        <w:rPr>
          <w:rFonts w:ascii="Arial" w:hAnsi="Arial" w:cs="Arial"/>
          <w:color w:val="222222"/>
          <w:sz w:val="24"/>
          <w:szCs w:val="24"/>
          <w:shd w:val="clear" w:color="auto" w:fill="FFFFFF"/>
        </w:rPr>
        <w:t>147</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481.</w:t>
      </w:r>
      <w:r w:rsidR="0069626D" w:rsidRPr="006E716E">
        <w:rPr>
          <w:rFonts w:ascii="Arial" w:hAnsi="Arial" w:cs="Arial"/>
          <w:color w:val="222222"/>
          <w:sz w:val="24"/>
          <w:szCs w:val="24"/>
          <w:shd w:val="clear" w:color="auto" w:fill="FFFFFF"/>
        </w:rPr>
        <w:t xml:space="preserve"> </w:t>
      </w:r>
      <w:hyperlink r:id="rId20" w:history="1">
        <w:r w:rsidR="0069626D" w:rsidRPr="006E716E">
          <w:rPr>
            <w:rStyle w:val="Hyperlink"/>
            <w:rFonts w:ascii="Arial" w:hAnsi="Arial" w:cs="Arial"/>
            <w:sz w:val="24"/>
            <w:szCs w:val="24"/>
            <w:shd w:val="clear" w:color="auto" w:fill="FFFFFF"/>
          </w:rPr>
          <w:t>https://doi.org/10.1016/j.scitotenv.2021.147481</w:t>
        </w:r>
      </w:hyperlink>
      <w:r w:rsidR="0069626D" w:rsidRPr="006E716E">
        <w:rPr>
          <w:rFonts w:ascii="Arial" w:hAnsi="Arial" w:cs="Arial"/>
          <w:color w:val="222222"/>
          <w:sz w:val="24"/>
          <w:szCs w:val="24"/>
          <w:shd w:val="clear" w:color="auto" w:fill="FFFFFF"/>
        </w:rPr>
        <w:t xml:space="preserve"> </w:t>
      </w:r>
    </w:p>
    <w:p w14:paraId="4387378C" w14:textId="7CAA8770"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Saks, M. (Ed.). (2022). </w:t>
      </w:r>
      <w:r w:rsidRPr="006E716E">
        <w:rPr>
          <w:rFonts w:ascii="Arial" w:hAnsi="Arial" w:cs="Arial"/>
          <w:i/>
          <w:iCs/>
          <w:color w:val="222222"/>
          <w:sz w:val="24"/>
          <w:szCs w:val="24"/>
          <w:shd w:val="clear" w:color="auto" w:fill="FFFFFF"/>
        </w:rPr>
        <w:t>Responsible Leadership: Essential to the Achievement of the UN Sustainable Development Goals</w:t>
      </w:r>
      <w:r w:rsidRPr="006E716E">
        <w:rPr>
          <w:rFonts w:ascii="Arial" w:hAnsi="Arial" w:cs="Arial"/>
          <w:color w:val="222222"/>
          <w:sz w:val="24"/>
          <w:szCs w:val="24"/>
          <w:shd w:val="clear" w:color="auto" w:fill="FFFFFF"/>
        </w:rPr>
        <w:t>. Taylor and Francis.</w:t>
      </w:r>
    </w:p>
    <w:p w14:paraId="0EF52E05" w14:textId="77777777" w:rsidR="0069626D"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Stewart, K., and Roberts, N. (2019).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Child poverty measurement in the UK: Assessing support for the downgrading of income-based poverty measures.</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Social Indicators Research</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142</w:t>
      </w:r>
      <w:r w:rsidRPr="006E716E">
        <w:rPr>
          <w:rFonts w:ascii="Arial" w:hAnsi="Arial" w:cs="Arial"/>
          <w:color w:val="222222"/>
          <w:sz w:val="24"/>
          <w:szCs w:val="24"/>
          <w:shd w:val="clear" w:color="auto" w:fill="FFFFFF"/>
        </w:rPr>
        <w:t xml:space="preserve">(2), </w:t>
      </w:r>
      <w:r w:rsidR="003323EF" w:rsidRPr="006E716E">
        <w:rPr>
          <w:rFonts w:ascii="Arial" w:hAnsi="Arial" w:cs="Arial"/>
          <w:color w:val="222222"/>
          <w:sz w:val="24"/>
          <w:szCs w:val="24"/>
          <w:shd w:val="clear" w:color="auto" w:fill="FFFFFF"/>
        </w:rPr>
        <w:t>pp.</w:t>
      </w:r>
      <w:r w:rsidRPr="006E716E">
        <w:rPr>
          <w:rFonts w:ascii="Arial" w:hAnsi="Arial" w:cs="Arial"/>
          <w:color w:val="222222"/>
          <w:sz w:val="24"/>
          <w:szCs w:val="24"/>
          <w:shd w:val="clear" w:color="auto" w:fill="FFFFFF"/>
        </w:rPr>
        <w:t>523-542.</w:t>
      </w:r>
    </w:p>
    <w:p w14:paraId="5F63C40A" w14:textId="73FEBF13"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Tyagi, R., Vishwakarma, S., Rishi, M., and Rajiah, S. (2020).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Reducing Inequalities Through Education and Skill Development Courses.</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Reduced Inequalities</w:t>
      </w:r>
      <w:r w:rsidRPr="006E716E">
        <w:rPr>
          <w:rFonts w:ascii="Arial" w:hAnsi="Arial" w:cs="Arial"/>
          <w:color w:val="222222"/>
          <w:sz w:val="24"/>
          <w:szCs w:val="24"/>
          <w:shd w:val="clear" w:color="auto" w:fill="FFFFFF"/>
        </w:rPr>
        <w:t>, 1-13.</w:t>
      </w:r>
      <w:r w:rsidR="0069626D" w:rsidRPr="006E716E">
        <w:rPr>
          <w:rFonts w:ascii="Arial" w:hAnsi="Arial" w:cs="Arial"/>
          <w:color w:val="222222"/>
          <w:sz w:val="24"/>
          <w:szCs w:val="24"/>
          <w:shd w:val="clear" w:color="auto" w:fill="FFFFFF"/>
        </w:rPr>
        <w:t xml:space="preserve"> </w:t>
      </w:r>
      <w:hyperlink r:id="rId21" w:history="1">
        <w:r w:rsidR="0069626D" w:rsidRPr="006E716E">
          <w:rPr>
            <w:rStyle w:val="Hyperlink"/>
            <w:rFonts w:ascii="Arial" w:hAnsi="Arial" w:cs="Arial"/>
            <w:sz w:val="24"/>
            <w:szCs w:val="24"/>
            <w:shd w:val="clear" w:color="auto" w:fill="FFFFFF"/>
          </w:rPr>
          <w:t>https://doi.org/10.1007/978-3-319-71060-0_102-1</w:t>
        </w:r>
      </w:hyperlink>
      <w:r w:rsidR="0069626D" w:rsidRPr="006E716E">
        <w:rPr>
          <w:rFonts w:ascii="Arial" w:hAnsi="Arial" w:cs="Arial"/>
          <w:color w:val="222222"/>
          <w:sz w:val="24"/>
          <w:szCs w:val="24"/>
          <w:shd w:val="clear" w:color="auto" w:fill="FFFFFF"/>
        </w:rPr>
        <w:t xml:space="preserve"> </w:t>
      </w:r>
    </w:p>
    <w:p w14:paraId="1164A6CD" w14:textId="11323C06"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 xml:space="preserve">Vyas-Doorgapersad, S. (2021). </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Global governance reforms to achieve Sustainable Development Goal One (no poverty) in BRICS.</w:t>
      </w:r>
      <w:r w:rsidR="003323EF" w:rsidRPr="006E716E">
        <w:rPr>
          <w:rFonts w:ascii="Arial" w:hAnsi="Arial" w:cs="Arial"/>
          <w:color w:val="222222"/>
          <w:sz w:val="24"/>
          <w:szCs w:val="24"/>
          <w:shd w:val="clear" w:color="auto" w:fill="FFFFFF"/>
        </w:rPr>
        <w:t>’</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Africa’s Public Service Delivery and Performance Review</w:t>
      </w:r>
      <w:r w:rsidRPr="006E716E">
        <w:rPr>
          <w:rFonts w:ascii="Arial" w:hAnsi="Arial" w:cs="Arial"/>
          <w:color w:val="222222"/>
          <w:sz w:val="24"/>
          <w:szCs w:val="24"/>
          <w:shd w:val="clear" w:color="auto" w:fill="FFFFFF"/>
        </w:rPr>
        <w:t>, </w:t>
      </w:r>
      <w:r w:rsidRPr="006E716E">
        <w:rPr>
          <w:rFonts w:ascii="Arial" w:hAnsi="Arial" w:cs="Arial"/>
          <w:i/>
          <w:iCs/>
          <w:color w:val="222222"/>
          <w:sz w:val="24"/>
          <w:szCs w:val="24"/>
          <w:shd w:val="clear" w:color="auto" w:fill="FFFFFF"/>
        </w:rPr>
        <w:t>9</w:t>
      </w:r>
      <w:r w:rsidRPr="006E716E">
        <w:rPr>
          <w:rFonts w:ascii="Arial" w:hAnsi="Arial" w:cs="Arial"/>
          <w:color w:val="222222"/>
          <w:sz w:val="24"/>
          <w:szCs w:val="24"/>
          <w:shd w:val="clear" w:color="auto" w:fill="FFFFFF"/>
        </w:rPr>
        <w:t xml:space="preserve">(1), </w:t>
      </w:r>
      <w:r w:rsidR="003323EF" w:rsidRPr="006E716E">
        <w:rPr>
          <w:rFonts w:ascii="Arial" w:hAnsi="Arial" w:cs="Arial"/>
          <w:color w:val="222222"/>
          <w:sz w:val="24"/>
          <w:szCs w:val="24"/>
          <w:shd w:val="clear" w:color="auto" w:fill="FFFFFF"/>
        </w:rPr>
        <w:t>p.</w:t>
      </w:r>
      <w:r w:rsidRPr="006E716E">
        <w:rPr>
          <w:rFonts w:ascii="Arial" w:hAnsi="Arial" w:cs="Arial"/>
          <w:color w:val="222222"/>
          <w:sz w:val="24"/>
          <w:szCs w:val="24"/>
          <w:shd w:val="clear" w:color="auto" w:fill="FFFFFF"/>
        </w:rPr>
        <w:t>9.</w:t>
      </w:r>
      <w:r w:rsidR="0069626D" w:rsidRPr="006E716E">
        <w:rPr>
          <w:rFonts w:ascii="Arial" w:hAnsi="Arial" w:cs="Arial"/>
          <w:color w:val="222222"/>
          <w:sz w:val="24"/>
          <w:szCs w:val="24"/>
          <w:shd w:val="clear" w:color="auto" w:fill="FFFFFF"/>
        </w:rPr>
        <w:t xml:space="preserve"> </w:t>
      </w:r>
      <w:hyperlink r:id="rId22" w:history="1">
        <w:r w:rsidR="0069626D" w:rsidRPr="006E716E">
          <w:rPr>
            <w:rStyle w:val="Hyperlink"/>
            <w:rFonts w:ascii="Arial" w:hAnsi="Arial" w:cs="Arial"/>
            <w:sz w:val="24"/>
            <w:szCs w:val="24"/>
            <w:shd w:val="clear" w:color="auto" w:fill="FFFFFF"/>
          </w:rPr>
          <w:t>https://doi.org/10.4102/apsdpr.v9i1.545</w:t>
        </w:r>
      </w:hyperlink>
      <w:r w:rsidR="0069626D" w:rsidRPr="006E716E">
        <w:rPr>
          <w:rFonts w:ascii="Arial" w:hAnsi="Arial" w:cs="Arial"/>
          <w:color w:val="222222"/>
          <w:sz w:val="24"/>
          <w:szCs w:val="24"/>
          <w:shd w:val="clear" w:color="auto" w:fill="FFFFFF"/>
        </w:rPr>
        <w:t xml:space="preserve"> </w:t>
      </w:r>
    </w:p>
    <w:p w14:paraId="5D5FC0EA" w14:textId="77777777" w:rsidR="00447C10" w:rsidRPr="006E716E" w:rsidRDefault="00447C10" w:rsidP="006E716E">
      <w:pPr>
        <w:spacing w:line="360" w:lineRule="auto"/>
        <w:ind w:left="720" w:hanging="720"/>
        <w:jc w:val="both"/>
        <w:rPr>
          <w:rFonts w:ascii="Arial" w:hAnsi="Arial" w:cs="Arial"/>
          <w:color w:val="222222"/>
          <w:sz w:val="24"/>
          <w:szCs w:val="24"/>
          <w:shd w:val="clear" w:color="auto" w:fill="FFFFFF"/>
        </w:rPr>
      </w:pPr>
      <w:r w:rsidRPr="006E716E">
        <w:rPr>
          <w:rFonts w:ascii="Arial" w:hAnsi="Arial" w:cs="Arial"/>
          <w:color w:val="222222"/>
          <w:sz w:val="24"/>
          <w:szCs w:val="24"/>
          <w:shd w:val="clear" w:color="auto" w:fill="FFFFFF"/>
        </w:rPr>
        <w:t>World Health Organization. (2019). </w:t>
      </w:r>
      <w:r w:rsidRPr="006E716E">
        <w:rPr>
          <w:rFonts w:ascii="Arial" w:hAnsi="Arial" w:cs="Arial"/>
          <w:i/>
          <w:iCs/>
          <w:color w:val="222222"/>
          <w:sz w:val="24"/>
          <w:szCs w:val="24"/>
          <w:shd w:val="clear" w:color="auto" w:fill="FFFFFF"/>
        </w:rPr>
        <w:t>Global status report on health and wellbeing 2018</w:t>
      </w:r>
      <w:r w:rsidRPr="006E716E">
        <w:rPr>
          <w:rFonts w:ascii="Arial" w:hAnsi="Arial" w:cs="Arial"/>
          <w:color w:val="222222"/>
          <w:sz w:val="24"/>
          <w:szCs w:val="24"/>
          <w:shd w:val="clear" w:color="auto" w:fill="FFFFFF"/>
        </w:rPr>
        <w:t>. World Health Organization.</w:t>
      </w:r>
    </w:p>
    <w:sectPr w:rsidR="00447C10" w:rsidRPr="006E716E">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6F2FF" w14:textId="77777777" w:rsidR="00C95B95" w:rsidRDefault="00C95B95" w:rsidP="00FD2B86">
      <w:pPr>
        <w:spacing w:after="0" w:line="240" w:lineRule="auto"/>
      </w:pPr>
      <w:r>
        <w:separator/>
      </w:r>
    </w:p>
  </w:endnote>
  <w:endnote w:type="continuationSeparator" w:id="0">
    <w:p w14:paraId="117F8661" w14:textId="77777777" w:rsidR="00C95B95" w:rsidRDefault="00C95B95" w:rsidP="00FD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7DF09" w14:textId="77777777" w:rsidR="00C95B95" w:rsidRDefault="00C95B95" w:rsidP="00FD2B86">
      <w:pPr>
        <w:spacing w:after="0" w:line="240" w:lineRule="auto"/>
      </w:pPr>
      <w:r>
        <w:separator/>
      </w:r>
    </w:p>
  </w:footnote>
  <w:footnote w:type="continuationSeparator" w:id="0">
    <w:p w14:paraId="61AEC505" w14:textId="77777777" w:rsidR="00C95B95" w:rsidRDefault="00C95B95" w:rsidP="00FD2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16391508"/>
      <w:docPartObj>
        <w:docPartGallery w:val="Page Numbers (Top of Page)"/>
        <w:docPartUnique/>
      </w:docPartObj>
    </w:sdtPr>
    <w:sdtEndPr>
      <w:rPr>
        <w:noProof/>
      </w:rPr>
    </w:sdtEndPr>
    <w:sdtContent>
      <w:p w14:paraId="7DC4FCF1" w14:textId="2553BBB7" w:rsidR="00FD2B86" w:rsidRPr="00FD2B86" w:rsidRDefault="00FD2B86">
        <w:pPr>
          <w:pStyle w:val="Header"/>
          <w:jc w:val="right"/>
          <w:rPr>
            <w:rFonts w:ascii="Times New Roman" w:hAnsi="Times New Roman" w:cs="Times New Roman"/>
            <w:sz w:val="24"/>
            <w:szCs w:val="24"/>
          </w:rPr>
        </w:pPr>
        <w:r w:rsidRPr="00FD2B86">
          <w:rPr>
            <w:rFonts w:ascii="Times New Roman" w:hAnsi="Times New Roman" w:cs="Times New Roman"/>
            <w:sz w:val="24"/>
            <w:szCs w:val="24"/>
          </w:rPr>
          <w:fldChar w:fldCharType="begin"/>
        </w:r>
        <w:r w:rsidRPr="00FD2B86">
          <w:rPr>
            <w:rFonts w:ascii="Times New Roman" w:hAnsi="Times New Roman" w:cs="Times New Roman"/>
            <w:sz w:val="24"/>
            <w:szCs w:val="24"/>
          </w:rPr>
          <w:instrText xml:space="preserve"> PAGE   \* MERGEFORMAT </w:instrText>
        </w:r>
        <w:r w:rsidRPr="00FD2B86">
          <w:rPr>
            <w:rFonts w:ascii="Times New Roman" w:hAnsi="Times New Roman" w:cs="Times New Roman"/>
            <w:sz w:val="24"/>
            <w:szCs w:val="24"/>
          </w:rPr>
          <w:fldChar w:fldCharType="separate"/>
        </w:r>
        <w:r w:rsidRPr="00FD2B86">
          <w:rPr>
            <w:rFonts w:ascii="Times New Roman" w:hAnsi="Times New Roman" w:cs="Times New Roman"/>
            <w:noProof/>
            <w:sz w:val="24"/>
            <w:szCs w:val="24"/>
          </w:rPr>
          <w:t>2</w:t>
        </w:r>
        <w:r w:rsidRPr="00FD2B86">
          <w:rPr>
            <w:rFonts w:ascii="Times New Roman" w:hAnsi="Times New Roman" w:cs="Times New Roman"/>
            <w:noProof/>
            <w:sz w:val="24"/>
            <w:szCs w:val="24"/>
          </w:rPr>
          <w:fldChar w:fldCharType="end"/>
        </w:r>
      </w:p>
    </w:sdtContent>
  </w:sdt>
  <w:p w14:paraId="4D334531" w14:textId="77777777" w:rsidR="00FD2B86" w:rsidRDefault="00FD2B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74549"/>
    <w:multiLevelType w:val="multilevel"/>
    <w:tmpl w:val="89620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B73CFC"/>
    <w:multiLevelType w:val="multilevel"/>
    <w:tmpl w:val="93523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B047D3"/>
    <w:multiLevelType w:val="multilevel"/>
    <w:tmpl w:val="354AC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435744"/>
    <w:multiLevelType w:val="multilevel"/>
    <w:tmpl w:val="116CB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7753046">
    <w:abstractNumId w:val="1"/>
  </w:num>
  <w:num w:numId="2" w16cid:durableId="1031763255">
    <w:abstractNumId w:val="0"/>
  </w:num>
  <w:num w:numId="3" w16cid:durableId="36245046">
    <w:abstractNumId w:val="3"/>
  </w:num>
  <w:num w:numId="4" w16cid:durableId="358703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8C"/>
    <w:rsid w:val="000107FB"/>
    <w:rsid w:val="000111D2"/>
    <w:rsid w:val="000125F0"/>
    <w:rsid w:val="00012F41"/>
    <w:rsid w:val="000146B0"/>
    <w:rsid w:val="0002711F"/>
    <w:rsid w:val="0003559C"/>
    <w:rsid w:val="0004788D"/>
    <w:rsid w:val="000B1140"/>
    <w:rsid w:val="000E6823"/>
    <w:rsid w:val="001407BD"/>
    <w:rsid w:val="00171434"/>
    <w:rsid w:val="002764DC"/>
    <w:rsid w:val="00277801"/>
    <w:rsid w:val="002B54EF"/>
    <w:rsid w:val="002B75F1"/>
    <w:rsid w:val="002C0F96"/>
    <w:rsid w:val="002F2E1D"/>
    <w:rsid w:val="002F48AF"/>
    <w:rsid w:val="0032451B"/>
    <w:rsid w:val="00327593"/>
    <w:rsid w:val="003323EF"/>
    <w:rsid w:val="00371FCF"/>
    <w:rsid w:val="003B45D9"/>
    <w:rsid w:val="003C33D7"/>
    <w:rsid w:val="003E5433"/>
    <w:rsid w:val="00443B7D"/>
    <w:rsid w:val="00447C10"/>
    <w:rsid w:val="004925AC"/>
    <w:rsid w:val="004A0E15"/>
    <w:rsid w:val="004C6FFD"/>
    <w:rsid w:val="004D26F5"/>
    <w:rsid w:val="004E7F83"/>
    <w:rsid w:val="0058012A"/>
    <w:rsid w:val="005B42D4"/>
    <w:rsid w:val="005C54E5"/>
    <w:rsid w:val="006401DF"/>
    <w:rsid w:val="0069626D"/>
    <w:rsid w:val="00696C07"/>
    <w:rsid w:val="006B573F"/>
    <w:rsid w:val="006D096C"/>
    <w:rsid w:val="006E716E"/>
    <w:rsid w:val="0071251D"/>
    <w:rsid w:val="00730903"/>
    <w:rsid w:val="007658E0"/>
    <w:rsid w:val="007836DE"/>
    <w:rsid w:val="00784C51"/>
    <w:rsid w:val="00792794"/>
    <w:rsid w:val="0079533C"/>
    <w:rsid w:val="007A412D"/>
    <w:rsid w:val="007C583E"/>
    <w:rsid w:val="00867C22"/>
    <w:rsid w:val="00886A8E"/>
    <w:rsid w:val="008903AA"/>
    <w:rsid w:val="0089367E"/>
    <w:rsid w:val="008A0972"/>
    <w:rsid w:val="008F7286"/>
    <w:rsid w:val="00905659"/>
    <w:rsid w:val="00934A94"/>
    <w:rsid w:val="00943A5E"/>
    <w:rsid w:val="009C0C60"/>
    <w:rsid w:val="00A270D4"/>
    <w:rsid w:val="00A613B3"/>
    <w:rsid w:val="00AC330B"/>
    <w:rsid w:val="00B45ECE"/>
    <w:rsid w:val="00BC7B5E"/>
    <w:rsid w:val="00C10C8C"/>
    <w:rsid w:val="00C243D0"/>
    <w:rsid w:val="00C9120C"/>
    <w:rsid w:val="00C95B95"/>
    <w:rsid w:val="00CC691E"/>
    <w:rsid w:val="00D2753F"/>
    <w:rsid w:val="00D42F34"/>
    <w:rsid w:val="00D613F4"/>
    <w:rsid w:val="00D87A1A"/>
    <w:rsid w:val="00D9135F"/>
    <w:rsid w:val="00E02BB7"/>
    <w:rsid w:val="00E22B5A"/>
    <w:rsid w:val="00E9382F"/>
    <w:rsid w:val="00EB7D7A"/>
    <w:rsid w:val="00F10F01"/>
    <w:rsid w:val="00F21F90"/>
    <w:rsid w:val="00F41073"/>
    <w:rsid w:val="00F73122"/>
    <w:rsid w:val="00FD2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770B7"/>
  <w15:chartTrackingRefBased/>
  <w15:docId w15:val="{E8C729AE-6071-4FEA-B0AF-25FA7DA54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7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45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paragraph" w:customStyle="1" w:styleId="Default">
    <w:name w:val="Default"/>
    <w:rsid w:val="0058012A"/>
    <w:pPr>
      <w:autoSpaceDE w:val="0"/>
      <w:autoSpaceDN w:val="0"/>
      <w:adjustRightInd w:val="0"/>
      <w:spacing w:after="0" w:line="240" w:lineRule="auto"/>
    </w:pPr>
    <w:rPr>
      <w:rFonts w:ascii="Arial" w:hAnsi="Arial" w:cs="Arial"/>
      <w:color w:val="000000"/>
      <w:sz w:val="24"/>
      <w:szCs w:val="24"/>
      <w:lang w:val="en-GB"/>
    </w:rPr>
  </w:style>
  <w:style w:type="paragraph" w:styleId="TOCHeading">
    <w:name w:val="TOC Heading"/>
    <w:basedOn w:val="Heading1"/>
    <w:next w:val="Normal"/>
    <w:uiPriority w:val="39"/>
    <w:unhideWhenUsed/>
    <w:qFormat/>
    <w:rsid w:val="004E7F83"/>
    <w:pPr>
      <w:outlineLvl w:val="9"/>
    </w:pPr>
  </w:style>
  <w:style w:type="paragraph" w:styleId="TOC1">
    <w:name w:val="toc 1"/>
    <w:basedOn w:val="Normal"/>
    <w:next w:val="Normal"/>
    <w:autoRedefine/>
    <w:uiPriority w:val="39"/>
    <w:unhideWhenUsed/>
    <w:rsid w:val="004E7F83"/>
    <w:pPr>
      <w:spacing w:after="100"/>
    </w:pPr>
  </w:style>
  <w:style w:type="paragraph" w:styleId="TOC2">
    <w:name w:val="toc 2"/>
    <w:basedOn w:val="Normal"/>
    <w:next w:val="Normal"/>
    <w:autoRedefine/>
    <w:uiPriority w:val="39"/>
    <w:unhideWhenUsed/>
    <w:rsid w:val="004E7F83"/>
    <w:pPr>
      <w:spacing w:after="100"/>
      <w:ind w:left="220"/>
    </w:pPr>
  </w:style>
  <w:style w:type="paragraph" w:styleId="TOC3">
    <w:name w:val="toc 3"/>
    <w:basedOn w:val="Normal"/>
    <w:next w:val="Normal"/>
    <w:autoRedefine/>
    <w:uiPriority w:val="39"/>
    <w:unhideWhenUsed/>
    <w:rsid w:val="004E7F83"/>
    <w:pPr>
      <w:spacing w:after="100"/>
      <w:ind w:left="440"/>
    </w:pPr>
  </w:style>
  <w:style w:type="character" w:styleId="Hyperlink">
    <w:name w:val="Hyperlink"/>
    <w:basedOn w:val="DefaultParagraphFont"/>
    <w:uiPriority w:val="99"/>
    <w:unhideWhenUsed/>
    <w:rsid w:val="004E7F83"/>
    <w:rPr>
      <w:color w:val="0563C1" w:themeColor="hyperlink"/>
      <w:u w:val="single"/>
    </w:rPr>
  </w:style>
  <w:style w:type="paragraph" w:styleId="Header">
    <w:name w:val="header"/>
    <w:basedOn w:val="Normal"/>
    <w:link w:val="HeaderChar"/>
    <w:uiPriority w:val="99"/>
    <w:unhideWhenUsed/>
    <w:rsid w:val="00FD2B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B86"/>
  </w:style>
  <w:style w:type="paragraph" w:styleId="Footer">
    <w:name w:val="footer"/>
    <w:basedOn w:val="Normal"/>
    <w:link w:val="FooterChar"/>
    <w:uiPriority w:val="99"/>
    <w:unhideWhenUsed/>
    <w:rsid w:val="00FD2B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B86"/>
  </w:style>
  <w:style w:type="character" w:styleId="UnresolvedMention">
    <w:name w:val="Unresolved Mention"/>
    <w:basedOn w:val="DefaultParagraphFont"/>
    <w:uiPriority w:val="99"/>
    <w:semiHidden/>
    <w:unhideWhenUsed/>
    <w:rsid w:val="006B573F"/>
    <w:rPr>
      <w:color w:val="605E5C"/>
      <w:shd w:val="clear" w:color="auto" w:fill="E1DFDD"/>
    </w:rPr>
  </w:style>
  <w:style w:type="paragraph" w:styleId="ListParagraph">
    <w:name w:val="List Paragraph"/>
    <w:basedOn w:val="Normal"/>
    <w:uiPriority w:val="34"/>
    <w:qFormat/>
    <w:rsid w:val="008A0972"/>
    <w:pPr>
      <w:ind w:left="720"/>
      <w:contextualSpacing/>
    </w:pPr>
  </w:style>
  <w:style w:type="character" w:styleId="Strong">
    <w:name w:val="Strong"/>
    <w:basedOn w:val="DefaultParagraphFont"/>
    <w:uiPriority w:val="22"/>
    <w:qFormat/>
    <w:rsid w:val="009C0C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0684">
      <w:bodyDiv w:val="1"/>
      <w:marLeft w:val="0"/>
      <w:marRight w:val="0"/>
      <w:marTop w:val="0"/>
      <w:marBottom w:val="0"/>
      <w:divBdr>
        <w:top w:val="none" w:sz="0" w:space="0" w:color="auto"/>
        <w:left w:val="none" w:sz="0" w:space="0" w:color="auto"/>
        <w:bottom w:val="none" w:sz="0" w:space="0" w:color="auto"/>
        <w:right w:val="none" w:sz="0" w:space="0" w:color="auto"/>
      </w:divBdr>
    </w:div>
    <w:div w:id="118844074">
      <w:bodyDiv w:val="1"/>
      <w:marLeft w:val="0"/>
      <w:marRight w:val="0"/>
      <w:marTop w:val="0"/>
      <w:marBottom w:val="0"/>
      <w:divBdr>
        <w:top w:val="none" w:sz="0" w:space="0" w:color="auto"/>
        <w:left w:val="none" w:sz="0" w:space="0" w:color="auto"/>
        <w:bottom w:val="none" w:sz="0" w:space="0" w:color="auto"/>
        <w:right w:val="none" w:sz="0" w:space="0" w:color="auto"/>
      </w:divBdr>
      <w:divsChild>
        <w:div w:id="1897163623">
          <w:marLeft w:val="0"/>
          <w:marRight w:val="0"/>
          <w:marTop w:val="0"/>
          <w:marBottom w:val="0"/>
          <w:divBdr>
            <w:top w:val="single" w:sz="2" w:space="0" w:color="auto"/>
            <w:left w:val="single" w:sz="2" w:space="0" w:color="auto"/>
            <w:bottom w:val="single" w:sz="6" w:space="0" w:color="auto"/>
            <w:right w:val="single" w:sz="2" w:space="0" w:color="auto"/>
          </w:divBdr>
          <w:divsChild>
            <w:div w:id="4280829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431945">
                  <w:marLeft w:val="0"/>
                  <w:marRight w:val="0"/>
                  <w:marTop w:val="0"/>
                  <w:marBottom w:val="0"/>
                  <w:divBdr>
                    <w:top w:val="single" w:sz="2" w:space="0" w:color="D9D9E3"/>
                    <w:left w:val="single" w:sz="2" w:space="0" w:color="D9D9E3"/>
                    <w:bottom w:val="single" w:sz="2" w:space="0" w:color="D9D9E3"/>
                    <w:right w:val="single" w:sz="2" w:space="0" w:color="D9D9E3"/>
                  </w:divBdr>
                  <w:divsChild>
                    <w:div w:id="1841775350">
                      <w:marLeft w:val="0"/>
                      <w:marRight w:val="0"/>
                      <w:marTop w:val="0"/>
                      <w:marBottom w:val="0"/>
                      <w:divBdr>
                        <w:top w:val="single" w:sz="2" w:space="0" w:color="D9D9E3"/>
                        <w:left w:val="single" w:sz="2" w:space="0" w:color="D9D9E3"/>
                        <w:bottom w:val="single" w:sz="2" w:space="0" w:color="D9D9E3"/>
                        <w:right w:val="single" w:sz="2" w:space="0" w:color="D9D9E3"/>
                      </w:divBdr>
                      <w:divsChild>
                        <w:div w:id="425225550">
                          <w:marLeft w:val="0"/>
                          <w:marRight w:val="0"/>
                          <w:marTop w:val="0"/>
                          <w:marBottom w:val="0"/>
                          <w:divBdr>
                            <w:top w:val="single" w:sz="2" w:space="0" w:color="D9D9E3"/>
                            <w:left w:val="single" w:sz="2" w:space="0" w:color="D9D9E3"/>
                            <w:bottom w:val="single" w:sz="2" w:space="0" w:color="D9D9E3"/>
                            <w:right w:val="single" w:sz="2" w:space="0" w:color="D9D9E3"/>
                          </w:divBdr>
                          <w:divsChild>
                            <w:div w:id="1380547977">
                              <w:marLeft w:val="0"/>
                              <w:marRight w:val="0"/>
                              <w:marTop w:val="0"/>
                              <w:marBottom w:val="0"/>
                              <w:divBdr>
                                <w:top w:val="single" w:sz="2" w:space="0" w:color="D9D9E3"/>
                                <w:left w:val="single" w:sz="2" w:space="0" w:color="D9D9E3"/>
                                <w:bottom w:val="single" w:sz="2" w:space="0" w:color="D9D9E3"/>
                                <w:right w:val="single" w:sz="2" w:space="0" w:color="D9D9E3"/>
                              </w:divBdr>
                              <w:divsChild>
                                <w:div w:id="794251228">
                                  <w:marLeft w:val="0"/>
                                  <w:marRight w:val="0"/>
                                  <w:marTop w:val="0"/>
                                  <w:marBottom w:val="0"/>
                                  <w:divBdr>
                                    <w:top w:val="single" w:sz="2" w:space="0" w:color="D9D9E3"/>
                                    <w:left w:val="single" w:sz="2" w:space="0" w:color="D9D9E3"/>
                                    <w:bottom w:val="single" w:sz="2" w:space="0" w:color="D9D9E3"/>
                                    <w:right w:val="single" w:sz="2" w:space="0" w:color="D9D9E3"/>
                                  </w:divBdr>
                                  <w:divsChild>
                                    <w:div w:id="150459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6755257">
      <w:bodyDiv w:val="1"/>
      <w:marLeft w:val="0"/>
      <w:marRight w:val="0"/>
      <w:marTop w:val="0"/>
      <w:marBottom w:val="0"/>
      <w:divBdr>
        <w:top w:val="none" w:sz="0" w:space="0" w:color="auto"/>
        <w:left w:val="none" w:sz="0" w:space="0" w:color="auto"/>
        <w:bottom w:val="none" w:sz="0" w:space="0" w:color="auto"/>
        <w:right w:val="none" w:sz="0" w:space="0" w:color="auto"/>
      </w:divBdr>
    </w:div>
    <w:div w:id="205024068">
      <w:bodyDiv w:val="1"/>
      <w:marLeft w:val="0"/>
      <w:marRight w:val="0"/>
      <w:marTop w:val="0"/>
      <w:marBottom w:val="0"/>
      <w:divBdr>
        <w:top w:val="none" w:sz="0" w:space="0" w:color="auto"/>
        <w:left w:val="none" w:sz="0" w:space="0" w:color="auto"/>
        <w:bottom w:val="none" w:sz="0" w:space="0" w:color="auto"/>
        <w:right w:val="none" w:sz="0" w:space="0" w:color="auto"/>
      </w:divBdr>
      <w:divsChild>
        <w:div w:id="794493181">
          <w:marLeft w:val="0"/>
          <w:marRight w:val="0"/>
          <w:marTop w:val="0"/>
          <w:marBottom w:val="0"/>
          <w:divBdr>
            <w:top w:val="single" w:sz="2" w:space="0" w:color="D9D9E3"/>
            <w:left w:val="single" w:sz="2" w:space="0" w:color="D9D9E3"/>
            <w:bottom w:val="single" w:sz="2" w:space="0" w:color="D9D9E3"/>
            <w:right w:val="single" w:sz="2" w:space="0" w:color="D9D9E3"/>
          </w:divBdr>
          <w:divsChild>
            <w:div w:id="947085477">
              <w:marLeft w:val="0"/>
              <w:marRight w:val="0"/>
              <w:marTop w:val="0"/>
              <w:marBottom w:val="0"/>
              <w:divBdr>
                <w:top w:val="single" w:sz="2" w:space="0" w:color="D9D9E3"/>
                <w:left w:val="single" w:sz="2" w:space="0" w:color="D9D9E3"/>
                <w:bottom w:val="single" w:sz="2" w:space="0" w:color="D9D9E3"/>
                <w:right w:val="single" w:sz="2" w:space="0" w:color="D9D9E3"/>
              </w:divBdr>
              <w:divsChild>
                <w:div w:id="1131821922">
                  <w:marLeft w:val="0"/>
                  <w:marRight w:val="0"/>
                  <w:marTop w:val="0"/>
                  <w:marBottom w:val="0"/>
                  <w:divBdr>
                    <w:top w:val="single" w:sz="2" w:space="0" w:color="D9D9E3"/>
                    <w:left w:val="single" w:sz="2" w:space="0" w:color="D9D9E3"/>
                    <w:bottom w:val="single" w:sz="2" w:space="0" w:color="D9D9E3"/>
                    <w:right w:val="single" w:sz="2" w:space="0" w:color="D9D9E3"/>
                  </w:divBdr>
                  <w:divsChild>
                    <w:div w:id="500699719">
                      <w:marLeft w:val="0"/>
                      <w:marRight w:val="0"/>
                      <w:marTop w:val="0"/>
                      <w:marBottom w:val="0"/>
                      <w:divBdr>
                        <w:top w:val="single" w:sz="2" w:space="0" w:color="D9D9E3"/>
                        <w:left w:val="single" w:sz="2" w:space="0" w:color="D9D9E3"/>
                        <w:bottom w:val="single" w:sz="2" w:space="0" w:color="D9D9E3"/>
                        <w:right w:val="single" w:sz="2" w:space="0" w:color="D9D9E3"/>
                      </w:divBdr>
                      <w:divsChild>
                        <w:div w:id="1741757656">
                          <w:marLeft w:val="0"/>
                          <w:marRight w:val="0"/>
                          <w:marTop w:val="0"/>
                          <w:marBottom w:val="0"/>
                          <w:divBdr>
                            <w:top w:val="single" w:sz="2" w:space="0" w:color="auto"/>
                            <w:left w:val="single" w:sz="2" w:space="0" w:color="auto"/>
                            <w:bottom w:val="single" w:sz="6" w:space="0" w:color="auto"/>
                            <w:right w:val="single" w:sz="2" w:space="0" w:color="auto"/>
                          </w:divBdr>
                          <w:divsChild>
                            <w:div w:id="1359158754">
                              <w:marLeft w:val="0"/>
                              <w:marRight w:val="0"/>
                              <w:marTop w:val="100"/>
                              <w:marBottom w:val="100"/>
                              <w:divBdr>
                                <w:top w:val="single" w:sz="2" w:space="0" w:color="D9D9E3"/>
                                <w:left w:val="single" w:sz="2" w:space="0" w:color="D9D9E3"/>
                                <w:bottom w:val="single" w:sz="2" w:space="0" w:color="D9D9E3"/>
                                <w:right w:val="single" w:sz="2" w:space="0" w:color="D9D9E3"/>
                              </w:divBdr>
                              <w:divsChild>
                                <w:div w:id="853111701">
                                  <w:marLeft w:val="0"/>
                                  <w:marRight w:val="0"/>
                                  <w:marTop w:val="0"/>
                                  <w:marBottom w:val="0"/>
                                  <w:divBdr>
                                    <w:top w:val="single" w:sz="2" w:space="0" w:color="D9D9E3"/>
                                    <w:left w:val="single" w:sz="2" w:space="0" w:color="D9D9E3"/>
                                    <w:bottom w:val="single" w:sz="2" w:space="0" w:color="D9D9E3"/>
                                    <w:right w:val="single" w:sz="2" w:space="0" w:color="D9D9E3"/>
                                  </w:divBdr>
                                  <w:divsChild>
                                    <w:div w:id="261648266">
                                      <w:marLeft w:val="0"/>
                                      <w:marRight w:val="0"/>
                                      <w:marTop w:val="0"/>
                                      <w:marBottom w:val="0"/>
                                      <w:divBdr>
                                        <w:top w:val="single" w:sz="2" w:space="0" w:color="D9D9E3"/>
                                        <w:left w:val="single" w:sz="2" w:space="0" w:color="D9D9E3"/>
                                        <w:bottom w:val="single" w:sz="2" w:space="0" w:color="D9D9E3"/>
                                        <w:right w:val="single" w:sz="2" w:space="0" w:color="D9D9E3"/>
                                      </w:divBdr>
                                      <w:divsChild>
                                        <w:div w:id="14625375">
                                          <w:marLeft w:val="0"/>
                                          <w:marRight w:val="0"/>
                                          <w:marTop w:val="0"/>
                                          <w:marBottom w:val="0"/>
                                          <w:divBdr>
                                            <w:top w:val="single" w:sz="2" w:space="0" w:color="D9D9E3"/>
                                            <w:left w:val="single" w:sz="2" w:space="0" w:color="D9D9E3"/>
                                            <w:bottom w:val="single" w:sz="2" w:space="0" w:color="D9D9E3"/>
                                            <w:right w:val="single" w:sz="2" w:space="0" w:color="D9D9E3"/>
                                          </w:divBdr>
                                          <w:divsChild>
                                            <w:div w:id="692149291">
                                              <w:marLeft w:val="0"/>
                                              <w:marRight w:val="0"/>
                                              <w:marTop w:val="0"/>
                                              <w:marBottom w:val="0"/>
                                              <w:divBdr>
                                                <w:top w:val="single" w:sz="2" w:space="0" w:color="D9D9E3"/>
                                                <w:left w:val="single" w:sz="2" w:space="0" w:color="D9D9E3"/>
                                                <w:bottom w:val="single" w:sz="2" w:space="0" w:color="D9D9E3"/>
                                                <w:right w:val="single" w:sz="2" w:space="0" w:color="D9D9E3"/>
                                              </w:divBdr>
                                              <w:divsChild>
                                                <w:div w:id="1213811141">
                                                  <w:marLeft w:val="0"/>
                                                  <w:marRight w:val="0"/>
                                                  <w:marTop w:val="0"/>
                                                  <w:marBottom w:val="0"/>
                                                  <w:divBdr>
                                                    <w:top w:val="single" w:sz="2" w:space="0" w:color="D9D9E3"/>
                                                    <w:left w:val="single" w:sz="2" w:space="0" w:color="D9D9E3"/>
                                                    <w:bottom w:val="single" w:sz="2" w:space="0" w:color="D9D9E3"/>
                                                    <w:right w:val="single" w:sz="2" w:space="0" w:color="D9D9E3"/>
                                                  </w:divBdr>
                                                  <w:divsChild>
                                                    <w:div w:id="1454058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65502">
          <w:marLeft w:val="0"/>
          <w:marRight w:val="0"/>
          <w:marTop w:val="0"/>
          <w:marBottom w:val="0"/>
          <w:divBdr>
            <w:top w:val="none" w:sz="0" w:space="0" w:color="auto"/>
            <w:left w:val="none" w:sz="0" w:space="0" w:color="auto"/>
            <w:bottom w:val="none" w:sz="0" w:space="0" w:color="auto"/>
            <w:right w:val="none" w:sz="0" w:space="0" w:color="auto"/>
          </w:divBdr>
        </w:div>
      </w:divsChild>
    </w:div>
    <w:div w:id="588201942">
      <w:bodyDiv w:val="1"/>
      <w:marLeft w:val="0"/>
      <w:marRight w:val="0"/>
      <w:marTop w:val="0"/>
      <w:marBottom w:val="0"/>
      <w:divBdr>
        <w:top w:val="none" w:sz="0" w:space="0" w:color="auto"/>
        <w:left w:val="none" w:sz="0" w:space="0" w:color="auto"/>
        <w:bottom w:val="none" w:sz="0" w:space="0" w:color="auto"/>
        <w:right w:val="none" w:sz="0" w:space="0" w:color="auto"/>
      </w:divBdr>
    </w:div>
    <w:div w:id="749084058">
      <w:bodyDiv w:val="1"/>
      <w:marLeft w:val="0"/>
      <w:marRight w:val="0"/>
      <w:marTop w:val="0"/>
      <w:marBottom w:val="0"/>
      <w:divBdr>
        <w:top w:val="none" w:sz="0" w:space="0" w:color="auto"/>
        <w:left w:val="none" w:sz="0" w:space="0" w:color="auto"/>
        <w:bottom w:val="none" w:sz="0" w:space="0" w:color="auto"/>
        <w:right w:val="none" w:sz="0" w:space="0" w:color="auto"/>
      </w:divBdr>
    </w:div>
    <w:div w:id="850920873">
      <w:bodyDiv w:val="1"/>
      <w:marLeft w:val="0"/>
      <w:marRight w:val="0"/>
      <w:marTop w:val="0"/>
      <w:marBottom w:val="0"/>
      <w:divBdr>
        <w:top w:val="none" w:sz="0" w:space="0" w:color="auto"/>
        <w:left w:val="none" w:sz="0" w:space="0" w:color="auto"/>
        <w:bottom w:val="none" w:sz="0" w:space="0" w:color="auto"/>
        <w:right w:val="none" w:sz="0" w:space="0" w:color="auto"/>
      </w:divBdr>
      <w:divsChild>
        <w:div w:id="926768212">
          <w:marLeft w:val="0"/>
          <w:marRight w:val="0"/>
          <w:marTop w:val="0"/>
          <w:marBottom w:val="0"/>
          <w:divBdr>
            <w:top w:val="single" w:sz="2" w:space="0" w:color="auto"/>
            <w:left w:val="single" w:sz="2" w:space="0" w:color="auto"/>
            <w:bottom w:val="single" w:sz="6" w:space="0" w:color="auto"/>
            <w:right w:val="single" w:sz="2" w:space="0" w:color="auto"/>
          </w:divBdr>
          <w:divsChild>
            <w:div w:id="729812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90562214">
                  <w:marLeft w:val="0"/>
                  <w:marRight w:val="0"/>
                  <w:marTop w:val="0"/>
                  <w:marBottom w:val="0"/>
                  <w:divBdr>
                    <w:top w:val="single" w:sz="2" w:space="0" w:color="D9D9E3"/>
                    <w:left w:val="single" w:sz="2" w:space="0" w:color="D9D9E3"/>
                    <w:bottom w:val="single" w:sz="2" w:space="0" w:color="D9D9E3"/>
                    <w:right w:val="single" w:sz="2" w:space="0" w:color="D9D9E3"/>
                  </w:divBdr>
                  <w:divsChild>
                    <w:div w:id="2043824157">
                      <w:marLeft w:val="0"/>
                      <w:marRight w:val="0"/>
                      <w:marTop w:val="0"/>
                      <w:marBottom w:val="0"/>
                      <w:divBdr>
                        <w:top w:val="single" w:sz="2" w:space="0" w:color="D9D9E3"/>
                        <w:left w:val="single" w:sz="2" w:space="0" w:color="D9D9E3"/>
                        <w:bottom w:val="single" w:sz="2" w:space="0" w:color="D9D9E3"/>
                        <w:right w:val="single" w:sz="2" w:space="0" w:color="D9D9E3"/>
                      </w:divBdr>
                      <w:divsChild>
                        <w:div w:id="48572408">
                          <w:marLeft w:val="0"/>
                          <w:marRight w:val="0"/>
                          <w:marTop w:val="0"/>
                          <w:marBottom w:val="0"/>
                          <w:divBdr>
                            <w:top w:val="single" w:sz="2" w:space="0" w:color="D9D9E3"/>
                            <w:left w:val="single" w:sz="2" w:space="0" w:color="D9D9E3"/>
                            <w:bottom w:val="single" w:sz="2" w:space="0" w:color="D9D9E3"/>
                            <w:right w:val="single" w:sz="2" w:space="0" w:color="D9D9E3"/>
                          </w:divBdr>
                          <w:divsChild>
                            <w:div w:id="1408383527">
                              <w:marLeft w:val="0"/>
                              <w:marRight w:val="0"/>
                              <w:marTop w:val="0"/>
                              <w:marBottom w:val="0"/>
                              <w:divBdr>
                                <w:top w:val="single" w:sz="2" w:space="0" w:color="D9D9E3"/>
                                <w:left w:val="single" w:sz="2" w:space="0" w:color="D9D9E3"/>
                                <w:bottom w:val="single" w:sz="2" w:space="0" w:color="D9D9E3"/>
                                <w:right w:val="single" w:sz="2" w:space="0" w:color="D9D9E3"/>
                              </w:divBdr>
                              <w:divsChild>
                                <w:div w:id="612051139">
                                  <w:marLeft w:val="0"/>
                                  <w:marRight w:val="0"/>
                                  <w:marTop w:val="0"/>
                                  <w:marBottom w:val="0"/>
                                  <w:divBdr>
                                    <w:top w:val="single" w:sz="2" w:space="0" w:color="D9D9E3"/>
                                    <w:left w:val="single" w:sz="2" w:space="0" w:color="D9D9E3"/>
                                    <w:bottom w:val="single" w:sz="2" w:space="0" w:color="D9D9E3"/>
                                    <w:right w:val="single" w:sz="2" w:space="0" w:color="D9D9E3"/>
                                  </w:divBdr>
                                  <w:divsChild>
                                    <w:div w:id="423771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3175249">
      <w:bodyDiv w:val="1"/>
      <w:marLeft w:val="0"/>
      <w:marRight w:val="0"/>
      <w:marTop w:val="0"/>
      <w:marBottom w:val="0"/>
      <w:divBdr>
        <w:top w:val="none" w:sz="0" w:space="0" w:color="auto"/>
        <w:left w:val="none" w:sz="0" w:space="0" w:color="auto"/>
        <w:bottom w:val="none" w:sz="0" w:space="0" w:color="auto"/>
        <w:right w:val="none" w:sz="0" w:space="0" w:color="auto"/>
      </w:divBdr>
    </w:div>
    <w:div w:id="954602269">
      <w:bodyDiv w:val="1"/>
      <w:marLeft w:val="0"/>
      <w:marRight w:val="0"/>
      <w:marTop w:val="0"/>
      <w:marBottom w:val="0"/>
      <w:divBdr>
        <w:top w:val="none" w:sz="0" w:space="0" w:color="auto"/>
        <w:left w:val="none" w:sz="0" w:space="0" w:color="auto"/>
        <w:bottom w:val="none" w:sz="0" w:space="0" w:color="auto"/>
        <w:right w:val="none" w:sz="0" w:space="0" w:color="auto"/>
      </w:divBdr>
      <w:divsChild>
        <w:div w:id="988365907">
          <w:marLeft w:val="0"/>
          <w:marRight w:val="0"/>
          <w:marTop w:val="0"/>
          <w:marBottom w:val="0"/>
          <w:divBdr>
            <w:top w:val="single" w:sz="2" w:space="0" w:color="auto"/>
            <w:left w:val="single" w:sz="2" w:space="0" w:color="auto"/>
            <w:bottom w:val="single" w:sz="6" w:space="0" w:color="auto"/>
            <w:right w:val="single" w:sz="2" w:space="0" w:color="auto"/>
          </w:divBdr>
          <w:divsChild>
            <w:div w:id="1629894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875651976">
                  <w:marLeft w:val="0"/>
                  <w:marRight w:val="0"/>
                  <w:marTop w:val="0"/>
                  <w:marBottom w:val="0"/>
                  <w:divBdr>
                    <w:top w:val="single" w:sz="2" w:space="0" w:color="D9D9E3"/>
                    <w:left w:val="single" w:sz="2" w:space="0" w:color="D9D9E3"/>
                    <w:bottom w:val="single" w:sz="2" w:space="0" w:color="D9D9E3"/>
                    <w:right w:val="single" w:sz="2" w:space="0" w:color="D9D9E3"/>
                  </w:divBdr>
                  <w:divsChild>
                    <w:div w:id="159547123">
                      <w:marLeft w:val="0"/>
                      <w:marRight w:val="0"/>
                      <w:marTop w:val="0"/>
                      <w:marBottom w:val="0"/>
                      <w:divBdr>
                        <w:top w:val="single" w:sz="2" w:space="0" w:color="D9D9E3"/>
                        <w:left w:val="single" w:sz="2" w:space="0" w:color="D9D9E3"/>
                        <w:bottom w:val="single" w:sz="2" w:space="0" w:color="D9D9E3"/>
                        <w:right w:val="single" w:sz="2" w:space="0" w:color="D9D9E3"/>
                      </w:divBdr>
                      <w:divsChild>
                        <w:div w:id="580456299">
                          <w:marLeft w:val="0"/>
                          <w:marRight w:val="0"/>
                          <w:marTop w:val="0"/>
                          <w:marBottom w:val="0"/>
                          <w:divBdr>
                            <w:top w:val="single" w:sz="2" w:space="0" w:color="D9D9E3"/>
                            <w:left w:val="single" w:sz="2" w:space="0" w:color="D9D9E3"/>
                            <w:bottom w:val="single" w:sz="2" w:space="0" w:color="D9D9E3"/>
                            <w:right w:val="single" w:sz="2" w:space="0" w:color="D9D9E3"/>
                          </w:divBdr>
                          <w:divsChild>
                            <w:div w:id="1139687826">
                              <w:marLeft w:val="0"/>
                              <w:marRight w:val="0"/>
                              <w:marTop w:val="0"/>
                              <w:marBottom w:val="0"/>
                              <w:divBdr>
                                <w:top w:val="single" w:sz="2" w:space="0" w:color="D9D9E3"/>
                                <w:left w:val="single" w:sz="2" w:space="0" w:color="D9D9E3"/>
                                <w:bottom w:val="single" w:sz="2" w:space="0" w:color="D9D9E3"/>
                                <w:right w:val="single" w:sz="2" w:space="0" w:color="D9D9E3"/>
                              </w:divBdr>
                              <w:divsChild>
                                <w:div w:id="1014847189">
                                  <w:marLeft w:val="0"/>
                                  <w:marRight w:val="0"/>
                                  <w:marTop w:val="0"/>
                                  <w:marBottom w:val="0"/>
                                  <w:divBdr>
                                    <w:top w:val="single" w:sz="2" w:space="0" w:color="D9D9E3"/>
                                    <w:left w:val="single" w:sz="2" w:space="0" w:color="D9D9E3"/>
                                    <w:bottom w:val="single" w:sz="2" w:space="0" w:color="D9D9E3"/>
                                    <w:right w:val="single" w:sz="2" w:space="0" w:color="D9D9E3"/>
                                  </w:divBdr>
                                  <w:divsChild>
                                    <w:div w:id="125511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6633225">
          <w:marLeft w:val="0"/>
          <w:marRight w:val="0"/>
          <w:marTop w:val="0"/>
          <w:marBottom w:val="0"/>
          <w:divBdr>
            <w:top w:val="single" w:sz="2" w:space="0" w:color="auto"/>
            <w:left w:val="single" w:sz="2" w:space="0" w:color="auto"/>
            <w:bottom w:val="single" w:sz="6" w:space="0" w:color="auto"/>
            <w:right w:val="single" w:sz="2" w:space="0" w:color="auto"/>
          </w:divBdr>
          <w:divsChild>
            <w:div w:id="1477986387">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003748">
                  <w:marLeft w:val="0"/>
                  <w:marRight w:val="0"/>
                  <w:marTop w:val="0"/>
                  <w:marBottom w:val="0"/>
                  <w:divBdr>
                    <w:top w:val="single" w:sz="2" w:space="0" w:color="D9D9E3"/>
                    <w:left w:val="single" w:sz="2" w:space="0" w:color="D9D9E3"/>
                    <w:bottom w:val="single" w:sz="2" w:space="0" w:color="D9D9E3"/>
                    <w:right w:val="single" w:sz="2" w:space="0" w:color="D9D9E3"/>
                  </w:divBdr>
                  <w:divsChild>
                    <w:div w:id="1429543243">
                      <w:marLeft w:val="0"/>
                      <w:marRight w:val="0"/>
                      <w:marTop w:val="0"/>
                      <w:marBottom w:val="0"/>
                      <w:divBdr>
                        <w:top w:val="single" w:sz="2" w:space="0" w:color="D9D9E3"/>
                        <w:left w:val="single" w:sz="2" w:space="0" w:color="D9D9E3"/>
                        <w:bottom w:val="single" w:sz="2" w:space="0" w:color="D9D9E3"/>
                        <w:right w:val="single" w:sz="2" w:space="0" w:color="D9D9E3"/>
                      </w:divBdr>
                      <w:divsChild>
                        <w:div w:id="370420030">
                          <w:marLeft w:val="0"/>
                          <w:marRight w:val="0"/>
                          <w:marTop w:val="0"/>
                          <w:marBottom w:val="0"/>
                          <w:divBdr>
                            <w:top w:val="single" w:sz="2" w:space="0" w:color="D9D9E3"/>
                            <w:left w:val="single" w:sz="2" w:space="0" w:color="D9D9E3"/>
                            <w:bottom w:val="single" w:sz="2" w:space="0" w:color="D9D9E3"/>
                            <w:right w:val="single" w:sz="2" w:space="0" w:color="D9D9E3"/>
                          </w:divBdr>
                          <w:divsChild>
                            <w:div w:id="1029599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7731815">
                      <w:marLeft w:val="0"/>
                      <w:marRight w:val="0"/>
                      <w:marTop w:val="0"/>
                      <w:marBottom w:val="0"/>
                      <w:divBdr>
                        <w:top w:val="single" w:sz="2" w:space="0" w:color="D9D9E3"/>
                        <w:left w:val="single" w:sz="2" w:space="0" w:color="D9D9E3"/>
                        <w:bottom w:val="single" w:sz="2" w:space="0" w:color="D9D9E3"/>
                        <w:right w:val="single" w:sz="2" w:space="0" w:color="D9D9E3"/>
                      </w:divBdr>
                      <w:divsChild>
                        <w:div w:id="1202935147">
                          <w:marLeft w:val="0"/>
                          <w:marRight w:val="0"/>
                          <w:marTop w:val="0"/>
                          <w:marBottom w:val="0"/>
                          <w:divBdr>
                            <w:top w:val="single" w:sz="2" w:space="0" w:color="D9D9E3"/>
                            <w:left w:val="single" w:sz="2" w:space="0" w:color="D9D9E3"/>
                            <w:bottom w:val="single" w:sz="2" w:space="0" w:color="D9D9E3"/>
                            <w:right w:val="single" w:sz="2" w:space="0" w:color="D9D9E3"/>
                          </w:divBdr>
                          <w:divsChild>
                            <w:div w:id="18048449">
                              <w:marLeft w:val="0"/>
                              <w:marRight w:val="0"/>
                              <w:marTop w:val="0"/>
                              <w:marBottom w:val="0"/>
                              <w:divBdr>
                                <w:top w:val="single" w:sz="2" w:space="0" w:color="D9D9E3"/>
                                <w:left w:val="single" w:sz="2" w:space="0" w:color="D9D9E3"/>
                                <w:bottom w:val="single" w:sz="2" w:space="0" w:color="D9D9E3"/>
                                <w:right w:val="single" w:sz="2" w:space="0" w:color="D9D9E3"/>
                              </w:divBdr>
                              <w:divsChild>
                                <w:div w:id="1596785781">
                                  <w:marLeft w:val="0"/>
                                  <w:marRight w:val="0"/>
                                  <w:marTop w:val="0"/>
                                  <w:marBottom w:val="0"/>
                                  <w:divBdr>
                                    <w:top w:val="single" w:sz="2" w:space="0" w:color="D9D9E3"/>
                                    <w:left w:val="single" w:sz="2" w:space="0" w:color="D9D9E3"/>
                                    <w:bottom w:val="single" w:sz="2" w:space="0" w:color="D9D9E3"/>
                                    <w:right w:val="single" w:sz="2" w:space="0" w:color="D9D9E3"/>
                                  </w:divBdr>
                                  <w:divsChild>
                                    <w:div w:id="173685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5395746">
          <w:marLeft w:val="0"/>
          <w:marRight w:val="0"/>
          <w:marTop w:val="0"/>
          <w:marBottom w:val="0"/>
          <w:divBdr>
            <w:top w:val="single" w:sz="2" w:space="0" w:color="auto"/>
            <w:left w:val="single" w:sz="2" w:space="0" w:color="auto"/>
            <w:bottom w:val="single" w:sz="6" w:space="0" w:color="auto"/>
            <w:right w:val="single" w:sz="2" w:space="0" w:color="auto"/>
          </w:divBdr>
          <w:divsChild>
            <w:div w:id="6767344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080696">
                  <w:marLeft w:val="0"/>
                  <w:marRight w:val="0"/>
                  <w:marTop w:val="0"/>
                  <w:marBottom w:val="0"/>
                  <w:divBdr>
                    <w:top w:val="single" w:sz="2" w:space="0" w:color="D9D9E3"/>
                    <w:left w:val="single" w:sz="2" w:space="0" w:color="D9D9E3"/>
                    <w:bottom w:val="single" w:sz="2" w:space="0" w:color="D9D9E3"/>
                    <w:right w:val="single" w:sz="2" w:space="0" w:color="D9D9E3"/>
                  </w:divBdr>
                  <w:divsChild>
                    <w:div w:id="842356021">
                      <w:marLeft w:val="0"/>
                      <w:marRight w:val="0"/>
                      <w:marTop w:val="0"/>
                      <w:marBottom w:val="0"/>
                      <w:divBdr>
                        <w:top w:val="single" w:sz="2" w:space="0" w:color="D9D9E3"/>
                        <w:left w:val="single" w:sz="2" w:space="0" w:color="D9D9E3"/>
                        <w:bottom w:val="single" w:sz="2" w:space="0" w:color="D9D9E3"/>
                        <w:right w:val="single" w:sz="2" w:space="0" w:color="D9D9E3"/>
                      </w:divBdr>
                      <w:divsChild>
                        <w:div w:id="1855151702">
                          <w:marLeft w:val="0"/>
                          <w:marRight w:val="0"/>
                          <w:marTop w:val="0"/>
                          <w:marBottom w:val="0"/>
                          <w:divBdr>
                            <w:top w:val="single" w:sz="2" w:space="0" w:color="D9D9E3"/>
                            <w:left w:val="single" w:sz="2" w:space="0" w:color="D9D9E3"/>
                            <w:bottom w:val="single" w:sz="2" w:space="0" w:color="D9D9E3"/>
                            <w:right w:val="single" w:sz="2" w:space="0" w:color="D9D9E3"/>
                          </w:divBdr>
                          <w:divsChild>
                            <w:div w:id="342828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4659632">
                      <w:marLeft w:val="0"/>
                      <w:marRight w:val="0"/>
                      <w:marTop w:val="0"/>
                      <w:marBottom w:val="0"/>
                      <w:divBdr>
                        <w:top w:val="single" w:sz="2" w:space="0" w:color="D9D9E3"/>
                        <w:left w:val="single" w:sz="2" w:space="0" w:color="D9D9E3"/>
                        <w:bottom w:val="single" w:sz="2" w:space="0" w:color="D9D9E3"/>
                        <w:right w:val="single" w:sz="2" w:space="0" w:color="D9D9E3"/>
                      </w:divBdr>
                      <w:divsChild>
                        <w:div w:id="2131706566">
                          <w:marLeft w:val="0"/>
                          <w:marRight w:val="0"/>
                          <w:marTop w:val="0"/>
                          <w:marBottom w:val="0"/>
                          <w:divBdr>
                            <w:top w:val="single" w:sz="2" w:space="0" w:color="D9D9E3"/>
                            <w:left w:val="single" w:sz="2" w:space="0" w:color="D9D9E3"/>
                            <w:bottom w:val="single" w:sz="2" w:space="0" w:color="D9D9E3"/>
                            <w:right w:val="single" w:sz="2" w:space="0" w:color="D9D9E3"/>
                          </w:divBdr>
                          <w:divsChild>
                            <w:div w:id="1137332460">
                              <w:marLeft w:val="0"/>
                              <w:marRight w:val="0"/>
                              <w:marTop w:val="0"/>
                              <w:marBottom w:val="0"/>
                              <w:divBdr>
                                <w:top w:val="single" w:sz="2" w:space="0" w:color="D9D9E3"/>
                                <w:left w:val="single" w:sz="2" w:space="0" w:color="D9D9E3"/>
                                <w:bottom w:val="single" w:sz="2" w:space="0" w:color="D9D9E3"/>
                                <w:right w:val="single" w:sz="2" w:space="0" w:color="D9D9E3"/>
                              </w:divBdr>
                              <w:divsChild>
                                <w:div w:id="1457140147">
                                  <w:marLeft w:val="0"/>
                                  <w:marRight w:val="0"/>
                                  <w:marTop w:val="0"/>
                                  <w:marBottom w:val="0"/>
                                  <w:divBdr>
                                    <w:top w:val="single" w:sz="2" w:space="0" w:color="D9D9E3"/>
                                    <w:left w:val="single" w:sz="2" w:space="0" w:color="D9D9E3"/>
                                    <w:bottom w:val="single" w:sz="2" w:space="0" w:color="D9D9E3"/>
                                    <w:right w:val="single" w:sz="2" w:space="0" w:color="D9D9E3"/>
                                  </w:divBdr>
                                  <w:divsChild>
                                    <w:div w:id="1979993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7016944">
          <w:marLeft w:val="0"/>
          <w:marRight w:val="0"/>
          <w:marTop w:val="0"/>
          <w:marBottom w:val="0"/>
          <w:divBdr>
            <w:top w:val="single" w:sz="2" w:space="0" w:color="auto"/>
            <w:left w:val="single" w:sz="2" w:space="0" w:color="auto"/>
            <w:bottom w:val="single" w:sz="6" w:space="0" w:color="auto"/>
            <w:right w:val="single" w:sz="2" w:space="0" w:color="auto"/>
          </w:divBdr>
          <w:divsChild>
            <w:div w:id="784080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638207">
                  <w:marLeft w:val="0"/>
                  <w:marRight w:val="0"/>
                  <w:marTop w:val="0"/>
                  <w:marBottom w:val="0"/>
                  <w:divBdr>
                    <w:top w:val="single" w:sz="2" w:space="0" w:color="D9D9E3"/>
                    <w:left w:val="single" w:sz="2" w:space="0" w:color="D9D9E3"/>
                    <w:bottom w:val="single" w:sz="2" w:space="0" w:color="D9D9E3"/>
                    <w:right w:val="single" w:sz="2" w:space="0" w:color="D9D9E3"/>
                  </w:divBdr>
                  <w:divsChild>
                    <w:div w:id="1325008245">
                      <w:marLeft w:val="0"/>
                      <w:marRight w:val="0"/>
                      <w:marTop w:val="0"/>
                      <w:marBottom w:val="0"/>
                      <w:divBdr>
                        <w:top w:val="single" w:sz="2" w:space="0" w:color="D9D9E3"/>
                        <w:left w:val="single" w:sz="2" w:space="0" w:color="D9D9E3"/>
                        <w:bottom w:val="single" w:sz="2" w:space="0" w:color="D9D9E3"/>
                        <w:right w:val="single" w:sz="2" w:space="0" w:color="D9D9E3"/>
                      </w:divBdr>
                      <w:divsChild>
                        <w:div w:id="1612322343">
                          <w:marLeft w:val="0"/>
                          <w:marRight w:val="0"/>
                          <w:marTop w:val="0"/>
                          <w:marBottom w:val="0"/>
                          <w:divBdr>
                            <w:top w:val="single" w:sz="2" w:space="0" w:color="D9D9E3"/>
                            <w:left w:val="single" w:sz="2" w:space="0" w:color="D9D9E3"/>
                            <w:bottom w:val="single" w:sz="2" w:space="0" w:color="D9D9E3"/>
                            <w:right w:val="single" w:sz="2" w:space="0" w:color="D9D9E3"/>
                          </w:divBdr>
                          <w:divsChild>
                            <w:div w:id="1009143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94906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788498">
                      <w:marLeft w:val="0"/>
                      <w:marRight w:val="0"/>
                      <w:marTop w:val="0"/>
                      <w:marBottom w:val="0"/>
                      <w:divBdr>
                        <w:top w:val="single" w:sz="2" w:space="0" w:color="D9D9E3"/>
                        <w:left w:val="single" w:sz="2" w:space="0" w:color="D9D9E3"/>
                        <w:bottom w:val="single" w:sz="2" w:space="0" w:color="D9D9E3"/>
                        <w:right w:val="single" w:sz="2" w:space="0" w:color="D9D9E3"/>
                      </w:divBdr>
                      <w:divsChild>
                        <w:div w:id="427042185">
                          <w:marLeft w:val="0"/>
                          <w:marRight w:val="0"/>
                          <w:marTop w:val="0"/>
                          <w:marBottom w:val="0"/>
                          <w:divBdr>
                            <w:top w:val="single" w:sz="2" w:space="0" w:color="D9D9E3"/>
                            <w:left w:val="single" w:sz="2" w:space="0" w:color="D9D9E3"/>
                            <w:bottom w:val="single" w:sz="2" w:space="0" w:color="D9D9E3"/>
                            <w:right w:val="single" w:sz="2" w:space="0" w:color="D9D9E3"/>
                          </w:divBdr>
                          <w:divsChild>
                            <w:div w:id="855389095">
                              <w:marLeft w:val="0"/>
                              <w:marRight w:val="0"/>
                              <w:marTop w:val="0"/>
                              <w:marBottom w:val="0"/>
                              <w:divBdr>
                                <w:top w:val="single" w:sz="2" w:space="0" w:color="D9D9E3"/>
                                <w:left w:val="single" w:sz="2" w:space="0" w:color="D9D9E3"/>
                                <w:bottom w:val="single" w:sz="2" w:space="0" w:color="D9D9E3"/>
                                <w:right w:val="single" w:sz="2" w:space="0" w:color="D9D9E3"/>
                              </w:divBdr>
                              <w:divsChild>
                                <w:div w:id="1836410315">
                                  <w:marLeft w:val="0"/>
                                  <w:marRight w:val="0"/>
                                  <w:marTop w:val="0"/>
                                  <w:marBottom w:val="0"/>
                                  <w:divBdr>
                                    <w:top w:val="single" w:sz="2" w:space="0" w:color="D9D9E3"/>
                                    <w:left w:val="single" w:sz="2" w:space="0" w:color="D9D9E3"/>
                                    <w:bottom w:val="single" w:sz="2" w:space="0" w:color="D9D9E3"/>
                                    <w:right w:val="single" w:sz="2" w:space="0" w:color="D9D9E3"/>
                                  </w:divBdr>
                                  <w:divsChild>
                                    <w:div w:id="141408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1624443">
          <w:marLeft w:val="0"/>
          <w:marRight w:val="0"/>
          <w:marTop w:val="0"/>
          <w:marBottom w:val="0"/>
          <w:divBdr>
            <w:top w:val="single" w:sz="2" w:space="0" w:color="auto"/>
            <w:left w:val="single" w:sz="2" w:space="0" w:color="auto"/>
            <w:bottom w:val="single" w:sz="6" w:space="0" w:color="auto"/>
            <w:right w:val="single" w:sz="2" w:space="0" w:color="auto"/>
          </w:divBdr>
          <w:divsChild>
            <w:div w:id="1228417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185282">
                  <w:marLeft w:val="0"/>
                  <w:marRight w:val="0"/>
                  <w:marTop w:val="0"/>
                  <w:marBottom w:val="0"/>
                  <w:divBdr>
                    <w:top w:val="single" w:sz="2" w:space="0" w:color="D9D9E3"/>
                    <w:left w:val="single" w:sz="2" w:space="0" w:color="D9D9E3"/>
                    <w:bottom w:val="single" w:sz="2" w:space="0" w:color="D9D9E3"/>
                    <w:right w:val="single" w:sz="2" w:space="0" w:color="D9D9E3"/>
                  </w:divBdr>
                  <w:divsChild>
                    <w:div w:id="156070068">
                      <w:marLeft w:val="0"/>
                      <w:marRight w:val="0"/>
                      <w:marTop w:val="0"/>
                      <w:marBottom w:val="0"/>
                      <w:divBdr>
                        <w:top w:val="single" w:sz="2" w:space="0" w:color="D9D9E3"/>
                        <w:left w:val="single" w:sz="2" w:space="0" w:color="D9D9E3"/>
                        <w:bottom w:val="single" w:sz="2" w:space="0" w:color="D9D9E3"/>
                        <w:right w:val="single" w:sz="2" w:space="0" w:color="D9D9E3"/>
                      </w:divBdr>
                      <w:divsChild>
                        <w:div w:id="331032279">
                          <w:marLeft w:val="0"/>
                          <w:marRight w:val="0"/>
                          <w:marTop w:val="0"/>
                          <w:marBottom w:val="0"/>
                          <w:divBdr>
                            <w:top w:val="single" w:sz="2" w:space="0" w:color="D9D9E3"/>
                            <w:left w:val="single" w:sz="2" w:space="0" w:color="D9D9E3"/>
                            <w:bottom w:val="single" w:sz="2" w:space="0" w:color="D9D9E3"/>
                            <w:right w:val="single" w:sz="2" w:space="0" w:color="D9D9E3"/>
                          </w:divBdr>
                          <w:divsChild>
                            <w:div w:id="2027902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8405009">
                      <w:marLeft w:val="0"/>
                      <w:marRight w:val="0"/>
                      <w:marTop w:val="0"/>
                      <w:marBottom w:val="0"/>
                      <w:divBdr>
                        <w:top w:val="single" w:sz="2" w:space="0" w:color="D9D9E3"/>
                        <w:left w:val="single" w:sz="2" w:space="0" w:color="D9D9E3"/>
                        <w:bottom w:val="single" w:sz="2" w:space="0" w:color="D9D9E3"/>
                        <w:right w:val="single" w:sz="2" w:space="0" w:color="D9D9E3"/>
                      </w:divBdr>
                      <w:divsChild>
                        <w:div w:id="981427708">
                          <w:marLeft w:val="0"/>
                          <w:marRight w:val="0"/>
                          <w:marTop w:val="0"/>
                          <w:marBottom w:val="0"/>
                          <w:divBdr>
                            <w:top w:val="single" w:sz="2" w:space="0" w:color="D9D9E3"/>
                            <w:left w:val="single" w:sz="2" w:space="0" w:color="D9D9E3"/>
                            <w:bottom w:val="single" w:sz="2" w:space="0" w:color="D9D9E3"/>
                            <w:right w:val="single" w:sz="2" w:space="0" w:color="D9D9E3"/>
                          </w:divBdr>
                          <w:divsChild>
                            <w:div w:id="242449295">
                              <w:marLeft w:val="0"/>
                              <w:marRight w:val="0"/>
                              <w:marTop w:val="0"/>
                              <w:marBottom w:val="0"/>
                              <w:divBdr>
                                <w:top w:val="single" w:sz="2" w:space="0" w:color="D9D9E3"/>
                                <w:left w:val="single" w:sz="2" w:space="0" w:color="D9D9E3"/>
                                <w:bottom w:val="single" w:sz="2" w:space="0" w:color="D9D9E3"/>
                                <w:right w:val="single" w:sz="2" w:space="0" w:color="D9D9E3"/>
                              </w:divBdr>
                              <w:divsChild>
                                <w:div w:id="761493109">
                                  <w:marLeft w:val="0"/>
                                  <w:marRight w:val="0"/>
                                  <w:marTop w:val="0"/>
                                  <w:marBottom w:val="0"/>
                                  <w:divBdr>
                                    <w:top w:val="single" w:sz="2" w:space="0" w:color="D9D9E3"/>
                                    <w:left w:val="single" w:sz="2" w:space="0" w:color="D9D9E3"/>
                                    <w:bottom w:val="single" w:sz="2" w:space="0" w:color="D9D9E3"/>
                                    <w:right w:val="single" w:sz="2" w:space="0" w:color="D9D9E3"/>
                                  </w:divBdr>
                                  <w:divsChild>
                                    <w:div w:id="475030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4433439">
          <w:marLeft w:val="0"/>
          <w:marRight w:val="0"/>
          <w:marTop w:val="0"/>
          <w:marBottom w:val="0"/>
          <w:divBdr>
            <w:top w:val="single" w:sz="2" w:space="0" w:color="auto"/>
            <w:left w:val="single" w:sz="2" w:space="0" w:color="auto"/>
            <w:bottom w:val="single" w:sz="6" w:space="0" w:color="auto"/>
            <w:right w:val="single" w:sz="2" w:space="0" w:color="auto"/>
          </w:divBdr>
          <w:divsChild>
            <w:div w:id="1996450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576744613">
                  <w:marLeft w:val="0"/>
                  <w:marRight w:val="0"/>
                  <w:marTop w:val="0"/>
                  <w:marBottom w:val="0"/>
                  <w:divBdr>
                    <w:top w:val="single" w:sz="2" w:space="0" w:color="D9D9E3"/>
                    <w:left w:val="single" w:sz="2" w:space="0" w:color="D9D9E3"/>
                    <w:bottom w:val="single" w:sz="2" w:space="0" w:color="D9D9E3"/>
                    <w:right w:val="single" w:sz="2" w:space="0" w:color="D9D9E3"/>
                  </w:divBdr>
                  <w:divsChild>
                    <w:div w:id="1197504765">
                      <w:marLeft w:val="0"/>
                      <w:marRight w:val="0"/>
                      <w:marTop w:val="0"/>
                      <w:marBottom w:val="0"/>
                      <w:divBdr>
                        <w:top w:val="single" w:sz="2" w:space="0" w:color="D9D9E3"/>
                        <w:left w:val="single" w:sz="2" w:space="0" w:color="D9D9E3"/>
                        <w:bottom w:val="single" w:sz="2" w:space="0" w:color="D9D9E3"/>
                        <w:right w:val="single" w:sz="2" w:space="0" w:color="D9D9E3"/>
                      </w:divBdr>
                      <w:divsChild>
                        <w:div w:id="1935892345">
                          <w:marLeft w:val="0"/>
                          <w:marRight w:val="0"/>
                          <w:marTop w:val="0"/>
                          <w:marBottom w:val="0"/>
                          <w:divBdr>
                            <w:top w:val="single" w:sz="2" w:space="0" w:color="D9D9E3"/>
                            <w:left w:val="single" w:sz="2" w:space="0" w:color="D9D9E3"/>
                            <w:bottom w:val="single" w:sz="2" w:space="0" w:color="D9D9E3"/>
                            <w:right w:val="single" w:sz="2" w:space="0" w:color="D9D9E3"/>
                          </w:divBdr>
                          <w:divsChild>
                            <w:div w:id="345059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2731317">
                      <w:marLeft w:val="0"/>
                      <w:marRight w:val="0"/>
                      <w:marTop w:val="0"/>
                      <w:marBottom w:val="0"/>
                      <w:divBdr>
                        <w:top w:val="single" w:sz="2" w:space="0" w:color="D9D9E3"/>
                        <w:left w:val="single" w:sz="2" w:space="0" w:color="D9D9E3"/>
                        <w:bottom w:val="single" w:sz="2" w:space="0" w:color="D9D9E3"/>
                        <w:right w:val="single" w:sz="2" w:space="0" w:color="D9D9E3"/>
                      </w:divBdr>
                      <w:divsChild>
                        <w:div w:id="1257710424">
                          <w:marLeft w:val="0"/>
                          <w:marRight w:val="0"/>
                          <w:marTop w:val="0"/>
                          <w:marBottom w:val="0"/>
                          <w:divBdr>
                            <w:top w:val="single" w:sz="2" w:space="0" w:color="D9D9E3"/>
                            <w:left w:val="single" w:sz="2" w:space="0" w:color="D9D9E3"/>
                            <w:bottom w:val="single" w:sz="2" w:space="0" w:color="D9D9E3"/>
                            <w:right w:val="single" w:sz="2" w:space="0" w:color="D9D9E3"/>
                          </w:divBdr>
                          <w:divsChild>
                            <w:div w:id="2134128809">
                              <w:marLeft w:val="0"/>
                              <w:marRight w:val="0"/>
                              <w:marTop w:val="0"/>
                              <w:marBottom w:val="0"/>
                              <w:divBdr>
                                <w:top w:val="single" w:sz="2" w:space="0" w:color="D9D9E3"/>
                                <w:left w:val="single" w:sz="2" w:space="0" w:color="D9D9E3"/>
                                <w:bottom w:val="single" w:sz="2" w:space="0" w:color="D9D9E3"/>
                                <w:right w:val="single" w:sz="2" w:space="0" w:color="D9D9E3"/>
                              </w:divBdr>
                              <w:divsChild>
                                <w:div w:id="1235239737">
                                  <w:marLeft w:val="0"/>
                                  <w:marRight w:val="0"/>
                                  <w:marTop w:val="0"/>
                                  <w:marBottom w:val="0"/>
                                  <w:divBdr>
                                    <w:top w:val="single" w:sz="2" w:space="0" w:color="D9D9E3"/>
                                    <w:left w:val="single" w:sz="2" w:space="0" w:color="D9D9E3"/>
                                    <w:bottom w:val="single" w:sz="2" w:space="0" w:color="D9D9E3"/>
                                    <w:right w:val="single" w:sz="2" w:space="0" w:color="D9D9E3"/>
                                  </w:divBdr>
                                  <w:divsChild>
                                    <w:div w:id="468742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3058982">
          <w:marLeft w:val="0"/>
          <w:marRight w:val="0"/>
          <w:marTop w:val="0"/>
          <w:marBottom w:val="0"/>
          <w:divBdr>
            <w:top w:val="single" w:sz="2" w:space="0" w:color="auto"/>
            <w:left w:val="single" w:sz="2" w:space="0" w:color="auto"/>
            <w:bottom w:val="single" w:sz="6" w:space="0" w:color="auto"/>
            <w:right w:val="single" w:sz="2" w:space="0" w:color="auto"/>
          </w:divBdr>
          <w:divsChild>
            <w:div w:id="17430178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79565748">
                  <w:marLeft w:val="0"/>
                  <w:marRight w:val="0"/>
                  <w:marTop w:val="0"/>
                  <w:marBottom w:val="0"/>
                  <w:divBdr>
                    <w:top w:val="single" w:sz="2" w:space="0" w:color="D9D9E3"/>
                    <w:left w:val="single" w:sz="2" w:space="0" w:color="D9D9E3"/>
                    <w:bottom w:val="single" w:sz="2" w:space="0" w:color="D9D9E3"/>
                    <w:right w:val="single" w:sz="2" w:space="0" w:color="D9D9E3"/>
                  </w:divBdr>
                  <w:divsChild>
                    <w:div w:id="508957083">
                      <w:marLeft w:val="0"/>
                      <w:marRight w:val="0"/>
                      <w:marTop w:val="0"/>
                      <w:marBottom w:val="0"/>
                      <w:divBdr>
                        <w:top w:val="single" w:sz="2" w:space="0" w:color="D9D9E3"/>
                        <w:left w:val="single" w:sz="2" w:space="0" w:color="D9D9E3"/>
                        <w:bottom w:val="single" w:sz="2" w:space="0" w:color="D9D9E3"/>
                        <w:right w:val="single" w:sz="2" w:space="0" w:color="D9D9E3"/>
                      </w:divBdr>
                      <w:divsChild>
                        <w:div w:id="1955021319">
                          <w:marLeft w:val="0"/>
                          <w:marRight w:val="0"/>
                          <w:marTop w:val="0"/>
                          <w:marBottom w:val="0"/>
                          <w:divBdr>
                            <w:top w:val="single" w:sz="2" w:space="0" w:color="D9D9E3"/>
                            <w:left w:val="single" w:sz="2" w:space="0" w:color="D9D9E3"/>
                            <w:bottom w:val="single" w:sz="2" w:space="0" w:color="D9D9E3"/>
                            <w:right w:val="single" w:sz="2" w:space="0" w:color="D9D9E3"/>
                          </w:divBdr>
                          <w:divsChild>
                            <w:div w:id="825318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9059007">
                      <w:marLeft w:val="0"/>
                      <w:marRight w:val="0"/>
                      <w:marTop w:val="0"/>
                      <w:marBottom w:val="0"/>
                      <w:divBdr>
                        <w:top w:val="single" w:sz="2" w:space="0" w:color="D9D9E3"/>
                        <w:left w:val="single" w:sz="2" w:space="0" w:color="D9D9E3"/>
                        <w:bottom w:val="single" w:sz="2" w:space="0" w:color="D9D9E3"/>
                        <w:right w:val="single" w:sz="2" w:space="0" w:color="D9D9E3"/>
                      </w:divBdr>
                      <w:divsChild>
                        <w:div w:id="818503152">
                          <w:marLeft w:val="0"/>
                          <w:marRight w:val="0"/>
                          <w:marTop w:val="0"/>
                          <w:marBottom w:val="0"/>
                          <w:divBdr>
                            <w:top w:val="single" w:sz="2" w:space="0" w:color="D9D9E3"/>
                            <w:left w:val="single" w:sz="2" w:space="0" w:color="D9D9E3"/>
                            <w:bottom w:val="single" w:sz="2" w:space="0" w:color="D9D9E3"/>
                            <w:right w:val="single" w:sz="2" w:space="0" w:color="D9D9E3"/>
                          </w:divBdr>
                          <w:divsChild>
                            <w:div w:id="1200431311">
                              <w:marLeft w:val="0"/>
                              <w:marRight w:val="0"/>
                              <w:marTop w:val="0"/>
                              <w:marBottom w:val="0"/>
                              <w:divBdr>
                                <w:top w:val="single" w:sz="2" w:space="0" w:color="D9D9E3"/>
                                <w:left w:val="single" w:sz="2" w:space="0" w:color="D9D9E3"/>
                                <w:bottom w:val="single" w:sz="2" w:space="0" w:color="D9D9E3"/>
                                <w:right w:val="single" w:sz="2" w:space="0" w:color="D9D9E3"/>
                              </w:divBdr>
                              <w:divsChild>
                                <w:div w:id="2142765972">
                                  <w:marLeft w:val="0"/>
                                  <w:marRight w:val="0"/>
                                  <w:marTop w:val="0"/>
                                  <w:marBottom w:val="0"/>
                                  <w:divBdr>
                                    <w:top w:val="single" w:sz="2" w:space="0" w:color="D9D9E3"/>
                                    <w:left w:val="single" w:sz="2" w:space="0" w:color="D9D9E3"/>
                                    <w:bottom w:val="single" w:sz="2" w:space="0" w:color="D9D9E3"/>
                                    <w:right w:val="single" w:sz="2" w:space="0" w:color="D9D9E3"/>
                                  </w:divBdr>
                                  <w:divsChild>
                                    <w:div w:id="662972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7207211">
          <w:marLeft w:val="0"/>
          <w:marRight w:val="0"/>
          <w:marTop w:val="0"/>
          <w:marBottom w:val="0"/>
          <w:divBdr>
            <w:top w:val="single" w:sz="2" w:space="0" w:color="auto"/>
            <w:left w:val="single" w:sz="2" w:space="0" w:color="auto"/>
            <w:bottom w:val="single" w:sz="6" w:space="0" w:color="auto"/>
            <w:right w:val="single" w:sz="2" w:space="0" w:color="auto"/>
          </w:divBdr>
          <w:divsChild>
            <w:div w:id="1998607634">
              <w:marLeft w:val="0"/>
              <w:marRight w:val="0"/>
              <w:marTop w:val="100"/>
              <w:marBottom w:val="100"/>
              <w:divBdr>
                <w:top w:val="single" w:sz="2" w:space="0" w:color="D9D9E3"/>
                <w:left w:val="single" w:sz="2" w:space="0" w:color="D9D9E3"/>
                <w:bottom w:val="single" w:sz="2" w:space="0" w:color="D9D9E3"/>
                <w:right w:val="single" w:sz="2" w:space="0" w:color="D9D9E3"/>
              </w:divBdr>
              <w:divsChild>
                <w:div w:id="673268143">
                  <w:marLeft w:val="0"/>
                  <w:marRight w:val="0"/>
                  <w:marTop w:val="0"/>
                  <w:marBottom w:val="0"/>
                  <w:divBdr>
                    <w:top w:val="single" w:sz="2" w:space="0" w:color="D9D9E3"/>
                    <w:left w:val="single" w:sz="2" w:space="0" w:color="D9D9E3"/>
                    <w:bottom w:val="single" w:sz="2" w:space="0" w:color="D9D9E3"/>
                    <w:right w:val="single" w:sz="2" w:space="0" w:color="D9D9E3"/>
                  </w:divBdr>
                  <w:divsChild>
                    <w:div w:id="1349335833">
                      <w:marLeft w:val="0"/>
                      <w:marRight w:val="0"/>
                      <w:marTop w:val="0"/>
                      <w:marBottom w:val="0"/>
                      <w:divBdr>
                        <w:top w:val="single" w:sz="2" w:space="0" w:color="D9D9E3"/>
                        <w:left w:val="single" w:sz="2" w:space="0" w:color="D9D9E3"/>
                        <w:bottom w:val="single" w:sz="2" w:space="0" w:color="D9D9E3"/>
                        <w:right w:val="single" w:sz="2" w:space="0" w:color="D9D9E3"/>
                      </w:divBdr>
                      <w:divsChild>
                        <w:div w:id="1470316457">
                          <w:marLeft w:val="0"/>
                          <w:marRight w:val="0"/>
                          <w:marTop w:val="0"/>
                          <w:marBottom w:val="0"/>
                          <w:divBdr>
                            <w:top w:val="single" w:sz="2" w:space="0" w:color="D9D9E3"/>
                            <w:left w:val="single" w:sz="2" w:space="0" w:color="D9D9E3"/>
                            <w:bottom w:val="single" w:sz="2" w:space="0" w:color="D9D9E3"/>
                            <w:right w:val="single" w:sz="2" w:space="0" w:color="D9D9E3"/>
                          </w:divBdr>
                          <w:divsChild>
                            <w:div w:id="1557011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3095348">
                      <w:marLeft w:val="0"/>
                      <w:marRight w:val="0"/>
                      <w:marTop w:val="0"/>
                      <w:marBottom w:val="0"/>
                      <w:divBdr>
                        <w:top w:val="single" w:sz="2" w:space="0" w:color="D9D9E3"/>
                        <w:left w:val="single" w:sz="2" w:space="0" w:color="D9D9E3"/>
                        <w:bottom w:val="single" w:sz="2" w:space="0" w:color="D9D9E3"/>
                        <w:right w:val="single" w:sz="2" w:space="0" w:color="D9D9E3"/>
                      </w:divBdr>
                      <w:divsChild>
                        <w:div w:id="1538735024">
                          <w:marLeft w:val="0"/>
                          <w:marRight w:val="0"/>
                          <w:marTop w:val="0"/>
                          <w:marBottom w:val="0"/>
                          <w:divBdr>
                            <w:top w:val="single" w:sz="2" w:space="0" w:color="D9D9E3"/>
                            <w:left w:val="single" w:sz="2" w:space="0" w:color="D9D9E3"/>
                            <w:bottom w:val="single" w:sz="2" w:space="0" w:color="D9D9E3"/>
                            <w:right w:val="single" w:sz="2" w:space="0" w:color="D9D9E3"/>
                          </w:divBdr>
                          <w:divsChild>
                            <w:div w:id="564265483">
                              <w:marLeft w:val="0"/>
                              <w:marRight w:val="0"/>
                              <w:marTop w:val="0"/>
                              <w:marBottom w:val="0"/>
                              <w:divBdr>
                                <w:top w:val="single" w:sz="2" w:space="0" w:color="D9D9E3"/>
                                <w:left w:val="single" w:sz="2" w:space="0" w:color="D9D9E3"/>
                                <w:bottom w:val="single" w:sz="2" w:space="0" w:color="D9D9E3"/>
                                <w:right w:val="single" w:sz="2" w:space="0" w:color="D9D9E3"/>
                              </w:divBdr>
                              <w:divsChild>
                                <w:div w:id="777678726">
                                  <w:marLeft w:val="0"/>
                                  <w:marRight w:val="0"/>
                                  <w:marTop w:val="0"/>
                                  <w:marBottom w:val="0"/>
                                  <w:divBdr>
                                    <w:top w:val="single" w:sz="2" w:space="0" w:color="D9D9E3"/>
                                    <w:left w:val="single" w:sz="2" w:space="0" w:color="D9D9E3"/>
                                    <w:bottom w:val="single" w:sz="2" w:space="0" w:color="D9D9E3"/>
                                    <w:right w:val="single" w:sz="2" w:space="0" w:color="D9D9E3"/>
                                  </w:divBdr>
                                  <w:divsChild>
                                    <w:div w:id="1045446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3785685">
          <w:marLeft w:val="0"/>
          <w:marRight w:val="0"/>
          <w:marTop w:val="0"/>
          <w:marBottom w:val="0"/>
          <w:divBdr>
            <w:top w:val="single" w:sz="2" w:space="0" w:color="auto"/>
            <w:left w:val="single" w:sz="2" w:space="0" w:color="auto"/>
            <w:bottom w:val="single" w:sz="6" w:space="0" w:color="auto"/>
            <w:right w:val="single" w:sz="2" w:space="0" w:color="auto"/>
          </w:divBdr>
          <w:divsChild>
            <w:div w:id="14561753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55067115">
                  <w:marLeft w:val="0"/>
                  <w:marRight w:val="0"/>
                  <w:marTop w:val="0"/>
                  <w:marBottom w:val="0"/>
                  <w:divBdr>
                    <w:top w:val="single" w:sz="2" w:space="0" w:color="D9D9E3"/>
                    <w:left w:val="single" w:sz="2" w:space="0" w:color="D9D9E3"/>
                    <w:bottom w:val="single" w:sz="2" w:space="0" w:color="D9D9E3"/>
                    <w:right w:val="single" w:sz="2" w:space="0" w:color="D9D9E3"/>
                  </w:divBdr>
                  <w:divsChild>
                    <w:div w:id="1474713818">
                      <w:marLeft w:val="0"/>
                      <w:marRight w:val="0"/>
                      <w:marTop w:val="0"/>
                      <w:marBottom w:val="0"/>
                      <w:divBdr>
                        <w:top w:val="single" w:sz="2" w:space="0" w:color="D9D9E3"/>
                        <w:left w:val="single" w:sz="2" w:space="0" w:color="D9D9E3"/>
                        <w:bottom w:val="single" w:sz="2" w:space="0" w:color="D9D9E3"/>
                        <w:right w:val="single" w:sz="2" w:space="0" w:color="D9D9E3"/>
                      </w:divBdr>
                      <w:divsChild>
                        <w:div w:id="512502205">
                          <w:marLeft w:val="0"/>
                          <w:marRight w:val="0"/>
                          <w:marTop w:val="0"/>
                          <w:marBottom w:val="0"/>
                          <w:divBdr>
                            <w:top w:val="single" w:sz="2" w:space="0" w:color="D9D9E3"/>
                            <w:left w:val="single" w:sz="2" w:space="0" w:color="D9D9E3"/>
                            <w:bottom w:val="single" w:sz="2" w:space="0" w:color="D9D9E3"/>
                            <w:right w:val="single" w:sz="2" w:space="0" w:color="D9D9E3"/>
                          </w:divBdr>
                          <w:divsChild>
                            <w:div w:id="880166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7872423">
                      <w:marLeft w:val="0"/>
                      <w:marRight w:val="0"/>
                      <w:marTop w:val="0"/>
                      <w:marBottom w:val="0"/>
                      <w:divBdr>
                        <w:top w:val="single" w:sz="2" w:space="0" w:color="D9D9E3"/>
                        <w:left w:val="single" w:sz="2" w:space="0" w:color="D9D9E3"/>
                        <w:bottom w:val="single" w:sz="2" w:space="0" w:color="D9D9E3"/>
                        <w:right w:val="single" w:sz="2" w:space="0" w:color="D9D9E3"/>
                      </w:divBdr>
                      <w:divsChild>
                        <w:div w:id="2004431629">
                          <w:marLeft w:val="0"/>
                          <w:marRight w:val="0"/>
                          <w:marTop w:val="0"/>
                          <w:marBottom w:val="0"/>
                          <w:divBdr>
                            <w:top w:val="single" w:sz="2" w:space="0" w:color="D9D9E3"/>
                            <w:left w:val="single" w:sz="2" w:space="0" w:color="D9D9E3"/>
                            <w:bottom w:val="single" w:sz="2" w:space="0" w:color="D9D9E3"/>
                            <w:right w:val="single" w:sz="2" w:space="0" w:color="D9D9E3"/>
                          </w:divBdr>
                          <w:divsChild>
                            <w:div w:id="1148127943">
                              <w:marLeft w:val="0"/>
                              <w:marRight w:val="0"/>
                              <w:marTop w:val="0"/>
                              <w:marBottom w:val="0"/>
                              <w:divBdr>
                                <w:top w:val="single" w:sz="2" w:space="0" w:color="D9D9E3"/>
                                <w:left w:val="single" w:sz="2" w:space="0" w:color="D9D9E3"/>
                                <w:bottom w:val="single" w:sz="2" w:space="0" w:color="D9D9E3"/>
                                <w:right w:val="single" w:sz="2" w:space="0" w:color="D9D9E3"/>
                              </w:divBdr>
                              <w:divsChild>
                                <w:div w:id="948009354">
                                  <w:marLeft w:val="0"/>
                                  <w:marRight w:val="0"/>
                                  <w:marTop w:val="0"/>
                                  <w:marBottom w:val="0"/>
                                  <w:divBdr>
                                    <w:top w:val="single" w:sz="2" w:space="0" w:color="D9D9E3"/>
                                    <w:left w:val="single" w:sz="2" w:space="0" w:color="D9D9E3"/>
                                    <w:bottom w:val="single" w:sz="2" w:space="0" w:color="D9D9E3"/>
                                    <w:right w:val="single" w:sz="2" w:space="0" w:color="D9D9E3"/>
                                  </w:divBdr>
                                  <w:divsChild>
                                    <w:div w:id="912592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89676401">
      <w:bodyDiv w:val="1"/>
      <w:marLeft w:val="0"/>
      <w:marRight w:val="0"/>
      <w:marTop w:val="0"/>
      <w:marBottom w:val="0"/>
      <w:divBdr>
        <w:top w:val="none" w:sz="0" w:space="0" w:color="auto"/>
        <w:left w:val="none" w:sz="0" w:space="0" w:color="auto"/>
        <w:bottom w:val="none" w:sz="0" w:space="0" w:color="auto"/>
        <w:right w:val="none" w:sz="0" w:space="0" w:color="auto"/>
      </w:divBdr>
    </w:div>
    <w:div w:id="1132554874">
      <w:bodyDiv w:val="1"/>
      <w:marLeft w:val="0"/>
      <w:marRight w:val="0"/>
      <w:marTop w:val="0"/>
      <w:marBottom w:val="0"/>
      <w:divBdr>
        <w:top w:val="none" w:sz="0" w:space="0" w:color="auto"/>
        <w:left w:val="none" w:sz="0" w:space="0" w:color="auto"/>
        <w:bottom w:val="none" w:sz="0" w:space="0" w:color="auto"/>
        <w:right w:val="none" w:sz="0" w:space="0" w:color="auto"/>
      </w:divBdr>
    </w:div>
    <w:div w:id="1141457850">
      <w:bodyDiv w:val="1"/>
      <w:marLeft w:val="0"/>
      <w:marRight w:val="0"/>
      <w:marTop w:val="0"/>
      <w:marBottom w:val="0"/>
      <w:divBdr>
        <w:top w:val="none" w:sz="0" w:space="0" w:color="auto"/>
        <w:left w:val="none" w:sz="0" w:space="0" w:color="auto"/>
        <w:bottom w:val="none" w:sz="0" w:space="0" w:color="auto"/>
        <w:right w:val="none" w:sz="0" w:space="0" w:color="auto"/>
      </w:divBdr>
    </w:div>
    <w:div w:id="1183935553">
      <w:bodyDiv w:val="1"/>
      <w:marLeft w:val="0"/>
      <w:marRight w:val="0"/>
      <w:marTop w:val="0"/>
      <w:marBottom w:val="0"/>
      <w:divBdr>
        <w:top w:val="none" w:sz="0" w:space="0" w:color="auto"/>
        <w:left w:val="none" w:sz="0" w:space="0" w:color="auto"/>
        <w:bottom w:val="none" w:sz="0" w:space="0" w:color="auto"/>
        <w:right w:val="none" w:sz="0" w:space="0" w:color="auto"/>
      </w:divBdr>
      <w:divsChild>
        <w:div w:id="475950600">
          <w:marLeft w:val="0"/>
          <w:marRight w:val="0"/>
          <w:marTop w:val="0"/>
          <w:marBottom w:val="0"/>
          <w:divBdr>
            <w:top w:val="single" w:sz="2" w:space="0" w:color="auto"/>
            <w:left w:val="single" w:sz="2" w:space="0" w:color="auto"/>
            <w:bottom w:val="single" w:sz="6" w:space="0" w:color="auto"/>
            <w:right w:val="single" w:sz="2" w:space="0" w:color="auto"/>
          </w:divBdr>
          <w:divsChild>
            <w:div w:id="159850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48228">
                  <w:marLeft w:val="0"/>
                  <w:marRight w:val="0"/>
                  <w:marTop w:val="0"/>
                  <w:marBottom w:val="0"/>
                  <w:divBdr>
                    <w:top w:val="single" w:sz="2" w:space="0" w:color="D9D9E3"/>
                    <w:left w:val="single" w:sz="2" w:space="0" w:color="D9D9E3"/>
                    <w:bottom w:val="single" w:sz="2" w:space="0" w:color="D9D9E3"/>
                    <w:right w:val="single" w:sz="2" w:space="0" w:color="D9D9E3"/>
                  </w:divBdr>
                  <w:divsChild>
                    <w:div w:id="1881355685">
                      <w:marLeft w:val="0"/>
                      <w:marRight w:val="0"/>
                      <w:marTop w:val="0"/>
                      <w:marBottom w:val="0"/>
                      <w:divBdr>
                        <w:top w:val="single" w:sz="2" w:space="0" w:color="D9D9E3"/>
                        <w:left w:val="single" w:sz="2" w:space="0" w:color="D9D9E3"/>
                        <w:bottom w:val="single" w:sz="2" w:space="0" w:color="D9D9E3"/>
                        <w:right w:val="single" w:sz="2" w:space="0" w:color="D9D9E3"/>
                      </w:divBdr>
                      <w:divsChild>
                        <w:div w:id="2104033797">
                          <w:marLeft w:val="0"/>
                          <w:marRight w:val="0"/>
                          <w:marTop w:val="0"/>
                          <w:marBottom w:val="0"/>
                          <w:divBdr>
                            <w:top w:val="single" w:sz="2" w:space="0" w:color="D9D9E3"/>
                            <w:left w:val="single" w:sz="2" w:space="0" w:color="D9D9E3"/>
                            <w:bottom w:val="single" w:sz="2" w:space="0" w:color="D9D9E3"/>
                            <w:right w:val="single" w:sz="2" w:space="0" w:color="D9D9E3"/>
                          </w:divBdr>
                          <w:divsChild>
                            <w:div w:id="1800537548">
                              <w:marLeft w:val="0"/>
                              <w:marRight w:val="0"/>
                              <w:marTop w:val="0"/>
                              <w:marBottom w:val="0"/>
                              <w:divBdr>
                                <w:top w:val="single" w:sz="2" w:space="0" w:color="D9D9E3"/>
                                <w:left w:val="single" w:sz="2" w:space="0" w:color="D9D9E3"/>
                                <w:bottom w:val="single" w:sz="2" w:space="0" w:color="D9D9E3"/>
                                <w:right w:val="single" w:sz="2" w:space="0" w:color="D9D9E3"/>
                              </w:divBdr>
                              <w:divsChild>
                                <w:div w:id="1220244477">
                                  <w:marLeft w:val="0"/>
                                  <w:marRight w:val="0"/>
                                  <w:marTop w:val="0"/>
                                  <w:marBottom w:val="0"/>
                                  <w:divBdr>
                                    <w:top w:val="single" w:sz="2" w:space="0" w:color="D9D9E3"/>
                                    <w:left w:val="single" w:sz="2" w:space="0" w:color="D9D9E3"/>
                                    <w:bottom w:val="single" w:sz="2" w:space="0" w:color="D9D9E3"/>
                                    <w:right w:val="single" w:sz="2" w:space="0" w:color="D9D9E3"/>
                                  </w:divBdr>
                                  <w:divsChild>
                                    <w:div w:id="625966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5727587">
      <w:bodyDiv w:val="1"/>
      <w:marLeft w:val="0"/>
      <w:marRight w:val="0"/>
      <w:marTop w:val="0"/>
      <w:marBottom w:val="0"/>
      <w:divBdr>
        <w:top w:val="none" w:sz="0" w:space="0" w:color="auto"/>
        <w:left w:val="none" w:sz="0" w:space="0" w:color="auto"/>
        <w:bottom w:val="none" w:sz="0" w:space="0" w:color="auto"/>
        <w:right w:val="none" w:sz="0" w:space="0" w:color="auto"/>
      </w:divBdr>
    </w:div>
    <w:div w:id="1286229342">
      <w:bodyDiv w:val="1"/>
      <w:marLeft w:val="0"/>
      <w:marRight w:val="0"/>
      <w:marTop w:val="0"/>
      <w:marBottom w:val="0"/>
      <w:divBdr>
        <w:top w:val="none" w:sz="0" w:space="0" w:color="auto"/>
        <w:left w:val="none" w:sz="0" w:space="0" w:color="auto"/>
        <w:bottom w:val="none" w:sz="0" w:space="0" w:color="auto"/>
        <w:right w:val="none" w:sz="0" w:space="0" w:color="auto"/>
      </w:divBdr>
    </w:div>
    <w:div w:id="1329600797">
      <w:bodyDiv w:val="1"/>
      <w:marLeft w:val="0"/>
      <w:marRight w:val="0"/>
      <w:marTop w:val="0"/>
      <w:marBottom w:val="0"/>
      <w:divBdr>
        <w:top w:val="none" w:sz="0" w:space="0" w:color="auto"/>
        <w:left w:val="none" w:sz="0" w:space="0" w:color="auto"/>
        <w:bottom w:val="none" w:sz="0" w:space="0" w:color="auto"/>
        <w:right w:val="none" w:sz="0" w:space="0" w:color="auto"/>
      </w:divBdr>
    </w:div>
    <w:div w:id="1363938875">
      <w:bodyDiv w:val="1"/>
      <w:marLeft w:val="0"/>
      <w:marRight w:val="0"/>
      <w:marTop w:val="0"/>
      <w:marBottom w:val="0"/>
      <w:divBdr>
        <w:top w:val="none" w:sz="0" w:space="0" w:color="auto"/>
        <w:left w:val="none" w:sz="0" w:space="0" w:color="auto"/>
        <w:bottom w:val="none" w:sz="0" w:space="0" w:color="auto"/>
        <w:right w:val="none" w:sz="0" w:space="0" w:color="auto"/>
      </w:divBdr>
    </w:div>
    <w:div w:id="1377701869">
      <w:bodyDiv w:val="1"/>
      <w:marLeft w:val="0"/>
      <w:marRight w:val="0"/>
      <w:marTop w:val="0"/>
      <w:marBottom w:val="0"/>
      <w:divBdr>
        <w:top w:val="none" w:sz="0" w:space="0" w:color="auto"/>
        <w:left w:val="none" w:sz="0" w:space="0" w:color="auto"/>
        <w:bottom w:val="none" w:sz="0" w:space="0" w:color="auto"/>
        <w:right w:val="none" w:sz="0" w:space="0" w:color="auto"/>
      </w:divBdr>
    </w:div>
    <w:div w:id="1903172661">
      <w:bodyDiv w:val="1"/>
      <w:marLeft w:val="0"/>
      <w:marRight w:val="0"/>
      <w:marTop w:val="0"/>
      <w:marBottom w:val="0"/>
      <w:divBdr>
        <w:top w:val="none" w:sz="0" w:space="0" w:color="auto"/>
        <w:left w:val="none" w:sz="0" w:space="0" w:color="auto"/>
        <w:bottom w:val="none" w:sz="0" w:space="0" w:color="auto"/>
        <w:right w:val="none" w:sz="0" w:space="0" w:color="auto"/>
      </w:divBdr>
    </w:div>
    <w:div w:id="1963685127">
      <w:bodyDiv w:val="1"/>
      <w:marLeft w:val="0"/>
      <w:marRight w:val="0"/>
      <w:marTop w:val="0"/>
      <w:marBottom w:val="0"/>
      <w:divBdr>
        <w:top w:val="none" w:sz="0" w:space="0" w:color="auto"/>
        <w:left w:val="none" w:sz="0" w:space="0" w:color="auto"/>
        <w:bottom w:val="none" w:sz="0" w:space="0" w:color="auto"/>
        <w:right w:val="none" w:sz="0" w:space="0" w:color="auto"/>
      </w:divBdr>
    </w:div>
    <w:div w:id="2016764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AAAJ-07-2020-4667" TargetMode="External"/><Relationship Id="rId13" Type="http://schemas.openxmlformats.org/officeDocument/2006/relationships/hyperlink" Target="https://doi.org/10.2478/izajodm-2021-0001" TargetMode="External"/><Relationship Id="rId18" Type="http://schemas.openxmlformats.org/officeDocument/2006/relationships/hyperlink" Target="https://doi.org/10.1093/heapro/day079" TargetMode="External"/><Relationship Id="rId3" Type="http://schemas.openxmlformats.org/officeDocument/2006/relationships/styles" Target="styles.xml"/><Relationship Id="rId21" Type="http://schemas.openxmlformats.org/officeDocument/2006/relationships/hyperlink" Target="https://doi.org/10.1007/978-3-319-71060-0_102-1" TargetMode="External"/><Relationship Id="rId7" Type="http://schemas.openxmlformats.org/officeDocument/2006/relationships/endnotes" Target="endnotes.xml"/><Relationship Id="rId12" Type="http://schemas.openxmlformats.org/officeDocument/2006/relationships/hyperlink" Target="https://doi.org/10.1111/1467-9566.13008" TargetMode="External"/><Relationship Id="rId17" Type="http://schemas.openxmlformats.org/officeDocument/2006/relationships/hyperlink" Target="https://doi.org/10.1016/B978-0-12-813995-0.00048-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envsci.2021.08.020" TargetMode="External"/><Relationship Id="rId20" Type="http://schemas.openxmlformats.org/officeDocument/2006/relationships/hyperlink" Target="https://doi.org/10.1016/j.scitotenv.2021.1474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223979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0643-023-01456-0" TargetMode="External"/><Relationship Id="rId23" Type="http://schemas.openxmlformats.org/officeDocument/2006/relationships/header" Target="header1.xml"/><Relationship Id="rId10" Type="http://schemas.openxmlformats.org/officeDocument/2006/relationships/hyperlink" Target="https://doi.org/10.1111/roiw.12384" TargetMode="External"/><Relationship Id="rId19" Type="http://schemas.openxmlformats.org/officeDocument/2006/relationships/hyperlink" Target="https://doi.org/10.1186/s12955-020-01423-y" TargetMode="External"/><Relationship Id="rId4" Type="http://schemas.openxmlformats.org/officeDocument/2006/relationships/settings" Target="settings.xml"/><Relationship Id="rId9" Type="http://schemas.openxmlformats.org/officeDocument/2006/relationships/hyperlink" Target="https://doi.org/10.1080/13552074.2020.1753390" TargetMode="External"/><Relationship Id="rId14" Type="http://schemas.openxmlformats.org/officeDocument/2006/relationships/hyperlink" Target="https://doi.org/10.1515/erj-2022-0234" TargetMode="External"/><Relationship Id="rId22" Type="http://schemas.openxmlformats.org/officeDocument/2006/relationships/hyperlink" Target="https://doi.org/10.4102/apsdpr.v9i1.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0AFE-2109-4385-B7C7-8267CCDC6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5221</Words>
  <Characters>33642</Characters>
  <Application>Microsoft Office Word</Application>
  <DocSecurity>0</DocSecurity>
  <Lines>530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Catalina Tihulca (2027642)</cp:lastModifiedBy>
  <cp:revision>4</cp:revision>
  <dcterms:created xsi:type="dcterms:W3CDTF">2023-11-20T14:45:00Z</dcterms:created>
  <dcterms:modified xsi:type="dcterms:W3CDTF">2023-11-20T14:46:00Z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046a08c09ae332981c8f896502c76b9e6dc5161f766c4e760ff18113eb26df15</vt:lpwstr>
  </property>
</Properties>
</file>