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1332B" w14:textId="5BDF548A" w:rsidR="00FC7961" w:rsidRPr="00DE777F" w:rsidRDefault="004262E4">
      <w:pPr>
        <w:rPr>
          <w:rFonts w:ascii="Arial" w:hAnsi="Arial" w:cs="Arial"/>
        </w:rPr>
      </w:pPr>
      <w:r w:rsidRPr="00DE777F">
        <w:rPr>
          <w:rFonts w:ascii="Arial" w:hAnsi="Arial" w:cs="Arial"/>
          <w:color w:val="0D0D0D"/>
          <w:shd w:val="clear" w:color="auto" w:fill="FFFFFF"/>
        </w:rPr>
        <w:t xml:space="preserve"> </w:t>
      </w:r>
      <w:r w:rsidR="0004210A" w:rsidRPr="00DE777F">
        <w:rPr>
          <w:rFonts w:ascii="Arial" w:hAnsi="Arial" w:cs="Arial"/>
          <w:color w:val="0D0D0D"/>
          <w:shd w:val="clear" w:color="auto" w:fill="FFFFFF"/>
        </w:rPr>
        <w:t xml:space="preserve">Diabetes Mellitus: </w:t>
      </w:r>
      <w:r w:rsidR="0004210A" w:rsidRPr="00DE777F">
        <w:rPr>
          <w:rFonts w:ascii="Arial" w:hAnsi="Arial" w:cs="Arial"/>
          <w:color w:val="0D0D0D"/>
          <w:shd w:val="clear" w:color="auto" w:fill="FFFFFF"/>
        </w:rPr>
        <w:t xml:space="preserve"> Narrative </w:t>
      </w:r>
      <w:r w:rsidR="0004210A" w:rsidRPr="00DE777F">
        <w:rPr>
          <w:rFonts w:ascii="Arial" w:hAnsi="Arial" w:cs="Arial"/>
          <w:color w:val="0D0D0D"/>
          <w:shd w:val="clear" w:color="auto" w:fill="FFFFFF"/>
        </w:rPr>
        <w:t xml:space="preserve">Review of Epidemiology, </w:t>
      </w:r>
      <w:proofErr w:type="spellStart"/>
      <w:r w:rsidR="0004210A" w:rsidRPr="00DE777F">
        <w:rPr>
          <w:rFonts w:ascii="Arial" w:hAnsi="Arial" w:cs="Arial"/>
          <w:color w:val="0D0D0D"/>
          <w:shd w:val="clear" w:color="auto" w:fill="FFFFFF"/>
        </w:rPr>
        <w:t>Aetiology</w:t>
      </w:r>
      <w:proofErr w:type="spellEnd"/>
      <w:r w:rsidR="0004210A" w:rsidRPr="00DE777F">
        <w:rPr>
          <w:rFonts w:ascii="Arial" w:hAnsi="Arial" w:cs="Arial"/>
          <w:color w:val="0D0D0D"/>
          <w:shd w:val="clear" w:color="auto" w:fill="FFFFFF"/>
        </w:rPr>
        <w:t>, Impact, and Musculoskeletal Management</w:t>
      </w:r>
    </w:p>
    <w:p w14:paraId="2ACDE733" w14:textId="5A215B87" w:rsidR="00046384" w:rsidRPr="00DE777F" w:rsidRDefault="70A44F08">
      <w:pPr>
        <w:rPr>
          <w:rFonts w:ascii="Arial" w:hAnsi="Arial" w:cs="Arial"/>
        </w:rPr>
      </w:pPr>
      <w:r w:rsidRPr="00DE777F">
        <w:rPr>
          <w:rFonts w:ascii="Arial" w:hAnsi="Arial" w:cs="Arial"/>
        </w:rPr>
        <w:t xml:space="preserve">Introduction: </w:t>
      </w:r>
    </w:p>
    <w:p w14:paraId="058D30E3" w14:textId="54CEA88F" w:rsidR="00046384" w:rsidRPr="00DE777F" w:rsidRDefault="70A44F08" w:rsidP="61E85EAF">
      <w:pPr>
        <w:rPr>
          <w:rFonts w:ascii="Arial" w:hAnsi="Arial" w:cs="Arial"/>
        </w:rPr>
      </w:pPr>
      <w:r w:rsidRPr="00DE777F">
        <w:rPr>
          <w:rFonts w:ascii="Arial" w:hAnsi="Arial" w:cs="Arial"/>
        </w:rPr>
        <w:t xml:space="preserve">Conducting a thorough review of the available literature on diabetes involves a systematic approach to gathering and synthesizing information from various sources. The search strategy typically includes </w:t>
      </w:r>
      <w:proofErr w:type="spellStart"/>
      <w:r w:rsidRPr="00DE777F">
        <w:rPr>
          <w:rFonts w:ascii="Arial" w:hAnsi="Arial" w:cs="Arial"/>
        </w:rPr>
        <w:t>utili</w:t>
      </w:r>
      <w:r w:rsidR="0004210A" w:rsidRPr="00DE777F">
        <w:rPr>
          <w:rFonts w:ascii="Arial" w:hAnsi="Arial" w:cs="Arial"/>
        </w:rPr>
        <w:t>s</w:t>
      </w:r>
      <w:r w:rsidRPr="00DE777F">
        <w:rPr>
          <w:rFonts w:ascii="Arial" w:hAnsi="Arial" w:cs="Arial"/>
        </w:rPr>
        <w:t>ing</w:t>
      </w:r>
      <w:proofErr w:type="spellEnd"/>
      <w:r w:rsidRPr="00DE777F">
        <w:rPr>
          <w:rFonts w:ascii="Arial" w:hAnsi="Arial" w:cs="Arial"/>
        </w:rPr>
        <w:t xml:space="preserve"> electronic databases such as PubMed, Embase, and Google Scholar, employing relevant keywords such as "diabetes," "epidemiology," "aetiology," and "musculoskeletal management." Additionally, manual searches of key journals and reference lists of relevant articles are conducted to ensure comprehensiveness. This narrative review aims to provide insights into the epidemiology, aetiology, impact, and principles of musculoskeletal management of diabetes, based on </w:t>
      </w:r>
      <w:r w:rsidR="00525745" w:rsidRPr="00DE777F">
        <w:rPr>
          <w:rFonts w:ascii="Arial" w:hAnsi="Arial" w:cs="Arial"/>
        </w:rPr>
        <w:t xml:space="preserve">a </w:t>
      </w:r>
      <w:r w:rsidRPr="00DE777F">
        <w:rPr>
          <w:rFonts w:ascii="Arial" w:hAnsi="Arial" w:cs="Arial"/>
        </w:rPr>
        <w:t xml:space="preserve">synthesis of the existing literature. </w:t>
      </w:r>
    </w:p>
    <w:p w14:paraId="3F6885B8" w14:textId="6BC02A7B" w:rsidR="00046384" w:rsidRPr="00DE777F" w:rsidRDefault="70A44F08" w:rsidP="61E85EAF">
      <w:pPr>
        <w:rPr>
          <w:rFonts w:ascii="Arial" w:hAnsi="Arial" w:cs="Arial"/>
        </w:rPr>
      </w:pPr>
      <w:r w:rsidRPr="00DE777F">
        <w:rPr>
          <w:rFonts w:ascii="Arial" w:hAnsi="Arial" w:cs="Arial"/>
        </w:rPr>
        <w:t xml:space="preserve"> </w:t>
      </w:r>
    </w:p>
    <w:p w14:paraId="5DE3B54A" w14:textId="206CAC8E" w:rsidR="00046384" w:rsidRPr="00DE777F" w:rsidRDefault="70A44F08" w:rsidP="61E85EAF">
      <w:pPr>
        <w:rPr>
          <w:rFonts w:ascii="Arial" w:hAnsi="Arial" w:cs="Arial"/>
        </w:rPr>
      </w:pPr>
      <w:r w:rsidRPr="00DE777F">
        <w:rPr>
          <w:rFonts w:ascii="Arial" w:hAnsi="Arial" w:cs="Arial"/>
        </w:rPr>
        <w:t xml:space="preserve">Diabetes mellitus, a chronic metabolic disorder, stands as a prevalent health challenge globally, characterized by persistently elevated blood glucose levels. This condition exerts its influence on millions of individuals worldwide, impacting their health, well-being, and quality of life. According to data provided by the World Health Organization (WHO), the burden of diabetes has been steadily increasing over the years. In 2014, an estimated 422 million adults were living with diabetes, and projections indicate a staggering rise to 642 million by the year 2040. This trend underscores the urgent need for effective prevention and management strategies to mitigate the impact of diabetes on public health. </w:t>
      </w:r>
    </w:p>
    <w:p w14:paraId="77FB49D3" w14:textId="40EE868E" w:rsidR="00046384" w:rsidRPr="00DE777F" w:rsidRDefault="70A44F08" w:rsidP="61E85EAF">
      <w:pPr>
        <w:rPr>
          <w:rFonts w:ascii="Arial" w:hAnsi="Arial" w:cs="Arial"/>
        </w:rPr>
      </w:pPr>
      <w:r w:rsidRPr="00DE777F">
        <w:rPr>
          <w:rFonts w:ascii="Arial" w:hAnsi="Arial" w:cs="Arial"/>
        </w:rPr>
        <w:t xml:space="preserve">The prevalence of diabetes </w:t>
      </w:r>
      <w:r w:rsidR="006042CF" w:rsidRPr="00DE777F">
        <w:rPr>
          <w:rFonts w:ascii="Arial" w:hAnsi="Arial" w:cs="Arial"/>
        </w:rPr>
        <w:t>varies across</w:t>
      </w:r>
      <w:r w:rsidRPr="00DE777F">
        <w:rPr>
          <w:rFonts w:ascii="Arial" w:hAnsi="Arial" w:cs="Arial"/>
        </w:rPr>
        <w:t xml:space="preserve"> regions, with higher rates observed in low- and middle-income countries compared to high-income countries. This disparity is attributed to various factors, including differences in lifestyle habits, genetic predisposition, access to healthcare services, and socioeconomic determinants of health. In low- and middle-income countries, rapid urbanization, sedentary lifestyles, and changes in dietary patterns have contributed to the escalating prevalence of diabetes, presenting complex challenges for healthcare systems in these regions. </w:t>
      </w:r>
    </w:p>
    <w:p w14:paraId="3B914829" w14:textId="33B1A33D" w:rsidR="00046384" w:rsidRPr="00DE777F" w:rsidRDefault="53BBDB8A" w:rsidP="61E85EAF">
      <w:pPr>
        <w:rPr>
          <w:rFonts w:ascii="Arial" w:hAnsi="Arial" w:cs="Arial"/>
        </w:rPr>
      </w:pPr>
      <w:r w:rsidRPr="00DE777F">
        <w:rPr>
          <w:rFonts w:ascii="Arial" w:hAnsi="Arial" w:cs="Arial"/>
        </w:rPr>
        <w:t>Beyond its direct impact on individuals' health, diabetes imposes a substantial economic burden on healthcare systems and societies.</w:t>
      </w:r>
      <w:r w:rsidR="70A44F08" w:rsidRPr="00DE777F">
        <w:rPr>
          <w:rFonts w:ascii="Arial" w:hAnsi="Arial" w:cs="Arial"/>
        </w:rPr>
        <w:t xml:space="preserve"> The management of diabetes-related complications, including cardiovascular disease, renal failure, neuropathy, and diabetic foot complications, necessitates significant healthcare expenditures. Moreover, diabetes-related productivity losses, stemming from disability, absenteeism, and premature mortality, further exacerbate the economic burden of the disease. The economic ramifications of diabetes extend beyond healthcare expenditures to </w:t>
      </w:r>
      <w:r w:rsidR="70A44F08" w:rsidRPr="00DE777F">
        <w:rPr>
          <w:rFonts w:ascii="Arial" w:hAnsi="Arial" w:cs="Arial"/>
        </w:rPr>
        <w:lastRenderedPageBreak/>
        <w:t xml:space="preserve">encompass broader societal costs, including reduced productivity, decreased quality of life, and socioeconomic disparities. </w:t>
      </w:r>
    </w:p>
    <w:p w14:paraId="2C078E63" w14:textId="0424775E" w:rsidR="00046384" w:rsidRPr="00DE777F" w:rsidRDefault="70A44F08" w:rsidP="61E85EAF">
      <w:pPr>
        <w:rPr>
          <w:rFonts w:ascii="Arial" w:hAnsi="Arial" w:cs="Arial"/>
        </w:rPr>
      </w:pPr>
      <w:r w:rsidRPr="00DE777F">
        <w:rPr>
          <w:rFonts w:ascii="Arial" w:hAnsi="Arial" w:cs="Arial"/>
        </w:rPr>
        <w:t>Addressing the global burden of diabetes requires a comprehensive approach that addresses individual and population-level factors. Efforts to prevent and manage diabetes must encompass health promotion, early detection, access to quality healthcare services, and policy interventions targeting modifiable risk factors such as unhealthy diet, physical inactivity, and obesity. Additionally, strategies aimed at improving health literacy, fostering community engagement, and strengthening healthcare infrastructure are essential for achieving meaningful progress in diabetes prevention and control.</w:t>
      </w:r>
    </w:p>
    <w:p w14:paraId="6B072AB2" w14:textId="6135EB3D" w:rsidR="61E85EAF" w:rsidRPr="00DE777F" w:rsidRDefault="61E85EAF" w:rsidP="61E85EAF">
      <w:pPr>
        <w:rPr>
          <w:rFonts w:ascii="Arial" w:hAnsi="Arial" w:cs="Arial"/>
        </w:rPr>
      </w:pPr>
    </w:p>
    <w:p w14:paraId="77B6367E" w14:textId="2888082B" w:rsidR="592846C4" w:rsidRPr="00DE777F" w:rsidRDefault="592846C4" w:rsidP="61E85EAF">
      <w:pPr>
        <w:rPr>
          <w:rFonts w:ascii="Arial" w:hAnsi="Arial" w:cs="Arial"/>
        </w:rPr>
      </w:pPr>
      <w:r w:rsidRPr="00DE777F">
        <w:rPr>
          <w:rFonts w:ascii="Arial" w:hAnsi="Arial" w:cs="Arial"/>
        </w:rPr>
        <w:t>Aetiol</w:t>
      </w:r>
      <w:r w:rsidR="005424E7" w:rsidRPr="00DE777F">
        <w:rPr>
          <w:rFonts w:ascii="Arial" w:hAnsi="Arial" w:cs="Arial"/>
        </w:rPr>
        <w:t>o</w:t>
      </w:r>
      <w:r w:rsidRPr="00DE777F">
        <w:rPr>
          <w:rFonts w:ascii="Arial" w:hAnsi="Arial" w:cs="Arial"/>
        </w:rPr>
        <w:t>gy</w:t>
      </w:r>
    </w:p>
    <w:p w14:paraId="67F031BD" w14:textId="77777777" w:rsidR="00F5305D" w:rsidRPr="00DE777F" w:rsidRDefault="00F5305D" w:rsidP="00F5305D">
      <w:pPr>
        <w:spacing w:before="300" w:after="300"/>
        <w:rPr>
          <w:rFonts w:ascii="Arial" w:eastAsia="ui-sans-serif" w:hAnsi="Arial" w:cs="Arial"/>
          <w:color w:val="0D0D0D" w:themeColor="text1" w:themeTint="F2"/>
        </w:rPr>
      </w:pPr>
      <w:r w:rsidRPr="00DE777F">
        <w:rPr>
          <w:rFonts w:ascii="Arial" w:eastAsia="ui-sans-serif" w:hAnsi="Arial" w:cs="Arial"/>
          <w:color w:val="0D0D0D" w:themeColor="text1" w:themeTint="F2"/>
        </w:rPr>
        <w:t xml:space="preserve">The </w:t>
      </w:r>
      <w:proofErr w:type="spellStart"/>
      <w:r w:rsidRPr="00DE777F">
        <w:rPr>
          <w:rFonts w:ascii="Arial" w:eastAsia="ui-sans-serif" w:hAnsi="Arial" w:cs="Arial"/>
          <w:color w:val="0D0D0D" w:themeColor="text1" w:themeTint="F2"/>
        </w:rPr>
        <w:t>aetiology</w:t>
      </w:r>
      <w:proofErr w:type="spellEnd"/>
      <w:r w:rsidRPr="00DE777F">
        <w:rPr>
          <w:rFonts w:ascii="Arial" w:eastAsia="ui-sans-serif" w:hAnsi="Arial" w:cs="Arial"/>
          <w:color w:val="0D0D0D" w:themeColor="text1" w:themeTint="F2"/>
        </w:rPr>
        <w:t xml:space="preserve"> of diabetes is a multifaceted interplay between genetic, environmental, and lifestyle factors, contributing to its diverse manifestations (American Diabetes Association [ADA], 2021). Type 1 diabetes arises from an autoimmune process whereby the body's immune system erroneously targets and destroys pancreatic beta cells, responsible for producing insulin (ADA, 2021). This autoimmune destruction leads to an absolute deficiency of insulin, resulting in uncontrolled blood glucose levels (ADA, 2021). Genetic susceptibility plays a pivotal role in the development of type 1 diabetes, with specific human leukocyte antigen (HLA) alleles, such as HLA-DR3 and HLA-DR4, being strongly associated with disease susceptibility (ADA, 2021). Additionally, environmental triggers, such as viral infections or dietary factors, may precipitate the autoimmune response in genetically predisposed individuals, further exacerbating pancreatic beta cell destruction (ADA, 2021).</w:t>
      </w:r>
    </w:p>
    <w:p w14:paraId="04B100EC" w14:textId="77777777" w:rsidR="00F5305D" w:rsidRPr="00DE777F" w:rsidRDefault="00F5305D" w:rsidP="00F5305D">
      <w:pPr>
        <w:spacing w:before="300" w:after="300"/>
        <w:rPr>
          <w:rFonts w:ascii="Arial" w:eastAsia="ui-sans-serif" w:hAnsi="Arial" w:cs="Arial"/>
          <w:color w:val="0D0D0D" w:themeColor="text1" w:themeTint="F2"/>
        </w:rPr>
      </w:pPr>
    </w:p>
    <w:p w14:paraId="157D085F" w14:textId="77777777" w:rsidR="00F5305D" w:rsidRPr="00DE777F" w:rsidRDefault="00F5305D" w:rsidP="00F5305D">
      <w:pPr>
        <w:spacing w:before="300" w:after="300"/>
        <w:rPr>
          <w:rFonts w:ascii="Arial" w:eastAsia="ui-sans-serif" w:hAnsi="Arial" w:cs="Arial"/>
          <w:color w:val="0D0D0D" w:themeColor="text1" w:themeTint="F2"/>
        </w:rPr>
      </w:pPr>
      <w:r w:rsidRPr="00DE777F">
        <w:rPr>
          <w:rFonts w:ascii="Arial" w:eastAsia="ui-sans-serif" w:hAnsi="Arial" w:cs="Arial"/>
          <w:color w:val="0D0D0D" w:themeColor="text1" w:themeTint="F2"/>
        </w:rPr>
        <w:t xml:space="preserve">In contrast, type 2 diabetes primarily stems from a combination of insulin resistance and impaired insulin secretion, leading to relative insulin deficiency (ADA, 2021). Insulin resistance refers to the reduced responsiveness of target tissues, such as muscle, liver, and adipose tissue, to the action of insulin, impairing glucose uptake and utilization (ADA, 2021). This insulin resistance is often accompanied by compensatory hyperinsulinemia as the pancreas attempts to overcome insulin resistance by producing more insulin (ADA, 2021). However, over time, pancreatic beta cells may become exhausted, resulting in decreased insulin secretion and progressive hyperglycemia (ADA, 2021). The </w:t>
      </w:r>
      <w:proofErr w:type="spellStart"/>
      <w:r w:rsidRPr="00DE777F">
        <w:rPr>
          <w:rFonts w:ascii="Arial" w:eastAsia="ui-sans-serif" w:hAnsi="Arial" w:cs="Arial"/>
          <w:color w:val="0D0D0D" w:themeColor="text1" w:themeTint="F2"/>
        </w:rPr>
        <w:t>aetiology</w:t>
      </w:r>
      <w:proofErr w:type="spellEnd"/>
      <w:r w:rsidRPr="00DE777F">
        <w:rPr>
          <w:rFonts w:ascii="Arial" w:eastAsia="ui-sans-serif" w:hAnsi="Arial" w:cs="Arial"/>
          <w:color w:val="0D0D0D" w:themeColor="text1" w:themeTint="F2"/>
        </w:rPr>
        <w:t xml:space="preserve"> of type 2 diabetes is complex and multifactorial, with numerous genetic and environmental factors contributing to its development (ADA, 2021).</w:t>
      </w:r>
    </w:p>
    <w:p w14:paraId="78B6E58C" w14:textId="77777777" w:rsidR="00F5305D" w:rsidRPr="00DE777F" w:rsidRDefault="00F5305D" w:rsidP="00F5305D">
      <w:pPr>
        <w:spacing w:before="300" w:after="300"/>
        <w:rPr>
          <w:rFonts w:ascii="Arial" w:eastAsia="ui-sans-serif" w:hAnsi="Arial" w:cs="Arial"/>
          <w:color w:val="0D0D0D" w:themeColor="text1" w:themeTint="F2"/>
        </w:rPr>
      </w:pPr>
    </w:p>
    <w:p w14:paraId="1B911F2D" w14:textId="0603F1F9" w:rsidR="00F5305D" w:rsidRPr="00DE777F" w:rsidRDefault="00F5305D" w:rsidP="00F5305D">
      <w:pPr>
        <w:spacing w:before="300" w:after="300"/>
        <w:rPr>
          <w:rFonts w:ascii="Arial" w:eastAsia="ui-sans-serif" w:hAnsi="Arial" w:cs="Arial"/>
          <w:color w:val="0D0D0D" w:themeColor="text1" w:themeTint="F2"/>
        </w:rPr>
      </w:pPr>
      <w:r w:rsidRPr="00DE777F">
        <w:rPr>
          <w:rFonts w:ascii="Arial" w:eastAsia="ui-sans-serif" w:hAnsi="Arial" w:cs="Arial"/>
          <w:color w:val="0D0D0D" w:themeColor="text1" w:themeTint="F2"/>
        </w:rPr>
        <w:t>Several risk factors are associated with an increased likelihood of developing type 2 diabetes, including obesity, sedentary lifestyle, unhealthy dietary habits, family history of diabetes, and certain ethnicities, such as African American, Hispanic, Native American, and South Asian populations (ADA, 2021). Obesity</w:t>
      </w:r>
      <w:proofErr w:type="gramStart"/>
      <w:r w:rsidRPr="00DE777F">
        <w:rPr>
          <w:rFonts w:ascii="Arial" w:eastAsia="ui-sans-serif" w:hAnsi="Arial" w:cs="Arial"/>
          <w:color w:val="0D0D0D" w:themeColor="text1" w:themeTint="F2"/>
        </w:rPr>
        <w:t>, in particular, plays</w:t>
      </w:r>
      <w:proofErr w:type="gramEnd"/>
      <w:r w:rsidRPr="00DE777F">
        <w:rPr>
          <w:rFonts w:ascii="Arial" w:eastAsia="ui-sans-serif" w:hAnsi="Arial" w:cs="Arial"/>
          <w:color w:val="0D0D0D" w:themeColor="text1" w:themeTint="F2"/>
        </w:rPr>
        <w:t xml:space="preserve"> a central role in the pathogenesis of type 2 diabetes, as excess adiposity promotes insulin resistance and dysregulation of glucose metabolism (ADA, 2021). Furthermore, sedentary </w:t>
      </w:r>
      <w:proofErr w:type="spellStart"/>
      <w:r w:rsidRPr="00DE777F">
        <w:rPr>
          <w:rFonts w:ascii="Arial" w:eastAsia="ui-sans-serif" w:hAnsi="Arial" w:cs="Arial"/>
          <w:color w:val="0D0D0D" w:themeColor="text1" w:themeTint="F2"/>
        </w:rPr>
        <w:t>behavio</w:t>
      </w:r>
      <w:r w:rsidR="00D5202D" w:rsidRPr="00DE777F">
        <w:rPr>
          <w:rFonts w:ascii="Arial" w:eastAsia="ui-sans-serif" w:hAnsi="Arial" w:cs="Arial"/>
          <w:color w:val="0D0D0D" w:themeColor="text1" w:themeTint="F2"/>
        </w:rPr>
        <w:t>u</w:t>
      </w:r>
      <w:r w:rsidRPr="00DE777F">
        <w:rPr>
          <w:rFonts w:ascii="Arial" w:eastAsia="ui-sans-serif" w:hAnsi="Arial" w:cs="Arial"/>
          <w:color w:val="0D0D0D" w:themeColor="text1" w:themeTint="F2"/>
        </w:rPr>
        <w:t>r</w:t>
      </w:r>
      <w:proofErr w:type="spellEnd"/>
      <w:r w:rsidRPr="00DE777F">
        <w:rPr>
          <w:rFonts w:ascii="Arial" w:eastAsia="ui-sans-serif" w:hAnsi="Arial" w:cs="Arial"/>
          <w:color w:val="0D0D0D" w:themeColor="text1" w:themeTint="F2"/>
        </w:rPr>
        <w:t xml:space="preserve"> and poor dietary choices exacerbate insulin resistance and contribute to weight gain, further increasing the risk of developing type 2 diabetes (ADA, 2021).</w:t>
      </w:r>
    </w:p>
    <w:p w14:paraId="2965C9CE" w14:textId="77777777" w:rsidR="00F5305D" w:rsidRPr="00DE777F" w:rsidRDefault="00F5305D" w:rsidP="00F5305D">
      <w:pPr>
        <w:spacing w:before="300" w:after="300"/>
        <w:rPr>
          <w:rFonts w:ascii="Arial" w:eastAsia="ui-sans-serif" w:hAnsi="Arial" w:cs="Arial"/>
          <w:color w:val="0D0D0D" w:themeColor="text1" w:themeTint="F2"/>
        </w:rPr>
      </w:pPr>
    </w:p>
    <w:p w14:paraId="40FBB01D" w14:textId="77777777" w:rsidR="00F5305D" w:rsidRPr="00DE777F" w:rsidRDefault="00F5305D" w:rsidP="00F5305D">
      <w:pPr>
        <w:spacing w:before="300" w:after="300"/>
        <w:rPr>
          <w:rFonts w:ascii="Arial" w:eastAsia="ui-sans-serif" w:hAnsi="Arial" w:cs="Arial"/>
          <w:color w:val="0D0D0D" w:themeColor="text1" w:themeTint="F2"/>
        </w:rPr>
      </w:pPr>
      <w:r w:rsidRPr="00DE777F">
        <w:rPr>
          <w:rFonts w:ascii="Arial" w:eastAsia="ui-sans-serif" w:hAnsi="Arial" w:cs="Arial"/>
          <w:color w:val="0D0D0D" w:themeColor="text1" w:themeTint="F2"/>
        </w:rPr>
        <w:t xml:space="preserve">Gestational diabetes mellitus (GDM) represents another form of diabetes with a distinct </w:t>
      </w:r>
      <w:proofErr w:type="spellStart"/>
      <w:r w:rsidRPr="00DE777F">
        <w:rPr>
          <w:rFonts w:ascii="Arial" w:eastAsia="ui-sans-serif" w:hAnsi="Arial" w:cs="Arial"/>
          <w:color w:val="0D0D0D" w:themeColor="text1" w:themeTint="F2"/>
        </w:rPr>
        <w:t>aetiology</w:t>
      </w:r>
      <w:proofErr w:type="spellEnd"/>
      <w:r w:rsidRPr="00DE777F">
        <w:rPr>
          <w:rFonts w:ascii="Arial" w:eastAsia="ui-sans-serif" w:hAnsi="Arial" w:cs="Arial"/>
          <w:color w:val="0D0D0D" w:themeColor="text1" w:themeTint="F2"/>
        </w:rPr>
        <w:t>, occurring during pregnancy due to hormonal changes and insulin resistance (ADA, 2021). Pregnancy-induced insulin resistance, coupled with inadequate compensatory insulin secretion, results in impaired glucose tolerance and hyperglycemia during pregnancy (ADA, 2021). While GDM typically resolves after childbirth, women with a history of GDM are at increased risk of developing type 2 diabetes later in life, as are their offspring (ADA, 2021). Genetic predisposition, combined with environmental factors such as maternal obesity and gestational weight gain, influences the risk of GDM and its long-term implications for both mother and child (ADA, 2021).</w:t>
      </w:r>
    </w:p>
    <w:p w14:paraId="38E95644" w14:textId="71440D37" w:rsidR="61E85EAF" w:rsidRPr="00DE777F" w:rsidRDefault="3EE14FC1" w:rsidP="61E85EAF">
      <w:pPr>
        <w:spacing w:before="300" w:after="300"/>
        <w:rPr>
          <w:rFonts w:ascii="Arial" w:hAnsi="Arial" w:cs="Arial"/>
        </w:rPr>
      </w:pPr>
      <w:r w:rsidRPr="00DE777F">
        <w:rPr>
          <w:rFonts w:ascii="Arial" w:eastAsia="ui-sans-serif" w:hAnsi="Arial" w:cs="Arial"/>
          <w:color w:val="0D0D0D" w:themeColor="text1" w:themeTint="F2"/>
        </w:rPr>
        <w:t xml:space="preserve">Impact of </w:t>
      </w:r>
      <w:r w:rsidR="00AD0EAC" w:rsidRPr="00DE777F">
        <w:rPr>
          <w:rFonts w:ascii="Arial" w:eastAsia="ui-sans-serif" w:hAnsi="Arial" w:cs="Arial"/>
          <w:color w:val="0D0D0D" w:themeColor="text1" w:themeTint="F2"/>
        </w:rPr>
        <w:t>condition</w:t>
      </w:r>
      <w:r w:rsidRPr="00DE777F">
        <w:rPr>
          <w:rFonts w:ascii="Arial" w:eastAsia="ui-sans-serif" w:hAnsi="Arial" w:cs="Arial"/>
          <w:color w:val="0D0D0D" w:themeColor="text1" w:themeTint="F2"/>
        </w:rPr>
        <w:t xml:space="preserve"> </w:t>
      </w:r>
    </w:p>
    <w:p w14:paraId="30165A1C" w14:textId="7DEC0A23" w:rsidR="00560411" w:rsidRPr="00DE777F" w:rsidRDefault="00560411" w:rsidP="00560411">
      <w:pPr>
        <w:spacing w:before="300" w:after="300"/>
        <w:rPr>
          <w:rFonts w:ascii="Arial" w:eastAsia="ui-sans-serif" w:hAnsi="Arial" w:cs="Arial"/>
          <w:color w:val="0D0D0D" w:themeColor="text1" w:themeTint="F2"/>
        </w:rPr>
      </w:pPr>
      <w:r w:rsidRPr="00DE777F">
        <w:rPr>
          <w:rFonts w:ascii="Arial" w:eastAsia="ui-sans-serif" w:hAnsi="Arial" w:cs="Arial"/>
          <w:color w:val="0D0D0D" w:themeColor="text1" w:themeTint="F2"/>
        </w:rPr>
        <w:t>Diabetes exerts a profound and far-reaching impact on individuals' health and well-being, manifesting as a complex array of complications that affect various organ systems. Chronic hyperglycemia, a hallmark feature of diabetes, serves as a precursor to a multitude of microvascular and macrovascular complications, significantly compromising health outcomes and quality of life (Chen et al., 2018).</w:t>
      </w:r>
    </w:p>
    <w:p w14:paraId="648BA44F" w14:textId="3284503D" w:rsidR="00560411" w:rsidRPr="00DE777F" w:rsidRDefault="00560411" w:rsidP="00560411">
      <w:pPr>
        <w:spacing w:before="300" w:after="300"/>
        <w:rPr>
          <w:rFonts w:ascii="Arial" w:eastAsia="ui-sans-serif" w:hAnsi="Arial" w:cs="Arial"/>
          <w:color w:val="0D0D0D" w:themeColor="text1" w:themeTint="F2"/>
        </w:rPr>
      </w:pPr>
      <w:r w:rsidRPr="00DE777F">
        <w:rPr>
          <w:rFonts w:ascii="Arial" w:eastAsia="ui-sans-serif" w:hAnsi="Arial" w:cs="Arial"/>
          <w:color w:val="0D0D0D" w:themeColor="text1" w:themeTint="F2"/>
        </w:rPr>
        <w:t xml:space="preserve">Microvascular complications represent one of the hallmark consequences of diabetes, primarily affecting small blood vessels throughout the body. Diabetic retinopathy, a leading cause of vision impairment and blindness, arises from damage to the retinal blood vessels, leading to retinal ischemia, </w:t>
      </w:r>
      <w:proofErr w:type="spellStart"/>
      <w:r w:rsidRPr="00DE777F">
        <w:rPr>
          <w:rFonts w:ascii="Arial" w:eastAsia="ui-sans-serif" w:hAnsi="Arial" w:cs="Arial"/>
          <w:color w:val="0D0D0D" w:themeColor="text1" w:themeTint="F2"/>
        </w:rPr>
        <w:t>h</w:t>
      </w:r>
      <w:r w:rsidR="00D5202D" w:rsidRPr="00DE777F">
        <w:rPr>
          <w:rFonts w:ascii="Arial" w:eastAsia="ui-sans-serif" w:hAnsi="Arial" w:cs="Arial"/>
          <w:color w:val="0D0D0D" w:themeColor="text1" w:themeTint="F2"/>
        </w:rPr>
        <w:t>a</w:t>
      </w:r>
      <w:r w:rsidRPr="00DE777F">
        <w:rPr>
          <w:rFonts w:ascii="Arial" w:eastAsia="ui-sans-serif" w:hAnsi="Arial" w:cs="Arial"/>
          <w:color w:val="0D0D0D" w:themeColor="text1" w:themeTint="F2"/>
        </w:rPr>
        <w:t>emorrhage</w:t>
      </w:r>
      <w:proofErr w:type="spellEnd"/>
      <w:r w:rsidRPr="00DE777F">
        <w:rPr>
          <w:rFonts w:ascii="Arial" w:eastAsia="ui-sans-serif" w:hAnsi="Arial" w:cs="Arial"/>
          <w:color w:val="0D0D0D" w:themeColor="text1" w:themeTint="F2"/>
        </w:rPr>
        <w:t xml:space="preserve">, and ultimately, vision loss if left untreated (Cheung et al., 2010). Diabetic nephropathy, </w:t>
      </w:r>
      <w:proofErr w:type="spellStart"/>
      <w:r w:rsidRPr="00DE777F">
        <w:rPr>
          <w:rFonts w:ascii="Arial" w:eastAsia="ui-sans-serif" w:hAnsi="Arial" w:cs="Arial"/>
          <w:color w:val="0D0D0D" w:themeColor="text1" w:themeTint="F2"/>
        </w:rPr>
        <w:t>characteri</w:t>
      </w:r>
      <w:r w:rsidR="00D5202D" w:rsidRPr="00DE777F">
        <w:rPr>
          <w:rFonts w:ascii="Arial" w:eastAsia="ui-sans-serif" w:hAnsi="Arial" w:cs="Arial"/>
          <w:color w:val="0D0D0D" w:themeColor="text1" w:themeTint="F2"/>
        </w:rPr>
        <w:t>s</w:t>
      </w:r>
      <w:r w:rsidRPr="00DE777F">
        <w:rPr>
          <w:rFonts w:ascii="Arial" w:eastAsia="ui-sans-serif" w:hAnsi="Arial" w:cs="Arial"/>
          <w:color w:val="0D0D0D" w:themeColor="text1" w:themeTint="F2"/>
        </w:rPr>
        <w:t>ed</w:t>
      </w:r>
      <w:proofErr w:type="spellEnd"/>
      <w:r w:rsidRPr="00DE777F">
        <w:rPr>
          <w:rFonts w:ascii="Arial" w:eastAsia="ui-sans-serif" w:hAnsi="Arial" w:cs="Arial"/>
          <w:color w:val="0D0D0D" w:themeColor="text1" w:themeTint="F2"/>
        </w:rPr>
        <w:t xml:space="preserve"> by progressive kidney damage and decline in renal function, poses a significant risk of end-stage renal disease (ESRD) if not effectively managed (</w:t>
      </w:r>
      <w:proofErr w:type="spellStart"/>
      <w:r w:rsidRPr="00DE777F">
        <w:rPr>
          <w:rFonts w:ascii="Arial" w:eastAsia="ui-sans-serif" w:hAnsi="Arial" w:cs="Arial"/>
          <w:color w:val="0D0D0D" w:themeColor="text1" w:themeTint="F2"/>
        </w:rPr>
        <w:t>Dronavalli</w:t>
      </w:r>
      <w:proofErr w:type="spellEnd"/>
      <w:r w:rsidRPr="00DE777F">
        <w:rPr>
          <w:rFonts w:ascii="Arial" w:eastAsia="ui-sans-serif" w:hAnsi="Arial" w:cs="Arial"/>
          <w:color w:val="0D0D0D" w:themeColor="text1" w:themeTint="F2"/>
        </w:rPr>
        <w:t xml:space="preserve"> et al., 2008). Similarly, diabetic neuropathy, affecting peripheral nerves, contributes to sensory deficits, neuropathic </w:t>
      </w:r>
      <w:r w:rsidRPr="00DE777F">
        <w:rPr>
          <w:rFonts w:ascii="Arial" w:eastAsia="ui-sans-serif" w:hAnsi="Arial" w:cs="Arial"/>
          <w:color w:val="0D0D0D" w:themeColor="text1" w:themeTint="F2"/>
        </w:rPr>
        <w:lastRenderedPageBreak/>
        <w:t>pain, and increased risk of foot ulcers and amputations, further exacerbating disability and functional impairment (Callaghan et al., 2012).</w:t>
      </w:r>
    </w:p>
    <w:p w14:paraId="4E93D41C" w14:textId="4DBB01FE" w:rsidR="00560411" w:rsidRPr="00DE777F" w:rsidRDefault="00D14669" w:rsidP="00560411">
      <w:pPr>
        <w:spacing w:before="300" w:after="300"/>
        <w:rPr>
          <w:rFonts w:ascii="Arial" w:eastAsia="ui-sans-serif" w:hAnsi="Arial" w:cs="Arial"/>
          <w:color w:val="0D0D0D" w:themeColor="text1" w:themeTint="F2"/>
        </w:rPr>
      </w:pPr>
      <w:r w:rsidRPr="00DE777F">
        <w:rPr>
          <w:rFonts w:ascii="Arial" w:eastAsia="ui-sans-serif" w:hAnsi="Arial" w:cs="Arial"/>
          <w:color w:val="0D0D0D" w:themeColor="text1" w:themeTint="F2"/>
        </w:rPr>
        <w:t>Diabetes escalates the risk of macrovascular diseases like cardiovascular disease (CVD), stroke, and peripheral arterial disease (PAD). Chronic hyperglycemia fosters atherosclerosis, the root cause of CVD, by inducing endothelial dysfunction, inflammation, and dyslipidemia, heightening vulnerability to coronary artery disease, myocardial infarction, and heart failure (Bash et al., 2016). Furthermore, diabetes doubles the stroke risk, with hyperglycemia contributing to cerebrovascular damage and thrombotic events, compounding neurological impairment and mortality rates (O'Donnell et al., 2010). Peripheral arterial disease, featuring narrowed or obstructed limb arteries, poses a substantial risk of limb ischemia, gangrene, and lower-extremity amputations, especially in diabetic individuals (</w:t>
      </w:r>
      <w:proofErr w:type="spellStart"/>
      <w:r w:rsidRPr="00DE777F">
        <w:rPr>
          <w:rFonts w:ascii="Arial" w:eastAsia="ui-sans-serif" w:hAnsi="Arial" w:cs="Arial"/>
          <w:color w:val="0D0D0D" w:themeColor="text1" w:themeTint="F2"/>
        </w:rPr>
        <w:t>Fowkes</w:t>
      </w:r>
      <w:proofErr w:type="spellEnd"/>
      <w:r w:rsidRPr="00DE777F">
        <w:rPr>
          <w:rFonts w:ascii="Arial" w:eastAsia="ui-sans-serif" w:hAnsi="Arial" w:cs="Arial"/>
          <w:color w:val="0D0D0D" w:themeColor="text1" w:themeTint="F2"/>
        </w:rPr>
        <w:t xml:space="preserve"> et al., 2013).</w:t>
      </w:r>
    </w:p>
    <w:p w14:paraId="7D282D7F" w14:textId="77777777" w:rsidR="00E453E5" w:rsidRPr="00DE777F" w:rsidRDefault="00E453E5" w:rsidP="00560411">
      <w:pPr>
        <w:spacing w:before="300" w:after="300"/>
        <w:rPr>
          <w:rFonts w:ascii="Arial" w:eastAsia="ui-sans-serif" w:hAnsi="Arial" w:cs="Arial"/>
          <w:color w:val="0D0D0D" w:themeColor="text1" w:themeTint="F2"/>
        </w:rPr>
      </w:pPr>
      <w:r w:rsidRPr="00DE777F">
        <w:rPr>
          <w:rFonts w:ascii="Arial" w:eastAsia="ui-sans-serif" w:hAnsi="Arial" w:cs="Arial"/>
          <w:color w:val="0D0D0D" w:themeColor="text1" w:themeTint="F2"/>
        </w:rPr>
        <w:t>Diabetes-related foot issues, ranging from ulcers to Charcot neuroarthropathy, present a significant clinical challenge (Lipsky et al., 2020). Ulcers, caused by neuropathy, arterial disease, and trauma, can lead to delayed healing, infection, and limb loss if not promptly treated (Singh et al., 2005). Charcot neuroarthropathy, characterized by bone and joint damage due to repetitive microtrauma and neuropathic changes, increases the risk of deformity and foot ulcers (Shibuya et al., 2015).</w:t>
      </w:r>
    </w:p>
    <w:p w14:paraId="472617E9" w14:textId="50B65002" w:rsidR="7D8634F2" w:rsidRPr="00DE777F" w:rsidRDefault="7D8634F2" w:rsidP="00560411">
      <w:pPr>
        <w:spacing w:before="300" w:after="300"/>
        <w:rPr>
          <w:rFonts w:ascii="Arial" w:eastAsia="ui-sans-serif" w:hAnsi="Arial" w:cs="Arial"/>
          <w:color w:val="0D0D0D" w:themeColor="text1" w:themeTint="F2"/>
        </w:rPr>
      </w:pPr>
      <w:r w:rsidRPr="00DE777F">
        <w:rPr>
          <w:rFonts w:ascii="Arial" w:eastAsia="Arial" w:hAnsi="Arial" w:cs="Arial"/>
          <w:color w:val="000000" w:themeColor="text1"/>
        </w:rPr>
        <w:t xml:space="preserve">Principles of </w:t>
      </w:r>
      <w:r w:rsidR="00E37EC8" w:rsidRPr="00DE777F">
        <w:rPr>
          <w:rFonts w:ascii="Arial" w:eastAsia="Arial" w:hAnsi="Arial" w:cs="Arial"/>
          <w:color w:val="000000" w:themeColor="text1"/>
        </w:rPr>
        <w:t>Musculoskeletal M</w:t>
      </w:r>
      <w:r w:rsidRPr="00DE777F">
        <w:rPr>
          <w:rFonts w:ascii="Arial" w:eastAsia="Arial" w:hAnsi="Arial" w:cs="Arial"/>
          <w:color w:val="000000" w:themeColor="text1"/>
        </w:rPr>
        <w:t>anagement</w:t>
      </w:r>
    </w:p>
    <w:p w14:paraId="714050A1" w14:textId="35EA9569" w:rsidR="005D1BB1" w:rsidRPr="00DE777F" w:rsidRDefault="005D1BB1" w:rsidP="61E85EAF">
      <w:pPr>
        <w:rPr>
          <w:rFonts w:ascii="Arial" w:eastAsia="Arial" w:hAnsi="Arial" w:cs="Arial"/>
          <w:color w:val="000000" w:themeColor="text1"/>
        </w:rPr>
      </w:pPr>
      <w:r w:rsidRPr="00DE777F">
        <w:rPr>
          <w:rFonts w:ascii="Arial" w:eastAsia="Arial" w:hAnsi="Arial" w:cs="Arial"/>
          <w:color w:val="000000" w:themeColor="text1"/>
        </w:rPr>
        <w:t>The management of musculoskeletal complications in diabetes encompasses a multifaceted approach aimed at prevention, early detection, and targeted interventions. Regular screening for musculoskeletal disorders, including diabetic peripheral neuropathy, Charcot neuroarthropathy, and diabetic foot complications, is essential for early identification and intervention (Armstrong et al., 2017). Lifestyle modifications, including weight management, regular physical activity, and smoking cessation, play a pivotal role in preventing musculoskeletal complications and optimizing overall health outcomes (</w:t>
      </w:r>
      <w:proofErr w:type="spellStart"/>
      <w:r w:rsidRPr="00DE777F">
        <w:rPr>
          <w:rFonts w:ascii="Arial" w:eastAsia="Arial" w:hAnsi="Arial" w:cs="Arial"/>
          <w:color w:val="000000" w:themeColor="text1"/>
        </w:rPr>
        <w:t>Cotie</w:t>
      </w:r>
      <w:proofErr w:type="spellEnd"/>
      <w:r w:rsidRPr="00DE777F">
        <w:rPr>
          <w:rFonts w:ascii="Arial" w:eastAsia="Arial" w:hAnsi="Arial" w:cs="Arial"/>
          <w:color w:val="000000" w:themeColor="text1"/>
        </w:rPr>
        <w:t xml:space="preserve"> et al., 2020). Comprehensive foot care, including regular foot examinations, proper footwear selection, and patient education, is crucial for preventing diabetic foot ulcers and amputations (Boulton et al., 2018). Moreover, </w:t>
      </w:r>
      <w:r w:rsidR="00D5202D" w:rsidRPr="00DE777F">
        <w:rPr>
          <w:rFonts w:ascii="Arial" w:eastAsia="Arial" w:hAnsi="Arial" w:cs="Arial"/>
          <w:color w:val="000000" w:themeColor="text1"/>
        </w:rPr>
        <w:t xml:space="preserve">a </w:t>
      </w:r>
      <w:r w:rsidRPr="00DE777F">
        <w:rPr>
          <w:rFonts w:ascii="Arial" w:eastAsia="Arial" w:hAnsi="Arial" w:cs="Arial"/>
          <w:color w:val="000000" w:themeColor="text1"/>
        </w:rPr>
        <w:t xml:space="preserve">multidisciplinary collaboration involving podiatrists, </w:t>
      </w:r>
      <w:proofErr w:type="spellStart"/>
      <w:r w:rsidRPr="00DE777F">
        <w:rPr>
          <w:rFonts w:ascii="Arial" w:eastAsia="Arial" w:hAnsi="Arial" w:cs="Arial"/>
          <w:color w:val="000000" w:themeColor="text1"/>
        </w:rPr>
        <w:t>orthop</w:t>
      </w:r>
      <w:r w:rsidR="00D5202D" w:rsidRPr="00DE777F">
        <w:rPr>
          <w:rFonts w:ascii="Arial" w:eastAsia="Arial" w:hAnsi="Arial" w:cs="Arial"/>
          <w:color w:val="000000" w:themeColor="text1"/>
        </w:rPr>
        <w:t>a</w:t>
      </w:r>
      <w:r w:rsidRPr="00DE777F">
        <w:rPr>
          <w:rFonts w:ascii="Arial" w:eastAsia="Arial" w:hAnsi="Arial" w:cs="Arial"/>
          <w:color w:val="000000" w:themeColor="text1"/>
        </w:rPr>
        <w:t>edic</w:t>
      </w:r>
      <w:proofErr w:type="spellEnd"/>
      <w:r w:rsidRPr="00DE777F">
        <w:rPr>
          <w:rFonts w:ascii="Arial" w:eastAsia="Arial" w:hAnsi="Arial" w:cs="Arial"/>
          <w:color w:val="000000" w:themeColor="text1"/>
        </w:rPr>
        <w:t xml:space="preserve"> surgeons, physical therapists, and diabetes educators is essential for providing coordinated care and optimizing outcomes in individuals with diabetes-related musculoskeletal disorders (Searle et al., 2021).</w:t>
      </w:r>
    </w:p>
    <w:p w14:paraId="6D72F214" w14:textId="77777777" w:rsidR="00D14669" w:rsidRPr="00DE777F" w:rsidRDefault="00D14669" w:rsidP="61E85EAF">
      <w:pPr>
        <w:rPr>
          <w:rFonts w:ascii="Arial" w:hAnsi="Arial" w:cs="Arial"/>
        </w:rPr>
      </w:pPr>
    </w:p>
    <w:p w14:paraId="47834383" w14:textId="1E16D841" w:rsidR="7D8634F2" w:rsidRPr="00DE777F" w:rsidRDefault="006B6AC4" w:rsidP="61E85EAF">
      <w:pPr>
        <w:rPr>
          <w:rFonts w:ascii="Arial" w:hAnsi="Arial" w:cs="Arial"/>
        </w:rPr>
      </w:pPr>
      <w:r w:rsidRPr="00DE777F">
        <w:rPr>
          <w:rFonts w:ascii="Arial" w:hAnsi="Arial" w:cs="Arial"/>
        </w:rPr>
        <w:t>Conclusion</w:t>
      </w:r>
    </w:p>
    <w:p w14:paraId="55658DED" w14:textId="0372BCAF" w:rsidR="7D8634F2" w:rsidRPr="00DE777F" w:rsidRDefault="00B40D66" w:rsidP="61E85EAF">
      <w:pPr>
        <w:rPr>
          <w:rFonts w:ascii="Arial" w:eastAsia="ui-sans-serif" w:hAnsi="Arial" w:cs="Arial"/>
          <w:color w:val="0D0D0D" w:themeColor="text1" w:themeTint="F2"/>
        </w:rPr>
      </w:pPr>
      <w:r w:rsidRPr="00DE777F">
        <w:rPr>
          <w:rFonts w:ascii="Arial" w:eastAsia="ui-sans-serif" w:hAnsi="Arial" w:cs="Arial"/>
          <w:color w:val="0D0D0D" w:themeColor="text1" w:themeTint="F2"/>
        </w:rPr>
        <w:lastRenderedPageBreak/>
        <w:t xml:space="preserve"> I</w:t>
      </w:r>
      <w:r w:rsidRPr="00DE777F">
        <w:rPr>
          <w:rFonts w:ascii="Arial" w:hAnsi="Arial" w:cs="Arial"/>
          <w:color w:val="0D0D0D"/>
          <w:shd w:val="clear" w:color="auto" w:fill="FFFFFF"/>
        </w:rPr>
        <w:t xml:space="preserve">n conclusion, diabetes mellitus poses a significant public health challenge, affecting individuals, healthcare systems, and societal well-being. Our examination of its epidemiology causes, and impact highlights the urgent need for comprehensive understanding and proactive </w:t>
      </w:r>
      <w:r w:rsidRPr="00DE777F">
        <w:rPr>
          <w:rFonts w:ascii="Arial" w:hAnsi="Arial" w:cs="Arial"/>
          <w:color w:val="0D0D0D"/>
          <w:shd w:val="clear" w:color="auto" w:fill="FFFFFF"/>
        </w:rPr>
        <w:t>intervention.</w:t>
      </w:r>
    </w:p>
    <w:p w14:paraId="0F203719" w14:textId="47C53981" w:rsidR="7D8634F2" w:rsidRPr="00DE777F" w:rsidRDefault="7D8634F2" w:rsidP="61E85EAF">
      <w:pPr>
        <w:rPr>
          <w:rFonts w:ascii="Arial" w:hAnsi="Arial" w:cs="Arial"/>
        </w:rPr>
      </w:pPr>
      <w:r w:rsidRPr="00DE777F">
        <w:rPr>
          <w:rFonts w:ascii="Arial" w:eastAsia="ui-sans-serif" w:hAnsi="Arial" w:cs="Arial"/>
          <w:color w:val="0D0D0D" w:themeColor="text1" w:themeTint="F2"/>
        </w:rPr>
        <w:t>Understanding the epidemiological trends and patterns of diabetes prevalence, particularly the projected rise in affected individuals, is paramount for allocating resources, planning interventions, and shaping public health policies. Equally crucial is delving into the multifactorial aetiology of diabetes, which underscores the interplay of genetic, environmental, and lifestyle factors. By grasping the underlying mechanisms driving the onset and progression of diabetes, healthcare professionals are better equipped to devise targeted prevention strategies and personalized treatment plans.</w:t>
      </w:r>
    </w:p>
    <w:p w14:paraId="5AE7B887" w14:textId="63BD2963" w:rsidR="7D8634F2" w:rsidRPr="00DE777F" w:rsidRDefault="7D8634F2" w:rsidP="61E85EAF">
      <w:pPr>
        <w:rPr>
          <w:rFonts w:ascii="Arial" w:hAnsi="Arial" w:cs="Arial"/>
        </w:rPr>
      </w:pPr>
      <w:r w:rsidRPr="00DE777F">
        <w:rPr>
          <w:rFonts w:ascii="Arial" w:eastAsia="ui-sans-serif" w:hAnsi="Arial" w:cs="Arial"/>
          <w:color w:val="0D0D0D" w:themeColor="text1" w:themeTint="F2"/>
        </w:rPr>
        <w:t xml:space="preserve">Moreover, our exploration has illuminated the extensive impact of diabetes on musculoskeletal health, emphasizing the need for a multidisciplinary approach to mitigate complications effectively. </w:t>
      </w:r>
      <w:r w:rsidR="003C75E5" w:rsidRPr="00DE777F">
        <w:rPr>
          <w:rFonts w:ascii="Arial" w:hAnsi="Arial" w:cs="Arial"/>
          <w:color w:val="0D0D0D"/>
          <w:shd w:val="clear" w:color="auto" w:fill="FFFFFF"/>
        </w:rPr>
        <w:t>Early detection of musculoskeletal problems, combined with thorough foot care programs,</w:t>
      </w:r>
      <w:r w:rsidR="003C75E5" w:rsidRPr="00DE777F">
        <w:rPr>
          <w:rFonts w:ascii="Arial" w:hAnsi="Arial" w:cs="Arial"/>
          <w:color w:val="0D0D0D"/>
          <w:shd w:val="clear" w:color="auto" w:fill="FFFFFF"/>
        </w:rPr>
        <w:t xml:space="preserve"> </w:t>
      </w:r>
      <w:r w:rsidRPr="00DE777F">
        <w:rPr>
          <w:rFonts w:ascii="Arial" w:eastAsia="ui-sans-serif" w:hAnsi="Arial" w:cs="Arial"/>
          <w:color w:val="0D0D0D" w:themeColor="text1" w:themeTint="F2"/>
        </w:rPr>
        <w:t xml:space="preserve">plays a pivotal role in preventing debilitating complications such as diabetic foot ulcers and Charcot neuroarthropathy. Furthermore, lifestyle modifications, including physical activity promotion and dietary interventions, are instrumental in optimizing metabolic control and reducing the risk of musculoskeletal complications. Interdisciplinary collaboration among healthcare providers, including podiatrists, </w:t>
      </w:r>
      <w:proofErr w:type="spellStart"/>
      <w:r w:rsidR="006B6AC4" w:rsidRPr="00DE777F">
        <w:rPr>
          <w:rFonts w:ascii="Arial" w:eastAsia="ui-sans-serif" w:hAnsi="Arial" w:cs="Arial"/>
          <w:color w:val="0D0D0D" w:themeColor="text1" w:themeTint="F2"/>
        </w:rPr>
        <w:t>orthop</w:t>
      </w:r>
      <w:r w:rsidR="00D5202D" w:rsidRPr="00DE777F">
        <w:rPr>
          <w:rFonts w:ascii="Arial" w:eastAsia="ui-sans-serif" w:hAnsi="Arial" w:cs="Arial"/>
          <w:color w:val="0D0D0D" w:themeColor="text1" w:themeTint="F2"/>
        </w:rPr>
        <w:t>a</w:t>
      </w:r>
      <w:r w:rsidR="006B6AC4" w:rsidRPr="00DE777F">
        <w:rPr>
          <w:rFonts w:ascii="Arial" w:eastAsia="ui-sans-serif" w:hAnsi="Arial" w:cs="Arial"/>
          <w:color w:val="0D0D0D" w:themeColor="text1" w:themeTint="F2"/>
        </w:rPr>
        <w:t>edic</w:t>
      </w:r>
      <w:proofErr w:type="spellEnd"/>
      <w:r w:rsidRPr="00DE777F">
        <w:rPr>
          <w:rFonts w:ascii="Arial" w:eastAsia="ui-sans-serif" w:hAnsi="Arial" w:cs="Arial"/>
          <w:color w:val="0D0D0D" w:themeColor="text1" w:themeTint="F2"/>
        </w:rPr>
        <w:t xml:space="preserve"> surgeons, physical therapists, and diabetes educators, facilitates holistic care delivery and ensures optimal outcomes for individuals with diabetes-related musculoskeletal issues.</w:t>
      </w:r>
    </w:p>
    <w:p w14:paraId="719A0248" w14:textId="2E01BFC8" w:rsidR="7D8634F2" w:rsidRPr="00DE777F" w:rsidRDefault="7D8634F2" w:rsidP="61E85EAF">
      <w:pPr>
        <w:rPr>
          <w:rFonts w:ascii="Arial" w:hAnsi="Arial" w:cs="Arial"/>
        </w:rPr>
      </w:pPr>
      <w:r w:rsidRPr="00DE777F">
        <w:rPr>
          <w:rFonts w:ascii="Arial" w:eastAsia="ui-sans-serif" w:hAnsi="Arial" w:cs="Arial"/>
          <w:color w:val="0D0D0D" w:themeColor="text1" w:themeTint="F2"/>
        </w:rPr>
        <w:t>By embracing evidence-based musculoskeletal management strategies and fostering interdisciplinary collaboration, healthcare providers can alleviate the burden of musculoskeletal complications in diabetes and enhance the quality of life for affected individuals. Empowering patients with knowledge, resources, and support systems further strengthens their ability to navigate the challenges posed by diabetes and its associated complications.</w:t>
      </w:r>
      <w:r w:rsidR="00D5202D" w:rsidRPr="00DE777F">
        <w:rPr>
          <w:rFonts w:ascii="Arial" w:eastAsia="ui-sans-serif" w:hAnsi="Arial" w:cs="Arial"/>
          <w:color w:val="0D0D0D" w:themeColor="text1" w:themeTint="F2"/>
        </w:rPr>
        <w:t xml:space="preserve"> A </w:t>
      </w:r>
      <w:r w:rsidRPr="00DE777F">
        <w:rPr>
          <w:rFonts w:ascii="Arial" w:eastAsia="ui-sans-serif" w:hAnsi="Arial" w:cs="Arial"/>
          <w:color w:val="0D0D0D" w:themeColor="text1" w:themeTint="F2"/>
        </w:rPr>
        <w:t>concerted effort to address the multifaceted dimensions of diabetes will be essential in realizing meaningful improvements in health outcomes and advancing global efforts towards diabetes prevention, management, and control.</w:t>
      </w:r>
    </w:p>
    <w:p w14:paraId="5845B6B3" w14:textId="2CBF2CB5" w:rsidR="002E7EB7" w:rsidRPr="0004210A" w:rsidRDefault="002E7EB7" w:rsidP="002E7EB7">
      <w:pPr>
        <w:spacing w:before="240" w:after="240"/>
        <w:jc w:val="center"/>
        <w:rPr>
          <w:rFonts w:ascii="Arial" w:eastAsia="ui-sans-serif" w:hAnsi="Arial" w:cs="Arial"/>
          <w:color w:val="0D0D0D" w:themeColor="text1" w:themeTint="F2"/>
        </w:rPr>
      </w:pPr>
      <w:r w:rsidRPr="0004210A">
        <w:rPr>
          <w:rFonts w:ascii="Arial" w:eastAsia="ui-sans-serif" w:hAnsi="Arial" w:cs="Arial"/>
          <w:color w:val="0D0D0D" w:themeColor="text1" w:themeTint="F2"/>
        </w:rPr>
        <w:t xml:space="preserve">Word count </w:t>
      </w:r>
      <w:r w:rsidR="00DE777F">
        <w:rPr>
          <w:rFonts w:ascii="Arial" w:eastAsia="ui-sans-serif" w:hAnsi="Arial" w:cs="Arial"/>
          <w:color w:val="0D0D0D" w:themeColor="text1" w:themeTint="F2"/>
        </w:rPr>
        <w:t>1600</w:t>
      </w:r>
    </w:p>
    <w:p w14:paraId="6BF47B6C" w14:textId="77777777" w:rsidR="002E7EB7" w:rsidRPr="0004210A" w:rsidRDefault="002E7EB7" w:rsidP="00F5305D">
      <w:pPr>
        <w:spacing w:before="240" w:after="240"/>
        <w:rPr>
          <w:rFonts w:ascii="Arial" w:eastAsia="ui-sans-serif" w:hAnsi="Arial" w:cs="Arial"/>
          <w:color w:val="0D0D0D" w:themeColor="text1" w:themeTint="F2"/>
        </w:rPr>
      </w:pPr>
    </w:p>
    <w:p w14:paraId="0100DC39" w14:textId="77777777" w:rsidR="00DE777F" w:rsidRDefault="00DE777F" w:rsidP="00F5305D">
      <w:pPr>
        <w:spacing w:before="240" w:after="240"/>
        <w:rPr>
          <w:rFonts w:ascii="Arial" w:eastAsia="ui-sans-serif" w:hAnsi="Arial" w:cs="Arial"/>
          <w:color w:val="0D0D0D" w:themeColor="text1" w:themeTint="F2"/>
        </w:rPr>
      </w:pPr>
    </w:p>
    <w:p w14:paraId="28A523EC" w14:textId="77777777" w:rsidR="00DE777F" w:rsidRDefault="00DE777F" w:rsidP="00F5305D">
      <w:pPr>
        <w:spacing w:before="240" w:after="240"/>
        <w:rPr>
          <w:rFonts w:ascii="Arial" w:eastAsia="ui-sans-serif" w:hAnsi="Arial" w:cs="Arial"/>
          <w:color w:val="0D0D0D" w:themeColor="text1" w:themeTint="F2"/>
        </w:rPr>
      </w:pPr>
    </w:p>
    <w:p w14:paraId="12ED7A8F" w14:textId="77777777" w:rsidR="00DE777F" w:rsidRDefault="00DE777F" w:rsidP="00F5305D">
      <w:pPr>
        <w:spacing w:before="240" w:after="240"/>
        <w:rPr>
          <w:rFonts w:ascii="Arial" w:eastAsia="ui-sans-serif" w:hAnsi="Arial" w:cs="Arial"/>
          <w:color w:val="0D0D0D" w:themeColor="text1" w:themeTint="F2"/>
        </w:rPr>
      </w:pPr>
    </w:p>
    <w:p w14:paraId="74794F7A" w14:textId="625FDEA6" w:rsidR="7D8634F2" w:rsidRPr="0004210A" w:rsidRDefault="00F5305D" w:rsidP="00F5305D">
      <w:pPr>
        <w:spacing w:before="240" w:after="240"/>
        <w:rPr>
          <w:rFonts w:ascii="Arial" w:eastAsia="ui-sans-serif" w:hAnsi="Arial" w:cs="Arial"/>
          <w:color w:val="0D0D0D" w:themeColor="text1" w:themeTint="F2"/>
        </w:rPr>
      </w:pPr>
      <w:r w:rsidRPr="0004210A">
        <w:rPr>
          <w:rFonts w:ascii="Arial" w:eastAsia="ui-sans-serif" w:hAnsi="Arial" w:cs="Arial"/>
          <w:color w:val="0D0D0D" w:themeColor="text1" w:themeTint="F2"/>
        </w:rPr>
        <w:lastRenderedPageBreak/>
        <w:t xml:space="preserve">Reference </w:t>
      </w:r>
    </w:p>
    <w:p w14:paraId="0AD5771E" w14:textId="5EC48954" w:rsidR="00F5305D" w:rsidRPr="0004210A" w:rsidRDefault="00F44140" w:rsidP="00F5305D">
      <w:pPr>
        <w:spacing w:before="240" w:after="240"/>
        <w:rPr>
          <w:rFonts w:ascii="Arial" w:eastAsia="ui-sans-serif" w:hAnsi="Arial" w:cs="Arial"/>
          <w:color w:val="0D0D0D" w:themeColor="text1" w:themeTint="F2"/>
        </w:rPr>
      </w:pPr>
      <w:r w:rsidRPr="0004210A">
        <w:rPr>
          <w:rFonts w:ascii="Arial" w:eastAsia="ui-sans-serif" w:hAnsi="Arial" w:cs="Arial"/>
          <w:color w:val="0D0D0D" w:themeColor="text1" w:themeTint="F2"/>
        </w:rPr>
        <w:t>American Diabetes Association. (2021). Standards of Medical Care in Diabetes—2021.</w:t>
      </w:r>
    </w:p>
    <w:p w14:paraId="4973AB3B" w14:textId="08105454" w:rsidR="00E37EC8" w:rsidRPr="0004210A" w:rsidRDefault="00E37EC8" w:rsidP="00E37EC8">
      <w:pPr>
        <w:spacing w:before="240" w:after="240"/>
        <w:rPr>
          <w:rFonts w:ascii="Arial" w:eastAsia="ui-sans-serif" w:hAnsi="Arial" w:cs="Arial"/>
          <w:color w:val="0D0D0D" w:themeColor="text1" w:themeTint="F2"/>
        </w:rPr>
      </w:pPr>
      <w:r w:rsidRPr="0004210A">
        <w:rPr>
          <w:rFonts w:ascii="Arial" w:eastAsia="ui-sans-serif" w:hAnsi="Arial" w:cs="Arial"/>
          <w:color w:val="0D0D0D" w:themeColor="text1" w:themeTint="F2"/>
        </w:rPr>
        <w:t xml:space="preserve">Bash, L. D., Selvin, E., </w:t>
      </w:r>
      <w:proofErr w:type="spellStart"/>
      <w:r w:rsidRPr="0004210A">
        <w:rPr>
          <w:rFonts w:ascii="Arial" w:eastAsia="ui-sans-serif" w:hAnsi="Arial" w:cs="Arial"/>
          <w:color w:val="0D0D0D" w:themeColor="text1" w:themeTint="F2"/>
        </w:rPr>
        <w:t>Steffes</w:t>
      </w:r>
      <w:proofErr w:type="spellEnd"/>
      <w:r w:rsidRPr="0004210A">
        <w:rPr>
          <w:rFonts w:ascii="Arial" w:eastAsia="ui-sans-serif" w:hAnsi="Arial" w:cs="Arial"/>
          <w:color w:val="0D0D0D" w:themeColor="text1" w:themeTint="F2"/>
        </w:rPr>
        <w:t xml:space="preserve">, M., Coresh, J., &amp; Astor, B. C. (2016). Poor glycemic control in diabetes and the risk of incident chronic kidney disease even in the absence of albuminuria and retinopathy: Atherosclerosis Risk in Communities (ARIC) Study. Archives of Internal </w:t>
      </w:r>
      <w:r w:rsidR="00763921" w:rsidRPr="0004210A">
        <w:rPr>
          <w:rFonts w:ascii="Arial" w:eastAsia="ui-sans-serif" w:hAnsi="Arial" w:cs="Arial"/>
          <w:color w:val="0D0D0D" w:themeColor="text1" w:themeTint="F2"/>
        </w:rPr>
        <w:t xml:space="preserve"> </w:t>
      </w:r>
    </w:p>
    <w:p w14:paraId="757CE1E1" w14:textId="77777777" w:rsidR="00E37EC8" w:rsidRPr="0004210A" w:rsidRDefault="00E37EC8" w:rsidP="00E37EC8">
      <w:pPr>
        <w:spacing w:before="240" w:after="240"/>
        <w:rPr>
          <w:rFonts w:ascii="Arial" w:eastAsia="ui-sans-serif" w:hAnsi="Arial" w:cs="Arial"/>
          <w:color w:val="0D0D0D" w:themeColor="text1" w:themeTint="F2"/>
        </w:rPr>
      </w:pPr>
      <w:r w:rsidRPr="0004210A">
        <w:rPr>
          <w:rFonts w:ascii="Arial" w:eastAsia="ui-sans-serif" w:hAnsi="Arial" w:cs="Arial"/>
          <w:color w:val="0D0D0D" w:themeColor="text1" w:themeTint="F2"/>
        </w:rPr>
        <w:t>Callaghan, B. C., Cheng, H. T., Stables, C. L., Smith, A. L., Feldman, E. L. (2012). Diabetic neuropathy: Clinical manifestations and current treatments. The Lancet Neurology, 11(6), 521–534.</w:t>
      </w:r>
    </w:p>
    <w:p w14:paraId="52F260B6" w14:textId="77777777" w:rsidR="00E37EC8" w:rsidRPr="0004210A" w:rsidRDefault="00E37EC8" w:rsidP="00E37EC8">
      <w:pPr>
        <w:spacing w:before="240" w:after="240"/>
        <w:rPr>
          <w:rFonts w:ascii="Arial" w:eastAsia="ui-sans-serif" w:hAnsi="Arial" w:cs="Arial"/>
          <w:color w:val="0D0D0D" w:themeColor="text1" w:themeTint="F2"/>
        </w:rPr>
      </w:pPr>
      <w:r w:rsidRPr="0004210A">
        <w:rPr>
          <w:rFonts w:ascii="Arial" w:eastAsia="ui-sans-serif" w:hAnsi="Arial" w:cs="Arial"/>
          <w:color w:val="0D0D0D" w:themeColor="text1" w:themeTint="F2"/>
        </w:rPr>
        <w:t>Cheung, N., Mitchell, P., Wong, T. Y. (2010). Diabetic retinopathy. The Lancet, 376(9735), 124–136.</w:t>
      </w:r>
    </w:p>
    <w:p w14:paraId="3774F637" w14:textId="77777777" w:rsidR="00E37EC8" w:rsidRPr="0004210A" w:rsidRDefault="00E37EC8" w:rsidP="00E37EC8">
      <w:pPr>
        <w:spacing w:before="240" w:after="240"/>
        <w:rPr>
          <w:rFonts w:ascii="Arial" w:eastAsia="ui-sans-serif" w:hAnsi="Arial" w:cs="Arial"/>
          <w:color w:val="0D0D0D" w:themeColor="text1" w:themeTint="F2"/>
        </w:rPr>
      </w:pPr>
      <w:r w:rsidRPr="0004210A">
        <w:rPr>
          <w:rFonts w:ascii="Arial" w:eastAsia="ui-sans-serif" w:hAnsi="Arial" w:cs="Arial"/>
          <w:color w:val="0D0D0D" w:themeColor="text1" w:themeTint="F2"/>
        </w:rPr>
        <w:t xml:space="preserve">Chen, L., Magliano, D. J., </w:t>
      </w:r>
      <w:proofErr w:type="spellStart"/>
      <w:r w:rsidRPr="0004210A">
        <w:rPr>
          <w:rFonts w:ascii="Arial" w:eastAsia="ui-sans-serif" w:hAnsi="Arial" w:cs="Arial"/>
          <w:color w:val="0D0D0D" w:themeColor="text1" w:themeTint="F2"/>
        </w:rPr>
        <w:t>Zimmet</w:t>
      </w:r>
      <w:proofErr w:type="spellEnd"/>
      <w:r w:rsidRPr="0004210A">
        <w:rPr>
          <w:rFonts w:ascii="Arial" w:eastAsia="ui-sans-serif" w:hAnsi="Arial" w:cs="Arial"/>
          <w:color w:val="0D0D0D" w:themeColor="text1" w:themeTint="F2"/>
        </w:rPr>
        <w:t>, P. Z. (2018). The worldwide epidemiology of type 2 diabetes mellitus—present and future perspectives. Nature Reviews Endocrinology, 14(6), 317–328.</w:t>
      </w:r>
    </w:p>
    <w:p w14:paraId="1D167C7E" w14:textId="77777777" w:rsidR="00E37EC8" w:rsidRPr="0004210A" w:rsidRDefault="00E37EC8" w:rsidP="00E37EC8">
      <w:pPr>
        <w:spacing w:before="240" w:after="240"/>
        <w:rPr>
          <w:rFonts w:ascii="Arial" w:eastAsia="ui-sans-serif" w:hAnsi="Arial" w:cs="Arial"/>
          <w:color w:val="0D0D0D" w:themeColor="text1" w:themeTint="F2"/>
        </w:rPr>
      </w:pPr>
      <w:proofErr w:type="spellStart"/>
      <w:r w:rsidRPr="0004210A">
        <w:rPr>
          <w:rFonts w:ascii="Arial" w:eastAsia="ui-sans-serif" w:hAnsi="Arial" w:cs="Arial"/>
          <w:color w:val="0D0D0D" w:themeColor="text1" w:themeTint="F2"/>
        </w:rPr>
        <w:t>Dronavalli</w:t>
      </w:r>
      <w:proofErr w:type="spellEnd"/>
      <w:r w:rsidRPr="0004210A">
        <w:rPr>
          <w:rFonts w:ascii="Arial" w:eastAsia="ui-sans-serif" w:hAnsi="Arial" w:cs="Arial"/>
          <w:color w:val="0D0D0D" w:themeColor="text1" w:themeTint="F2"/>
        </w:rPr>
        <w:t xml:space="preserve">, S., </w:t>
      </w:r>
      <w:proofErr w:type="spellStart"/>
      <w:r w:rsidRPr="0004210A">
        <w:rPr>
          <w:rFonts w:ascii="Arial" w:eastAsia="ui-sans-serif" w:hAnsi="Arial" w:cs="Arial"/>
          <w:color w:val="0D0D0D" w:themeColor="text1" w:themeTint="F2"/>
        </w:rPr>
        <w:t>Duka</w:t>
      </w:r>
      <w:proofErr w:type="spellEnd"/>
      <w:r w:rsidRPr="0004210A">
        <w:rPr>
          <w:rFonts w:ascii="Arial" w:eastAsia="ui-sans-serif" w:hAnsi="Arial" w:cs="Arial"/>
          <w:color w:val="0D0D0D" w:themeColor="text1" w:themeTint="F2"/>
        </w:rPr>
        <w:t xml:space="preserve">, I., </w:t>
      </w:r>
      <w:proofErr w:type="spellStart"/>
      <w:r w:rsidRPr="0004210A">
        <w:rPr>
          <w:rFonts w:ascii="Arial" w:eastAsia="ui-sans-serif" w:hAnsi="Arial" w:cs="Arial"/>
          <w:color w:val="0D0D0D" w:themeColor="text1" w:themeTint="F2"/>
        </w:rPr>
        <w:t>Bakris</w:t>
      </w:r>
      <w:proofErr w:type="spellEnd"/>
      <w:r w:rsidRPr="0004210A">
        <w:rPr>
          <w:rFonts w:ascii="Arial" w:eastAsia="ui-sans-serif" w:hAnsi="Arial" w:cs="Arial"/>
          <w:color w:val="0D0D0D" w:themeColor="text1" w:themeTint="F2"/>
        </w:rPr>
        <w:t>, G. L. (2008). The pathogenesis of diabetic nephropathy. Nature Clinical Practice Endocrinology &amp; Metabolism, 4(8), 444–452.</w:t>
      </w:r>
    </w:p>
    <w:p w14:paraId="02B29F74" w14:textId="77777777" w:rsidR="00E37EC8" w:rsidRPr="0004210A" w:rsidRDefault="00E37EC8" w:rsidP="00E37EC8">
      <w:pPr>
        <w:spacing w:before="240" w:after="240"/>
        <w:rPr>
          <w:rFonts w:ascii="Arial" w:eastAsia="ui-sans-serif" w:hAnsi="Arial" w:cs="Arial"/>
          <w:color w:val="0D0D0D" w:themeColor="text1" w:themeTint="F2"/>
        </w:rPr>
      </w:pPr>
      <w:proofErr w:type="spellStart"/>
      <w:r w:rsidRPr="0004210A">
        <w:rPr>
          <w:rFonts w:ascii="Arial" w:eastAsia="ui-sans-serif" w:hAnsi="Arial" w:cs="Arial"/>
          <w:color w:val="0D0D0D" w:themeColor="text1" w:themeTint="F2"/>
        </w:rPr>
        <w:t>Fowkes</w:t>
      </w:r>
      <w:proofErr w:type="spellEnd"/>
      <w:r w:rsidRPr="0004210A">
        <w:rPr>
          <w:rFonts w:ascii="Arial" w:eastAsia="ui-sans-serif" w:hAnsi="Arial" w:cs="Arial"/>
          <w:color w:val="0D0D0D" w:themeColor="text1" w:themeTint="F2"/>
        </w:rPr>
        <w:t xml:space="preserve">, F. G. R., </w:t>
      </w:r>
      <w:proofErr w:type="spellStart"/>
      <w:r w:rsidRPr="0004210A">
        <w:rPr>
          <w:rFonts w:ascii="Arial" w:eastAsia="ui-sans-serif" w:hAnsi="Arial" w:cs="Arial"/>
          <w:color w:val="0D0D0D" w:themeColor="text1" w:themeTint="F2"/>
        </w:rPr>
        <w:t>Rudan</w:t>
      </w:r>
      <w:proofErr w:type="spellEnd"/>
      <w:r w:rsidRPr="0004210A">
        <w:rPr>
          <w:rFonts w:ascii="Arial" w:eastAsia="ui-sans-serif" w:hAnsi="Arial" w:cs="Arial"/>
          <w:color w:val="0D0D0D" w:themeColor="text1" w:themeTint="F2"/>
        </w:rPr>
        <w:t xml:space="preserve">, D., </w:t>
      </w:r>
      <w:proofErr w:type="spellStart"/>
      <w:r w:rsidRPr="0004210A">
        <w:rPr>
          <w:rFonts w:ascii="Arial" w:eastAsia="ui-sans-serif" w:hAnsi="Arial" w:cs="Arial"/>
          <w:color w:val="0D0D0D" w:themeColor="text1" w:themeTint="F2"/>
        </w:rPr>
        <w:t>Rudan</w:t>
      </w:r>
      <w:proofErr w:type="spellEnd"/>
      <w:r w:rsidRPr="0004210A">
        <w:rPr>
          <w:rFonts w:ascii="Arial" w:eastAsia="ui-sans-serif" w:hAnsi="Arial" w:cs="Arial"/>
          <w:color w:val="0D0D0D" w:themeColor="text1" w:themeTint="F2"/>
        </w:rPr>
        <w:t xml:space="preserve">, I., </w:t>
      </w:r>
      <w:proofErr w:type="spellStart"/>
      <w:r w:rsidRPr="0004210A">
        <w:rPr>
          <w:rFonts w:ascii="Arial" w:eastAsia="ui-sans-serif" w:hAnsi="Arial" w:cs="Arial"/>
          <w:color w:val="0D0D0D" w:themeColor="text1" w:themeTint="F2"/>
        </w:rPr>
        <w:t>Aboyans</w:t>
      </w:r>
      <w:proofErr w:type="spellEnd"/>
      <w:r w:rsidRPr="0004210A">
        <w:rPr>
          <w:rFonts w:ascii="Arial" w:eastAsia="ui-sans-serif" w:hAnsi="Arial" w:cs="Arial"/>
          <w:color w:val="0D0D0D" w:themeColor="text1" w:themeTint="F2"/>
        </w:rPr>
        <w:t xml:space="preserve">, V., </w:t>
      </w:r>
      <w:proofErr w:type="spellStart"/>
      <w:r w:rsidRPr="0004210A">
        <w:rPr>
          <w:rFonts w:ascii="Arial" w:eastAsia="ui-sans-serif" w:hAnsi="Arial" w:cs="Arial"/>
          <w:color w:val="0D0D0D" w:themeColor="text1" w:themeTint="F2"/>
        </w:rPr>
        <w:t>Denenberg</w:t>
      </w:r>
      <w:proofErr w:type="spellEnd"/>
      <w:r w:rsidRPr="0004210A">
        <w:rPr>
          <w:rFonts w:ascii="Arial" w:eastAsia="ui-sans-serif" w:hAnsi="Arial" w:cs="Arial"/>
          <w:color w:val="0D0D0D" w:themeColor="text1" w:themeTint="F2"/>
        </w:rPr>
        <w:t xml:space="preserve">, J. O., McDermott, M. M., Norman, P. E., Sampson, U. K. A., Williams, L. J., Mensah, G. A., </w:t>
      </w:r>
      <w:proofErr w:type="spellStart"/>
      <w:r w:rsidRPr="0004210A">
        <w:rPr>
          <w:rFonts w:ascii="Arial" w:eastAsia="ui-sans-serif" w:hAnsi="Arial" w:cs="Arial"/>
          <w:color w:val="0D0D0D" w:themeColor="text1" w:themeTint="F2"/>
        </w:rPr>
        <w:t>Criqui</w:t>
      </w:r>
      <w:proofErr w:type="spellEnd"/>
      <w:r w:rsidRPr="0004210A">
        <w:rPr>
          <w:rFonts w:ascii="Arial" w:eastAsia="ui-sans-serif" w:hAnsi="Arial" w:cs="Arial"/>
          <w:color w:val="0D0D0D" w:themeColor="text1" w:themeTint="F2"/>
        </w:rPr>
        <w:t>, M. H. (2013). Comparison of global estimates of prevalence and risk factors for peripheral artery disease in 2000 and 2010: A systematic review and analysis. The Lancet, 382(9901), 1329–1340.</w:t>
      </w:r>
    </w:p>
    <w:p w14:paraId="199BE907" w14:textId="77777777" w:rsidR="00E37EC8" w:rsidRPr="0004210A" w:rsidRDefault="00E37EC8" w:rsidP="00E37EC8">
      <w:pPr>
        <w:spacing w:before="240" w:after="240"/>
        <w:rPr>
          <w:rFonts w:ascii="Arial" w:eastAsia="ui-sans-serif" w:hAnsi="Arial" w:cs="Arial"/>
          <w:color w:val="0D0D0D" w:themeColor="text1" w:themeTint="F2"/>
        </w:rPr>
      </w:pPr>
      <w:r w:rsidRPr="0004210A">
        <w:rPr>
          <w:rFonts w:ascii="Arial" w:eastAsia="ui-sans-serif" w:hAnsi="Arial" w:cs="Arial"/>
          <w:color w:val="0D0D0D" w:themeColor="text1" w:themeTint="F2"/>
        </w:rPr>
        <w:t xml:space="preserve">Lipsky, B. A., </w:t>
      </w:r>
      <w:proofErr w:type="spellStart"/>
      <w:r w:rsidRPr="0004210A">
        <w:rPr>
          <w:rFonts w:ascii="Arial" w:eastAsia="ui-sans-serif" w:hAnsi="Arial" w:cs="Arial"/>
          <w:color w:val="0D0D0D" w:themeColor="text1" w:themeTint="F2"/>
        </w:rPr>
        <w:t>Senneville</w:t>
      </w:r>
      <w:proofErr w:type="spellEnd"/>
      <w:r w:rsidRPr="0004210A">
        <w:rPr>
          <w:rFonts w:ascii="Arial" w:eastAsia="ui-sans-serif" w:hAnsi="Arial" w:cs="Arial"/>
          <w:color w:val="0D0D0D" w:themeColor="text1" w:themeTint="F2"/>
        </w:rPr>
        <w:t xml:space="preserve">, E., Abbas, Z. G., Aragón-Sánchez, J., Diggle, M., </w:t>
      </w:r>
      <w:proofErr w:type="spellStart"/>
      <w:r w:rsidRPr="0004210A">
        <w:rPr>
          <w:rFonts w:ascii="Arial" w:eastAsia="ui-sans-serif" w:hAnsi="Arial" w:cs="Arial"/>
          <w:color w:val="0D0D0D" w:themeColor="text1" w:themeTint="F2"/>
        </w:rPr>
        <w:t>Embil</w:t>
      </w:r>
      <w:proofErr w:type="spellEnd"/>
      <w:r w:rsidRPr="0004210A">
        <w:rPr>
          <w:rFonts w:ascii="Arial" w:eastAsia="ui-sans-serif" w:hAnsi="Arial" w:cs="Arial"/>
          <w:color w:val="0D0D0D" w:themeColor="text1" w:themeTint="F2"/>
        </w:rPr>
        <w:t xml:space="preserve">, J. M., </w:t>
      </w:r>
      <w:proofErr w:type="spellStart"/>
      <w:r w:rsidRPr="0004210A">
        <w:rPr>
          <w:rFonts w:ascii="Arial" w:eastAsia="ui-sans-serif" w:hAnsi="Arial" w:cs="Arial"/>
          <w:color w:val="0D0D0D" w:themeColor="text1" w:themeTint="F2"/>
        </w:rPr>
        <w:t>Kono</w:t>
      </w:r>
      <w:proofErr w:type="spellEnd"/>
      <w:r w:rsidRPr="0004210A">
        <w:rPr>
          <w:rFonts w:ascii="Arial" w:eastAsia="ui-sans-serif" w:hAnsi="Arial" w:cs="Arial"/>
          <w:color w:val="0D0D0D" w:themeColor="text1" w:themeTint="F2"/>
        </w:rPr>
        <w:t xml:space="preserve">, S., </w:t>
      </w:r>
      <w:proofErr w:type="spellStart"/>
      <w:r w:rsidRPr="0004210A">
        <w:rPr>
          <w:rFonts w:ascii="Arial" w:eastAsia="ui-sans-serif" w:hAnsi="Arial" w:cs="Arial"/>
          <w:color w:val="0D0D0D" w:themeColor="text1" w:themeTint="F2"/>
        </w:rPr>
        <w:t>Lavery</w:t>
      </w:r>
      <w:proofErr w:type="spellEnd"/>
      <w:r w:rsidRPr="0004210A">
        <w:rPr>
          <w:rFonts w:ascii="Arial" w:eastAsia="ui-sans-serif" w:hAnsi="Arial" w:cs="Arial"/>
          <w:color w:val="0D0D0D" w:themeColor="text1" w:themeTint="F2"/>
        </w:rPr>
        <w:t xml:space="preserve">, L. A., Malone, M., van </w:t>
      </w:r>
      <w:proofErr w:type="spellStart"/>
      <w:r w:rsidRPr="0004210A">
        <w:rPr>
          <w:rFonts w:ascii="Arial" w:eastAsia="ui-sans-serif" w:hAnsi="Arial" w:cs="Arial"/>
          <w:color w:val="0D0D0D" w:themeColor="text1" w:themeTint="F2"/>
        </w:rPr>
        <w:t>Asten</w:t>
      </w:r>
      <w:proofErr w:type="spellEnd"/>
      <w:r w:rsidRPr="0004210A">
        <w:rPr>
          <w:rFonts w:ascii="Arial" w:eastAsia="ui-sans-serif" w:hAnsi="Arial" w:cs="Arial"/>
          <w:color w:val="0D0D0D" w:themeColor="text1" w:themeTint="F2"/>
        </w:rPr>
        <w:t xml:space="preserve">, S. A. V., Peters, E. J. G., </w:t>
      </w:r>
      <w:proofErr w:type="spellStart"/>
      <w:r w:rsidRPr="0004210A">
        <w:rPr>
          <w:rFonts w:ascii="Arial" w:eastAsia="ui-sans-serif" w:hAnsi="Arial" w:cs="Arial"/>
          <w:color w:val="0D0D0D" w:themeColor="text1" w:themeTint="F2"/>
        </w:rPr>
        <w:t>Urbancic-Rovan</w:t>
      </w:r>
      <w:proofErr w:type="spellEnd"/>
      <w:r w:rsidRPr="0004210A">
        <w:rPr>
          <w:rFonts w:ascii="Arial" w:eastAsia="ui-sans-serif" w:hAnsi="Arial" w:cs="Arial"/>
          <w:color w:val="0D0D0D" w:themeColor="text1" w:themeTint="F2"/>
        </w:rPr>
        <w:t xml:space="preserve">, V., </w:t>
      </w:r>
      <w:proofErr w:type="spellStart"/>
      <w:r w:rsidRPr="0004210A">
        <w:rPr>
          <w:rFonts w:ascii="Arial" w:eastAsia="ui-sans-serif" w:hAnsi="Arial" w:cs="Arial"/>
          <w:color w:val="0D0D0D" w:themeColor="text1" w:themeTint="F2"/>
        </w:rPr>
        <w:t>VanGent</w:t>
      </w:r>
      <w:proofErr w:type="spellEnd"/>
      <w:r w:rsidRPr="0004210A">
        <w:rPr>
          <w:rFonts w:ascii="Arial" w:eastAsia="ui-sans-serif" w:hAnsi="Arial" w:cs="Arial"/>
          <w:color w:val="0D0D0D" w:themeColor="text1" w:themeTint="F2"/>
        </w:rPr>
        <w:t>, W. B., Zhang, J., Experts, O. (2020). Guidelines on the diagnosis and treatment of foot infection in persons with diabetes (IWGDF 2019 update). Diabetes/Metabolism Research and Reviews, 36(Suppl. 1), e3280.</w:t>
      </w:r>
    </w:p>
    <w:p w14:paraId="0D477AC1" w14:textId="77777777" w:rsidR="00E37EC8" w:rsidRPr="0004210A" w:rsidRDefault="00E37EC8" w:rsidP="00E37EC8">
      <w:pPr>
        <w:spacing w:before="240" w:after="240"/>
        <w:rPr>
          <w:rFonts w:ascii="Arial" w:eastAsia="ui-sans-serif" w:hAnsi="Arial" w:cs="Arial"/>
          <w:color w:val="0D0D0D" w:themeColor="text1" w:themeTint="F2"/>
        </w:rPr>
      </w:pPr>
      <w:r w:rsidRPr="0004210A">
        <w:rPr>
          <w:rFonts w:ascii="Arial" w:eastAsia="ui-sans-serif" w:hAnsi="Arial" w:cs="Arial"/>
          <w:color w:val="0D0D0D" w:themeColor="text1" w:themeTint="F2"/>
        </w:rPr>
        <w:t>O'Donnell, M. J., Xavier, D., Liu, L., Zhang, H., Chin, S. L., Rao-</w:t>
      </w:r>
      <w:proofErr w:type="spellStart"/>
      <w:r w:rsidRPr="0004210A">
        <w:rPr>
          <w:rFonts w:ascii="Arial" w:eastAsia="ui-sans-serif" w:hAnsi="Arial" w:cs="Arial"/>
          <w:color w:val="0D0D0D" w:themeColor="text1" w:themeTint="F2"/>
        </w:rPr>
        <w:t>Melacini</w:t>
      </w:r>
      <w:proofErr w:type="spellEnd"/>
      <w:r w:rsidRPr="0004210A">
        <w:rPr>
          <w:rFonts w:ascii="Arial" w:eastAsia="ui-sans-serif" w:hAnsi="Arial" w:cs="Arial"/>
          <w:color w:val="0D0D0D" w:themeColor="text1" w:themeTint="F2"/>
        </w:rPr>
        <w:t xml:space="preserve">, P., Rangarajan, S., Islam, S., </w:t>
      </w:r>
      <w:proofErr w:type="spellStart"/>
      <w:r w:rsidRPr="0004210A">
        <w:rPr>
          <w:rFonts w:ascii="Arial" w:eastAsia="ui-sans-serif" w:hAnsi="Arial" w:cs="Arial"/>
          <w:color w:val="0D0D0D" w:themeColor="text1" w:themeTint="F2"/>
        </w:rPr>
        <w:t>Pais</w:t>
      </w:r>
      <w:proofErr w:type="spellEnd"/>
      <w:r w:rsidRPr="0004210A">
        <w:rPr>
          <w:rFonts w:ascii="Arial" w:eastAsia="ui-sans-serif" w:hAnsi="Arial" w:cs="Arial"/>
          <w:color w:val="0D0D0D" w:themeColor="text1" w:themeTint="F2"/>
        </w:rPr>
        <w:t xml:space="preserve">, P., McQueen, M. J., Mondo, C., </w:t>
      </w:r>
      <w:proofErr w:type="spellStart"/>
      <w:r w:rsidRPr="0004210A">
        <w:rPr>
          <w:rFonts w:ascii="Arial" w:eastAsia="ui-sans-serif" w:hAnsi="Arial" w:cs="Arial"/>
          <w:color w:val="0D0D0D" w:themeColor="text1" w:themeTint="F2"/>
        </w:rPr>
        <w:t>Damasceno</w:t>
      </w:r>
      <w:proofErr w:type="spellEnd"/>
      <w:r w:rsidRPr="0004210A">
        <w:rPr>
          <w:rFonts w:ascii="Arial" w:eastAsia="ui-sans-serif" w:hAnsi="Arial" w:cs="Arial"/>
          <w:color w:val="0D0D0D" w:themeColor="text1" w:themeTint="F2"/>
        </w:rPr>
        <w:t xml:space="preserve">, A., Lopez-Jaramillo, P., Hankey, G. J., Dans, A. L., </w:t>
      </w:r>
      <w:proofErr w:type="spellStart"/>
      <w:r w:rsidRPr="0004210A">
        <w:rPr>
          <w:rFonts w:ascii="Arial" w:eastAsia="ui-sans-serif" w:hAnsi="Arial" w:cs="Arial"/>
          <w:color w:val="0D0D0D" w:themeColor="text1" w:themeTint="F2"/>
        </w:rPr>
        <w:t>Yusoff</w:t>
      </w:r>
      <w:proofErr w:type="spellEnd"/>
      <w:r w:rsidRPr="0004210A">
        <w:rPr>
          <w:rFonts w:ascii="Arial" w:eastAsia="ui-sans-serif" w:hAnsi="Arial" w:cs="Arial"/>
          <w:color w:val="0D0D0D" w:themeColor="text1" w:themeTint="F2"/>
        </w:rPr>
        <w:t xml:space="preserve">, K., </w:t>
      </w:r>
      <w:proofErr w:type="spellStart"/>
      <w:r w:rsidRPr="0004210A">
        <w:rPr>
          <w:rFonts w:ascii="Arial" w:eastAsia="ui-sans-serif" w:hAnsi="Arial" w:cs="Arial"/>
          <w:color w:val="0D0D0D" w:themeColor="text1" w:themeTint="F2"/>
        </w:rPr>
        <w:t>Truelsen</w:t>
      </w:r>
      <w:proofErr w:type="spellEnd"/>
      <w:r w:rsidRPr="0004210A">
        <w:rPr>
          <w:rFonts w:ascii="Arial" w:eastAsia="ui-sans-serif" w:hAnsi="Arial" w:cs="Arial"/>
          <w:color w:val="0D0D0D" w:themeColor="text1" w:themeTint="F2"/>
        </w:rPr>
        <w:t xml:space="preserve">, T., Diener, H.-C., Sacco, R. L., et al. (2010). Risk factors for </w:t>
      </w:r>
      <w:proofErr w:type="spellStart"/>
      <w:r w:rsidRPr="0004210A">
        <w:rPr>
          <w:rFonts w:ascii="Arial" w:eastAsia="ui-sans-serif" w:hAnsi="Arial" w:cs="Arial"/>
          <w:color w:val="0D0D0D" w:themeColor="text1" w:themeTint="F2"/>
        </w:rPr>
        <w:t>ischaemic</w:t>
      </w:r>
      <w:proofErr w:type="spellEnd"/>
      <w:r w:rsidRPr="0004210A">
        <w:rPr>
          <w:rFonts w:ascii="Arial" w:eastAsia="ui-sans-serif" w:hAnsi="Arial" w:cs="Arial"/>
          <w:color w:val="0D0D0D" w:themeColor="text1" w:themeTint="F2"/>
        </w:rPr>
        <w:t xml:space="preserve"> and intracerebral </w:t>
      </w:r>
      <w:proofErr w:type="spellStart"/>
      <w:r w:rsidRPr="0004210A">
        <w:rPr>
          <w:rFonts w:ascii="Arial" w:eastAsia="ui-sans-serif" w:hAnsi="Arial" w:cs="Arial"/>
          <w:color w:val="0D0D0D" w:themeColor="text1" w:themeTint="F2"/>
        </w:rPr>
        <w:t>haemorrhagic</w:t>
      </w:r>
      <w:proofErr w:type="spellEnd"/>
      <w:r w:rsidRPr="0004210A">
        <w:rPr>
          <w:rFonts w:ascii="Arial" w:eastAsia="ui-sans-serif" w:hAnsi="Arial" w:cs="Arial"/>
          <w:color w:val="0D0D0D" w:themeColor="text1" w:themeTint="F2"/>
        </w:rPr>
        <w:t xml:space="preserve"> stroke in 22 countries (the INTERSTROKE study): A case-control study. The Lancet, 376(9735), 112–123.</w:t>
      </w:r>
    </w:p>
    <w:p w14:paraId="0A3CF3FE" w14:textId="77777777" w:rsidR="00E37EC8" w:rsidRPr="0004210A" w:rsidRDefault="00E37EC8" w:rsidP="00E37EC8">
      <w:pPr>
        <w:spacing w:before="240" w:after="240"/>
        <w:rPr>
          <w:rFonts w:ascii="Arial" w:eastAsia="ui-sans-serif" w:hAnsi="Arial" w:cs="Arial"/>
          <w:color w:val="0D0D0D" w:themeColor="text1" w:themeTint="F2"/>
        </w:rPr>
      </w:pPr>
      <w:r w:rsidRPr="0004210A">
        <w:rPr>
          <w:rFonts w:ascii="Arial" w:eastAsia="ui-sans-serif" w:hAnsi="Arial" w:cs="Arial"/>
          <w:color w:val="0D0D0D" w:themeColor="text1" w:themeTint="F2"/>
        </w:rPr>
        <w:lastRenderedPageBreak/>
        <w:t xml:space="preserve">Shibuya, N., </w:t>
      </w:r>
      <w:proofErr w:type="spellStart"/>
      <w:r w:rsidRPr="0004210A">
        <w:rPr>
          <w:rFonts w:ascii="Arial" w:eastAsia="ui-sans-serif" w:hAnsi="Arial" w:cs="Arial"/>
          <w:color w:val="0D0D0D" w:themeColor="text1" w:themeTint="F2"/>
        </w:rPr>
        <w:t>Humphers</w:t>
      </w:r>
      <w:proofErr w:type="spellEnd"/>
      <w:r w:rsidRPr="0004210A">
        <w:rPr>
          <w:rFonts w:ascii="Arial" w:eastAsia="ui-sans-serif" w:hAnsi="Arial" w:cs="Arial"/>
          <w:color w:val="0D0D0D" w:themeColor="text1" w:themeTint="F2"/>
        </w:rPr>
        <w:t xml:space="preserve">, J. M., </w:t>
      </w:r>
      <w:proofErr w:type="spellStart"/>
      <w:r w:rsidRPr="0004210A">
        <w:rPr>
          <w:rFonts w:ascii="Arial" w:eastAsia="ui-sans-serif" w:hAnsi="Arial" w:cs="Arial"/>
          <w:color w:val="0D0D0D" w:themeColor="text1" w:themeTint="F2"/>
        </w:rPr>
        <w:t>Fluhman</w:t>
      </w:r>
      <w:proofErr w:type="spellEnd"/>
      <w:r w:rsidRPr="0004210A">
        <w:rPr>
          <w:rFonts w:ascii="Arial" w:eastAsia="ui-sans-serif" w:hAnsi="Arial" w:cs="Arial"/>
          <w:color w:val="0D0D0D" w:themeColor="text1" w:themeTint="F2"/>
        </w:rPr>
        <w:t>, B. L., Jupiter, D. C. (2015). Factors associated with nonunion, delayed union, and malunion in foot and ankle surgery in diabetic patients. Journal of Foot and Ankle Surgery, 51(5), 604–608.</w:t>
      </w:r>
    </w:p>
    <w:p w14:paraId="7B698FE2" w14:textId="72D0C9AA" w:rsidR="00F5305D" w:rsidRPr="0004210A" w:rsidRDefault="00E37EC8" w:rsidP="00F5305D">
      <w:pPr>
        <w:spacing w:before="240" w:after="240"/>
        <w:rPr>
          <w:rFonts w:ascii="Arial" w:eastAsia="ui-sans-serif" w:hAnsi="Arial" w:cs="Arial"/>
          <w:color w:val="0D0D0D" w:themeColor="text1" w:themeTint="F2"/>
        </w:rPr>
      </w:pPr>
      <w:r w:rsidRPr="0004210A">
        <w:rPr>
          <w:rFonts w:ascii="Arial" w:eastAsia="ui-sans-serif" w:hAnsi="Arial" w:cs="Arial"/>
          <w:color w:val="0D0D0D" w:themeColor="text1" w:themeTint="F2"/>
        </w:rPr>
        <w:t>Singh, N., Armstrong, D. G., Lipsky, B. A. (2005). Preventing foot ulcers in patients with diabetes. JAMA, 293(2), 217–228).</w:t>
      </w:r>
    </w:p>
    <w:p w14:paraId="36CA0E29" w14:textId="77777777" w:rsidR="002E7EB7" w:rsidRPr="0004210A" w:rsidRDefault="002E7EB7" w:rsidP="002E7EB7">
      <w:pPr>
        <w:spacing w:before="240" w:after="240"/>
        <w:rPr>
          <w:rFonts w:ascii="Arial" w:eastAsia="ui-sans-serif" w:hAnsi="Arial" w:cs="Arial"/>
          <w:color w:val="0D0D0D" w:themeColor="text1" w:themeTint="F2"/>
        </w:rPr>
      </w:pPr>
      <w:r w:rsidRPr="0004210A">
        <w:rPr>
          <w:rFonts w:ascii="Arial" w:eastAsia="ui-sans-serif" w:hAnsi="Arial" w:cs="Arial"/>
          <w:color w:val="0D0D0D" w:themeColor="text1" w:themeTint="F2"/>
        </w:rPr>
        <w:t>Armstrong, D. G., Boulton, A. J. M., &amp; Bus, S. A. (2017). Diabetic foot ulcers and their recurrence. New England Journal of Medicine, 376(24), 2367-2375.</w:t>
      </w:r>
    </w:p>
    <w:p w14:paraId="008E1D48" w14:textId="77777777" w:rsidR="002E7EB7" w:rsidRPr="0004210A" w:rsidRDefault="002E7EB7" w:rsidP="002E7EB7">
      <w:pPr>
        <w:spacing w:before="240" w:after="240"/>
        <w:rPr>
          <w:rFonts w:ascii="Arial" w:eastAsia="ui-sans-serif" w:hAnsi="Arial" w:cs="Arial"/>
          <w:color w:val="0D0D0D" w:themeColor="text1" w:themeTint="F2"/>
        </w:rPr>
      </w:pPr>
    </w:p>
    <w:p w14:paraId="6705F339" w14:textId="77777777" w:rsidR="002E7EB7" w:rsidRPr="0004210A" w:rsidRDefault="002E7EB7" w:rsidP="002E7EB7">
      <w:pPr>
        <w:spacing w:before="240" w:after="240"/>
        <w:rPr>
          <w:rFonts w:ascii="Arial" w:eastAsia="ui-sans-serif" w:hAnsi="Arial" w:cs="Arial"/>
          <w:color w:val="0D0D0D" w:themeColor="text1" w:themeTint="F2"/>
        </w:rPr>
      </w:pPr>
      <w:r w:rsidRPr="0004210A">
        <w:rPr>
          <w:rFonts w:ascii="Arial" w:eastAsia="ui-sans-serif" w:hAnsi="Arial" w:cs="Arial"/>
          <w:color w:val="0D0D0D" w:themeColor="text1" w:themeTint="F2"/>
        </w:rPr>
        <w:t xml:space="preserve">Boulton, A. J. M., </w:t>
      </w:r>
      <w:proofErr w:type="spellStart"/>
      <w:r w:rsidRPr="0004210A">
        <w:rPr>
          <w:rFonts w:ascii="Arial" w:eastAsia="ui-sans-serif" w:hAnsi="Arial" w:cs="Arial"/>
          <w:color w:val="0D0D0D" w:themeColor="text1" w:themeTint="F2"/>
        </w:rPr>
        <w:t>Vileikyte</w:t>
      </w:r>
      <w:proofErr w:type="spellEnd"/>
      <w:r w:rsidRPr="0004210A">
        <w:rPr>
          <w:rFonts w:ascii="Arial" w:eastAsia="ui-sans-serif" w:hAnsi="Arial" w:cs="Arial"/>
          <w:color w:val="0D0D0D" w:themeColor="text1" w:themeTint="F2"/>
        </w:rPr>
        <w:t xml:space="preserve">, L., </w:t>
      </w:r>
      <w:proofErr w:type="spellStart"/>
      <w:r w:rsidRPr="0004210A">
        <w:rPr>
          <w:rFonts w:ascii="Arial" w:eastAsia="ui-sans-serif" w:hAnsi="Arial" w:cs="Arial"/>
          <w:color w:val="0D0D0D" w:themeColor="text1" w:themeTint="F2"/>
        </w:rPr>
        <w:t>Ragnarson-Tennvall</w:t>
      </w:r>
      <w:proofErr w:type="spellEnd"/>
      <w:r w:rsidRPr="0004210A">
        <w:rPr>
          <w:rFonts w:ascii="Arial" w:eastAsia="ui-sans-serif" w:hAnsi="Arial" w:cs="Arial"/>
          <w:color w:val="0D0D0D" w:themeColor="text1" w:themeTint="F2"/>
        </w:rPr>
        <w:t xml:space="preserve">, G., &amp; </w:t>
      </w:r>
      <w:proofErr w:type="spellStart"/>
      <w:r w:rsidRPr="0004210A">
        <w:rPr>
          <w:rFonts w:ascii="Arial" w:eastAsia="ui-sans-serif" w:hAnsi="Arial" w:cs="Arial"/>
          <w:color w:val="0D0D0D" w:themeColor="text1" w:themeTint="F2"/>
        </w:rPr>
        <w:t>Apelqvist</w:t>
      </w:r>
      <w:proofErr w:type="spellEnd"/>
      <w:r w:rsidRPr="0004210A">
        <w:rPr>
          <w:rFonts w:ascii="Arial" w:eastAsia="ui-sans-serif" w:hAnsi="Arial" w:cs="Arial"/>
          <w:color w:val="0D0D0D" w:themeColor="text1" w:themeTint="F2"/>
        </w:rPr>
        <w:t>, J. (2018). The global burden of diabetic foot disease. Lancet, 366(9498), 1719-1724.</w:t>
      </w:r>
    </w:p>
    <w:p w14:paraId="6A50C805" w14:textId="77777777" w:rsidR="002E7EB7" w:rsidRPr="0004210A" w:rsidRDefault="002E7EB7" w:rsidP="002E7EB7">
      <w:pPr>
        <w:spacing w:before="240" w:after="240"/>
        <w:rPr>
          <w:rFonts w:ascii="Arial" w:eastAsia="ui-sans-serif" w:hAnsi="Arial" w:cs="Arial"/>
          <w:color w:val="0D0D0D" w:themeColor="text1" w:themeTint="F2"/>
        </w:rPr>
      </w:pPr>
    </w:p>
    <w:p w14:paraId="381645DA" w14:textId="77777777" w:rsidR="002E7EB7" w:rsidRPr="0004210A" w:rsidRDefault="002E7EB7" w:rsidP="002E7EB7">
      <w:pPr>
        <w:spacing w:before="240" w:after="240"/>
        <w:rPr>
          <w:rFonts w:ascii="Arial" w:eastAsia="ui-sans-serif" w:hAnsi="Arial" w:cs="Arial"/>
          <w:color w:val="0D0D0D" w:themeColor="text1" w:themeTint="F2"/>
        </w:rPr>
      </w:pPr>
      <w:proofErr w:type="spellStart"/>
      <w:r w:rsidRPr="0004210A">
        <w:rPr>
          <w:rFonts w:ascii="Arial" w:eastAsia="ui-sans-serif" w:hAnsi="Arial" w:cs="Arial"/>
          <w:color w:val="0D0D0D" w:themeColor="text1" w:themeTint="F2"/>
        </w:rPr>
        <w:t>Cotie</w:t>
      </w:r>
      <w:proofErr w:type="spellEnd"/>
      <w:r w:rsidRPr="0004210A">
        <w:rPr>
          <w:rFonts w:ascii="Arial" w:eastAsia="ui-sans-serif" w:hAnsi="Arial" w:cs="Arial"/>
          <w:color w:val="0D0D0D" w:themeColor="text1" w:themeTint="F2"/>
        </w:rPr>
        <w:t xml:space="preserve">, L. M., Wright, J. R., &amp; </w:t>
      </w:r>
      <w:proofErr w:type="spellStart"/>
      <w:r w:rsidRPr="0004210A">
        <w:rPr>
          <w:rFonts w:ascii="Arial" w:eastAsia="ui-sans-serif" w:hAnsi="Arial" w:cs="Arial"/>
          <w:color w:val="0D0D0D" w:themeColor="text1" w:themeTint="F2"/>
        </w:rPr>
        <w:t>Grahn</w:t>
      </w:r>
      <w:proofErr w:type="spellEnd"/>
      <w:r w:rsidRPr="0004210A">
        <w:rPr>
          <w:rFonts w:ascii="Arial" w:eastAsia="ui-sans-serif" w:hAnsi="Arial" w:cs="Arial"/>
          <w:color w:val="0D0D0D" w:themeColor="text1" w:themeTint="F2"/>
        </w:rPr>
        <w:t>, R. D. (2020). Physical activity and diabetes: A research synthesis and meta-analysis. International Journal of Behavioral Nutrition and Physical Activity, 17(1), 1-13.</w:t>
      </w:r>
    </w:p>
    <w:p w14:paraId="49829476" w14:textId="77777777" w:rsidR="002E7EB7" w:rsidRPr="0004210A" w:rsidRDefault="002E7EB7" w:rsidP="002E7EB7">
      <w:pPr>
        <w:spacing w:before="240" w:after="240"/>
        <w:rPr>
          <w:rFonts w:ascii="Arial" w:eastAsia="ui-sans-serif" w:hAnsi="Arial" w:cs="Arial"/>
          <w:color w:val="0D0D0D" w:themeColor="text1" w:themeTint="F2"/>
        </w:rPr>
      </w:pPr>
    </w:p>
    <w:p w14:paraId="6BDF7E4B" w14:textId="31864BA9" w:rsidR="002E7EB7" w:rsidRPr="0004210A" w:rsidRDefault="002E7EB7" w:rsidP="002E7EB7">
      <w:pPr>
        <w:spacing w:before="240" w:after="240"/>
        <w:rPr>
          <w:rFonts w:ascii="Arial" w:eastAsia="ui-sans-serif" w:hAnsi="Arial" w:cs="Arial"/>
          <w:color w:val="0D0D0D" w:themeColor="text1" w:themeTint="F2"/>
        </w:rPr>
      </w:pPr>
      <w:r w:rsidRPr="0004210A">
        <w:rPr>
          <w:rFonts w:ascii="Arial" w:eastAsia="ui-sans-serif" w:hAnsi="Arial" w:cs="Arial"/>
          <w:color w:val="0D0D0D" w:themeColor="text1" w:themeTint="F2"/>
        </w:rPr>
        <w:t>Searle, A., &amp; Spink, M. J. (2021). The role of podiatry in the management of diabetes-related musculoskeletal complications: A systematic review. Journal of Foot and Ankle Research, 14(1), 1-13.</w:t>
      </w:r>
    </w:p>
    <w:p w14:paraId="122E50A4" w14:textId="2834BC19" w:rsidR="61E85EAF" w:rsidRPr="0004210A" w:rsidRDefault="61E85EAF" w:rsidP="61E85EAF">
      <w:pPr>
        <w:rPr>
          <w:rFonts w:ascii="Arial" w:eastAsia="ui-sans-serif" w:hAnsi="Arial" w:cs="Arial"/>
          <w:color w:val="0D0D0D" w:themeColor="text1" w:themeTint="F2"/>
        </w:rPr>
      </w:pPr>
    </w:p>
    <w:sectPr w:rsidR="61E85EAF" w:rsidRPr="0004210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DB3FE" w14:textId="77777777" w:rsidR="00D0469F" w:rsidRDefault="00D0469F" w:rsidP="002C5027">
      <w:pPr>
        <w:spacing w:after="0" w:line="240" w:lineRule="auto"/>
      </w:pPr>
      <w:r>
        <w:separator/>
      </w:r>
    </w:p>
  </w:endnote>
  <w:endnote w:type="continuationSeparator" w:id="0">
    <w:p w14:paraId="655F6530" w14:textId="77777777" w:rsidR="00D0469F" w:rsidRDefault="00D0469F" w:rsidP="002C5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ui-sans-serif">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C7822" w14:textId="77777777" w:rsidR="00D0469F" w:rsidRDefault="00D0469F" w:rsidP="002C5027">
      <w:pPr>
        <w:spacing w:after="0" w:line="240" w:lineRule="auto"/>
      </w:pPr>
      <w:r>
        <w:separator/>
      </w:r>
    </w:p>
  </w:footnote>
  <w:footnote w:type="continuationSeparator" w:id="0">
    <w:p w14:paraId="1AD79645" w14:textId="77777777" w:rsidR="00D0469F" w:rsidRDefault="00D0469F" w:rsidP="002C50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845CB" w14:textId="32E647FB" w:rsidR="00E81B49" w:rsidRDefault="00A023B7">
    <w:pPr>
      <w:pStyle w:val="Header"/>
    </w:pPr>
    <w:r>
      <w:t>B</w:t>
    </w:r>
    <w:r w:rsidR="00E81B49">
      <w:t>mst4004            student number -2305986</w:t>
    </w:r>
  </w:p>
  <w:p w14:paraId="6F5F1908" w14:textId="77777777" w:rsidR="002C5027" w:rsidRDefault="002C50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109FC"/>
    <w:multiLevelType w:val="hybridMultilevel"/>
    <w:tmpl w:val="BF28E8E4"/>
    <w:lvl w:ilvl="0" w:tplc="35DA5B18">
      <w:start w:val="1"/>
      <w:numFmt w:val="bullet"/>
      <w:lvlText w:val=""/>
      <w:lvlJc w:val="left"/>
      <w:pPr>
        <w:ind w:left="720" w:hanging="360"/>
      </w:pPr>
      <w:rPr>
        <w:rFonts w:ascii="Symbol" w:hAnsi="Symbol" w:hint="default"/>
      </w:rPr>
    </w:lvl>
    <w:lvl w:ilvl="1" w:tplc="4400034A">
      <w:start w:val="1"/>
      <w:numFmt w:val="bullet"/>
      <w:lvlText w:val="o"/>
      <w:lvlJc w:val="left"/>
      <w:pPr>
        <w:ind w:left="1440" w:hanging="360"/>
      </w:pPr>
      <w:rPr>
        <w:rFonts w:ascii="Courier New" w:hAnsi="Courier New" w:hint="default"/>
      </w:rPr>
    </w:lvl>
    <w:lvl w:ilvl="2" w:tplc="81040102">
      <w:start w:val="1"/>
      <w:numFmt w:val="bullet"/>
      <w:lvlText w:val=""/>
      <w:lvlJc w:val="left"/>
      <w:pPr>
        <w:ind w:left="2160" w:hanging="360"/>
      </w:pPr>
      <w:rPr>
        <w:rFonts w:ascii="Wingdings" w:hAnsi="Wingdings" w:hint="default"/>
      </w:rPr>
    </w:lvl>
    <w:lvl w:ilvl="3" w:tplc="F606F8C6">
      <w:start w:val="1"/>
      <w:numFmt w:val="bullet"/>
      <w:lvlText w:val=""/>
      <w:lvlJc w:val="left"/>
      <w:pPr>
        <w:ind w:left="2880" w:hanging="360"/>
      </w:pPr>
      <w:rPr>
        <w:rFonts w:ascii="Symbol" w:hAnsi="Symbol" w:hint="default"/>
      </w:rPr>
    </w:lvl>
    <w:lvl w:ilvl="4" w:tplc="5736167E">
      <w:start w:val="1"/>
      <w:numFmt w:val="bullet"/>
      <w:lvlText w:val="o"/>
      <w:lvlJc w:val="left"/>
      <w:pPr>
        <w:ind w:left="3600" w:hanging="360"/>
      </w:pPr>
      <w:rPr>
        <w:rFonts w:ascii="Courier New" w:hAnsi="Courier New" w:hint="default"/>
      </w:rPr>
    </w:lvl>
    <w:lvl w:ilvl="5" w:tplc="2068A6E6">
      <w:start w:val="1"/>
      <w:numFmt w:val="bullet"/>
      <w:lvlText w:val=""/>
      <w:lvlJc w:val="left"/>
      <w:pPr>
        <w:ind w:left="4320" w:hanging="360"/>
      </w:pPr>
      <w:rPr>
        <w:rFonts w:ascii="Wingdings" w:hAnsi="Wingdings" w:hint="default"/>
      </w:rPr>
    </w:lvl>
    <w:lvl w:ilvl="6" w:tplc="5CF8194E">
      <w:start w:val="1"/>
      <w:numFmt w:val="bullet"/>
      <w:lvlText w:val=""/>
      <w:lvlJc w:val="left"/>
      <w:pPr>
        <w:ind w:left="5040" w:hanging="360"/>
      </w:pPr>
      <w:rPr>
        <w:rFonts w:ascii="Symbol" w:hAnsi="Symbol" w:hint="default"/>
      </w:rPr>
    </w:lvl>
    <w:lvl w:ilvl="7" w:tplc="0F0C7CF8">
      <w:start w:val="1"/>
      <w:numFmt w:val="bullet"/>
      <w:lvlText w:val="o"/>
      <w:lvlJc w:val="left"/>
      <w:pPr>
        <w:ind w:left="5760" w:hanging="360"/>
      </w:pPr>
      <w:rPr>
        <w:rFonts w:ascii="Courier New" w:hAnsi="Courier New" w:hint="default"/>
      </w:rPr>
    </w:lvl>
    <w:lvl w:ilvl="8" w:tplc="D182E38A">
      <w:start w:val="1"/>
      <w:numFmt w:val="bullet"/>
      <w:lvlText w:val=""/>
      <w:lvlJc w:val="left"/>
      <w:pPr>
        <w:ind w:left="6480" w:hanging="360"/>
      </w:pPr>
      <w:rPr>
        <w:rFonts w:ascii="Wingdings" w:hAnsi="Wingdings" w:hint="default"/>
      </w:rPr>
    </w:lvl>
  </w:abstractNum>
  <w:num w:numId="1" w16cid:durableId="1813667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F36FF0"/>
    <w:rsid w:val="0004210A"/>
    <w:rsid w:val="00046384"/>
    <w:rsid w:val="002C5027"/>
    <w:rsid w:val="002E7EB7"/>
    <w:rsid w:val="003C75E5"/>
    <w:rsid w:val="004262E4"/>
    <w:rsid w:val="00525745"/>
    <w:rsid w:val="005424E7"/>
    <w:rsid w:val="00560411"/>
    <w:rsid w:val="005D1BB1"/>
    <w:rsid w:val="006042CF"/>
    <w:rsid w:val="006B6AC4"/>
    <w:rsid w:val="00763921"/>
    <w:rsid w:val="00915C96"/>
    <w:rsid w:val="00953FD7"/>
    <w:rsid w:val="009C4CD9"/>
    <w:rsid w:val="00A023B7"/>
    <w:rsid w:val="00AD0EAC"/>
    <w:rsid w:val="00B40D66"/>
    <w:rsid w:val="00D0469F"/>
    <w:rsid w:val="00D14669"/>
    <w:rsid w:val="00D5202D"/>
    <w:rsid w:val="00D93278"/>
    <w:rsid w:val="00DE777F"/>
    <w:rsid w:val="00E37EC8"/>
    <w:rsid w:val="00E453E5"/>
    <w:rsid w:val="00E81B49"/>
    <w:rsid w:val="00F44140"/>
    <w:rsid w:val="00F5305D"/>
    <w:rsid w:val="00FC7961"/>
    <w:rsid w:val="0FBC890B"/>
    <w:rsid w:val="162BCA8F"/>
    <w:rsid w:val="27E5AC40"/>
    <w:rsid w:val="2A5429B1"/>
    <w:rsid w:val="2D8BCA73"/>
    <w:rsid w:val="325F3B96"/>
    <w:rsid w:val="38A2B41D"/>
    <w:rsid w:val="3EE14FC1"/>
    <w:rsid w:val="45B4EDA8"/>
    <w:rsid w:val="4FF36FF0"/>
    <w:rsid w:val="53BBDB8A"/>
    <w:rsid w:val="5509DBA7"/>
    <w:rsid w:val="592846C4"/>
    <w:rsid w:val="5E8DA942"/>
    <w:rsid w:val="61E85EAF"/>
    <w:rsid w:val="70A44F08"/>
    <w:rsid w:val="7D863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36FF0"/>
  <w15:chartTrackingRefBased/>
  <w15:docId w15:val="{50F476DF-4E42-4736-A082-5F4A0824B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2C50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027"/>
  </w:style>
  <w:style w:type="paragraph" w:styleId="Footer">
    <w:name w:val="footer"/>
    <w:basedOn w:val="Normal"/>
    <w:link w:val="FooterChar"/>
    <w:uiPriority w:val="99"/>
    <w:unhideWhenUsed/>
    <w:rsid w:val="002C50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73257">
      <w:bodyDiv w:val="1"/>
      <w:marLeft w:val="0"/>
      <w:marRight w:val="0"/>
      <w:marTop w:val="0"/>
      <w:marBottom w:val="0"/>
      <w:divBdr>
        <w:top w:val="none" w:sz="0" w:space="0" w:color="auto"/>
        <w:left w:val="none" w:sz="0" w:space="0" w:color="auto"/>
        <w:bottom w:val="none" w:sz="0" w:space="0" w:color="auto"/>
        <w:right w:val="none" w:sz="0" w:space="0" w:color="auto"/>
      </w:divBdr>
    </w:div>
    <w:div w:id="1134979017">
      <w:bodyDiv w:val="1"/>
      <w:marLeft w:val="0"/>
      <w:marRight w:val="0"/>
      <w:marTop w:val="0"/>
      <w:marBottom w:val="0"/>
      <w:divBdr>
        <w:top w:val="none" w:sz="0" w:space="0" w:color="auto"/>
        <w:left w:val="none" w:sz="0" w:space="0" w:color="auto"/>
        <w:bottom w:val="none" w:sz="0" w:space="0" w:color="auto"/>
        <w:right w:val="none" w:sz="0" w:space="0" w:color="auto"/>
      </w:divBdr>
    </w:div>
    <w:div w:id="1362246423">
      <w:bodyDiv w:val="1"/>
      <w:marLeft w:val="0"/>
      <w:marRight w:val="0"/>
      <w:marTop w:val="0"/>
      <w:marBottom w:val="0"/>
      <w:divBdr>
        <w:top w:val="none" w:sz="0" w:space="0" w:color="auto"/>
        <w:left w:val="none" w:sz="0" w:space="0" w:color="auto"/>
        <w:bottom w:val="none" w:sz="0" w:space="0" w:color="auto"/>
        <w:right w:val="none" w:sz="0" w:space="0" w:color="auto"/>
      </w:divBdr>
    </w:div>
    <w:div w:id="2066560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7</Pages>
  <Words>2413</Words>
  <Characters>13758</Characters>
  <Application>Microsoft Office Word</Application>
  <DocSecurity>0</DocSecurity>
  <Lines>114</Lines>
  <Paragraphs>32</Paragraphs>
  <ScaleCrop>false</ScaleCrop>
  <Company/>
  <LinksUpToDate>false</LinksUpToDate>
  <CharactersWithSpaces>16139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Powell (2305986)</dc:creator>
  <cp:keywords/>
  <dc:description/>
  <cp:lastModifiedBy>Ryan Powell (2305986)</cp:lastModifiedBy>
  <cp:revision>29</cp:revision>
  <dcterms:created xsi:type="dcterms:W3CDTF">2024-04-12T12:19:00Z</dcterms:created>
  <dcterms:modified xsi:type="dcterms:W3CDTF">2024-04-24T23:06:00Z</dcterms:modified>
</cp:coreProperties>
</file>