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6A6AD" w14:textId="77777777" w:rsidR="00D85669" w:rsidRDefault="00D85669" w:rsidP="00D85669"/>
    <w:p w14:paraId="338C28A9" w14:textId="4FE35238" w:rsidR="00D85669" w:rsidRPr="00867403" w:rsidRDefault="00867403" w:rsidP="00D85669">
      <w:pPr>
        <w:jc w:val="center"/>
        <w:rPr>
          <w:sz w:val="48"/>
          <w:szCs w:val="52"/>
        </w:rPr>
      </w:pPr>
      <w:r w:rsidRPr="00867403">
        <w:rPr>
          <w:sz w:val="48"/>
          <w:szCs w:val="52"/>
        </w:rPr>
        <w:t>Component 1: Written Assignment (</w:t>
      </w:r>
      <w:r w:rsidR="00D85669" w:rsidRPr="00867403">
        <w:rPr>
          <w:sz w:val="48"/>
          <w:szCs w:val="52"/>
        </w:rPr>
        <w:t xml:space="preserve">Reflective Report </w:t>
      </w:r>
    </w:p>
    <w:p w14:paraId="0949AAAE" w14:textId="77777777" w:rsidR="00D85669" w:rsidRPr="00867403" w:rsidRDefault="00D85669" w:rsidP="00D85669">
      <w:pPr>
        <w:jc w:val="center"/>
        <w:rPr>
          <w:sz w:val="48"/>
          <w:szCs w:val="52"/>
        </w:rPr>
      </w:pPr>
    </w:p>
    <w:p w14:paraId="0C94658A" w14:textId="77777777" w:rsidR="00867403" w:rsidRPr="00867403" w:rsidRDefault="00D85669" w:rsidP="00D85669">
      <w:pPr>
        <w:jc w:val="center"/>
        <w:rPr>
          <w:sz w:val="32"/>
          <w:szCs w:val="36"/>
        </w:rPr>
      </w:pPr>
      <w:r w:rsidRPr="00867403">
        <w:rPr>
          <w:sz w:val="32"/>
          <w:szCs w:val="36"/>
        </w:rPr>
        <w:t xml:space="preserve">BMHP5016 - Principles of Health and Social Care Practice </w:t>
      </w:r>
    </w:p>
    <w:p w14:paraId="35FDCDFD" w14:textId="77777777" w:rsidR="00867403" w:rsidRPr="00867403" w:rsidRDefault="00867403" w:rsidP="00D85669">
      <w:pPr>
        <w:jc w:val="center"/>
        <w:rPr>
          <w:sz w:val="48"/>
          <w:szCs w:val="52"/>
        </w:rPr>
      </w:pPr>
    </w:p>
    <w:p w14:paraId="3D8A3F28" w14:textId="77777777" w:rsidR="00867403" w:rsidRPr="00867403" w:rsidRDefault="00867403" w:rsidP="00D85669">
      <w:pPr>
        <w:jc w:val="center"/>
        <w:rPr>
          <w:sz w:val="36"/>
          <w:szCs w:val="40"/>
        </w:rPr>
      </w:pPr>
    </w:p>
    <w:p w14:paraId="1CDEC20B" w14:textId="3C5FC036" w:rsidR="00867403" w:rsidRPr="00867403" w:rsidRDefault="00867403" w:rsidP="00D85669">
      <w:pPr>
        <w:jc w:val="center"/>
        <w:rPr>
          <w:sz w:val="36"/>
          <w:szCs w:val="40"/>
        </w:rPr>
      </w:pPr>
      <w:r w:rsidRPr="00867403">
        <w:rPr>
          <w:sz w:val="36"/>
          <w:szCs w:val="40"/>
        </w:rPr>
        <w:t>Student Number: 2407682</w:t>
      </w:r>
    </w:p>
    <w:p w14:paraId="634E5F9E" w14:textId="648A9474" w:rsidR="00867403" w:rsidRPr="00867403" w:rsidRDefault="00867403" w:rsidP="00D85669">
      <w:pPr>
        <w:jc w:val="center"/>
        <w:rPr>
          <w:sz w:val="36"/>
          <w:szCs w:val="40"/>
        </w:rPr>
      </w:pPr>
      <w:r w:rsidRPr="00867403">
        <w:rPr>
          <w:sz w:val="36"/>
          <w:szCs w:val="40"/>
        </w:rPr>
        <w:t>Name: Saima Kausar</w:t>
      </w:r>
    </w:p>
    <w:p w14:paraId="21AE0791" w14:textId="77777777" w:rsidR="00867403" w:rsidRPr="00867403" w:rsidRDefault="00867403" w:rsidP="00D85669">
      <w:pPr>
        <w:jc w:val="center"/>
        <w:rPr>
          <w:sz w:val="36"/>
          <w:szCs w:val="40"/>
        </w:rPr>
      </w:pPr>
    </w:p>
    <w:p w14:paraId="3DAAC5CF" w14:textId="0DACBA2B" w:rsidR="00867403" w:rsidRPr="00867403" w:rsidRDefault="00867403" w:rsidP="00D85669">
      <w:pPr>
        <w:jc w:val="center"/>
        <w:rPr>
          <w:sz w:val="36"/>
          <w:szCs w:val="40"/>
        </w:rPr>
      </w:pPr>
      <w:r w:rsidRPr="00867403">
        <w:rPr>
          <w:sz w:val="36"/>
          <w:szCs w:val="40"/>
        </w:rPr>
        <w:t>Lecturer Name: Farah Islam</w:t>
      </w:r>
    </w:p>
    <w:p w14:paraId="3A5DF5DB" w14:textId="64A9EE1C" w:rsidR="00D85669" w:rsidRDefault="00D85669" w:rsidP="00867403">
      <w:pPr>
        <w:jc w:val="center"/>
      </w:pPr>
      <w:r>
        <w:br w:type="page"/>
      </w:r>
    </w:p>
    <w:sdt>
      <w:sdtPr>
        <w:rPr>
          <w:rFonts w:ascii="Arial" w:eastAsiaTheme="minorHAnsi" w:hAnsi="Arial" w:cstheme="minorBidi"/>
          <w:b w:val="0"/>
          <w:bCs w:val="0"/>
          <w:color w:val="000000" w:themeColor="text1"/>
          <w:kern w:val="2"/>
          <w:sz w:val="22"/>
          <w:szCs w:val="24"/>
          <w:lang w:val="en-GB"/>
          <w14:ligatures w14:val="standardContextual"/>
        </w:rPr>
        <w:id w:val="-1279406522"/>
        <w:docPartObj>
          <w:docPartGallery w:val="Table of Contents"/>
          <w:docPartUnique/>
        </w:docPartObj>
      </w:sdtPr>
      <w:sdtEndPr>
        <w:rPr>
          <w:noProof/>
        </w:rPr>
      </w:sdtEndPr>
      <w:sdtContent>
        <w:p w14:paraId="67FE22CD" w14:textId="699D7D5D" w:rsidR="006F1B8F" w:rsidRDefault="006F1B8F">
          <w:pPr>
            <w:pStyle w:val="TOCHeading"/>
          </w:pPr>
          <w:r>
            <w:t>Table of Contents</w:t>
          </w:r>
        </w:p>
        <w:p w14:paraId="38CE4E9E" w14:textId="47417218" w:rsidR="006F1B8F" w:rsidRDefault="006F1B8F">
          <w:pPr>
            <w:pStyle w:val="TOC1"/>
            <w:tabs>
              <w:tab w:val="right" w:leader="dot" w:pos="9016"/>
            </w:tabs>
            <w:rPr>
              <w:rFonts w:eastAsiaTheme="minorEastAsia"/>
              <w:b w:val="0"/>
              <w:bCs w:val="0"/>
              <w:i w:val="0"/>
              <w:iCs w:val="0"/>
              <w:noProof/>
              <w:color w:val="auto"/>
              <w:lang w:eastAsia="en-GB"/>
            </w:rPr>
          </w:pPr>
          <w:r>
            <w:rPr>
              <w:b w:val="0"/>
              <w:bCs w:val="0"/>
            </w:rPr>
            <w:fldChar w:fldCharType="begin"/>
          </w:r>
          <w:r>
            <w:instrText xml:space="preserve"> TOC \o "1-3" \h \z \u </w:instrText>
          </w:r>
          <w:r>
            <w:rPr>
              <w:b w:val="0"/>
              <w:bCs w:val="0"/>
            </w:rPr>
            <w:fldChar w:fldCharType="separate"/>
          </w:r>
          <w:hyperlink w:anchor="_Toc212439316" w:history="1">
            <w:r w:rsidRPr="008006C0">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_Toc212439316 \h </w:instrText>
            </w:r>
            <w:r>
              <w:rPr>
                <w:noProof/>
                <w:webHidden/>
              </w:rPr>
            </w:r>
            <w:r>
              <w:rPr>
                <w:noProof/>
                <w:webHidden/>
              </w:rPr>
              <w:fldChar w:fldCharType="separate"/>
            </w:r>
            <w:r>
              <w:rPr>
                <w:noProof/>
                <w:webHidden/>
              </w:rPr>
              <w:t>3</w:t>
            </w:r>
            <w:r>
              <w:rPr>
                <w:noProof/>
                <w:webHidden/>
              </w:rPr>
              <w:fldChar w:fldCharType="end"/>
            </w:r>
          </w:hyperlink>
        </w:p>
        <w:p w14:paraId="5DAAC915" w14:textId="3451B794" w:rsidR="006F1B8F" w:rsidRDefault="006F1B8F">
          <w:pPr>
            <w:pStyle w:val="TOC1"/>
            <w:tabs>
              <w:tab w:val="right" w:leader="dot" w:pos="9016"/>
            </w:tabs>
            <w:rPr>
              <w:rFonts w:eastAsiaTheme="minorEastAsia"/>
              <w:b w:val="0"/>
              <w:bCs w:val="0"/>
              <w:i w:val="0"/>
              <w:iCs w:val="0"/>
              <w:noProof/>
              <w:color w:val="auto"/>
              <w:lang w:eastAsia="en-GB"/>
            </w:rPr>
          </w:pPr>
          <w:hyperlink w:anchor="_Toc212439317" w:history="1">
            <w:r w:rsidRPr="008006C0">
              <w:rPr>
                <w:rStyle w:val="Hyperlink"/>
                <w:noProof/>
              </w:rPr>
              <w:t>Task 2: Practical Examples of Concepts in Practice</w:t>
            </w:r>
            <w:r>
              <w:rPr>
                <w:noProof/>
                <w:webHidden/>
              </w:rPr>
              <w:tab/>
            </w:r>
            <w:r>
              <w:rPr>
                <w:noProof/>
                <w:webHidden/>
              </w:rPr>
              <w:fldChar w:fldCharType="begin"/>
            </w:r>
            <w:r>
              <w:rPr>
                <w:noProof/>
                <w:webHidden/>
              </w:rPr>
              <w:instrText xml:space="preserve"> PAGEREF _Toc212439317 \h </w:instrText>
            </w:r>
            <w:r>
              <w:rPr>
                <w:noProof/>
                <w:webHidden/>
              </w:rPr>
            </w:r>
            <w:r>
              <w:rPr>
                <w:noProof/>
                <w:webHidden/>
              </w:rPr>
              <w:fldChar w:fldCharType="separate"/>
            </w:r>
            <w:r>
              <w:rPr>
                <w:noProof/>
                <w:webHidden/>
              </w:rPr>
              <w:t>5</w:t>
            </w:r>
            <w:r>
              <w:rPr>
                <w:noProof/>
                <w:webHidden/>
              </w:rPr>
              <w:fldChar w:fldCharType="end"/>
            </w:r>
          </w:hyperlink>
        </w:p>
        <w:p w14:paraId="7BF1019E" w14:textId="175CD1D3" w:rsidR="006F1B8F" w:rsidRDefault="006F1B8F">
          <w:pPr>
            <w:pStyle w:val="TOC1"/>
            <w:tabs>
              <w:tab w:val="right" w:leader="dot" w:pos="9016"/>
            </w:tabs>
            <w:rPr>
              <w:rFonts w:eastAsiaTheme="minorEastAsia"/>
              <w:b w:val="0"/>
              <w:bCs w:val="0"/>
              <w:i w:val="0"/>
              <w:iCs w:val="0"/>
              <w:noProof/>
              <w:color w:val="auto"/>
              <w:lang w:eastAsia="en-GB"/>
            </w:rPr>
          </w:pPr>
          <w:hyperlink w:anchor="_Toc212439318" w:history="1">
            <w:r w:rsidRPr="008006C0">
              <w:rPr>
                <w:rStyle w:val="Hyperlink"/>
                <w:noProof/>
              </w:rPr>
              <w:t>Task 3: Reflection on Professional Development</w:t>
            </w:r>
            <w:r>
              <w:rPr>
                <w:noProof/>
                <w:webHidden/>
              </w:rPr>
              <w:tab/>
            </w:r>
            <w:r>
              <w:rPr>
                <w:noProof/>
                <w:webHidden/>
              </w:rPr>
              <w:fldChar w:fldCharType="begin"/>
            </w:r>
            <w:r>
              <w:rPr>
                <w:noProof/>
                <w:webHidden/>
              </w:rPr>
              <w:instrText xml:space="preserve"> PAGEREF _Toc212439318 \h </w:instrText>
            </w:r>
            <w:r>
              <w:rPr>
                <w:noProof/>
                <w:webHidden/>
              </w:rPr>
            </w:r>
            <w:r>
              <w:rPr>
                <w:noProof/>
                <w:webHidden/>
              </w:rPr>
              <w:fldChar w:fldCharType="separate"/>
            </w:r>
            <w:r>
              <w:rPr>
                <w:noProof/>
                <w:webHidden/>
              </w:rPr>
              <w:t>7</w:t>
            </w:r>
            <w:r>
              <w:rPr>
                <w:noProof/>
                <w:webHidden/>
              </w:rPr>
              <w:fldChar w:fldCharType="end"/>
            </w:r>
          </w:hyperlink>
        </w:p>
        <w:p w14:paraId="67D8062E" w14:textId="5DD7ABE3" w:rsidR="006F1B8F" w:rsidRDefault="006F1B8F">
          <w:pPr>
            <w:pStyle w:val="TOC1"/>
            <w:tabs>
              <w:tab w:val="right" w:leader="dot" w:pos="9016"/>
            </w:tabs>
            <w:rPr>
              <w:rFonts w:eastAsiaTheme="minorEastAsia"/>
              <w:b w:val="0"/>
              <w:bCs w:val="0"/>
              <w:i w:val="0"/>
              <w:iCs w:val="0"/>
              <w:noProof/>
              <w:color w:val="auto"/>
              <w:lang w:eastAsia="en-GB"/>
            </w:rPr>
          </w:pPr>
          <w:hyperlink w:anchor="_Toc212439319" w:history="1">
            <w:r w:rsidRPr="008006C0">
              <w:rPr>
                <w:rStyle w:val="Hyperlink"/>
                <w:noProof/>
              </w:rPr>
              <w:t>References</w:t>
            </w:r>
            <w:r>
              <w:rPr>
                <w:noProof/>
                <w:webHidden/>
              </w:rPr>
              <w:tab/>
            </w:r>
            <w:r>
              <w:rPr>
                <w:noProof/>
                <w:webHidden/>
              </w:rPr>
              <w:fldChar w:fldCharType="begin"/>
            </w:r>
            <w:r>
              <w:rPr>
                <w:noProof/>
                <w:webHidden/>
              </w:rPr>
              <w:instrText xml:space="preserve"> PAGEREF _Toc212439319 \h </w:instrText>
            </w:r>
            <w:r>
              <w:rPr>
                <w:noProof/>
                <w:webHidden/>
              </w:rPr>
            </w:r>
            <w:r>
              <w:rPr>
                <w:noProof/>
                <w:webHidden/>
              </w:rPr>
              <w:fldChar w:fldCharType="separate"/>
            </w:r>
            <w:r>
              <w:rPr>
                <w:noProof/>
                <w:webHidden/>
              </w:rPr>
              <w:t>10</w:t>
            </w:r>
            <w:r>
              <w:rPr>
                <w:noProof/>
                <w:webHidden/>
              </w:rPr>
              <w:fldChar w:fldCharType="end"/>
            </w:r>
          </w:hyperlink>
        </w:p>
        <w:p w14:paraId="1B8A1261" w14:textId="6571EF3F" w:rsidR="006F1B8F" w:rsidRDefault="006F1B8F">
          <w:r>
            <w:rPr>
              <w:b/>
              <w:bCs/>
              <w:noProof/>
            </w:rPr>
            <w:fldChar w:fldCharType="end"/>
          </w:r>
        </w:p>
      </w:sdtContent>
    </w:sdt>
    <w:p w14:paraId="51D7B170" w14:textId="5ABEF405" w:rsidR="006F1B8F" w:rsidRDefault="006F1B8F">
      <w:pPr>
        <w:spacing w:after="160" w:line="278" w:lineRule="auto"/>
        <w:jc w:val="left"/>
      </w:pPr>
      <w:r>
        <w:br w:type="page"/>
      </w:r>
    </w:p>
    <w:p w14:paraId="6AA457F4" w14:textId="77777777" w:rsidR="006F1B8F" w:rsidRDefault="006F1B8F" w:rsidP="00867403">
      <w:pPr>
        <w:jc w:val="center"/>
      </w:pPr>
    </w:p>
    <w:p w14:paraId="41AD952C" w14:textId="77777777" w:rsidR="00D85669" w:rsidRDefault="00D85669" w:rsidP="00867403">
      <w:pPr>
        <w:pStyle w:val="Heading1"/>
      </w:pPr>
      <w:bookmarkStart w:id="0" w:name="_Toc212439316"/>
      <w:r>
        <w:t>Task 1: Reflection on the Importance of Principles of Health and Social Care</w:t>
      </w:r>
      <w:bookmarkEnd w:id="0"/>
      <w:r>
        <w:t xml:space="preserve"> </w:t>
      </w:r>
    </w:p>
    <w:p w14:paraId="3B407ED1" w14:textId="77777777" w:rsidR="00D85669" w:rsidRDefault="00D85669" w:rsidP="00D85669">
      <w:r>
        <w:t>This essay will explore the key principles that guide health and social care practice, including person-centred care, partnership working, and ethical practice. It will explain how these principles are applied in real situations and reflect on professional development, showing how learning and self-assessment improve the quality of care and practice.</w:t>
      </w:r>
    </w:p>
    <w:p w14:paraId="344DFCDB" w14:textId="77777777" w:rsidR="00D85669" w:rsidRDefault="00D85669" w:rsidP="00D85669">
      <w:r>
        <w:t>The principles of health and social care provide the foundation for all professional practice and decision-making. They ensure that individuals receive care which protects their dignity, promotes independence, and upholds legal and ethical standards. Within the United Kingdom, these principles are reinforced through policies and legislation such as the Care Act 2014, the Equality Act 2010 and the Health and Care Act 2022, all of which emphasise fairness, safety and respect for human rights.</w:t>
      </w:r>
    </w:p>
    <w:p w14:paraId="2EEA2ABC" w14:textId="77777777" w:rsidR="00D85669" w:rsidRDefault="00D85669" w:rsidP="00D85669">
      <w:r>
        <w:t>Person-centred care is one of the most significant principles because it focuses on recognising each person as an individual with unique needs, values and preferences. The Care Act 2014 requires professionals to promote people’s wellbeing and involve them in decisions about their care. McCormack and McCance (2017) describe person-centred practice as an approach that values partnership, empathy and respect. When service users feel listened to and supported in making choices, they gain greater control over their lives. Maslow’s (1943) Hierarchy of Needs helps explain why this matters: people must have their physical, emotional and social needs met to achieve wellbeing.</w:t>
      </w:r>
    </w:p>
    <w:p w14:paraId="68764B95" w14:textId="77777777" w:rsidR="00D85669" w:rsidRDefault="00D85669" w:rsidP="00D85669">
      <w:r>
        <w:t>Another key principle is partnership working. Health and social care are complex systems that involve many professionals, and effective collaboration ensures that support is coordinated and consistent. The NHS Long Term Plan (2019) and the development of Integrated Care Systems demonstrate the government’s focus on joint working. Glasby and Dickinson (2014) highlight that partnership helps prevent gaps and duplication of services. Good teamwork between nurses, doctors, social workers and families improves communication, promotes safety and ensures that care is holistic. (NHS England, 2022)</w:t>
      </w:r>
    </w:p>
    <w:p w14:paraId="1D3E7271" w14:textId="78712F7A" w:rsidR="00D85669" w:rsidRDefault="006F1B8F" w:rsidP="00D85669">
      <w:r w:rsidRPr="006F1B8F">
        <w:t>Ethical practice underpins every professional decision. These standards are guided by professional codes of conduct that safeguard trust and accountability. The Nursing and Midwifery Council (NMC, 2018) and the Health and Care Professions Council (HCPC, 2016) require practitioners to act with honesty, fairness and integrity.</w:t>
      </w:r>
      <w:r w:rsidR="00D85669">
        <w:t xml:space="preserve"> Ethics help workers balance respect for autonomy with the duty to protect individuals from harm. When professionals follow ethical codes, they maintain trust and accountability within care relationships.</w:t>
      </w:r>
    </w:p>
    <w:p w14:paraId="7330760A" w14:textId="77777777" w:rsidR="00C22DD1" w:rsidRDefault="00C22DD1" w:rsidP="00C22DD1">
      <w:r>
        <w:lastRenderedPageBreak/>
        <w:t>In summary, person-centred care, partnership working and ethical practice create the moral and professional framework for effective health and social care. These principles ensure that services remain compassionate, fair and responsive to individual needs, ultimately leading to better outcomes for people who use them.</w:t>
      </w:r>
    </w:p>
    <w:p w14:paraId="7FB90E52" w14:textId="252D48EF" w:rsidR="00D85669" w:rsidRDefault="00C22DD1" w:rsidP="00C22DD1">
      <w:r>
        <w:t>Together, these principles underpin safe, effective, and accountable practice within the UK’s professional and legal frameworks.</w:t>
      </w:r>
    </w:p>
    <w:p w14:paraId="54F83D41" w14:textId="77777777" w:rsidR="00867403" w:rsidRDefault="00867403">
      <w:pPr>
        <w:spacing w:after="160" w:line="278" w:lineRule="auto"/>
        <w:jc w:val="left"/>
      </w:pPr>
      <w:r>
        <w:br w:type="page"/>
      </w:r>
    </w:p>
    <w:p w14:paraId="0EB1FB40" w14:textId="4BD567B4" w:rsidR="00D85669" w:rsidRDefault="00D85669" w:rsidP="006F1B8F">
      <w:pPr>
        <w:pStyle w:val="Heading1"/>
      </w:pPr>
      <w:bookmarkStart w:id="1" w:name="_Toc212439317"/>
      <w:r>
        <w:lastRenderedPageBreak/>
        <w:t>Task 2: Practical Examples of Concepts in Practice</w:t>
      </w:r>
      <w:bookmarkEnd w:id="1"/>
      <w:r>
        <w:t xml:space="preserve"> </w:t>
      </w:r>
    </w:p>
    <w:p w14:paraId="5D00772D" w14:textId="77777777" w:rsidR="00D85669" w:rsidRDefault="00D85669" w:rsidP="00D85669">
      <w:r>
        <w:t>Mrs C’s Story – Person-centred care, partnership working, and ethics in action</w:t>
      </w:r>
    </w:p>
    <w:p w14:paraId="75E8EAA3" w14:textId="77777777" w:rsidR="00D85669" w:rsidRDefault="00D85669" w:rsidP="00D85669">
      <w:r>
        <w:t>Mrs C is an older woman who lives alone. She has a serious lung illness (COPD) and now has lung cancer that has spread to her bones and liver. Her three children live far away, so she mostly looks after herself with help from carers. The professionals working with Mrs C use a person-centred and ethical approach to support her, making sure that her wishes guide every part of her care.</w:t>
      </w:r>
    </w:p>
    <w:p w14:paraId="037E61A2" w14:textId="77777777" w:rsidR="00D85669" w:rsidRDefault="00D85669" w:rsidP="00D85669">
      <w:r>
        <w:t>Person-centred care means focusing on what matters most to Mrs C. The care team – her GP, community nurse, palliative care team and social worker – listen to her views and involve her in every decision. Mrs C takes part in shared decision-making about treatments. For example, she decides whether to accept palliative treatment for her cancer, what kind of care she would want if her breathing gets worse again, and whether she wants to go back to hospital. She is given clear information about each option so she can make informed choices. This shows respect for her independence and dignity, which are key person-centred values in the NHS and the Care Act 2014.</w:t>
      </w:r>
    </w:p>
    <w:p w14:paraId="6B924340" w14:textId="77777777" w:rsidR="00C22DD1" w:rsidRDefault="00D85669" w:rsidP="00C22DD1">
      <w:r>
        <w:t xml:space="preserve">A personalised care and support plan is created after a full assessment of Mrs C’s physical, emotional, social and spiritual needs. She talks about what is most important to her – staying at home, keeping her independence, and planning her future. </w:t>
      </w:r>
      <w:r w:rsidR="00C22DD1">
        <w:t>The plan records her wishes, such as only having morning carers for now, how her care will be reviewed, and how her end-of-life preferences will be shared with the GP, hospital, ambulance service and her family. This ensures continuity of care, especially in emergencies.</w:t>
      </w:r>
    </w:p>
    <w:p w14:paraId="2274456A" w14:textId="652AEEC0" w:rsidR="00D85669" w:rsidRDefault="00C22DD1" w:rsidP="00C22DD1">
      <w:r>
        <w:t>This reflective process mirrors Kolb’s (1984) experiential learning cycle, as ongoing review and adaptation of her plan allow practitioners to learn from each interaction and improve care quality.</w:t>
      </w:r>
    </w:p>
    <w:p w14:paraId="2448F38E" w14:textId="77777777" w:rsidR="00C22DD1" w:rsidRDefault="00C22DD1" w:rsidP="00C22DD1">
      <w:r>
        <w:t>Partnership working is clear in how different people and services work together to support Mrs C. Her GP, community nurse, palliative care team and social worker share information (with her consent) so everyone understands her needs and decisions.</w:t>
      </w:r>
    </w:p>
    <w:p w14:paraId="646277E2" w14:textId="77777777" w:rsidR="00C22DD1" w:rsidRDefault="00C22DD1" w:rsidP="00C22DD1">
      <w:r>
        <w:t>However, challenges such as communication gaps, workload pressures or differing professional priorities can occasionally affect coordination, requiring reflective review to sustain effective teamwork.</w:t>
      </w:r>
    </w:p>
    <w:p w14:paraId="6197CADF" w14:textId="23729C57" w:rsidR="00D85669" w:rsidRDefault="00C22DD1" w:rsidP="00C22DD1">
      <w:r>
        <w:t>Mrs C’s</w:t>
      </w:r>
      <w:r w:rsidR="00D85669">
        <w:t xml:space="preserve"> children, though far away, are kept informed. Mrs C is also linked with local community services through social prescribing. She joins a weekly health walk, lunch club, and uses an iPad to video call her family. These activities reduce loneliness and improve her quality of life.</w:t>
      </w:r>
    </w:p>
    <w:p w14:paraId="174EC546" w14:textId="77777777" w:rsidR="00D85669" w:rsidRDefault="00D85669" w:rsidP="00D85669">
      <w:r>
        <w:lastRenderedPageBreak/>
        <w:t>Ethical practice is shown through respect for Mrs C’s rights, privacy, and choices. Professionals act with honesty and compassion. They discuss sensitive issues like resuscitation and future care openly, giving her time to think and decide. They follow professional standards such as those set by the Health and Care Professions Council (HCPC), which highlight dignity, consent, confidentiality, and fairness.</w:t>
      </w:r>
    </w:p>
    <w:p w14:paraId="43F2D65C" w14:textId="77777777" w:rsidR="00D85669" w:rsidRDefault="00D85669" w:rsidP="00D85669">
      <w:r>
        <w:t>Empowerment and self-management are also part of her care. Mrs C receives health coaching from her GP surgery to manage her breathlessness and anxiety. She learns practical ways to stay calm and active, which increases her confidence.</w:t>
      </w:r>
    </w:p>
    <w:p w14:paraId="56166FA5" w14:textId="77777777" w:rsidR="00D85669" w:rsidRDefault="00D85669" w:rsidP="00D85669">
      <w:r>
        <w:t>Finally, Mrs C uses a personal health budget (PHB) to choose her own carer – her neighbour. This gives her more control and comfort, as she trusts the person helping her. Her PHB can be reviewed and increased as her needs change.</w:t>
      </w:r>
    </w:p>
    <w:p w14:paraId="35C6002F" w14:textId="77777777" w:rsidR="00D85669" w:rsidRDefault="00D85669" w:rsidP="00D85669">
      <w:r>
        <w:t>In summary, Mrs C’s care shows how person-centred care, partnership working, and ethics can work together to give a patient control, dignity, and quality of life. Following current NHS policies like personalised care planning, social prescribing, and the Care Act 2014 helps health and social care staff deliver care that truly meets people’s individual needs.</w:t>
      </w:r>
    </w:p>
    <w:p w14:paraId="2E389531" w14:textId="678ADB16" w:rsidR="00867403" w:rsidRDefault="00C22DD1" w:rsidP="00D85669">
      <w:r w:rsidRPr="00C22DD1">
        <w:t>This example demonstrates how ethical principles and national policy combine to promote safety, inclusion, and equitable access to personalised care.</w:t>
      </w:r>
    </w:p>
    <w:p w14:paraId="2B7A1766" w14:textId="77777777" w:rsidR="00867403" w:rsidRDefault="00867403">
      <w:pPr>
        <w:spacing w:after="160" w:line="278" w:lineRule="auto"/>
        <w:jc w:val="left"/>
      </w:pPr>
      <w:r>
        <w:br w:type="page"/>
      </w:r>
    </w:p>
    <w:p w14:paraId="480EA0D7" w14:textId="4BC04DEB" w:rsidR="00D85669" w:rsidRDefault="00D85669" w:rsidP="006F1B8F">
      <w:pPr>
        <w:pStyle w:val="Heading1"/>
      </w:pPr>
      <w:bookmarkStart w:id="2" w:name="_Toc212439318"/>
      <w:r>
        <w:lastRenderedPageBreak/>
        <w:t>Task 3: Reflection on Professional Development</w:t>
      </w:r>
      <w:bookmarkEnd w:id="2"/>
      <w:r>
        <w:t xml:space="preserve"> </w:t>
      </w:r>
    </w:p>
    <w:p w14:paraId="743D323E" w14:textId="657BA708" w:rsidR="00D85669" w:rsidRDefault="00C22DD1" w:rsidP="00D85669">
      <w:r w:rsidRPr="00C22DD1">
        <w:t xml:space="preserve">Reflection is an essential part of professional growth, helping practitioners evaluate experiences and apply learning to improve future care. </w:t>
      </w:r>
      <w:r w:rsidR="00D85669">
        <w:t>Professional development in health and social care is a continuous process that involves reflecting on experiences, learning from challenges and applying knowledge to improve practice. Reflection encourages self-awareness and helps practitioners align their behaviour with core principles and standards. Gibbs’ (1988) Reflective Cycle and Kolb’s (1984) Experiential Learning Theory provide useful frameworks for analysing experiences, exploring emotions and planning future improvement.</w:t>
      </w:r>
    </w:p>
    <w:p w14:paraId="6ABD6211" w14:textId="77777777" w:rsidR="00D85669" w:rsidRDefault="00D85669" w:rsidP="00D85669">
      <w:r>
        <w:t>Person-centred care remains a key area for development. It requires genuine listening, empathy and flexibility. For example, when a service user expresses a wish to follow a different routine or cultural practice, adapting care to meet those preferences demonstrates respect. Carl Rogers (1951) explains that empathy and unconditional positive regard are central to building trust. The Equality Act 2010 further reinforces the need to provide inclusive, non-discriminatory care. Reflecting on practice helps professionals identify whether they are truly promoting inclusion or unintentionally following institutional routines that limit choice.</w:t>
      </w:r>
    </w:p>
    <w:p w14:paraId="7E681571" w14:textId="77777777" w:rsidR="00D85669" w:rsidRDefault="00D85669" w:rsidP="00D85669">
      <w:r>
        <w:t>However, there are challenges. Staff shortages, time pressure and paperwork can reduce opportunities for meaningful interaction. Reflection can help identify strategies to overcome these barriers—such as prioritising active listening or improving time management. Team debriefs and supervision sessions are valuable spaces for discussing emotional impact and finding solutions. Developing resilience through mindfulness or peer support can also enhance the ability to remain compassionate under pressure.</w:t>
      </w:r>
    </w:p>
    <w:p w14:paraId="7A0B8622" w14:textId="77777777" w:rsidR="00D85669" w:rsidRDefault="00D85669" w:rsidP="00D85669">
      <w:r>
        <w:t>Partnership working is another core aspect of professional growth. Inter-professional collaboration demands communication skills, respect for diverse expertise and shared accountability. According to the Health and Care Act 2022, integrated working is essential for delivering efficient, safe care. In practice, this means attending multidisciplinary meetings, sharing accurate information and being open to feedback. Reflection helps professionals recognise moments when communication has been effective or when misunderstandings occurred.</w:t>
      </w:r>
    </w:p>
    <w:p w14:paraId="2725D0BF" w14:textId="77777777" w:rsidR="00D85669" w:rsidRDefault="00D85669" w:rsidP="00D85669">
      <w:r>
        <w:t>When conflicts arise— between nurses and social workers for discharge planning—Gibbs’ cycle can be applied. The description stage records what happened; the feelings stage explores frustration or anxiety; the evaluation considers what went well or poorly; analysis links to theory about teamwork and leadership; the conclusion identifies lessons learned; and the action plan sets goals for improvement. This structured approach transforms conflict into learning.</w:t>
      </w:r>
    </w:p>
    <w:p w14:paraId="70C5F5BE" w14:textId="77777777" w:rsidR="00D85669" w:rsidRDefault="00D85669" w:rsidP="00D85669">
      <w:r>
        <w:lastRenderedPageBreak/>
        <w:t>Ethical reflection is central to maintaining professionalism. Ethical dilemmas are common—for example, when a service user refuses treatment or a family member disagrees with a care plan. Beauchamp and Childress (2013) describe four guiding principles: autonomy, beneficence, non-maleficence and justice. Applying these encourages fair and thoughtful decision-making. The NMC (2018) Code supports this by requiring nurses to preserve dignity, maintain confidentiality and act with integrity. Regular reflection ensures that ethical reasoning stays sharp and aligned with policy.</w:t>
      </w:r>
    </w:p>
    <w:p w14:paraId="7571695D" w14:textId="77777777" w:rsidR="00D85669" w:rsidRDefault="00D85669" w:rsidP="00D85669">
      <w:r>
        <w:t>Supervision plays a crucial role in ethical development. Discussing challenging cases with a supervisor allows practitioners to process emotions and avoid burnout. It also provides guidance on balancing individual rights with safeguarding responsibilities. Emotional intelligence, as Goleman (1995) explains, enables professionals to manage feelings and respond empathetically rather than reactively. This awareness helps maintain calm, respectful communication even in stressful situations.</w:t>
      </w:r>
    </w:p>
    <w:p w14:paraId="1AE411D8" w14:textId="77777777" w:rsidR="00D85669" w:rsidRDefault="00D85669" w:rsidP="00D85669">
      <w:r>
        <w:t>Kolb’s (1984) learning theory emphasises learning through experience: concrete experience, reflective observation, abstract conceptualisation and active experimentation. Applying this to daily work means recognising that every interaction is an opportunity to learn. For instance, after supporting a service user with dementia who becomes distressed, reflection can reveal what communication techniques worked best, which can then be applied in future encounters.</w:t>
      </w:r>
    </w:p>
    <w:p w14:paraId="3A8D4517" w14:textId="77777777" w:rsidR="00D85669" w:rsidRDefault="00D85669" w:rsidP="00D85669">
      <w:r>
        <w:t>Assessing personal strengths and weaknesses is another part of reflective practice. Many practitioners excel in empathy, patience and communication, but may need to develop confidence in leadership or assertiveness. Being able to voice concerns in team meetings or advocate for service users is vital for safeguarding and quality improvement. Setting SMART goals—Specific, Measurable, Achievable, Relevant and Time-bound—can support structured development. Examples might include completing a safeguarding course within three months or shadowing a senior colleague to observe effective teamwork.</w:t>
      </w:r>
    </w:p>
    <w:p w14:paraId="58A050FB" w14:textId="4E3F5395" w:rsidR="00D85669" w:rsidRDefault="00D85669" w:rsidP="00D85669">
      <w:r>
        <w:t xml:space="preserve">Continuous Professional Development (CPD) ensures that knowledge stays current with policy changes, such as updates in the Care Act 2014 or new NICE guidelines. Attending workshops on communication, equality and diversity, or end-of-life care deepens understanding and skill. </w:t>
      </w:r>
      <w:r w:rsidR="00C22DD1" w:rsidRPr="00C22DD1">
        <w:t xml:space="preserve">This commitment aligns with professional requirements for NMC revalidation and HCPC standards, which emphasise ongoing reflection and learning as part of safe, accountable practice. </w:t>
      </w:r>
      <w:r>
        <w:t>Reflection after CPD activities helps integrate learning into practice. Keeping a CPD portfolio provides evidence of growth and commitment to professional standards.</w:t>
      </w:r>
    </w:p>
    <w:p w14:paraId="194F8DEB" w14:textId="77777777" w:rsidR="00D85669" w:rsidRDefault="00D85669" w:rsidP="00D85669">
      <w:r>
        <w:t xml:space="preserve">Self-care and well-being are also important elements of professional development. Health and social care work can be emotionally demanding, and neglecting self-care can lead to </w:t>
      </w:r>
      <w:r>
        <w:lastRenderedPageBreak/>
        <w:t>compassion fatigue. Reflecting on workload, seeking supervision and maintaining a healthy work-life balance prevent burnout. Practitioners who care for themselves are better able to provide consistent and empathetic support to others.</w:t>
      </w:r>
    </w:p>
    <w:p w14:paraId="1C0436F5" w14:textId="77777777" w:rsidR="00D85669" w:rsidRDefault="00D85669" w:rsidP="00D85669">
      <w:r>
        <w:t>In conclusion, professional development in health and social care depends on continuous reflection and learning. Applying frameworks such as those proposed by Gibbs (1988) and Kolb (1984) encourages structured growth. Strengthening person-centred practice, enhancing teamwork and maintaining ethical integrity are ongoing goals. Through supervision, CPD and reflective journaling, professionals can refine their skills and remain responsive to service users’ needs. Reflection transforms daily experience into meaningful learning, ensuring that care remains compassionate, safe and effective.</w:t>
      </w:r>
    </w:p>
    <w:p w14:paraId="3796615F" w14:textId="4A153662" w:rsidR="00D85669" w:rsidRDefault="00C22DD1" w:rsidP="00D85669">
      <w:r w:rsidRPr="00C22DD1">
        <w:t>Ongoing reflective practice enables professionals to uphold ethical standards, respond to changing policy, and continuously enhance the quality of health and social care delivery.</w:t>
      </w:r>
    </w:p>
    <w:p w14:paraId="0EE33C08" w14:textId="77777777" w:rsidR="00867403" w:rsidRDefault="00867403">
      <w:pPr>
        <w:spacing w:after="160" w:line="278" w:lineRule="auto"/>
        <w:jc w:val="left"/>
      </w:pPr>
      <w:r>
        <w:br w:type="page"/>
      </w:r>
    </w:p>
    <w:p w14:paraId="03F868F5" w14:textId="150CBCCE" w:rsidR="00D85669" w:rsidRDefault="00D85669" w:rsidP="006F1B8F">
      <w:pPr>
        <w:pStyle w:val="Heading1"/>
      </w:pPr>
      <w:bookmarkStart w:id="3" w:name="_Toc212439319"/>
      <w:r>
        <w:lastRenderedPageBreak/>
        <w:t>References</w:t>
      </w:r>
      <w:bookmarkEnd w:id="3"/>
    </w:p>
    <w:p w14:paraId="6BDF260A" w14:textId="77777777" w:rsidR="00D85669" w:rsidRDefault="00D85669" w:rsidP="00867403">
      <w:pPr>
        <w:pStyle w:val="ListParagraph"/>
        <w:numPr>
          <w:ilvl w:val="0"/>
          <w:numId w:val="1"/>
        </w:numPr>
      </w:pPr>
      <w:r>
        <w:t>CIPD (2025). What Is Continuing Professional Development (CPD). [online] CIPD. Available at: https://www.cipd.org/uk/learning/cpd/about/.</w:t>
      </w:r>
    </w:p>
    <w:p w14:paraId="6AC33FD2" w14:textId="61ED0188" w:rsidR="00D85669" w:rsidRDefault="00D85669" w:rsidP="00867403">
      <w:pPr>
        <w:pStyle w:val="ListParagraph"/>
        <w:numPr>
          <w:ilvl w:val="0"/>
          <w:numId w:val="1"/>
        </w:numPr>
      </w:pPr>
      <w:r>
        <w:t>Department of Health and Social Care (2024). Hospital Discharge and Community Support Guidance. [online] GOV.UK. Available at: https://www.gov.uk/government/publications/hospital-discharge-and-community-support-guidance/hospital-discharge-and-community-support-guidance.</w:t>
      </w:r>
    </w:p>
    <w:p w14:paraId="5F745499" w14:textId="7274E1ED" w:rsidR="00D85669" w:rsidRDefault="00D85669" w:rsidP="00867403">
      <w:pPr>
        <w:pStyle w:val="ListParagraph"/>
        <w:numPr>
          <w:ilvl w:val="0"/>
          <w:numId w:val="1"/>
        </w:numPr>
      </w:pPr>
      <w:r>
        <w:t>GOV.UK (2013). Mental Capacity Act Code of Practice. [online] GOV.UK. Available at: https://www.gov.uk/government/publications/mental-capacity-act-code-of-practice.</w:t>
      </w:r>
    </w:p>
    <w:p w14:paraId="47705ADD" w14:textId="50367083" w:rsidR="00D85669" w:rsidRDefault="00D85669" w:rsidP="007C32AC">
      <w:pPr>
        <w:pStyle w:val="ListParagraph"/>
        <w:numPr>
          <w:ilvl w:val="0"/>
          <w:numId w:val="1"/>
        </w:numPr>
      </w:pPr>
      <w:r>
        <w:t>McLeod, S. (2025). Operant conditioning: What it is, how it works, and examples. [online] Simply Psychology. Available at: https://www.simplypsychology.org/operant-conditioning.html.</w:t>
      </w:r>
    </w:p>
    <w:p w14:paraId="3C5AA268" w14:textId="3013B931" w:rsidR="00D85669" w:rsidRDefault="00D85669" w:rsidP="00867403">
      <w:pPr>
        <w:pStyle w:val="ListParagraph"/>
        <w:numPr>
          <w:ilvl w:val="0"/>
          <w:numId w:val="1"/>
        </w:numPr>
      </w:pPr>
      <w:r>
        <w:t>NMC (2024). Supporting Information for Reflection in Nursing and Midwifery Practice. [online] Nursing and Midwifery Council, Nursing and Midwifery Council, pp.1–10. Available at: https://www.nmc.org.uk/globalassets/sitedocuments/standards/supporting-information-for-reflection-in-nursing-and-midwifery-practice.pdf.</w:t>
      </w:r>
    </w:p>
    <w:p w14:paraId="7C154C9D" w14:textId="51D80CCD" w:rsidR="00D85669" w:rsidRDefault="00D85669" w:rsidP="00867403">
      <w:pPr>
        <w:pStyle w:val="ListParagraph"/>
        <w:numPr>
          <w:ilvl w:val="0"/>
          <w:numId w:val="1"/>
        </w:numPr>
      </w:pPr>
      <w:r>
        <w:t>Reflective Practice: An introductory toolkit for Scotland’s Health and Social Care Workforce. Who is this toolkit for? (n.d.). Available at: https://wellbeinghub.scot/wp-content/uploads/2025/04/NWH_Reflective-Practice-Toolkit.pdf.</w:t>
      </w:r>
    </w:p>
    <w:p w14:paraId="58292542" w14:textId="62309981" w:rsidR="00D85669" w:rsidRDefault="00D85669" w:rsidP="00867403">
      <w:pPr>
        <w:pStyle w:val="ListParagraph"/>
        <w:numPr>
          <w:ilvl w:val="0"/>
          <w:numId w:val="1"/>
        </w:numPr>
      </w:pPr>
      <w:r>
        <w:t>Social Care Institute for Excellence (2022). Multidisciplinary Teams Working for Integrated Care. [online] Social Care Institute for Excellence. Available at: https://www.scie.org.uk/integrated-care/research-practice/activities/multidisciplinary-teams/.</w:t>
      </w:r>
    </w:p>
    <w:p w14:paraId="3D874957" w14:textId="77777777" w:rsidR="00D85669" w:rsidRDefault="00D85669" w:rsidP="00867403">
      <w:pPr>
        <w:pStyle w:val="ListParagraph"/>
        <w:numPr>
          <w:ilvl w:val="0"/>
          <w:numId w:val="1"/>
        </w:numPr>
      </w:pPr>
      <w:r>
        <w:t>Care Learning (2024). 2.5. Explain how to communicate to meet the needs of others – Care Learning. [online] Care Learning. Available at: https://carelearning.org.uk/qualifications/level-3-extended-hsc/hsc-cm4/2-5-explain-how-to-communicate-to-meet-the-needs-of-others/.</w:t>
      </w:r>
    </w:p>
    <w:p w14:paraId="0A156BD2" w14:textId="77777777" w:rsidR="00D85669" w:rsidRDefault="00D85669" w:rsidP="00867403">
      <w:pPr>
        <w:pStyle w:val="ListParagraph"/>
        <w:numPr>
          <w:ilvl w:val="0"/>
          <w:numId w:val="1"/>
        </w:numPr>
      </w:pPr>
      <w:r>
        <w:t>McLeod, S. (2025). Gibbs Reflective Cycle. [online] Simply Psychology. Available at: https://www.simplypsychology.org/gibbs-reflective-cycle.html.</w:t>
      </w:r>
    </w:p>
    <w:p w14:paraId="72D60943" w14:textId="77777777" w:rsidR="00D85669" w:rsidRDefault="00D85669" w:rsidP="00867403">
      <w:pPr>
        <w:pStyle w:val="ListParagraph"/>
        <w:numPr>
          <w:ilvl w:val="0"/>
          <w:numId w:val="1"/>
        </w:numPr>
      </w:pPr>
      <w:r>
        <w:t>NHS England (2022). What Are Integrated Care systems? [online] NHS England. Available at: https://www.england.nhs.uk/integratedcare/what-is-integrated-care/.</w:t>
      </w:r>
    </w:p>
    <w:p w14:paraId="182E5577" w14:textId="77777777" w:rsidR="00D85669" w:rsidRDefault="00D85669" w:rsidP="00867403">
      <w:pPr>
        <w:pStyle w:val="ListParagraph"/>
        <w:numPr>
          <w:ilvl w:val="0"/>
          <w:numId w:val="1"/>
        </w:numPr>
      </w:pPr>
      <w:r>
        <w:t>NHS England (2024). Person-centred Care. [online] NHS England. Available at: https://www.hee.nhs.uk/our-work/person-centred-care.</w:t>
      </w:r>
    </w:p>
    <w:p w14:paraId="44916EF4" w14:textId="77777777" w:rsidR="00D85669" w:rsidRDefault="00D85669" w:rsidP="00867403">
      <w:pPr>
        <w:pStyle w:val="ListParagraph"/>
        <w:numPr>
          <w:ilvl w:val="0"/>
          <w:numId w:val="1"/>
        </w:numPr>
      </w:pPr>
      <w:r>
        <w:lastRenderedPageBreak/>
        <w:t>NMC (2018). The Code: Professional Standards of Practice and Behaviour for nurses, Midwives and Nursing Associates. [online] Nursing and Midwifery council. Available at: https://www.nmc.org.uk/standards/code/.</w:t>
      </w:r>
    </w:p>
    <w:p w14:paraId="1A5A4D60" w14:textId="77777777" w:rsidR="00D85669" w:rsidRDefault="00D85669" w:rsidP="00867403">
      <w:pPr>
        <w:pStyle w:val="ListParagraph"/>
        <w:numPr>
          <w:ilvl w:val="0"/>
          <w:numId w:val="1"/>
        </w:numPr>
      </w:pPr>
      <w:r>
        <w:t>Scottish Government (2017). Health and Social Care Standards. [online] Available at: https://www.careinspectorate.com/images/Health_and_Social_Care_Standards.pdf.</w:t>
      </w:r>
    </w:p>
    <w:p w14:paraId="31F6AD50" w14:textId="15572156" w:rsidR="00D85669" w:rsidRDefault="00D85669" w:rsidP="00867403">
      <w:pPr>
        <w:pStyle w:val="ListParagraph"/>
        <w:numPr>
          <w:ilvl w:val="0"/>
          <w:numId w:val="1"/>
        </w:numPr>
      </w:pPr>
      <w:r>
        <w:t>Twclondon.org.uk. (2025). 7 Core Principles of Health and Social Care | Essential Guide. [online] Available at: https://www.twclondon.org.uk/blogs/principles-of-health-social-care.</w:t>
      </w:r>
    </w:p>
    <w:sectPr w:rsidR="00D85669" w:rsidSect="006F1B8F">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1280F" w14:textId="77777777" w:rsidR="00D80FB6" w:rsidRDefault="00D80FB6" w:rsidP="006F1B8F">
      <w:pPr>
        <w:spacing w:after="0" w:line="240" w:lineRule="auto"/>
      </w:pPr>
      <w:r>
        <w:separator/>
      </w:r>
    </w:p>
  </w:endnote>
  <w:endnote w:type="continuationSeparator" w:id="0">
    <w:p w14:paraId="314B19BF" w14:textId="77777777" w:rsidR="00D80FB6" w:rsidRDefault="00D80FB6" w:rsidP="006F1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328883"/>
      <w:docPartObj>
        <w:docPartGallery w:val="Page Numbers (Bottom of Page)"/>
        <w:docPartUnique/>
      </w:docPartObj>
    </w:sdtPr>
    <w:sdtEndPr>
      <w:rPr>
        <w:rStyle w:val="PageNumber"/>
      </w:rPr>
    </w:sdtEndPr>
    <w:sdtContent>
      <w:p w14:paraId="02A2649E" w14:textId="710AAF40" w:rsidR="006F1B8F" w:rsidRDefault="006F1B8F" w:rsidP="009006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3F17F03" w14:textId="77777777" w:rsidR="006F1B8F" w:rsidRDefault="006F1B8F" w:rsidP="006F1B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3608358"/>
      <w:docPartObj>
        <w:docPartGallery w:val="Page Numbers (Bottom of Page)"/>
        <w:docPartUnique/>
      </w:docPartObj>
    </w:sdtPr>
    <w:sdtEndPr>
      <w:rPr>
        <w:rStyle w:val="PageNumber"/>
      </w:rPr>
    </w:sdtEndPr>
    <w:sdtContent>
      <w:p w14:paraId="128DDE38" w14:textId="4E27AF08" w:rsidR="006F1B8F" w:rsidRDefault="006F1B8F" w:rsidP="009006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1DE2AE" w14:textId="77777777" w:rsidR="006F1B8F" w:rsidRDefault="006F1B8F" w:rsidP="006F1B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3B1B5" w14:textId="77777777" w:rsidR="00D80FB6" w:rsidRDefault="00D80FB6" w:rsidP="006F1B8F">
      <w:pPr>
        <w:spacing w:after="0" w:line="240" w:lineRule="auto"/>
      </w:pPr>
      <w:r>
        <w:separator/>
      </w:r>
    </w:p>
  </w:footnote>
  <w:footnote w:type="continuationSeparator" w:id="0">
    <w:p w14:paraId="4AE89821" w14:textId="77777777" w:rsidR="00D80FB6" w:rsidRDefault="00D80FB6" w:rsidP="006F1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36CBC"/>
    <w:multiLevelType w:val="hybridMultilevel"/>
    <w:tmpl w:val="58366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5720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669"/>
    <w:rsid w:val="005B345D"/>
    <w:rsid w:val="006F1B8F"/>
    <w:rsid w:val="007A3602"/>
    <w:rsid w:val="007C32AC"/>
    <w:rsid w:val="00867403"/>
    <w:rsid w:val="008C7121"/>
    <w:rsid w:val="00C22DD1"/>
    <w:rsid w:val="00D80FB6"/>
    <w:rsid w:val="00D85669"/>
    <w:rsid w:val="00EC2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1107A"/>
  <w15:chartTrackingRefBased/>
  <w15:docId w15:val="{2BF04118-A433-324B-A1FC-5FA525FCF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669"/>
    <w:pPr>
      <w:spacing w:after="120" w:line="360" w:lineRule="auto"/>
      <w:jc w:val="both"/>
    </w:pPr>
    <w:rPr>
      <w:rFonts w:ascii="Arial" w:hAnsi="Arial"/>
      <w:color w:val="000000" w:themeColor="text1"/>
      <w:sz w:val="22"/>
    </w:rPr>
  </w:style>
  <w:style w:type="paragraph" w:styleId="Heading1">
    <w:name w:val="heading 1"/>
    <w:basedOn w:val="Normal"/>
    <w:next w:val="Normal"/>
    <w:link w:val="Heading1Char"/>
    <w:uiPriority w:val="9"/>
    <w:qFormat/>
    <w:rsid w:val="00867403"/>
    <w:pPr>
      <w:keepNext/>
      <w:keepLines/>
      <w:spacing w:before="360" w:after="80"/>
      <w:outlineLvl w:val="0"/>
    </w:pPr>
    <w:rPr>
      <w:rFonts w:asciiTheme="majorHAnsi" w:eastAsiaTheme="majorEastAsia" w:hAnsiTheme="majorHAnsi" w:cstheme="majorBidi"/>
      <w:b/>
      <w:sz w:val="28"/>
      <w:szCs w:val="40"/>
    </w:rPr>
  </w:style>
  <w:style w:type="paragraph" w:styleId="Heading2">
    <w:name w:val="heading 2"/>
    <w:basedOn w:val="Normal"/>
    <w:next w:val="Normal"/>
    <w:link w:val="Heading2Char"/>
    <w:uiPriority w:val="9"/>
    <w:unhideWhenUsed/>
    <w:qFormat/>
    <w:rsid w:val="00D856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56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56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56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56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6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6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6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403"/>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D856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56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56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56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56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6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6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669"/>
    <w:rPr>
      <w:rFonts w:eastAsiaTheme="majorEastAsia" w:cstheme="majorBidi"/>
      <w:color w:val="272727" w:themeColor="text1" w:themeTint="D8"/>
    </w:rPr>
  </w:style>
  <w:style w:type="paragraph" w:styleId="Title">
    <w:name w:val="Title"/>
    <w:basedOn w:val="Normal"/>
    <w:next w:val="Normal"/>
    <w:link w:val="TitleChar"/>
    <w:uiPriority w:val="10"/>
    <w:qFormat/>
    <w:rsid w:val="00D856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6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6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6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669"/>
    <w:pPr>
      <w:spacing w:before="160"/>
      <w:jc w:val="center"/>
    </w:pPr>
    <w:rPr>
      <w:i/>
      <w:iCs/>
      <w:color w:val="404040" w:themeColor="text1" w:themeTint="BF"/>
    </w:rPr>
  </w:style>
  <w:style w:type="character" w:customStyle="1" w:styleId="QuoteChar">
    <w:name w:val="Quote Char"/>
    <w:basedOn w:val="DefaultParagraphFont"/>
    <w:link w:val="Quote"/>
    <w:uiPriority w:val="29"/>
    <w:rsid w:val="00D85669"/>
    <w:rPr>
      <w:i/>
      <w:iCs/>
      <w:color w:val="404040" w:themeColor="text1" w:themeTint="BF"/>
    </w:rPr>
  </w:style>
  <w:style w:type="paragraph" w:styleId="ListParagraph">
    <w:name w:val="List Paragraph"/>
    <w:basedOn w:val="Normal"/>
    <w:uiPriority w:val="34"/>
    <w:qFormat/>
    <w:rsid w:val="00D85669"/>
    <w:pPr>
      <w:ind w:left="720"/>
      <w:contextualSpacing/>
    </w:pPr>
  </w:style>
  <w:style w:type="character" w:styleId="IntenseEmphasis">
    <w:name w:val="Intense Emphasis"/>
    <w:basedOn w:val="DefaultParagraphFont"/>
    <w:uiPriority w:val="21"/>
    <w:qFormat/>
    <w:rsid w:val="00D85669"/>
    <w:rPr>
      <w:i/>
      <w:iCs/>
      <w:color w:val="0F4761" w:themeColor="accent1" w:themeShade="BF"/>
    </w:rPr>
  </w:style>
  <w:style w:type="paragraph" w:styleId="IntenseQuote">
    <w:name w:val="Intense Quote"/>
    <w:basedOn w:val="Normal"/>
    <w:next w:val="Normal"/>
    <w:link w:val="IntenseQuoteChar"/>
    <w:uiPriority w:val="30"/>
    <w:qFormat/>
    <w:rsid w:val="00D856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5669"/>
    <w:rPr>
      <w:i/>
      <w:iCs/>
      <w:color w:val="0F4761" w:themeColor="accent1" w:themeShade="BF"/>
    </w:rPr>
  </w:style>
  <w:style w:type="character" w:styleId="IntenseReference">
    <w:name w:val="Intense Reference"/>
    <w:basedOn w:val="DefaultParagraphFont"/>
    <w:uiPriority w:val="32"/>
    <w:qFormat/>
    <w:rsid w:val="00D85669"/>
    <w:rPr>
      <w:b/>
      <w:bCs/>
      <w:smallCaps/>
      <w:color w:val="0F4761" w:themeColor="accent1" w:themeShade="BF"/>
      <w:spacing w:val="5"/>
    </w:rPr>
  </w:style>
  <w:style w:type="paragraph" w:styleId="Footer">
    <w:name w:val="footer"/>
    <w:basedOn w:val="Normal"/>
    <w:link w:val="FooterChar"/>
    <w:uiPriority w:val="99"/>
    <w:unhideWhenUsed/>
    <w:rsid w:val="006F1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B8F"/>
    <w:rPr>
      <w:rFonts w:ascii="Arial" w:hAnsi="Arial"/>
      <w:color w:val="000000" w:themeColor="text1"/>
      <w:sz w:val="22"/>
    </w:rPr>
  </w:style>
  <w:style w:type="character" w:styleId="PageNumber">
    <w:name w:val="page number"/>
    <w:basedOn w:val="DefaultParagraphFont"/>
    <w:uiPriority w:val="99"/>
    <w:semiHidden/>
    <w:unhideWhenUsed/>
    <w:rsid w:val="006F1B8F"/>
  </w:style>
  <w:style w:type="paragraph" w:styleId="Header">
    <w:name w:val="header"/>
    <w:basedOn w:val="Normal"/>
    <w:link w:val="HeaderChar"/>
    <w:uiPriority w:val="99"/>
    <w:unhideWhenUsed/>
    <w:rsid w:val="006F1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B8F"/>
    <w:rPr>
      <w:rFonts w:ascii="Arial" w:hAnsi="Arial"/>
      <w:color w:val="000000" w:themeColor="text1"/>
      <w:sz w:val="22"/>
    </w:rPr>
  </w:style>
  <w:style w:type="paragraph" w:styleId="TOCHeading">
    <w:name w:val="TOC Heading"/>
    <w:basedOn w:val="Heading1"/>
    <w:next w:val="Normal"/>
    <w:uiPriority w:val="39"/>
    <w:unhideWhenUsed/>
    <w:qFormat/>
    <w:rsid w:val="006F1B8F"/>
    <w:pPr>
      <w:spacing w:before="480" w:after="0" w:line="276" w:lineRule="auto"/>
      <w:jc w:val="left"/>
      <w:outlineLvl w:val="9"/>
    </w:pPr>
    <w:rPr>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6F1B8F"/>
    <w:pPr>
      <w:spacing w:before="120" w:after="0"/>
      <w:jc w:val="left"/>
    </w:pPr>
    <w:rPr>
      <w:rFonts w:asciiTheme="minorHAnsi" w:hAnsiTheme="minorHAnsi"/>
      <w:b/>
      <w:bCs/>
      <w:i/>
      <w:iCs/>
      <w:sz w:val="24"/>
    </w:rPr>
  </w:style>
  <w:style w:type="paragraph" w:styleId="TOC2">
    <w:name w:val="toc 2"/>
    <w:basedOn w:val="Normal"/>
    <w:next w:val="Normal"/>
    <w:autoRedefine/>
    <w:uiPriority w:val="39"/>
    <w:unhideWhenUsed/>
    <w:rsid w:val="006F1B8F"/>
    <w:pPr>
      <w:spacing w:before="120" w:after="0"/>
      <w:ind w:left="220"/>
      <w:jc w:val="left"/>
    </w:pPr>
    <w:rPr>
      <w:rFonts w:asciiTheme="minorHAnsi" w:hAnsiTheme="minorHAnsi"/>
      <w:b/>
      <w:bCs/>
      <w:szCs w:val="22"/>
    </w:rPr>
  </w:style>
  <w:style w:type="character" w:styleId="Hyperlink">
    <w:name w:val="Hyperlink"/>
    <w:basedOn w:val="DefaultParagraphFont"/>
    <w:uiPriority w:val="99"/>
    <w:unhideWhenUsed/>
    <w:rsid w:val="006F1B8F"/>
    <w:rPr>
      <w:color w:val="467886" w:themeColor="hyperlink"/>
      <w:u w:val="single"/>
    </w:rPr>
  </w:style>
  <w:style w:type="paragraph" w:styleId="TOC3">
    <w:name w:val="toc 3"/>
    <w:basedOn w:val="Normal"/>
    <w:next w:val="Normal"/>
    <w:autoRedefine/>
    <w:uiPriority w:val="39"/>
    <w:semiHidden/>
    <w:unhideWhenUsed/>
    <w:rsid w:val="006F1B8F"/>
    <w:pPr>
      <w:spacing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6F1B8F"/>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6F1B8F"/>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6F1B8F"/>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6F1B8F"/>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6F1B8F"/>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6F1B8F"/>
    <w:pPr>
      <w:spacing w:after="0"/>
      <w:ind w:left="176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21ec42d28ba4d2cd9af79f022254c74">
  <xsd:schema xmlns:xsd="http://www.w3.org/2001/XMLSchema" xmlns:xs="http://www.w3.org/2001/XMLSchema" xmlns:p="http://schemas.microsoft.com/office/2006/metadata/properties" xmlns:ns3="0085e1a2-9cbf-4b92-866b-21f3c89040b6" targetNamespace="http://schemas.microsoft.com/office/2006/metadata/properties" ma:root="true" ma:fieldsID="d479d9fa5ee721a3e8af158e86d1317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E01A02B-375E-7D43-A24F-0C97F01120C4}">
  <ds:schemaRefs>
    <ds:schemaRef ds:uri="http://schemas.openxmlformats.org/officeDocument/2006/bibliography"/>
  </ds:schemaRefs>
</ds:datastoreItem>
</file>

<file path=customXml/itemProps2.xml><?xml version="1.0" encoding="utf-8"?>
<ds:datastoreItem xmlns:ds="http://schemas.openxmlformats.org/officeDocument/2006/customXml" ds:itemID="{534284FB-3895-47C3-8906-EC824A1F8C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639738-3BBF-4E1D-A095-2D6D76CB0B89}">
  <ds:schemaRefs>
    <ds:schemaRef ds:uri="http://schemas.microsoft.com/sharepoint/v3/contenttype/forms"/>
  </ds:schemaRefs>
</ds:datastoreItem>
</file>

<file path=customXml/itemProps4.xml><?xml version="1.0" encoding="utf-8"?>
<ds:datastoreItem xmlns:ds="http://schemas.openxmlformats.org/officeDocument/2006/customXml" ds:itemID="{589441D1-74DB-4CD2-AC24-B989D90EE10B}">
  <ds:schemaRefs>
    <ds:schemaRef ds:uri="http://schemas.microsoft.com/office/2006/metadata/properties"/>
    <ds:schemaRef ds:uri="http://purl.org/dc/dcmitype/"/>
    <ds:schemaRef ds:uri="http://purl.org/dc/elements/1.1/"/>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0085e1a2-9cbf-4b92-866b-21f3c89040b6"/>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2282</Words>
  <Characters>14921</Characters>
  <Application>Microsoft Office Word</Application>
  <DocSecurity>4</DocSecurity>
  <Lines>234</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Noukhez Ahmed</dc:creator>
  <cp:keywords/>
  <dc:description/>
  <cp:lastModifiedBy>Saima Kausar (2407682)</cp:lastModifiedBy>
  <cp:revision>2</cp:revision>
  <dcterms:created xsi:type="dcterms:W3CDTF">2025-10-27T07:44:00Z</dcterms:created>
  <dcterms:modified xsi:type="dcterms:W3CDTF">2025-10-27T07:44:00Z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