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C4C88" w:rsidRDefault="0017546C">
      <w:pPr>
        <w:spacing w:before="240" w:after="240" w:line="360" w:lineRule="auto"/>
      </w:pPr>
      <w:r>
        <w:rPr>
          <w:b/>
          <w:bCs/>
        </w:rPr>
        <w:t>Module:</w:t>
      </w:r>
      <w:r>
        <w:t xml:space="preserve"> Child Safeguarding </w:t>
      </w:r>
    </w:p>
    <w:p w14:paraId="00000002" w14:textId="77777777" w:rsidR="001C4C88" w:rsidRDefault="0017546C">
      <w:pPr>
        <w:spacing w:before="240" w:after="240" w:line="360" w:lineRule="auto"/>
      </w:pPr>
      <w:r>
        <w:rPr>
          <w:b/>
          <w:bCs/>
        </w:rPr>
        <w:lastRenderedPageBreak/>
        <w:t>Student Name:</w:t>
      </w:r>
      <w:r>
        <w:t xml:space="preserve"> Farzana Akhter</w:t>
      </w:r>
    </w:p>
    <w:p w14:paraId="00000003" w14:textId="77777777" w:rsidR="001C4C88" w:rsidRDefault="0017546C">
      <w:pPr>
        <w:spacing w:before="240" w:after="240" w:line="360" w:lineRule="auto"/>
      </w:pPr>
      <w:r>
        <w:rPr>
          <w:b/>
          <w:bCs/>
        </w:rPr>
        <w:lastRenderedPageBreak/>
        <w:t xml:space="preserve">Student ID: </w:t>
      </w:r>
      <w:r>
        <w:t>2331979</w:t>
      </w:r>
    </w:p>
    <w:p w14:paraId="00000004" w14:textId="77777777" w:rsidR="001C4C88" w:rsidRDefault="001C4C88">
      <w:pPr>
        <w:spacing w:before="240" w:after="240" w:line="360" w:lineRule="auto"/>
      </w:pPr>
    </w:p>
    <w:p w14:paraId="00000005" w14:textId="77777777" w:rsidR="001C4C88" w:rsidRDefault="001C4C88">
      <w:pPr>
        <w:spacing w:before="240" w:after="240" w:line="360" w:lineRule="auto"/>
      </w:pPr>
    </w:p>
    <w:p w14:paraId="00000006" w14:textId="77777777" w:rsidR="001C4C88" w:rsidRDefault="001C4C88">
      <w:pPr>
        <w:spacing w:before="240" w:after="240" w:line="360" w:lineRule="auto"/>
      </w:pPr>
    </w:p>
    <w:p w14:paraId="00000007" w14:textId="77777777" w:rsidR="001C4C88" w:rsidRDefault="001C4C88">
      <w:pPr>
        <w:spacing w:before="240" w:after="240" w:line="360" w:lineRule="auto"/>
      </w:pPr>
    </w:p>
    <w:p w14:paraId="00000008" w14:textId="77777777" w:rsidR="001C4C88" w:rsidRDefault="001C4C88">
      <w:pPr>
        <w:spacing w:before="240" w:after="240" w:line="360" w:lineRule="auto"/>
      </w:pPr>
    </w:p>
    <w:p w14:paraId="00000009" w14:textId="77777777" w:rsidR="001C4C88" w:rsidRDefault="001C4C88">
      <w:pPr>
        <w:spacing w:before="240" w:after="240" w:line="360" w:lineRule="auto"/>
      </w:pPr>
    </w:p>
    <w:p w14:paraId="0000000A" w14:textId="77777777" w:rsidR="001C4C88" w:rsidRDefault="001C4C88">
      <w:pPr>
        <w:spacing w:before="240" w:after="240" w:line="360" w:lineRule="auto"/>
      </w:pPr>
    </w:p>
    <w:p w14:paraId="0000000B" w14:textId="77777777" w:rsidR="001C4C88" w:rsidRDefault="001C4C88">
      <w:pPr>
        <w:spacing w:before="240" w:after="240" w:line="360" w:lineRule="auto"/>
      </w:pPr>
    </w:p>
    <w:p w14:paraId="0000000C" w14:textId="77777777" w:rsidR="001C4C88" w:rsidRDefault="001C4C88">
      <w:pPr>
        <w:spacing w:before="240" w:after="240" w:line="360" w:lineRule="auto"/>
      </w:pPr>
    </w:p>
    <w:p w14:paraId="0000000D" w14:textId="77777777" w:rsidR="001C4C88" w:rsidRDefault="001C4C88">
      <w:pPr>
        <w:spacing w:before="240" w:after="240" w:line="360" w:lineRule="auto"/>
      </w:pPr>
    </w:p>
    <w:p w14:paraId="0000000E" w14:textId="77777777" w:rsidR="001C4C88" w:rsidRDefault="001C4C88">
      <w:pPr>
        <w:spacing w:before="240" w:after="240" w:line="360" w:lineRule="auto"/>
      </w:pPr>
    </w:p>
    <w:p w14:paraId="0000000F" w14:textId="77777777" w:rsidR="001C4C88" w:rsidRDefault="001C4C88">
      <w:pPr>
        <w:spacing w:before="240" w:after="240" w:line="360" w:lineRule="auto"/>
      </w:pPr>
    </w:p>
    <w:p w14:paraId="00000010" w14:textId="77777777" w:rsidR="001C4C88" w:rsidRDefault="001C4C88">
      <w:pPr>
        <w:spacing w:before="240" w:after="240" w:line="360" w:lineRule="auto"/>
      </w:pPr>
    </w:p>
    <w:p w14:paraId="00000011" w14:textId="77777777" w:rsidR="001C4C88" w:rsidRDefault="001C4C88">
      <w:pPr>
        <w:spacing w:before="240" w:after="240" w:line="360" w:lineRule="auto"/>
      </w:pPr>
    </w:p>
    <w:p w14:paraId="00000012" w14:textId="77777777" w:rsidR="001C4C88" w:rsidRDefault="001C4C88">
      <w:pPr>
        <w:spacing w:before="240" w:after="240" w:line="360" w:lineRule="auto"/>
      </w:pPr>
    </w:p>
    <w:p w14:paraId="00000013" w14:textId="77777777" w:rsidR="001C4C88" w:rsidRDefault="001C4C88">
      <w:pPr>
        <w:spacing w:before="240" w:after="240" w:line="360" w:lineRule="auto"/>
      </w:pPr>
    </w:p>
    <w:p w14:paraId="00000014" w14:textId="77777777" w:rsidR="001C4C88" w:rsidRDefault="001C4C88">
      <w:pPr>
        <w:spacing w:before="240" w:after="240" w:line="360" w:lineRule="auto"/>
      </w:pPr>
    </w:p>
    <w:p w14:paraId="00000015" w14:textId="77777777" w:rsidR="001C4C88" w:rsidRDefault="001C4C88">
      <w:pPr>
        <w:spacing w:before="240" w:after="240" w:line="360" w:lineRule="auto"/>
      </w:pPr>
    </w:p>
    <w:p w14:paraId="00000016" w14:textId="77777777" w:rsidR="001C4C88" w:rsidRDefault="0017546C">
      <w:pPr>
        <w:spacing w:before="240" w:after="240" w:line="360" w:lineRule="auto"/>
      </w:pPr>
      <w:r>
        <w:rPr>
          <w:b/>
          <w:bCs/>
          <w:sz w:val="34"/>
          <w:szCs w:val="34"/>
        </w:rPr>
        <w:lastRenderedPageBreak/>
        <w:t>Safeguarding Officer’s Reflection on Child HN’s Case</w:t>
      </w:r>
      <w:r>
        <w:t xml:space="preserve"> </w:t>
      </w:r>
    </w:p>
    <w:p w14:paraId="00000017" w14:textId="77777777" w:rsidR="001C4C88" w:rsidRDefault="0017546C">
      <w:pPr>
        <w:spacing w:before="240" w:after="240" w:line="360" w:lineRule="auto"/>
      </w:pPr>
      <w:r>
        <w:lastRenderedPageBreak/>
        <w:t xml:space="preserve">My role in this case is the </w:t>
      </w:r>
      <w:r>
        <w:rPr>
          <w:b/>
          <w:bCs/>
        </w:rPr>
        <w:t>Safeguarding Officer.</w:t>
      </w:r>
      <w:r>
        <w:t xml:space="preserve"> My central question to consider was whether </w:t>
      </w:r>
      <w:r>
        <w:lastRenderedPageBreak/>
        <w:t xml:space="preserve">Child HN was safe and whether his needs were understood, and if the professionals that were </w:t>
      </w:r>
      <w:r>
        <w:lastRenderedPageBreak/>
        <w:t>involved with him were effective in working with one another to protect him.</w:t>
      </w:r>
    </w:p>
    <w:p w14:paraId="00000018" w14:textId="77777777" w:rsidR="001C4C88" w:rsidRDefault="0017546C">
      <w:pPr>
        <w:spacing w:before="240" w:after="240" w:line="360" w:lineRule="auto"/>
      </w:pPr>
      <w:r>
        <w:lastRenderedPageBreak/>
        <w:t xml:space="preserve">Child HN was a teenager with Type 1 diabetes, a serious, lifelong health condition. He was </w:t>
      </w:r>
      <w:r>
        <w:lastRenderedPageBreak/>
        <w:t>rushed to hospital with diabetic ketoacidosis, also known as DKA, which could have been life-</w:t>
      </w:r>
      <w:r>
        <w:lastRenderedPageBreak/>
        <w:t xml:space="preserve">threatening. The inquiry says this was to be treated as a “near miss” because death was a </w:t>
      </w:r>
      <w:r>
        <w:lastRenderedPageBreak/>
        <w:t xml:space="preserve">genuine possibility (HSCP, 2024). Child HN had previously also relocated with his mother and </w:t>
      </w:r>
      <w:r>
        <w:lastRenderedPageBreak/>
        <w:t xml:space="preserve">siblings from Worcestershire to a refuge in Herefordshire following domestic abuse and coercive </w:t>
      </w:r>
      <w:r>
        <w:lastRenderedPageBreak/>
        <w:t xml:space="preserve">control at home (Herefordshire Safeguarding Children Partnership, 2024). </w:t>
      </w:r>
    </w:p>
    <w:p w14:paraId="00000019" w14:textId="77777777" w:rsidR="001C4C88" w:rsidRDefault="001C4C88">
      <w:pPr>
        <w:spacing w:before="240" w:after="240" w:line="360" w:lineRule="auto"/>
      </w:pPr>
    </w:p>
    <w:p w14:paraId="0000001A" w14:textId="77777777" w:rsidR="001C4C88" w:rsidRDefault="0017546C">
      <w:pPr>
        <w:spacing w:before="240" w:after="240" w:line="360" w:lineRule="auto"/>
      </w:pPr>
      <w:r>
        <w:lastRenderedPageBreak/>
        <w:t xml:space="preserve">As the safeguarding officer, I would have liaised with this case through the multi-agency </w:t>
      </w:r>
      <w:r>
        <w:lastRenderedPageBreak/>
        <w:t xml:space="preserve">safeguarding process. So I would be reading information from children’s social care, health, </w:t>
      </w:r>
      <w:r>
        <w:lastRenderedPageBreak/>
        <w:t xml:space="preserve">education, the refuge, GP services, the diabetic team, CAMHS and other agencies. And I would </w:t>
      </w:r>
      <w:r>
        <w:lastRenderedPageBreak/>
        <w:t>want to know: Is this child safe? Are the professionals informing one another? Does this have a </w:t>
      </w:r>
      <w:r>
        <w:lastRenderedPageBreak/>
        <w:t xml:space="preserve">resolution? Is the child’s voice heard? It has relevance to Working Together to Safeguard </w:t>
      </w:r>
      <w:r>
        <w:lastRenderedPageBreak/>
        <w:t xml:space="preserve">Children which states that the safeguarding of children is a collective responsibility and </w:t>
      </w:r>
      <w:r>
        <w:lastRenderedPageBreak/>
        <w:t xml:space="preserve">agencies should collaborate to provide assistance, safeguarding and promotion of children’s </w:t>
      </w:r>
      <w:r>
        <w:lastRenderedPageBreak/>
        <w:t>welfare (Department for Education, 2023).</w:t>
      </w:r>
    </w:p>
    <w:p w14:paraId="0000001B" w14:textId="77777777" w:rsidR="001C4C88" w:rsidRDefault="0017546C">
      <w:pPr>
        <w:spacing w:before="240" w:after="240" w:line="360" w:lineRule="auto"/>
      </w:pPr>
      <w:r>
        <w:lastRenderedPageBreak/>
        <w:t>The key action I would take is ensure that there is an appropriate multi agency meeting. In that </w:t>
      </w:r>
      <w:r>
        <w:lastRenderedPageBreak/>
        <w:t xml:space="preserve">case, one major issue was that information didn’t follow the family across from Worcestershire </w:t>
      </w:r>
      <w:r>
        <w:lastRenderedPageBreak/>
        <w:t xml:space="preserve">to Herefordshire. The Herefordshire Children’s Social Care were unaware of the family until </w:t>
      </w:r>
      <w:r>
        <w:lastRenderedPageBreak/>
        <w:t xml:space="preserve">October 2022, despite their move being in July 2022. It resulted in delays with social care, </w:t>
      </w:r>
      <w:r>
        <w:lastRenderedPageBreak/>
        <w:t xml:space="preserve">education, health services, GP, diabetic team and CAMHS (Herefordshire Safeguarding </w:t>
      </w:r>
      <w:r>
        <w:lastRenderedPageBreak/>
        <w:t xml:space="preserve">Children Partnership, 2024). That’s important, because Working Together states that agencies </w:t>
      </w:r>
      <w:r>
        <w:lastRenderedPageBreak/>
        <w:t xml:space="preserve">need to share information early on and collaborate when children might need help — or </w:t>
      </w:r>
      <w:r>
        <w:lastRenderedPageBreak/>
        <w:t xml:space="preserve">protection (Department for Education, 2023). </w:t>
      </w:r>
    </w:p>
    <w:p w14:paraId="0000001C" w14:textId="77777777" w:rsidR="001C4C88" w:rsidRDefault="001C4C88">
      <w:pPr>
        <w:spacing w:before="240" w:after="240" w:line="360" w:lineRule="auto"/>
      </w:pPr>
    </w:p>
    <w:p w14:paraId="0000001D" w14:textId="77777777" w:rsidR="001C4C88" w:rsidRDefault="0017546C">
      <w:pPr>
        <w:spacing w:before="240" w:after="240" w:line="360" w:lineRule="auto"/>
      </w:pPr>
      <w:r>
        <w:lastRenderedPageBreak/>
        <w:t xml:space="preserve">I would have also ensured Child HN’s diabetes plan formed part of his Child in Need Plan so </w:t>
      </w:r>
      <w:r>
        <w:lastRenderedPageBreak/>
        <w:t xml:space="preserve">everyone was clear about who was responsible for providing his insulin, for his appointments, </w:t>
      </w:r>
      <w:r>
        <w:lastRenderedPageBreak/>
        <w:t xml:space="preserve">for monitoring his blood sugar and what would happen if he declined treatment. This is relevant </w:t>
      </w:r>
      <w:r>
        <w:lastRenderedPageBreak/>
        <w:t xml:space="preserve">as his diabetes was more than just a medical problem; it was a child protection concern. Under </w:t>
      </w:r>
      <w:r>
        <w:lastRenderedPageBreak/>
        <w:t xml:space="preserve">the Children Act 1989, a child in need includes one who requires additional assistance to </w:t>
      </w:r>
      <w:r>
        <w:lastRenderedPageBreak/>
        <w:t xml:space="preserve">achieve or maintain a satisfactory level of health or development (Children Act, 1989). In Child </w:t>
      </w:r>
      <w:r>
        <w:lastRenderedPageBreak/>
        <w:t xml:space="preserve">HN’s situation, his health, education, emotional well-being, and family circumstances all had to </w:t>
      </w:r>
      <w:r>
        <w:lastRenderedPageBreak/>
        <w:t>be considered jointly.</w:t>
      </w:r>
    </w:p>
    <w:p w14:paraId="0000001E" w14:textId="77777777" w:rsidR="001C4C88" w:rsidRDefault="0017546C">
      <w:pPr>
        <w:spacing w:before="240" w:after="240" w:line="360" w:lineRule="auto"/>
      </w:pPr>
      <w:r>
        <w:lastRenderedPageBreak/>
        <w:t xml:space="preserve">I would draw this through to Working Together to Safeguard Children 2023(messages are </w:t>
      </w:r>
      <w:r>
        <w:lastRenderedPageBreak/>
        <w:t xml:space="preserve">agencies have to work together to assist, support and protect children). The problem is not </w:t>
      </w:r>
      <w:r>
        <w:lastRenderedPageBreak/>
        <w:t xml:space="preserve">solved by having each agency working in isolation. Professionals have a responsibility to share </w:t>
      </w:r>
      <w:r>
        <w:lastRenderedPageBreak/>
        <w:t xml:space="preserve">information, carry out risk assessments, listen to the child and family and respond promptly if </w:t>
      </w:r>
      <w:r>
        <w:lastRenderedPageBreak/>
        <w:t xml:space="preserve">there are concerns (Department for Education, 2023). </w:t>
      </w:r>
    </w:p>
    <w:p w14:paraId="0000001F" w14:textId="77777777" w:rsidR="001C4C88" w:rsidRDefault="001C4C88">
      <w:pPr>
        <w:spacing w:before="240" w:after="240" w:line="360" w:lineRule="auto"/>
      </w:pPr>
    </w:p>
    <w:p w14:paraId="00000020" w14:textId="77777777" w:rsidR="001C4C88" w:rsidRDefault="0017546C">
      <w:pPr>
        <w:spacing w:before="240" w:after="240" w:line="360" w:lineRule="auto"/>
      </w:pPr>
      <w:r>
        <w:lastRenderedPageBreak/>
        <w:t xml:space="preserve">In this regard, I would also take into account the possibility of medical neglect. Medical neglect </w:t>
      </w:r>
      <w:r>
        <w:lastRenderedPageBreak/>
        <w:t xml:space="preserve">is when a child is not receiving the medical attention they require, particularly if the condition is </w:t>
      </w:r>
      <w:r>
        <w:lastRenderedPageBreak/>
        <w:t xml:space="preserve">life-threatening. Failure to provide adequate health care, refusal of care or attention, or </w:t>
      </w:r>
      <w:r>
        <w:lastRenderedPageBreak/>
        <w:t xml:space="preserve">disregard for medical instructions NSPCC Learning describes medical neglect as the act of </w:t>
      </w:r>
      <w:r>
        <w:lastRenderedPageBreak/>
        <w:t xml:space="preserve">withholding necessary health care, declining care, or disregarding medical advice (NSPCC </w:t>
      </w:r>
      <w:r>
        <w:lastRenderedPageBreak/>
        <w:t xml:space="preserve">Learning 2024). I would not just fault the mother. I would be asking why the diabetes wasn’t </w:t>
      </w:r>
      <w:r>
        <w:lastRenderedPageBreak/>
        <w:t xml:space="preserve">under control rather than why it had been diagnosed. Was the mother too much to cope with? </w:t>
      </w:r>
      <w:r>
        <w:lastRenderedPageBreak/>
        <w:t xml:space="preserve">Was Child HN declining injections? Did he comprehend the dangers? Were the risks </w:t>
      </w:r>
      <w:r>
        <w:lastRenderedPageBreak/>
        <w:t>communicated clearly by professionals? Does the family require more practical help?</w:t>
      </w:r>
    </w:p>
    <w:p w14:paraId="00000021" w14:textId="77777777" w:rsidR="001C4C88" w:rsidRDefault="0017546C">
      <w:pPr>
        <w:spacing w:before="240" w:after="240" w:line="360" w:lineRule="auto"/>
      </w:pPr>
      <w:r>
        <w:lastRenderedPageBreak/>
        <w:t xml:space="preserve">The review demonstrates that Child HN’s mother sought assistance on numerous occasions. </w:t>
      </w:r>
      <w:r>
        <w:lastRenderedPageBreak/>
        <w:t xml:space="preserve">She made contact with services, rang 999, and said she felt abandoned. She also felt blamed </w:t>
      </w:r>
      <w:r>
        <w:lastRenderedPageBreak/>
        <w:t>and confused because she received mixed messages from various professionals </w:t>
      </w:r>
      <w:r>
        <w:lastRenderedPageBreak/>
        <w:t xml:space="preserve">(Herefordshire Safeguarding Children Partnership, 2024). As the safeguarding officer, I would </w:t>
      </w:r>
      <w:r>
        <w:lastRenderedPageBreak/>
        <w:t xml:space="preserve">ensure that the metaphors of the parent are proper metaphors, and that the parent’s voice is </w:t>
      </w:r>
      <w:r>
        <w:lastRenderedPageBreak/>
        <w:t xml:space="preserve">truly heard and that the professionals are not able to make these judgements without having a </w:t>
      </w:r>
      <w:r>
        <w:lastRenderedPageBreak/>
        <w:t xml:space="preserve">comprehensive understanding of the situation. </w:t>
      </w:r>
    </w:p>
    <w:p w14:paraId="00000022" w14:textId="77777777" w:rsidR="001C4C88" w:rsidRDefault="001C4C88">
      <w:pPr>
        <w:spacing w:before="240" w:after="240" w:line="360" w:lineRule="auto"/>
      </w:pPr>
    </w:p>
    <w:p w14:paraId="00000023" w14:textId="77777777" w:rsidR="001C4C88" w:rsidRDefault="0017546C">
      <w:pPr>
        <w:spacing w:before="240" w:after="240" w:line="360" w:lineRule="auto"/>
      </w:pPr>
      <w:r>
        <w:lastRenderedPageBreak/>
        <w:t xml:space="preserve">I would also talk about the voice of Child HN. The review discovered that his daily existence </w:t>
      </w:r>
      <w:r>
        <w:lastRenderedPageBreak/>
        <w:t xml:space="preserve">was not fully known. He was a loner from all the time he spent in his room playing video games, </w:t>
      </w:r>
      <w:r>
        <w:lastRenderedPageBreak/>
        <w:t xml:space="preserve">he had difficulty attending school, he may have been neurodiverse, and he struggled to come to </w:t>
      </w:r>
      <w:r>
        <w:lastRenderedPageBreak/>
        <w:t>terms with his diabetes diagnosis. He said he would “rather be dead” (Herefordshire </w:t>
      </w:r>
      <w:r>
        <w:lastRenderedPageBreak/>
        <w:t xml:space="preserve">Safeguarding Children Partnership, 2024). That should have been taken as a extremely </w:t>
      </w:r>
      <w:r>
        <w:lastRenderedPageBreak/>
        <w:t xml:space="preserve">worrying sign. Studies indicate that youth with Type 1 diabetes are at risk for emotional and </w:t>
      </w:r>
      <w:r>
        <w:lastRenderedPageBreak/>
        <w:t xml:space="preserve">mental health challenges such as anxiety, depression, and difficulties with self-management </w:t>
      </w:r>
      <w:r>
        <w:lastRenderedPageBreak/>
        <w:t>(</w:t>
      </w:r>
      <w:proofErr w:type="spellStart"/>
      <w:r>
        <w:t>Duinkerken</w:t>
      </w:r>
      <w:proofErr w:type="spellEnd"/>
      <w:r>
        <w:t xml:space="preserve">, Snoek and de Wit, 2020). National Institute for Health and Care Excellence (NICE) </w:t>
      </w:r>
      <w:r>
        <w:lastRenderedPageBreak/>
        <w:t xml:space="preserve">guidance also recommends that diabetes care for children and young people is tailored to their </w:t>
      </w:r>
      <w:r>
        <w:lastRenderedPageBreak/>
        <w:t xml:space="preserve">age, level of maturity and individual needs, including how they manage their diabetes and their </w:t>
      </w:r>
      <w:r>
        <w:lastRenderedPageBreak/>
        <w:t>emotional well-being and social situation (NICE, 2015, updated 2023).</w:t>
      </w:r>
    </w:p>
    <w:p w14:paraId="00000024" w14:textId="77777777" w:rsidR="001C4C88" w:rsidRDefault="0017546C">
      <w:pPr>
        <w:spacing w:before="240" w:after="240" w:line="360" w:lineRule="auto"/>
      </w:pPr>
      <w:r>
        <w:lastRenderedPageBreak/>
        <w:t xml:space="preserve">What was done well was that there was some attempt among professionals to assist. </w:t>
      </w:r>
      <w:r>
        <w:lastRenderedPageBreak/>
        <w:t xml:space="preserve">Education and support from diabetic nursing team for injections. The refuge supported the </w:t>
      </w:r>
      <w:r>
        <w:lastRenderedPageBreak/>
        <w:t xml:space="preserve">mother. Then CAMHS subsequently undertook an assessment of Child HN in the family’s home </w:t>
      </w:r>
      <w:r>
        <w:lastRenderedPageBreak/>
        <w:t xml:space="preserve">which was beneficial as it accommodated the family’s arrangements. Following admission to </w:t>
      </w:r>
      <w:r>
        <w:lastRenderedPageBreak/>
        <w:t xml:space="preserve">hospital, Children’s Social Care also became more supportive and the mother described* the </w:t>
      </w:r>
      <w:r>
        <w:lastRenderedPageBreak/>
        <w:t xml:space="preserve">latter team as ‘helpful’ (Herefordshire Safeguarding Children Partnership, 2024). </w:t>
      </w:r>
    </w:p>
    <w:p w14:paraId="00000025" w14:textId="77777777" w:rsidR="001C4C88" w:rsidRDefault="001C4C88">
      <w:pPr>
        <w:spacing w:before="240" w:after="240" w:line="360" w:lineRule="auto"/>
      </w:pPr>
    </w:p>
    <w:p w14:paraId="00000026" w14:textId="77777777" w:rsidR="001C4C88" w:rsidRDefault="0017546C">
      <w:pPr>
        <w:spacing w:before="240" w:after="240" w:line="360" w:lineRule="auto"/>
      </w:pPr>
      <w:r>
        <w:lastRenderedPageBreak/>
        <w:t xml:space="preserve">But what was lacking was the broader picture. Agencies had not taken a holistic view of Child </w:t>
      </w:r>
      <w:r>
        <w:lastRenderedPageBreak/>
        <w:t xml:space="preserve">HN’s life or the trauma he had experienced, his culture, education requirements, mental health, </w:t>
      </w:r>
      <w:r>
        <w:lastRenderedPageBreak/>
        <w:t xml:space="preserve">risk of diabetes, or family strain. The reaction was too lethargic too was too internally divided. </w:t>
      </w:r>
      <w:r>
        <w:lastRenderedPageBreak/>
        <w:t xml:space="preserve">There was no robust common strategy, and practitioners did not adequately consider medical </w:t>
      </w:r>
      <w:r>
        <w:lastRenderedPageBreak/>
        <w:t xml:space="preserve">neglect or the obstacles preventing diabetes treatment (Herefordshire Safeguarding Children </w:t>
      </w:r>
      <w:r>
        <w:lastRenderedPageBreak/>
        <w:t xml:space="preserve">Partnership, 2024). The effect of Adverse Childhood Experiences is also relevant here since </w:t>
      </w:r>
      <w:r>
        <w:lastRenderedPageBreak/>
        <w:t xml:space="preserve">Child HN had experienced domestic abuse, family conflict, instability and serious health stress. </w:t>
      </w:r>
      <w:r>
        <w:lastRenderedPageBreak/>
        <w:t xml:space="preserve">Adverse Childhood Experiences can influence a child’s </w:t>
      </w:r>
      <w:proofErr w:type="spellStart"/>
      <w:r>
        <w:t>behaviour</w:t>
      </w:r>
      <w:proofErr w:type="spellEnd"/>
      <w:r>
        <w:t xml:space="preserve">, mental health and overall </w:t>
      </w:r>
      <w:r>
        <w:lastRenderedPageBreak/>
        <w:t xml:space="preserve">future well-being (Centers for Disease Control and Prevention, 2026). So that’s a reason to not </w:t>
      </w:r>
      <w:r>
        <w:lastRenderedPageBreak/>
        <w:t xml:space="preserve">just view Child HN’s </w:t>
      </w:r>
      <w:proofErr w:type="spellStart"/>
      <w:r>
        <w:t>behaviour</w:t>
      </w:r>
      <w:proofErr w:type="spellEnd"/>
      <w:r>
        <w:t xml:space="preserve"> as “difficult </w:t>
      </w:r>
      <w:proofErr w:type="spellStart"/>
      <w:r>
        <w:t>behaviour</w:t>
      </w:r>
      <w:proofErr w:type="spellEnd"/>
      <w:r>
        <w:t>”; it might also reflect a sign of distress.</w:t>
      </w:r>
    </w:p>
    <w:p w14:paraId="00000027" w14:textId="77777777" w:rsidR="001C4C88" w:rsidRDefault="0017546C">
      <w:pPr>
        <w:spacing w:before="240" w:after="240" w:line="360" w:lineRule="auto"/>
      </w:pPr>
      <w:r>
        <w:lastRenderedPageBreak/>
        <w:t xml:space="preserve">Next time, I would do things differently. I'd make sure the transfer between local authorities </w:t>
      </w:r>
      <w:r>
        <w:lastRenderedPageBreak/>
        <w:t>takes place immediately when a family moves to a new area. I would arrange an urgent multi-</w:t>
      </w:r>
      <w:r>
        <w:lastRenderedPageBreak/>
        <w:t xml:space="preserve">agency meeting. I would see to it that the child is investigated alone and that you're speaking </w:t>
      </w:r>
      <w:r>
        <w:lastRenderedPageBreak/>
        <w:t>to him in a way that he can understand. I would listen to the mother, without blame. I’ll make </w:t>
      </w:r>
      <w:r>
        <w:lastRenderedPageBreak/>
        <w:t xml:space="preserve">the diabetes plan explicit and in writing. I would also escalate the case if I felt there was delay </w:t>
      </w:r>
      <w:r>
        <w:lastRenderedPageBreak/>
        <w:t xml:space="preserve">because diabetes mismanagement can this become life-threatening very quickly. Studies of </w:t>
      </w:r>
      <w:r>
        <w:lastRenderedPageBreak/>
        <w:t xml:space="preserve">childhood-onset Type 1 diabetes also indicate higher susceptibility to issues related to DKA </w:t>
      </w:r>
      <w:r>
        <w:lastRenderedPageBreak/>
        <w:t xml:space="preserve">admissions, </w:t>
      </w:r>
      <w:proofErr w:type="spellStart"/>
      <w:r>
        <w:t>non attendance</w:t>
      </w:r>
      <w:proofErr w:type="spellEnd"/>
      <w:r>
        <w:t xml:space="preserve"> and emotional distress amongst adolescents, and therefore any </w:t>
      </w:r>
      <w:r>
        <w:lastRenderedPageBreak/>
        <w:t xml:space="preserve">concerns should be </w:t>
      </w:r>
      <w:proofErr w:type="spellStart"/>
      <w:r>
        <w:t>recognised</w:t>
      </w:r>
      <w:proofErr w:type="spellEnd"/>
      <w:r>
        <w:t xml:space="preserve"> and addressed promptly (French et al., 2022). </w:t>
      </w:r>
    </w:p>
    <w:p w14:paraId="00000028" w14:textId="77777777" w:rsidR="001C4C88" w:rsidRDefault="0017546C">
      <w:pPr>
        <w:spacing w:before="240" w:after="240" w:line="360" w:lineRule="auto"/>
      </w:pPr>
      <w:r>
        <w:lastRenderedPageBreak/>
        <w:t xml:space="preserve">In summary, what I learnt as a Safeguarding Officer is that Child HN needed to be viewed as a </w:t>
      </w:r>
      <w:r>
        <w:lastRenderedPageBreak/>
        <w:t xml:space="preserve">child first and foremost, not a person old enough to "take care of herself" The whole package of </w:t>
      </w:r>
      <w:r>
        <w:lastRenderedPageBreak/>
        <w:t xml:space="preserve">his diabetes, trauma, education, mental health and family had to be looked at. The greatest </w:t>
      </w:r>
      <w:r>
        <w:lastRenderedPageBreak/>
        <w:t>area for improvement is more prompt, coordinated, child-</w:t>
      </w:r>
      <w:proofErr w:type="spellStart"/>
      <w:r>
        <w:t>centred</w:t>
      </w:r>
      <w:proofErr w:type="spellEnd"/>
      <w:r>
        <w:t xml:space="preserve"> safeguarding practice. </w:t>
      </w:r>
    </w:p>
    <w:p w14:paraId="00000029" w14:textId="77777777" w:rsidR="001C4C88" w:rsidRDefault="001C4C88">
      <w:pPr>
        <w:spacing w:before="240" w:after="240" w:line="360" w:lineRule="auto"/>
        <w:rPr>
          <w:b/>
          <w:bCs/>
          <w:sz w:val="34"/>
          <w:szCs w:val="34"/>
        </w:rPr>
      </w:pPr>
    </w:p>
    <w:p w14:paraId="0000002A" w14:textId="77777777" w:rsidR="001C4C88" w:rsidRDefault="001C4C88">
      <w:pPr>
        <w:spacing w:before="240" w:after="240" w:line="360" w:lineRule="auto"/>
        <w:rPr>
          <w:b/>
          <w:bCs/>
          <w:sz w:val="34"/>
          <w:szCs w:val="34"/>
        </w:rPr>
      </w:pPr>
    </w:p>
    <w:p w14:paraId="0000002B" w14:textId="77777777" w:rsidR="001C4C88" w:rsidRDefault="001C4C88">
      <w:pPr>
        <w:spacing w:before="240" w:after="240" w:line="360" w:lineRule="auto"/>
        <w:rPr>
          <w:b/>
          <w:bCs/>
          <w:sz w:val="34"/>
          <w:szCs w:val="34"/>
        </w:rPr>
      </w:pPr>
    </w:p>
    <w:p w14:paraId="0000002C" w14:textId="77777777" w:rsidR="001C4C88" w:rsidRDefault="001C4C88">
      <w:pPr>
        <w:spacing w:before="240" w:after="240" w:line="360" w:lineRule="auto"/>
        <w:rPr>
          <w:b/>
          <w:bCs/>
          <w:sz w:val="34"/>
          <w:szCs w:val="34"/>
        </w:rPr>
      </w:pPr>
    </w:p>
    <w:p w14:paraId="0000002D" w14:textId="77777777" w:rsidR="001C4C88" w:rsidRDefault="001C4C88">
      <w:pPr>
        <w:spacing w:before="240" w:after="240" w:line="360" w:lineRule="auto"/>
        <w:rPr>
          <w:b/>
          <w:bCs/>
          <w:sz w:val="34"/>
          <w:szCs w:val="34"/>
        </w:rPr>
      </w:pPr>
    </w:p>
    <w:p w14:paraId="0000002E" w14:textId="77777777" w:rsidR="001C4C88" w:rsidRDefault="001C4C88">
      <w:pPr>
        <w:spacing w:before="240" w:after="240" w:line="360" w:lineRule="auto"/>
        <w:rPr>
          <w:b/>
          <w:bCs/>
          <w:sz w:val="34"/>
          <w:szCs w:val="34"/>
        </w:rPr>
      </w:pPr>
    </w:p>
    <w:p w14:paraId="0000002F" w14:textId="77777777" w:rsidR="001C4C88" w:rsidRDefault="001C4C88">
      <w:pPr>
        <w:spacing w:before="240" w:after="240" w:line="360" w:lineRule="auto"/>
        <w:rPr>
          <w:b/>
          <w:bCs/>
          <w:sz w:val="34"/>
          <w:szCs w:val="34"/>
        </w:rPr>
      </w:pPr>
    </w:p>
    <w:p w14:paraId="00000030" w14:textId="77777777" w:rsidR="001C4C88" w:rsidRDefault="001C4C88">
      <w:pPr>
        <w:spacing w:before="240" w:after="240" w:line="360" w:lineRule="auto"/>
        <w:rPr>
          <w:b/>
          <w:bCs/>
          <w:sz w:val="34"/>
          <w:szCs w:val="34"/>
        </w:rPr>
      </w:pPr>
    </w:p>
    <w:p w14:paraId="00000031" w14:textId="77777777" w:rsidR="001C4C88" w:rsidRDefault="001C4C88">
      <w:pPr>
        <w:spacing w:before="240" w:after="240" w:line="360" w:lineRule="auto"/>
        <w:rPr>
          <w:b/>
          <w:bCs/>
          <w:sz w:val="34"/>
          <w:szCs w:val="34"/>
        </w:rPr>
      </w:pPr>
    </w:p>
    <w:p w14:paraId="00000032" w14:textId="77777777" w:rsidR="001C4C88" w:rsidRDefault="001C4C88">
      <w:pPr>
        <w:spacing w:before="240" w:after="240" w:line="360" w:lineRule="auto"/>
        <w:rPr>
          <w:b/>
          <w:bCs/>
          <w:sz w:val="34"/>
          <w:szCs w:val="34"/>
        </w:rPr>
      </w:pPr>
    </w:p>
    <w:p w14:paraId="00000033" w14:textId="77777777" w:rsidR="001C4C88" w:rsidRDefault="001C4C88">
      <w:pPr>
        <w:spacing w:before="240" w:after="240" w:line="360" w:lineRule="auto"/>
        <w:rPr>
          <w:b/>
          <w:bCs/>
          <w:sz w:val="34"/>
          <w:szCs w:val="34"/>
        </w:rPr>
      </w:pPr>
    </w:p>
    <w:p w14:paraId="71970C40" w14:textId="77777777" w:rsidR="00F07BA9" w:rsidRDefault="00F07BA9" w:rsidP="00F07BA9">
      <w:pPr>
        <w:numPr>
          <w:ilvl w:val="0"/>
          <w:numId w:val="1"/>
        </w:numPr>
        <w:spacing w:line="360" w:lineRule="auto"/>
      </w:pPr>
    </w:p>
    <w:p w14:paraId="4ABDE1FE" w14:textId="483DE1EA" w:rsidR="00F07BA9" w:rsidRDefault="00D23F1F" w:rsidP="00F07BA9">
      <w:pPr>
        <w:numPr>
          <w:ilvl w:val="0"/>
          <w:numId w:val="1"/>
        </w:numPr>
        <w:spacing w:after="240" w:line="360" w:lineRule="auto"/>
      </w:pPr>
      <w:r>
        <w:lastRenderedPageBreak/>
        <w:t xml:space="preserve">                                                                                                                                                                    </w:t>
      </w:r>
      <w:r w:rsidR="00F07BA9">
        <w:lastRenderedPageBreak/>
        <w:t>NSPCC Learning. (2024) Protecting children from neglect. London: NSPCC.</w:t>
      </w:r>
    </w:p>
    <w:p w14:paraId="00000034" w14:textId="77777777" w:rsidR="001C4C88" w:rsidRDefault="0017546C">
      <w:pPr>
        <w:spacing w:before="240" w:after="240" w:line="360" w:lineRule="auto"/>
        <w:rPr>
          <w:b/>
          <w:bCs/>
          <w:sz w:val="34"/>
          <w:szCs w:val="34"/>
        </w:rPr>
      </w:pPr>
      <w:r>
        <w:rPr>
          <w:b/>
          <w:bCs/>
          <w:sz w:val="34"/>
          <w:szCs w:val="34"/>
        </w:rPr>
        <w:lastRenderedPageBreak/>
        <w:t>References</w:t>
      </w:r>
    </w:p>
    <w:p w14:paraId="00000035" w14:textId="77777777" w:rsidR="001C4C88" w:rsidRDefault="0017546C">
      <w:pPr>
        <w:numPr>
          <w:ilvl w:val="0"/>
          <w:numId w:val="1"/>
        </w:numPr>
        <w:spacing w:before="240" w:line="360" w:lineRule="auto"/>
      </w:pPr>
      <w:r>
        <w:lastRenderedPageBreak/>
        <w:t xml:space="preserve">Centers for Disease Control and Prevention. (2026) About Adverse Childhood </w:t>
      </w:r>
      <w:r>
        <w:lastRenderedPageBreak/>
        <w:t>Experiences. CDC.</w:t>
      </w:r>
    </w:p>
    <w:p w14:paraId="00000036" w14:textId="77777777" w:rsidR="001C4C88" w:rsidRDefault="0017546C">
      <w:pPr>
        <w:numPr>
          <w:ilvl w:val="0"/>
          <w:numId w:val="1"/>
        </w:numPr>
        <w:spacing w:line="360" w:lineRule="auto"/>
      </w:pPr>
      <w:r>
        <w:lastRenderedPageBreak/>
        <w:t>Children Act 1989. London: The Stationery Office.</w:t>
      </w:r>
    </w:p>
    <w:p w14:paraId="00000037" w14:textId="77777777" w:rsidR="001C4C88" w:rsidRDefault="0017546C">
      <w:pPr>
        <w:numPr>
          <w:ilvl w:val="0"/>
          <w:numId w:val="1"/>
        </w:numPr>
        <w:spacing w:line="360" w:lineRule="auto"/>
      </w:pPr>
      <w:r>
        <w:lastRenderedPageBreak/>
        <w:t xml:space="preserve">Department for Education. (2023) Working Together to Safeguard Children: A guide to </w:t>
      </w:r>
      <w:r>
        <w:lastRenderedPageBreak/>
        <w:t xml:space="preserve">multi-agency working to help, protect and promote the welfare of children. London: </w:t>
      </w:r>
      <w:r>
        <w:lastRenderedPageBreak/>
        <w:t>Department for Education.</w:t>
      </w:r>
    </w:p>
    <w:p w14:paraId="00000038" w14:textId="77777777" w:rsidR="001C4C88" w:rsidRDefault="0017546C">
      <w:pPr>
        <w:numPr>
          <w:ilvl w:val="0"/>
          <w:numId w:val="1"/>
        </w:numPr>
        <w:spacing w:line="360" w:lineRule="auto"/>
      </w:pPr>
      <w:proofErr w:type="spellStart"/>
      <w:r>
        <w:lastRenderedPageBreak/>
        <w:t>Duinkerken</w:t>
      </w:r>
      <w:proofErr w:type="spellEnd"/>
      <w:r>
        <w:t xml:space="preserve">, E. van, Snoek, F.J. and de Wit, M. (2020) ‘The cognitive and psychological </w:t>
      </w:r>
      <w:r>
        <w:lastRenderedPageBreak/>
        <w:t xml:space="preserve">effects of living with type 1 diabetes: a narrative review’, Diabetic Medicine, 37(4), pp. </w:t>
      </w:r>
      <w:r>
        <w:lastRenderedPageBreak/>
        <w:t>555–563.</w:t>
      </w:r>
    </w:p>
    <w:p w14:paraId="00000039" w14:textId="77777777" w:rsidR="001C4C88" w:rsidRDefault="0017546C">
      <w:pPr>
        <w:numPr>
          <w:ilvl w:val="0"/>
          <w:numId w:val="1"/>
        </w:numPr>
        <w:spacing w:line="360" w:lineRule="auto"/>
      </w:pPr>
      <w:r>
        <w:lastRenderedPageBreak/>
        <w:t xml:space="preserve">French, R., Kneale, D., Warner, J.T., Robinson, H., Rafferty, J., Sayers, A., Taylor, P., </w:t>
      </w:r>
      <w:r>
        <w:lastRenderedPageBreak/>
        <w:t xml:space="preserve">Gregory, J.W. and Dayan, C.M. (2022) ‘Educational attainment and childhood-onset type </w:t>
      </w:r>
      <w:r>
        <w:lastRenderedPageBreak/>
        <w:t>1 diabetes’, Diabetes Care, 45(12), pp. 2852–2861.</w:t>
      </w:r>
    </w:p>
    <w:p w14:paraId="0000003A" w14:textId="77777777" w:rsidR="001C4C88" w:rsidRDefault="0017546C">
      <w:pPr>
        <w:numPr>
          <w:ilvl w:val="0"/>
          <w:numId w:val="1"/>
        </w:numPr>
        <w:spacing w:line="360" w:lineRule="auto"/>
      </w:pPr>
      <w:r>
        <w:lastRenderedPageBreak/>
        <w:t xml:space="preserve">Herefordshire Safeguarding Children Partnership. (2024) Local Child Safeguarding </w:t>
      </w:r>
      <w:r>
        <w:lastRenderedPageBreak/>
        <w:t>Practice Review: “Child HN”. Herefordshire Safeguarding Children Partnership.</w:t>
      </w:r>
    </w:p>
    <w:p w14:paraId="0000003D" w14:textId="44A10DB1" w:rsidR="001C4C88" w:rsidRDefault="0017546C" w:rsidP="00F07BA9">
      <w:pPr>
        <w:numPr>
          <w:ilvl w:val="0"/>
          <w:numId w:val="1"/>
        </w:numPr>
        <w:spacing w:line="360" w:lineRule="auto"/>
      </w:pPr>
      <w:r>
        <w:lastRenderedPageBreak/>
        <w:t xml:space="preserve">National Institute for Health and Care Excellence. (2015, updated 2023) Diabetes type 1 </w:t>
      </w:r>
      <w:r>
        <w:lastRenderedPageBreak/>
        <w:t xml:space="preserve">and type 2 in children and young people: diagnosis and management. NICE guideline </w:t>
      </w:r>
      <w:r>
        <w:lastRenderedPageBreak/>
        <w:t>NG18. London: NICE.</w:t>
      </w:r>
    </w:p>
    <w:sectPr w:rsidR="001C4C8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1ACCB" w14:textId="77777777" w:rsidR="00A6383F" w:rsidRDefault="00A6383F" w:rsidP="00E75635">
      <w:pPr>
        <w:spacing w:line="240" w:lineRule="auto"/>
      </w:pPr>
      <w:r>
        <w:separator/>
      </w:r>
    </w:p>
  </w:endnote>
  <w:endnote w:type="continuationSeparator" w:id="0">
    <w:p w14:paraId="597F79A9" w14:textId="77777777" w:rsidR="00A6383F" w:rsidRDefault="00A6383F" w:rsidP="00E756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AC6CC9-D143-4805-A6E4-606C86D13DCC}"/>
  </w:font>
  <w:font w:name="Cambria">
    <w:panose1 w:val="02040503050406030204"/>
    <w:charset w:val="00"/>
    <w:family w:val="roman"/>
    <w:pitch w:val="variable"/>
    <w:sig w:usb0="E00006FF" w:usb1="420024FF" w:usb2="02000000" w:usb3="00000000" w:csb0="0000019F" w:csb1="00000000"/>
    <w:embedRegular r:id="rId2" w:fontKey="{E9F5A74C-2E0A-44FF-855C-7E39981338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F4B1B" w14:textId="77777777" w:rsidR="00D30D45" w:rsidRDefault="00D30D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06FCFA" w14:textId="77777777" w:rsidR="00D30D45" w:rsidRDefault="00D30D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957AE" w14:textId="77777777" w:rsidR="00D30D45" w:rsidRDefault="00D30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C5F76" w14:textId="77777777" w:rsidR="00A6383F" w:rsidRDefault="00A6383F" w:rsidP="00E75635">
      <w:pPr>
        <w:spacing w:line="240" w:lineRule="auto"/>
      </w:pPr>
      <w:r>
        <w:separator/>
      </w:r>
    </w:p>
  </w:footnote>
  <w:footnote w:type="continuationSeparator" w:id="0">
    <w:p w14:paraId="63612876" w14:textId="77777777" w:rsidR="00A6383F" w:rsidRDefault="00A6383F" w:rsidP="00E756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D1FE2" w14:textId="77777777" w:rsidR="00D30D45" w:rsidRDefault="00D30D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44E2F1" w14:textId="3A5B85DF" w:rsidR="00D23F1F" w:rsidRDefault="00D23F1F" w:rsidP="00D23F1F">
    <w:pPr>
      <w:spacing w:before="240" w:after="240" w:line="360" w:lineRule="auto"/>
    </w:pPr>
  </w:p>
  <w:p w14:paraId="1AC2F991" w14:textId="77777777" w:rsidR="00D23F1F" w:rsidRDefault="00D23F1F" w:rsidP="00D23F1F">
    <w:pPr>
      <w:spacing w:before="240" w:after="240" w:line="360" w:lineRule="auto"/>
    </w:pPr>
  </w:p>
  <w:p w14:paraId="44ECE420" w14:textId="77777777" w:rsidR="00D23F1F" w:rsidRDefault="00D23F1F" w:rsidP="00D23F1F">
    <w:pPr>
      <w:spacing w:before="240" w:after="240" w:line="360" w:lineRule="auto"/>
    </w:pPr>
  </w:p>
  <w:p w14:paraId="4EF87F28" w14:textId="77777777" w:rsidR="00D23F1F" w:rsidRDefault="00D23F1F" w:rsidP="00D23F1F">
    <w:pPr>
      <w:spacing w:before="240" w:after="240" w:line="360" w:lineRule="auto"/>
    </w:pPr>
  </w:p>
  <w:p w14:paraId="2E331213" w14:textId="77777777" w:rsidR="00D23F1F" w:rsidRDefault="00D23F1F" w:rsidP="00D23F1F">
    <w:pPr>
      <w:spacing w:before="240" w:after="240" w:line="360" w:lineRule="auto"/>
    </w:pPr>
  </w:p>
  <w:p w14:paraId="784935FF" w14:textId="77777777" w:rsidR="00D23F1F" w:rsidRDefault="00D23F1F" w:rsidP="00D23F1F">
    <w:pPr>
      <w:spacing w:before="240" w:after="240" w:line="360" w:lineRule="auto"/>
    </w:pPr>
  </w:p>
  <w:p w14:paraId="2BA96256" w14:textId="77777777" w:rsidR="00D23F1F" w:rsidRDefault="00D23F1F" w:rsidP="00D23F1F">
    <w:pPr>
      <w:spacing w:before="240" w:after="240" w:line="360" w:lineRule="auto"/>
    </w:pPr>
  </w:p>
  <w:p w14:paraId="1C2E49E5" w14:textId="77777777" w:rsidR="00D23F1F" w:rsidRDefault="00D23F1F" w:rsidP="00D23F1F">
    <w:pPr>
      <w:spacing w:before="240" w:after="240" w:line="360" w:lineRule="auto"/>
    </w:pPr>
  </w:p>
  <w:p w14:paraId="36D5A910" w14:textId="77777777" w:rsidR="00D23F1F" w:rsidRDefault="00D23F1F" w:rsidP="00D23F1F">
    <w:pPr>
      <w:spacing w:before="240" w:after="240" w:line="360" w:lineRule="auto"/>
    </w:pPr>
  </w:p>
  <w:p w14:paraId="3DC3A09B" w14:textId="77777777" w:rsidR="00D23F1F" w:rsidRDefault="00D23F1F" w:rsidP="00D23F1F">
    <w:pPr>
      <w:spacing w:before="240" w:after="240" w:line="360" w:lineRule="auto"/>
    </w:pPr>
  </w:p>
  <w:p w14:paraId="14F53354" w14:textId="77777777" w:rsidR="00D23F1F" w:rsidRDefault="00D23F1F" w:rsidP="00D23F1F">
    <w:pPr>
      <w:spacing w:before="240" w:after="240" w:line="360" w:lineRule="auto"/>
    </w:pPr>
  </w:p>
  <w:p w14:paraId="1DBEC8E7" w14:textId="77777777" w:rsidR="00D23F1F" w:rsidRDefault="00D23F1F" w:rsidP="00D23F1F">
    <w:pPr>
      <w:spacing w:before="240" w:after="240" w:line="360" w:lineRule="auto"/>
    </w:pPr>
  </w:p>
  <w:p w14:paraId="3B2DFFEA" w14:textId="77777777" w:rsidR="00D23F1F" w:rsidRDefault="00D23F1F" w:rsidP="00D23F1F">
    <w:pPr>
      <w:spacing w:before="240" w:after="240" w:line="360" w:lineRule="auto"/>
    </w:pPr>
  </w:p>
  <w:p w14:paraId="6EBF7E1C" w14:textId="77777777" w:rsidR="00D23F1F" w:rsidRDefault="00D23F1F" w:rsidP="00D23F1F">
    <w:pPr>
      <w:spacing w:before="240" w:after="240" w:line="360" w:lineRule="auto"/>
    </w:pPr>
  </w:p>
  <w:p w14:paraId="4355EAAA" w14:textId="77777777" w:rsidR="00D23F1F" w:rsidRDefault="00D23F1F" w:rsidP="00D23F1F">
    <w:pPr>
      <w:spacing w:before="240" w:after="240" w:line="360" w:lineRule="auto"/>
    </w:pPr>
    <w:r>
      <w:rPr>
        <w:b/>
        <w:bCs/>
        <w:sz w:val="34"/>
        <w:szCs w:val="34"/>
      </w:rPr>
      <w:t>Safeguarding Officer’s Reflection on Child HN’s Case</w:t>
    </w:r>
    <w:r>
      <w:t xml:space="preserve"> </w:t>
    </w:r>
  </w:p>
  <w:p w14:paraId="52184436" w14:textId="77777777" w:rsidR="00D23F1F" w:rsidRDefault="00D23F1F" w:rsidP="00D23F1F">
    <w:pPr>
      <w:spacing w:before="240" w:after="240" w:line="360" w:lineRule="auto"/>
    </w:pPr>
    <w:r>
      <w:t xml:space="preserve">My role in this case is the </w:t>
    </w:r>
    <w:r>
      <w:rPr>
        <w:b/>
        <w:bCs/>
      </w:rPr>
      <w:t>Safeguarding Officer.</w:t>
    </w:r>
    <w:r>
      <w:t xml:space="preserve"> My central question to consider was whether Child HN was safe and whether his needs were understood, and if the professionals that were involved with him were effective in working with one another to protect him.</w:t>
    </w:r>
  </w:p>
  <w:p w14:paraId="07FDBE43" w14:textId="77777777" w:rsidR="00D23F1F" w:rsidRDefault="00D23F1F" w:rsidP="00D23F1F">
    <w:pPr>
      <w:spacing w:before="240" w:after="240" w:line="360" w:lineRule="auto"/>
    </w:pPr>
    <w:r>
      <w:t xml:space="preserve">Child HN was a teenager with Type 1 diabetes, a serious, lifelong health condition. He was rushed to hospital with diabetic ketoacidosis, also known as DKA, which could have been life-threatening. The inquiry says this was to be treated as a “near miss” because death was a genuine possibility (HSCP, 2024). Child HN had previously also relocated with his mother and siblings from Worcestershire to a refuge in Herefordshire following domestic abuse and coercive control at home (Herefordshire Safeguarding Children Partnership, 2024). </w:t>
    </w:r>
  </w:p>
  <w:p w14:paraId="2C78C05F" w14:textId="77777777" w:rsidR="00D23F1F" w:rsidRDefault="00D23F1F" w:rsidP="00D23F1F">
    <w:pPr>
      <w:spacing w:before="240" w:after="240" w:line="360" w:lineRule="auto"/>
    </w:pPr>
  </w:p>
  <w:p w14:paraId="2F78C08C" w14:textId="77777777" w:rsidR="00D23F1F" w:rsidRDefault="00D23F1F" w:rsidP="00D23F1F">
    <w:pPr>
      <w:spacing w:before="240" w:after="240" w:line="360" w:lineRule="auto"/>
    </w:pPr>
    <w:r>
      <w:t>As the safeguarding officer, I would have liaised with this case through the multi-agency safeguarding process. So I would be reading information from children’s social care, health, education, the refuge, GP services, the diabetic team, CAMHS and other agencies. And I would want to know: Is this child safe? Are the professionals informing one another? Does this have a resolution? Is the child’s voice heard? It has relevance to Working Together to Safeguard Children which states that the safeguarding of children is a collective responsibility and agencies should collaborate to provide assistance, safeguarding and promotion of children’s welfare (Department for Education, 2023).</w:t>
    </w:r>
  </w:p>
  <w:p w14:paraId="467F9200" w14:textId="77777777" w:rsidR="00D23F1F" w:rsidRDefault="00D23F1F" w:rsidP="00D23F1F">
    <w:pPr>
      <w:spacing w:before="240" w:after="240" w:line="360" w:lineRule="auto"/>
    </w:pPr>
    <w:r>
      <w:t xml:space="preserve">The key action I would take is ensure that there is an appropriate multi agency meeting. In that case, one major issue was that information didn’t follow the family across from Worcestershire to Herefordshire. The Herefordshire Children’s Social Care were unaware of the family until October 2022, despite their move being in July 2022. It resulted in delays with social care, education, health services, GP, diabetic team and CAMHS (Herefordshire Safeguarding Children Partnership, 2024). That’s important, because Working Together states that agencies need to share information early on and collaborate when children might need help — or protection (Department for Education, 2023). </w:t>
    </w:r>
  </w:p>
  <w:p w14:paraId="2710ED5B" w14:textId="77777777" w:rsidR="00D23F1F" w:rsidRDefault="00D23F1F" w:rsidP="00D23F1F">
    <w:pPr>
      <w:spacing w:before="240" w:after="240" w:line="360" w:lineRule="auto"/>
    </w:pPr>
  </w:p>
  <w:p w14:paraId="4F6E905A" w14:textId="77777777" w:rsidR="00D23F1F" w:rsidRDefault="00D23F1F" w:rsidP="00D23F1F">
    <w:pPr>
      <w:spacing w:before="240" w:after="240" w:line="360" w:lineRule="auto"/>
    </w:pPr>
    <w:r>
      <w:t>I would have also ensured Child HN’s diabetes plan formed part of his Child in Need Plan so everyone was clear about who was responsible for providing his insulin, for his appointments, for monitoring his blood sugar and what would happen if he declined treatment. This is relevant as his diabetes was more than just a medical problem; it was a child protection concern. Under the Children Act 1989, a child in need includes one who requires additional assistance to achieve or maintain a satisfactory level of health or development (Children Act, 1989). In Child HN’s situation, his health, education, emotional well-being, and family circumstances all had to be considered jointly.</w:t>
    </w:r>
  </w:p>
  <w:p w14:paraId="5FA4B3CC" w14:textId="77777777" w:rsidR="00D23F1F" w:rsidRDefault="00D23F1F" w:rsidP="00D23F1F">
    <w:pPr>
      <w:spacing w:before="240" w:after="240" w:line="360" w:lineRule="auto"/>
    </w:pPr>
    <w:r>
      <w:t xml:space="preserve">I would draw this through to Working Together to Safeguard Children 2023(messages are agencies have to work together to assist, support and protect children). The problem is not solved by having each agency working in isolation. Professionals have a responsibility to share information, carry out risk assessments, listen to the child and family and respond promptly if there are concerns (Department for Education, 2023). </w:t>
    </w:r>
  </w:p>
  <w:p w14:paraId="4C92708D" w14:textId="77777777" w:rsidR="00D23F1F" w:rsidRDefault="00D23F1F" w:rsidP="00D23F1F">
    <w:pPr>
      <w:spacing w:before="240" w:after="240" w:line="360" w:lineRule="auto"/>
    </w:pPr>
  </w:p>
  <w:p w14:paraId="28F4AA17" w14:textId="77777777" w:rsidR="00D23F1F" w:rsidRDefault="00D23F1F" w:rsidP="00D23F1F">
    <w:pPr>
      <w:spacing w:before="240" w:after="240" w:line="360" w:lineRule="auto"/>
    </w:pPr>
    <w:r>
      <w:t>In this regard, I would also take into account the possibility of medical neglect. Medical neglect is when a child is not receiving the medical attention they require, particularly if the condition is life-threatening. Failure to provide adequate health care, refusal of care or attention, or disregard for medical instructions NSPCC Learning describes medical neglect as the act of withholding necessary health care, declining care, or disregarding medical advice (NSPCC Learning 2024). I would not just fault the mother. I would be asking why the diabetes wasn’t under control rather than why it had been diagnosed. Was the mother too much to cope with? Was Child HN declining injections? Did he comprehend the dangers? Were the risks communicated clearly by professionals? Does the family require more practical help?</w:t>
    </w:r>
  </w:p>
  <w:p w14:paraId="4D2DF82A" w14:textId="77777777" w:rsidR="00D23F1F" w:rsidRDefault="00D23F1F" w:rsidP="00D23F1F">
    <w:pPr>
      <w:spacing w:before="240" w:after="240" w:line="360" w:lineRule="auto"/>
    </w:pPr>
    <w:r>
      <w:t xml:space="preserve">The review demonstrates that Child HN’s mother sought assistance on numerous occasions. She made contact with services, rang 999, and said she felt abandoned. She also felt blamed and confused because she received mixed messages from various professionals (Herefordshire Safeguarding Children Partnership, 2024). As the safeguarding officer, I would ensure that the metaphors of the parent are proper metaphors, and that the parent’s voice is truly heard and that the professionals are not able to make these judgements without having a comprehensive understanding of the situation. </w:t>
    </w:r>
  </w:p>
  <w:p w14:paraId="77964BDB" w14:textId="77777777" w:rsidR="00D23F1F" w:rsidRDefault="00D23F1F" w:rsidP="00D23F1F">
    <w:pPr>
      <w:spacing w:before="240" w:after="240" w:line="360" w:lineRule="auto"/>
    </w:pPr>
  </w:p>
  <w:p w14:paraId="5BE90046" w14:textId="77777777" w:rsidR="00D23F1F" w:rsidRDefault="00D23F1F" w:rsidP="00D23F1F">
    <w:pPr>
      <w:spacing w:before="240" w:after="240" w:line="360" w:lineRule="auto"/>
    </w:pPr>
    <w:r>
      <w:t>I would also talk about the voice of Child HN. The review discovered that his daily existence was not fully known. He was a loner from all the time he spent in his room playing video games, he had difficulty attending school, he may have been neurodiverse, and he struggled to come to terms with his diabetes diagnosis. He said he would “rather be dead” (Herefordshire Safeguarding Children Partnership, 2024). That should have been taken as a extremely worrying sign. Studies indicate that youth with Type 1 diabetes are at risk for emotional and mental health challenges such as anxiety, depression, and difficulties with self-management (</w:t>
    </w:r>
    <w:proofErr w:type="spellStart"/>
    <w:r>
      <w:t>Duinkerken</w:t>
    </w:r>
    <w:proofErr w:type="spellEnd"/>
    <w:r>
      <w:t>, Snoek and de Wit, 2020). National Institute for Health and Care Excellence (NICE) guidance also recommends that diabetes care for children and young people is tailored to their age, level of maturity and individual needs, including how they manage their diabetes and their emotional well-being and social situation (NICE, 2015, updated 2023).</w:t>
    </w:r>
  </w:p>
  <w:p w14:paraId="14BC770B" w14:textId="77777777" w:rsidR="00D23F1F" w:rsidRDefault="00D23F1F" w:rsidP="00D23F1F">
    <w:pPr>
      <w:spacing w:before="240" w:after="240" w:line="360" w:lineRule="auto"/>
    </w:pPr>
    <w:r>
      <w:t xml:space="preserve">What was done well was that there was some attempt among professionals to assist. Education and support from diabetic nursing team for injections. The refuge supported the mother. Then CAMHS subsequently undertook an assessment of Child HN in the family’s home which was beneficial as it accommodated the family’s arrangements. Following admission to hospital, Children’s Social Care also became more supportive and the mother described* the latter team as ‘helpful’ (Herefordshire Safeguarding Children Partnership, 2024). </w:t>
    </w:r>
  </w:p>
  <w:p w14:paraId="1D2F8CE8" w14:textId="77777777" w:rsidR="00D23F1F" w:rsidRDefault="00D23F1F" w:rsidP="00D23F1F">
    <w:pPr>
      <w:spacing w:before="240" w:after="240" w:line="360" w:lineRule="auto"/>
    </w:pPr>
  </w:p>
  <w:p w14:paraId="443D64B1" w14:textId="77777777" w:rsidR="00D23F1F" w:rsidRDefault="00D23F1F" w:rsidP="00D23F1F">
    <w:pPr>
      <w:spacing w:before="240" w:after="240" w:line="360" w:lineRule="auto"/>
    </w:pPr>
    <w:r>
      <w:t xml:space="preserve">But what was lacking was the broader picture. Agencies had not taken a holistic view of Child HN’s life or the trauma he had experienced, his culture, education requirements, mental health, risk of diabetes, or family strain. The reaction was too lethargic too was too internally divided. There was no robust common strategy, and practitioners did not adequately consider medical neglect or the obstacles preventing diabetes treatment (Herefordshire Safeguarding Children Partnership, 2024). The effect of Adverse Childhood Experiences is also relevant here since Child HN had experienced domestic abuse, family conflict, instability and serious health stress. Adverse Childhood Experiences can influence a child’s </w:t>
    </w:r>
    <w:proofErr w:type="spellStart"/>
    <w:r>
      <w:t>behaviour</w:t>
    </w:r>
    <w:proofErr w:type="spellEnd"/>
    <w:r>
      <w:t xml:space="preserve">, mental health and overall future well-being (Centers for Disease Control and Prevention, 2026). So that’s a reason to not just view Child HN’s </w:t>
    </w:r>
    <w:proofErr w:type="spellStart"/>
    <w:r>
      <w:t>behaviour</w:t>
    </w:r>
    <w:proofErr w:type="spellEnd"/>
    <w:r>
      <w:t xml:space="preserve"> as “difficult </w:t>
    </w:r>
    <w:proofErr w:type="spellStart"/>
    <w:r>
      <w:t>behaviour</w:t>
    </w:r>
    <w:proofErr w:type="spellEnd"/>
    <w:r>
      <w:t>”; it might also reflect a sign of distress.</w:t>
    </w:r>
  </w:p>
  <w:p w14:paraId="024CADED" w14:textId="77777777" w:rsidR="00D23F1F" w:rsidRDefault="00D23F1F" w:rsidP="00D23F1F">
    <w:pPr>
      <w:spacing w:before="240" w:after="240" w:line="360" w:lineRule="auto"/>
    </w:pPr>
    <w:r>
      <w:t xml:space="preserve">Next time, I would do things differently. I'd make sure the transfer between local authorities takes place immediately when a family moves to a new area. I would arrange an urgent multi-agency meeting. I would see to it that the child is investigated alone and that you're speaking to him in a way that he can understand. I would listen to the mother, without blame. I’ll make the diabetes plan explicit and in writing. I would also escalate the case if I felt there was delay because diabetes mismanagement can this become life-threatening very quickly. Studies of childhood-onset Type 1 diabetes also indicate higher susceptibility to issues related to DKA admissions, </w:t>
    </w:r>
    <w:proofErr w:type="spellStart"/>
    <w:r>
      <w:t>non attendance</w:t>
    </w:r>
    <w:proofErr w:type="spellEnd"/>
    <w:r>
      <w:t xml:space="preserve"> and emotional distress amongst adolescents, and therefore any concerns should be </w:t>
    </w:r>
    <w:proofErr w:type="spellStart"/>
    <w:r>
      <w:t>recognised</w:t>
    </w:r>
    <w:proofErr w:type="spellEnd"/>
    <w:r>
      <w:t xml:space="preserve"> and addressed promptly (French et al., 2022). </w:t>
    </w:r>
  </w:p>
  <w:p w14:paraId="52B9057C" w14:textId="77777777" w:rsidR="00D23F1F" w:rsidRDefault="00D23F1F" w:rsidP="00D23F1F">
    <w:pPr>
      <w:spacing w:before="240" w:after="240" w:line="360" w:lineRule="auto"/>
    </w:pPr>
    <w:r>
      <w:t>In summary, what I learnt as a Safeguarding Officer is that Child HN needed to be viewed as a child first and foremost, not a person old enough to "take care of herself" The whole package of his diabetes, trauma, education, mental health and family had to be looked at. The greatest area for improvement is more prompt, coordinated, child-</w:t>
    </w:r>
    <w:proofErr w:type="spellStart"/>
    <w:r>
      <w:t>centred</w:t>
    </w:r>
    <w:proofErr w:type="spellEnd"/>
    <w:r>
      <w:t xml:space="preserve"> safeguarding practice. </w:t>
    </w:r>
  </w:p>
  <w:p w14:paraId="1F143C38" w14:textId="77777777" w:rsidR="00D23F1F" w:rsidRDefault="00D23F1F" w:rsidP="00D23F1F">
    <w:pPr>
      <w:spacing w:before="240" w:after="240" w:line="360" w:lineRule="auto"/>
      <w:rPr>
        <w:b/>
        <w:bCs/>
        <w:sz w:val="34"/>
        <w:szCs w:val="34"/>
      </w:rPr>
    </w:pPr>
  </w:p>
  <w:p w14:paraId="6656F67A" w14:textId="77777777" w:rsidR="00D23F1F" w:rsidRDefault="00D23F1F" w:rsidP="00D23F1F">
    <w:pPr>
      <w:spacing w:before="240" w:after="240" w:line="360" w:lineRule="auto"/>
      <w:rPr>
        <w:b/>
        <w:bCs/>
        <w:sz w:val="34"/>
        <w:szCs w:val="34"/>
      </w:rPr>
    </w:pPr>
  </w:p>
  <w:p w14:paraId="313A80C3" w14:textId="77777777" w:rsidR="00D23F1F" w:rsidRDefault="00D23F1F" w:rsidP="00D23F1F">
    <w:pPr>
      <w:spacing w:before="240" w:after="240" w:line="360" w:lineRule="auto"/>
      <w:rPr>
        <w:b/>
        <w:bCs/>
        <w:sz w:val="34"/>
        <w:szCs w:val="34"/>
      </w:rPr>
    </w:pPr>
  </w:p>
  <w:p w14:paraId="2C6A7589" w14:textId="77777777" w:rsidR="00D23F1F" w:rsidRDefault="00D23F1F" w:rsidP="00D23F1F">
    <w:pPr>
      <w:spacing w:before="240" w:after="240" w:line="360" w:lineRule="auto"/>
      <w:rPr>
        <w:b/>
        <w:bCs/>
        <w:sz w:val="34"/>
        <w:szCs w:val="34"/>
      </w:rPr>
    </w:pPr>
  </w:p>
  <w:p w14:paraId="0B2BC132" w14:textId="77777777" w:rsidR="00D23F1F" w:rsidRDefault="00D23F1F" w:rsidP="00D23F1F">
    <w:pPr>
      <w:spacing w:before="240" w:after="240" w:line="360" w:lineRule="auto"/>
      <w:rPr>
        <w:b/>
        <w:bCs/>
        <w:sz w:val="34"/>
        <w:szCs w:val="34"/>
      </w:rPr>
    </w:pPr>
  </w:p>
  <w:p w14:paraId="289F4606" w14:textId="77777777" w:rsidR="00D23F1F" w:rsidRDefault="00D23F1F" w:rsidP="00D23F1F">
    <w:pPr>
      <w:spacing w:before="240" w:after="240" w:line="360" w:lineRule="auto"/>
      <w:rPr>
        <w:b/>
        <w:bCs/>
        <w:sz w:val="34"/>
        <w:szCs w:val="34"/>
      </w:rPr>
    </w:pPr>
  </w:p>
  <w:p w14:paraId="014E2A20" w14:textId="77777777" w:rsidR="00D23F1F" w:rsidRDefault="00D23F1F" w:rsidP="00D23F1F">
    <w:pPr>
      <w:spacing w:before="240" w:after="240" w:line="360" w:lineRule="auto"/>
      <w:rPr>
        <w:b/>
        <w:bCs/>
        <w:sz w:val="34"/>
        <w:szCs w:val="34"/>
      </w:rPr>
    </w:pPr>
  </w:p>
  <w:p w14:paraId="2EB2CE37" w14:textId="77777777" w:rsidR="00D23F1F" w:rsidRDefault="00D23F1F" w:rsidP="00D23F1F">
    <w:pPr>
      <w:spacing w:before="240" w:after="240" w:line="360" w:lineRule="auto"/>
      <w:rPr>
        <w:b/>
        <w:bCs/>
        <w:sz w:val="34"/>
        <w:szCs w:val="34"/>
      </w:rPr>
    </w:pPr>
  </w:p>
  <w:p w14:paraId="1C9DDD7D" w14:textId="77777777" w:rsidR="00D23F1F" w:rsidRDefault="00D23F1F" w:rsidP="00D23F1F">
    <w:pPr>
      <w:spacing w:before="240" w:after="240" w:line="360" w:lineRule="auto"/>
      <w:rPr>
        <w:b/>
        <w:bCs/>
        <w:sz w:val="34"/>
        <w:szCs w:val="34"/>
      </w:rPr>
    </w:pPr>
  </w:p>
  <w:p w14:paraId="6F46CAA7" w14:textId="77777777" w:rsidR="00D23F1F" w:rsidRDefault="00D23F1F" w:rsidP="00D23F1F">
    <w:pPr>
      <w:spacing w:before="240" w:after="240" w:line="360" w:lineRule="auto"/>
      <w:rPr>
        <w:b/>
        <w:bCs/>
        <w:sz w:val="34"/>
        <w:szCs w:val="34"/>
      </w:rPr>
    </w:pPr>
  </w:p>
  <w:p w14:paraId="09D960BF" w14:textId="77777777" w:rsidR="00D23F1F" w:rsidRDefault="00D23F1F" w:rsidP="00D23F1F">
    <w:pPr>
      <w:spacing w:before="240" w:after="240" w:line="360" w:lineRule="auto"/>
      <w:rPr>
        <w:b/>
        <w:bCs/>
        <w:sz w:val="34"/>
        <w:szCs w:val="34"/>
      </w:rPr>
    </w:pPr>
  </w:p>
  <w:p w14:paraId="736122D3" w14:textId="77777777" w:rsidR="00D23F1F" w:rsidRDefault="00D23F1F" w:rsidP="00D23F1F">
    <w:pPr>
      <w:numPr>
        <w:ilvl w:val="0"/>
        <w:numId w:val="1"/>
      </w:numPr>
      <w:spacing w:line="360" w:lineRule="auto"/>
    </w:pPr>
  </w:p>
  <w:p w14:paraId="7081F5A1" w14:textId="77777777" w:rsidR="00D23F1F" w:rsidRDefault="00D23F1F" w:rsidP="00D23F1F">
    <w:pPr>
      <w:numPr>
        <w:ilvl w:val="0"/>
        <w:numId w:val="1"/>
      </w:numPr>
      <w:spacing w:after="240" w:line="360" w:lineRule="auto"/>
    </w:pPr>
    <w:r>
      <w:t>NSPCC Learning. (2024) Protecting children from neglect. London: NSPCC.</w:t>
    </w:r>
  </w:p>
  <w:p w14:paraId="44B920CB" w14:textId="77777777" w:rsidR="00D23F1F" w:rsidRDefault="00D23F1F" w:rsidP="00D23F1F">
    <w:pPr>
      <w:spacing w:before="240" w:after="240" w:line="360" w:lineRule="auto"/>
      <w:rPr>
        <w:b/>
        <w:bCs/>
        <w:sz w:val="34"/>
        <w:szCs w:val="34"/>
      </w:rPr>
    </w:pPr>
    <w:r>
      <w:rPr>
        <w:b/>
        <w:bCs/>
        <w:sz w:val="34"/>
        <w:szCs w:val="34"/>
      </w:rPr>
      <w:t>References</w:t>
    </w:r>
  </w:p>
  <w:p w14:paraId="0D2BD69A" w14:textId="77777777" w:rsidR="00D23F1F" w:rsidRDefault="00D23F1F" w:rsidP="00D23F1F">
    <w:pPr>
      <w:numPr>
        <w:ilvl w:val="0"/>
        <w:numId w:val="1"/>
      </w:numPr>
      <w:spacing w:before="240" w:line="360" w:lineRule="auto"/>
    </w:pPr>
    <w:r>
      <w:t>Centers for Disease Control and Prevention. (2026) About Adverse Childhood Experiences. CDC.</w:t>
    </w:r>
  </w:p>
  <w:p w14:paraId="65D49707" w14:textId="77777777" w:rsidR="00D23F1F" w:rsidRDefault="00D23F1F" w:rsidP="00D23F1F">
    <w:pPr>
      <w:numPr>
        <w:ilvl w:val="0"/>
        <w:numId w:val="1"/>
      </w:numPr>
      <w:spacing w:line="360" w:lineRule="auto"/>
    </w:pPr>
    <w:r>
      <w:t>Children Act 1989. London: The Stationery Office.</w:t>
    </w:r>
  </w:p>
  <w:p w14:paraId="27B2D384" w14:textId="77777777" w:rsidR="00D23F1F" w:rsidRDefault="00D23F1F" w:rsidP="00D23F1F">
    <w:pPr>
      <w:numPr>
        <w:ilvl w:val="0"/>
        <w:numId w:val="1"/>
      </w:numPr>
      <w:spacing w:line="360" w:lineRule="auto"/>
    </w:pPr>
    <w:r>
      <w:t>Department for Education. (2023) Working Together to Safeguard Children: A guide to multi-agency working to help, protect and promote the welfare of children. London: Department for Education.</w:t>
    </w:r>
  </w:p>
  <w:p w14:paraId="12693EFB" w14:textId="77777777" w:rsidR="00D23F1F" w:rsidRDefault="00D23F1F" w:rsidP="00D23F1F">
    <w:pPr>
      <w:numPr>
        <w:ilvl w:val="0"/>
        <w:numId w:val="1"/>
      </w:numPr>
      <w:spacing w:line="360" w:lineRule="auto"/>
    </w:pPr>
    <w:proofErr w:type="spellStart"/>
    <w:r>
      <w:t>Duinkerken</w:t>
    </w:r>
    <w:proofErr w:type="spellEnd"/>
    <w:r>
      <w:t>, E. van, Snoek, F.J. and de Wit, M. (2020) ‘The cognitive and psychological effects of living with type 1 diabetes: a narrative review’, Diabetic Medicine, 37(4), pp. 555–563.</w:t>
    </w:r>
  </w:p>
  <w:p w14:paraId="6AA1D65B" w14:textId="77777777" w:rsidR="00D23F1F" w:rsidRDefault="00D23F1F" w:rsidP="00D23F1F">
    <w:pPr>
      <w:numPr>
        <w:ilvl w:val="0"/>
        <w:numId w:val="1"/>
      </w:numPr>
      <w:spacing w:line="360" w:lineRule="auto"/>
    </w:pPr>
    <w:r>
      <w:t>French, R., Kneale, D., Warner, J.T., Robinson, H., Rafferty, J., Sayers, A., Taylor, P., Gregory, J.W. and Dayan, C.M. (2022) ‘Educational attainment and childhood-onset type 1 diabetes’, Diabetes Care, 45(12), pp. 2852–2861.</w:t>
    </w:r>
  </w:p>
  <w:p w14:paraId="5DA96395" w14:textId="77777777" w:rsidR="00D23F1F" w:rsidRDefault="00D23F1F" w:rsidP="00D23F1F">
    <w:pPr>
      <w:numPr>
        <w:ilvl w:val="0"/>
        <w:numId w:val="1"/>
      </w:numPr>
      <w:spacing w:line="360" w:lineRule="auto"/>
    </w:pPr>
    <w:r>
      <w:t>Herefordshire Safeguarding Children Partnership. (2024) Local Child Safeguarding Practice Review: “Child HN”. Herefordshire Safeguarding Children Partnership.</w:t>
    </w:r>
  </w:p>
  <w:p w14:paraId="465E3501" w14:textId="77777777" w:rsidR="00D23F1F" w:rsidRDefault="00D23F1F" w:rsidP="00D23F1F">
    <w:pPr>
      <w:numPr>
        <w:ilvl w:val="0"/>
        <w:numId w:val="1"/>
      </w:numPr>
      <w:spacing w:line="360" w:lineRule="auto"/>
    </w:pPr>
    <w:r>
      <w:t>National Institute for Health and Care Excellence. (2015, updated 2023) Diabetes type 1 and type 2 in children and young people: diagnosis and management. NICE guideline NG18. London: NICE.</w:t>
    </w:r>
  </w:p>
  <w:p w14:paraId="01385224" w14:textId="77777777" w:rsidR="00D23F1F" w:rsidRDefault="00D23F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5F345" w14:textId="77777777" w:rsidR="00D30D45" w:rsidRDefault="00D30D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07C0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65650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C88"/>
    <w:rsid w:val="000373ED"/>
    <w:rsid w:val="00166AA1"/>
    <w:rsid w:val="0017546C"/>
    <w:rsid w:val="001C4C88"/>
    <w:rsid w:val="002B3575"/>
    <w:rsid w:val="003C0410"/>
    <w:rsid w:val="00683101"/>
    <w:rsid w:val="009B180D"/>
    <w:rsid w:val="00A6383F"/>
    <w:rsid w:val="00AB0613"/>
    <w:rsid w:val="00AE3D30"/>
    <w:rsid w:val="00D23F1F"/>
    <w:rsid w:val="00D30D45"/>
    <w:rsid w:val="00D851C5"/>
    <w:rsid w:val="00DF09A3"/>
    <w:rsid w:val="00E20F39"/>
    <w:rsid w:val="00E75635"/>
    <w:rsid w:val="00F07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FF2F2"/>
  <w15:docId w15:val="{0D772CD7-FFF3-BF44-B019-08359ECE8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75635"/>
    <w:pPr>
      <w:tabs>
        <w:tab w:val="center" w:pos="4513"/>
        <w:tab w:val="right" w:pos="9026"/>
      </w:tabs>
      <w:spacing w:line="240" w:lineRule="auto"/>
    </w:pPr>
  </w:style>
  <w:style w:type="character" w:customStyle="1" w:styleId="HeaderChar">
    <w:name w:val="Header Char"/>
    <w:basedOn w:val="DefaultParagraphFont"/>
    <w:link w:val="Header"/>
    <w:uiPriority w:val="99"/>
    <w:rsid w:val="00E75635"/>
  </w:style>
  <w:style w:type="paragraph" w:styleId="Footer">
    <w:name w:val="footer"/>
    <w:basedOn w:val="Normal"/>
    <w:link w:val="FooterChar"/>
    <w:uiPriority w:val="99"/>
    <w:unhideWhenUsed/>
    <w:rsid w:val="00E75635"/>
    <w:pPr>
      <w:tabs>
        <w:tab w:val="center" w:pos="4513"/>
        <w:tab w:val="right" w:pos="9026"/>
      </w:tabs>
      <w:spacing w:line="240" w:lineRule="auto"/>
    </w:pPr>
  </w:style>
  <w:style w:type="character" w:customStyle="1" w:styleId="FooterChar">
    <w:name w:val="Footer Char"/>
    <w:basedOn w:val="DefaultParagraphFont"/>
    <w:link w:val="Footer"/>
    <w:uiPriority w:val="99"/>
    <w:rsid w:val="00E75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153</Pages>
  <Words>1471</Words>
  <Characters>8391</Characters>
  <Application>Microsoft Office Word</Application>
  <DocSecurity>0</DocSecurity>
  <Lines>69</Lines>
  <Paragraphs>19</Paragraphs>
  <ScaleCrop>false</ScaleCrop>
  <Company/>
  <LinksUpToDate>false</LinksUpToDate>
  <CharactersWithSpaces>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Akhter (2331979)</cp:lastModifiedBy>
  <cp:revision>6</cp:revision>
  <dcterms:created xsi:type="dcterms:W3CDTF">2026-07-03T11:56:00Z</dcterms:created>
  <dcterms:modified xsi:type="dcterms:W3CDTF">2026-07-03T15:49:00Z</dcterms:modified>
</cp:coreProperties>
</file>