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B9F025" w14:textId="77777777" w:rsidR="00422C41" w:rsidRPr="00CC7BA9" w:rsidRDefault="00422C41" w:rsidP="00E64DA2">
      <w:pPr>
        <w:jc w:val="both"/>
        <w:rPr>
          <w:b/>
          <w:bCs/>
          <w:sz w:val="28"/>
          <w:szCs w:val="28"/>
        </w:rPr>
      </w:pPr>
      <w:r w:rsidRPr="00CC7BA9">
        <w:rPr>
          <w:b/>
          <w:bCs/>
          <w:sz w:val="28"/>
          <w:szCs w:val="28"/>
        </w:rPr>
        <w:t>The rise and fall of Astrology</w:t>
      </w:r>
      <w:r>
        <w:rPr>
          <w:b/>
          <w:bCs/>
          <w:sz w:val="28"/>
          <w:szCs w:val="28"/>
        </w:rPr>
        <w:t xml:space="preserve"> in the West</w:t>
      </w:r>
      <w:r w:rsidRPr="00CC7BA9">
        <w:rPr>
          <w:b/>
          <w:bCs/>
          <w:sz w:val="28"/>
          <w:szCs w:val="28"/>
        </w:rPr>
        <w:t>: a casualty of political shift?</w:t>
      </w:r>
    </w:p>
    <w:p w14:paraId="79E81A8A" w14:textId="77777777" w:rsidR="00422C41" w:rsidRDefault="00422C41" w:rsidP="00E64DA2">
      <w:pPr>
        <w:ind w:left="720" w:hanging="360"/>
        <w:jc w:val="both"/>
      </w:pPr>
    </w:p>
    <w:p w14:paraId="6DDA9D86" w14:textId="77777777" w:rsidR="00422C41" w:rsidRPr="00422C41" w:rsidRDefault="00422C41" w:rsidP="00E64DA2">
      <w:pPr>
        <w:jc w:val="both"/>
        <w:rPr>
          <w:b/>
          <w:bCs/>
          <w:color w:val="FF0000"/>
          <w:u w:val="single"/>
        </w:rPr>
      </w:pPr>
    </w:p>
    <w:p w14:paraId="2E634119" w14:textId="584F1B64" w:rsidR="0088662E" w:rsidRPr="00251932" w:rsidRDefault="009F71DF" w:rsidP="00E64DA2">
      <w:pPr>
        <w:pStyle w:val="ListParagraph"/>
        <w:numPr>
          <w:ilvl w:val="0"/>
          <w:numId w:val="2"/>
        </w:numPr>
        <w:jc w:val="both"/>
        <w:rPr>
          <w:b/>
          <w:bCs/>
          <w:color w:val="FF0000"/>
          <w:u w:val="single"/>
        </w:rPr>
      </w:pPr>
      <w:r>
        <w:rPr>
          <w:b/>
          <w:bCs/>
          <w:color w:val="FF0000"/>
          <w:u w:val="single"/>
        </w:rPr>
        <w:t>Abstract</w:t>
      </w:r>
      <w:r w:rsidR="00C63047" w:rsidRPr="00251932">
        <w:rPr>
          <w:b/>
          <w:bCs/>
          <w:color w:val="FF0000"/>
          <w:u w:val="single"/>
        </w:rPr>
        <w:t xml:space="preserve"> (</w:t>
      </w:r>
      <w:r w:rsidR="002B06FE">
        <w:rPr>
          <w:b/>
          <w:bCs/>
          <w:color w:val="FF0000"/>
          <w:u w:val="single"/>
        </w:rPr>
        <w:t>2</w:t>
      </w:r>
      <w:r w:rsidR="00C63047" w:rsidRPr="00251932">
        <w:rPr>
          <w:b/>
          <w:bCs/>
          <w:color w:val="FF0000"/>
          <w:u w:val="single"/>
        </w:rPr>
        <w:t>00)</w:t>
      </w:r>
    </w:p>
    <w:p w14:paraId="543DA9A4" w14:textId="77777777" w:rsidR="002B06FE" w:rsidRDefault="002B06FE" w:rsidP="00E64DA2">
      <w:pPr>
        <w:jc w:val="both"/>
      </w:pPr>
    </w:p>
    <w:p w14:paraId="592F34B0" w14:textId="145577FF" w:rsidR="002B06FE" w:rsidRDefault="009444FA" w:rsidP="00E64DA2">
      <w:pPr>
        <w:jc w:val="both"/>
      </w:pPr>
      <w:r>
        <w:t>This essay is set to examine two papers on the history of astrology</w:t>
      </w:r>
      <w:r w:rsidR="002B06FE">
        <w:t>, one by Roger French</w:t>
      </w:r>
      <w:r w:rsidR="00B6458C">
        <w:t xml:space="preserve"> (1996)</w:t>
      </w:r>
      <w:r w:rsidR="002B06FE">
        <w:t xml:space="preserve"> and the other by Michelle Pfeffer</w:t>
      </w:r>
      <w:r w:rsidR="00B6458C">
        <w:t xml:space="preserve"> (2023)</w:t>
      </w:r>
      <w:r w:rsidR="002B06FE">
        <w:t xml:space="preserve">. </w:t>
      </w:r>
      <w:r w:rsidR="005D4F45">
        <w:t xml:space="preserve">The former focuses on the life and work of </w:t>
      </w:r>
      <w:r w:rsidR="00422C41">
        <w:t xml:space="preserve">the twelfth century astrologer </w:t>
      </w:r>
      <w:r w:rsidR="005D4F45">
        <w:t>Roger of Hereford, and his influence on medicine by introducing Arabic astrology. The latter is a review</w:t>
      </w:r>
      <w:r w:rsidR="00730223">
        <w:t xml:space="preserve"> journal analysing the causes of marginalisation of astrology in the ear</w:t>
      </w:r>
      <w:r w:rsidR="00FD6B6F">
        <w:t>ly Modern period</w:t>
      </w:r>
      <w:r w:rsidR="00CB09A2">
        <w:t>, and the historiography of the matter over the past fifty years</w:t>
      </w:r>
      <w:r w:rsidR="00FD6B6F">
        <w:t>.</w:t>
      </w:r>
      <w:r w:rsidR="00422C41">
        <w:t xml:space="preserve"> </w:t>
      </w:r>
    </w:p>
    <w:p w14:paraId="77FD99D2" w14:textId="77777777" w:rsidR="002B06FE" w:rsidRDefault="002B06FE" w:rsidP="00E64DA2">
      <w:pPr>
        <w:jc w:val="both"/>
      </w:pPr>
    </w:p>
    <w:p w14:paraId="37BDEFCB" w14:textId="2879A8CA" w:rsidR="009444FA" w:rsidRDefault="002B06FE" w:rsidP="00E64DA2">
      <w:pPr>
        <w:jc w:val="both"/>
      </w:pPr>
      <w:r>
        <w:t xml:space="preserve">This essay argues that the </w:t>
      </w:r>
      <w:r w:rsidR="00580F11">
        <w:t xml:space="preserve">popularity and the downfall of </w:t>
      </w:r>
      <w:r w:rsidR="00B6458C">
        <w:t>the ‘</w:t>
      </w:r>
      <w:r w:rsidR="00580F11">
        <w:t>high</w:t>
      </w:r>
      <w:r w:rsidR="00B6458C">
        <w:t>’</w:t>
      </w:r>
      <w:r w:rsidR="00580F11">
        <w:t xml:space="preserve"> and </w:t>
      </w:r>
      <w:r w:rsidR="00B6458C">
        <w:t>‘</w:t>
      </w:r>
      <w:r w:rsidR="00580F11">
        <w:t>middling</w:t>
      </w:r>
      <w:r w:rsidR="00B6458C">
        <w:t>’</w:t>
      </w:r>
      <w:r w:rsidR="00580F11">
        <w:t xml:space="preserve"> astrology</w:t>
      </w:r>
      <w:r w:rsidR="00B6458C">
        <w:t>, as Patrick Curry defines,</w:t>
      </w:r>
      <w:r>
        <w:t xml:space="preserve"> </w:t>
      </w:r>
      <w:r w:rsidR="00B6458C">
        <w:t xml:space="preserve">are the destined result of political shift. </w:t>
      </w:r>
    </w:p>
    <w:p w14:paraId="5E4D0A5F" w14:textId="77777777" w:rsidR="00180B24" w:rsidRDefault="00180B24" w:rsidP="00E64DA2">
      <w:pPr>
        <w:jc w:val="both"/>
      </w:pPr>
    </w:p>
    <w:p w14:paraId="6D0DA5F1" w14:textId="3ACA30E5" w:rsidR="009F71DF" w:rsidRDefault="009F71DF" w:rsidP="00E64DA2">
      <w:pPr>
        <w:pStyle w:val="NormalWeb"/>
        <w:numPr>
          <w:ilvl w:val="0"/>
          <w:numId w:val="2"/>
        </w:numPr>
        <w:jc w:val="both"/>
        <w:rPr>
          <w:rFonts w:ascii="CIDFont+F2" w:hAnsi="CIDFont+F2"/>
          <w:b/>
          <w:bCs/>
          <w:color w:val="FF0000"/>
          <w:u w:val="single"/>
        </w:rPr>
      </w:pPr>
      <w:r>
        <w:rPr>
          <w:rFonts w:ascii="CIDFont+F2" w:hAnsi="CIDFont+F2"/>
          <w:b/>
          <w:bCs/>
          <w:color w:val="FF0000"/>
          <w:u w:val="single"/>
        </w:rPr>
        <w:t>Introduction</w:t>
      </w:r>
      <w:r w:rsidR="000F4C7B" w:rsidRPr="00251932">
        <w:rPr>
          <w:rFonts w:ascii="CIDFont+F2" w:hAnsi="CIDFont+F2"/>
          <w:b/>
          <w:bCs/>
          <w:color w:val="FF0000"/>
          <w:u w:val="single"/>
        </w:rPr>
        <w:t xml:space="preserve"> </w:t>
      </w:r>
      <w:r w:rsidR="00262965">
        <w:rPr>
          <w:rFonts w:ascii="CIDFont+F2" w:hAnsi="CIDFont+F2"/>
          <w:b/>
          <w:bCs/>
          <w:color w:val="FF0000"/>
          <w:u w:val="single"/>
        </w:rPr>
        <w:t>(300)</w:t>
      </w:r>
    </w:p>
    <w:p w14:paraId="650E458E" w14:textId="77777777" w:rsidR="00022C24" w:rsidRPr="00022C24" w:rsidRDefault="00022C24" w:rsidP="00E64DA2">
      <w:pPr>
        <w:pStyle w:val="NormalWeb"/>
        <w:jc w:val="both"/>
        <w:rPr>
          <w:rFonts w:ascii="CIDFont+F2" w:hAnsi="CIDFont+F2"/>
          <w:b/>
          <w:bCs/>
          <w:color w:val="FF0000"/>
          <w:u w:val="single"/>
        </w:rPr>
      </w:pPr>
    </w:p>
    <w:p w14:paraId="23FBAD36" w14:textId="77777777" w:rsidR="00064F90" w:rsidRPr="00B646D8" w:rsidRDefault="000F4C7B" w:rsidP="00E64DA2">
      <w:pPr>
        <w:pStyle w:val="NormalWeb"/>
        <w:jc w:val="both"/>
        <w:rPr>
          <w:rFonts w:ascii="CIDFont+F3" w:hAnsi="CIDFont+F3"/>
          <w:color w:val="FF0000"/>
          <w:sz w:val="20"/>
          <w:szCs w:val="20"/>
          <w:highlight w:val="yellow"/>
        </w:rPr>
      </w:pPr>
      <w:r w:rsidRPr="00B646D8">
        <w:rPr>
          <w:rFonts w:ascii="CIDFont+F3" w:hAnsi="CIDFont+F3"/>
          <w:color w:val="FF0000"/>
          <w:sz w:val="20"/>
          <w:szCs w:val="20"/>
          <w:highlight w:val="yellow"/>
        </w:rPr>
        <w:t>What is the context of the papers?</w:t>
      </w:r>
    </w:p>
    <w:p w14:paraId="2AF901F5" w14:textId="7CBADA98" w:rsidR="00064F90" w:rsidRPr="00B646D8" w:rsidRDefault="00064F90" w:rsidP="00E64DA2">
      <w:pPr>
        <w:jc w:val="both"/>
        <w:rPr>
          <w:highlight w:val="yellow"/>
        </w:rPr>
      </w:pPr>
      <w:r w:rsidRPr="00B646D8">
        <w:rPr>
          <w:highlight w:val="yellow"/>
        </w:rPr>
        <w:t xml:space="preserve">Written in 1996, ‘Foretelling the Future’ is a detailed </w:t>
      </w:r>
      <w:r w:rsidR="00813A4D" w:rsidRPr="00B646D8">
        <w:rPr>
          <w:highlight w:val="yellow"/>
        </w:rPr>
        <w:t>discussion of Roger of Hereford’s life and his influences on medicine by introducing Arabic judicial Astrology into his professional practice</w:t>
      </w:r>
      <w:r w:rsidR="00D6385F" w:rsidRPr="00B646D8">
        <w:rPr>
          <w:highlight w:val="yellow"/>
        </w:rPr>
        <w:t>, as well as teaching</w:t>
      </w:r>
      <w:r w:rsidR="00813A4D" w:rsidRPr="00B646D8">
        <w:rPr>
          <w:highlight w:val="yellow"/>
        </w:rPr>
        <w:t xml:space="preserve">. </w:t>
      </w:r>
    </w:p>
    <w:p w14:paraId="4D70F4B2" w14:textId="77777777" w:rsidR="00813A4D" w:rsidRPr="00B646D8" w:rsidRDefault="00813A4D" w:rsidP="00E64DA2">
      <w:pPr>
        <w:jc w:val="both"/>
        <w:rPr>
          <w:highlight w:val="yellow"/>
        </w:rPr>
      </w:pPr>
    </w:p>
    <w:p w14:paraId="088B7F03" w14:textId="77777777" w:rsidR="00004C0B" w:rsidRPr="00B646D8" w:rsidRDefault="00004C0B" w:rsidP="00E64DA2">
      <w:pPr>
        <w:jc w:val="both"/>
        <w:rPr>
          <w:highlight w:val="yellow"/>
        </w:rPr>
      </w:pPr>
    </w:p>
    <w:p w14:paraId="2AD495BA" w14:textId="62CD2D60" w:rsidR="00064F90" w:rsidRDefault="009F11AD" w:rsidP="00E64DA2">
      <w:pPr>
        <w:jc w:val="both"/>
      </w:pPr>
      <w:r w:rsidRPr="009F11AD">
        <w:rPr>
          <w:highlight w:val="red"/>
        </w:rPr>
        <w:t>Method</w:t>
      </w:r>
      <w:r>
        <w:rPr>
          <w:highlight w:val="red"/>
        </w:rPr>
        <w:t xml:space="preserve"> not conclusion</w:t>
      </w:r>
      <w:r w:rsidRPr="009F11AD">
        <w:rPr>
          <w:highlight w:val="red"/>
        </w:rPr>
        <w:t xml:space="preserve">: </w:t>
      </w:r>
      <w:r w:rsidR="00064F90" w:rsidRPr="00B646D8">
        <w:rPr>
          <w:highlight w:val="yellow"/>
        </w:rPr>
        <w:t>Pfeffer’s paper was set to conduct a quant</w:t>
      </w:r>
      <w:r w:rsidR="00D6385F" w:rsidRPr="00B646D8">
        <w:rPr>
          <w:highlight w:val="yellow"/>
        </w:rPr>
        <w:t>it</w:t>
      </w:r>
      <w:r w:rsidR="00064F90" w:rsidRPr="00B646D8">
        <w:rPr>
          <w:highlight w:val="yellow"/>
        </w:rPr>
        <w:t xml:space="preserve">ative </w:t>
      </w:r>
      <w:r w:rsidR="00D6385F" w:rsidRPr="00B646D8">
        <w:rPr>
          <w:highlight w:val="yellow"/>
        </w:rPr>
        <w:t xml:space="preserve">and qualitative </w:t>
      </w:r>
      <w:r w:rsidR="00064F90" w:rsidRPr="00B646D8">
        <w:rPr>
          <w:highlight w:val="yellow"/>
        </w:rPr>
        <w:t>analysis of journals published between 1970 to 2008 v</w:t>
      </w:r>
      <w:r w:rsidR="00D6385F" w:rsidRPr="00B646D8">
        <w:rPr>
          <w:highlight w:val="yellow"/>
        </w:rPr>
        <w:t>ersus</w:t>
      </w:r>
      <w:r w:rsidR="00064F90" w:rsidRPr="00B646D8">
        <w:rPr>
          <w:highlight w:val="yellow"/>
        </w:rPr>
        <w:t xml:space="preserve"> those of 2008-2023, and </w:t>
      </w:r>
      <w:r w:rsidR="008E68DA" w:rsidRPr="00B646D8">
        <w:rPr>
          <w:highlight w:val="yellow"/>
        </w:rPr>
        <w:t>to prove</w:t>
      </w:r>
      <w:r w:rsidR="00064F90" w:rsidRPr="00B646D8">
        <w:rPr>
          <w:highlight w:val="yellow"/>
        </w:rPr>
        <w:t xml:space="preserve"> that there was a return of thought in the works of marginalisation of astrology, which emphasis the impact of Humanism </w:t>
      </w:r>
      <w:r w:rsidR="00004C0B" w:rsidRPr="00B646D8">
        <w:rPr>
          <w:highlight w:val="yellow"/>
        </w:rPr>
        <w:t>to</w:t>
      </w:r>
      <w:r w:rsidR="00064F90" w:rsidRPr="00B646D8">
        <w:rPr>
          <w:highlight w:val="yellow"/>
        </w:rPr>
        <w:t xml:space="preserve"> </w:t>
      </w:r>
      <w:r w:rsidR="00004C0B" w:rsidRPr="00B646D8">
        <w:rPr>
          <w:highlight w:val="yellow"/>
        </w:rPr>
        <w:t>the intellectual disenchantment</w:t>
      </w:r>
      <w:r w:rsidR="00064F90" w:rsidRPr="00B646D8">
        <w:rPr>
          <w:highlight w:val="yellow"/>
        </w:rPr>
        <w:t>.</w:t>
      </w:r>
      <w:r w:rsidR="008E68DA" w:rsidRPr="00B646D8">
        <w:rPr>
          <w:highlight w:val="yellow"/>
        </w:rPr>
        <w:t xml:space="preserve"> </w:t>
      </w:r>
      <w:r w:rsidR="00004C0B" w:rsidRPr="00B646D8">
        <w:rPr>
          <w:highlight w:val="yellow"/>
        </w:rPr>
        <w:t xml:space="preserve">And to begin her assessment, Pfeffer </w:t>
      </w:r>
      <w:r w:rsidR="00856243" w:rsidRPr="00B646D8">
        <w:rPr>
          <w:highlight w:val="yellow"/>
        </w:rPr>
        <w:t>states that the marginalisation of astrology occurred in the early Modern period.</w:t>
      </w:r>
      <w:r w:rsidR="00856243">
        <w:t xml:space="preserve"> </w:t>
      </w:r>
      <w:r w:rsidR="00004C0B">
        <w:t xml:space="preserve"> </w:t>
      </w:r>
    </w:p>
    <w:p w14:paraId="7452B0E9" w14:textId="77777777" w:rsidR="00F80CAC" w:rsidRDefault="00F80CAC" w:rsidP="00E64DA2">
      <w:pPr>
        <w:jc w:val="both"/>
      </w:pPr>
    </w:p>
    <w:p w14:paraId="27FEFAD9" w14:textId="77777777" w:rsidR="00F80CAC" w:rsidRDefault="00F80CAC" w:rsidP="00E64DA2">
      <w:pPr>
        <w:jc w:val="both"/>
      </w:pPr>
      <w:r>
        <w:t>Similar studies on the marginalization of Astrology have been published on Early Science and Medicine a few years earlier</w:t>
      </w:r>
      <w:r>
        <w:rPr>
          <w:rStyle w:val="FootnoteReference"/>
        </w:rPr>
        <w:footnoteReference w:id="1"/>
      </w:r>
      <w:r>
        <w:t>.</w:t>
      </w:r>
    </w:p>
    <w:p w14:paraId="03B3E904" w14:textId="77777777" w:rsidR="00F80CAC" w:rsidRDefault="00F80CAC" w:rsidP="00E64DA2">
      <w:pPr>
        <w:pStyle w:val="NormalWeb"/>
        <w:jc w:val="both"/>
        <w:rPr>
          <w:rFonts w:ascii="CIDFont+F3" w:hAnsi="CIDFont+F3"/>
          <w:sz w:val="20"/>
          <w:szCs w:val="20"/>
        </w:rPr>
      </w:pPr>
    </w:p>
    <w:p w14:paraId="63232A47" w14:textId="1FB5275D" w:rsidR="00D6385F" w:rsidRDefault="000F4C7B" w:rsidP="00E64DA2">
      <w:pPr>
        <w:pStyle w:val="NormalWeb"/>
        <w:jc w:val="both"/>
        <w:rPr>
          <w:rFonts w:ascii="CIDFont+F3" w:hAnsi="CIDFont+F3"/>
          <w:sz w:val="20"/>
          <w:szCs w:val="20"/>
        </w:rPr>
      </w:pPr>
      <w:r>
        <w:rPr>
          <w:rFonts w:ascii="CIDFont+F3" w:hAnsi="CIDFont+F3"/>
          <w:sz w:val="20"/>
          <w:szCs w:val="20"/>
        </w:rPr>
        <w:lastRenderedPageBreak/>
        <w:br/>
      </w:r>
      <w:r w:rsidRPr="008E68DA">
        <w:rPr>
          <w:rFonts w:ascii="CIDFont+F3" w:hAnsi="CIDFont+F3"/>
          <w:color w:val="FF0000"/>
          <w:sz w:val="20"/>
          <w:szCs w:val="20"/>
        </w:rPr>
        <w:t>What is the subject matter.</w:t>
      </w:r>
    </w:p>
    <w:p w14:paraId="15999055" w14:textId="3B342052" w:rsidR="00D6385F" w:rsidRDefault="00D6385F" w:rsidP="00E64DA2">
      <w:pPr>
        <w:pStyle w:val="NormalWeb"/>
        <w:jc w:val="both"/>
        <w:rPr>
          <w:rFonts w:ascii="CIDFont+F3" w:hAnsi="CIDFont+F3"/>
          <w:sz w:val="20"/>
          <w:szCs w:val="20"/>
        </w:rPr>
      </w:pPr>
      <w:r>
        <w:rPr>
          <w:rFonts w:ascii="CIDFont+F3" w:hAnsi="CIDFont+F3"/>
          <w:sz w:val="20"/>
          <w:szCs w:val="20"/>
        </w:rPr>
        <w:t xml:space="preserve">Astrology. </w:t>
      </w:r>
    </w:p>
    <w:p w14:paraId="034588D9" w14:textId="77777777" w:rsidR="00D6385F" w:rsidRDefault="000F4C7B" w:rsidP="00E64DA2">
      <w:pPr>
        <w:pStyle w:val="NormalWeb"/>
        <w:jc w:val="both"/>
        <w:rPr>
          <w:rFonts w:ascii="CIDFont+F3" w:hAnsi="CIDFont+F3"/>
          <w:sz w:val="20"/>
          <w:szCs w:val="20"/>
        </w:rPr>
      </w:pPr>
      <w:r>
        <w:rPr>
          <w:rFonts w:ascii="CIDFont+F3" w:hAnsi="CIDFont+F3"/>
          <w:sz w:val="20"/>
          <w:szCs w:val="20"/>
        </w:rPr>
        <w:br/>
      </w:r>
      <w:r w:rsidRPr="008E68DA">
        <w:rPr>
          <w:rFonts w:ascii="CIDFont+F3" w:hAnsi="CIDFont+F3"/>
          <w:color w:val="FF0000"/>
          <w:sz w:val="20"/>
          <w:szCs w:val="20"/>
        </w:rPr>
        <w:t>What is the intended readership, namely, who the papers are written for – other academics? students? A wider academic readership? the general public? etc.</w:t>
      </w:r>
    </w:p>
    <w:p w14:paraId="722478A6" w14:textId="77AC63E2" w:rsidR="008E68DA" w:rsidRDefault="003319EE" w:rsidP="00E64DA2">
      <w:pPr>
        <w:pStyle w:val="NormalWeb"/>
        <w:jc w:val="both"/>
      </w:pPr>
      <w:r>
        <w:t xml:space="preserve">The paper was written for academics, published on Isis, a journal on the </w:t>
      </w:r>
      <w:r w:rsidRPr="003319EE">
        <w:rPr>
          <w:highlight w:val="yellow"/>
        </w:rPr>
        <w:t>history of science, medicine and technology and their cultural influences</w:t>
      </w:r>
      <w:r>
        <w:t>.</w:t>
      </w:r>
    </w:p>
    <w:p w14:paraId="2B80DCF3" w14:textId="57FE5547" w:rsidR="00C63047" w:rsidRDefault="00C63047" w:rsidP="00E64DA2">
      <w:pPr>
        <w:pStyle w:val="NormalWeb"/>
        <w:jc w:val="both"/>
      </w:pPr>
      <w:proofErr w:type="spellStart"/>
      <w:r>
        <w:t>Peffer’s</w:t>
      </w:r>
      <w:proofErr w:type="spellEnd"/>
      <w:r>
        <w:t xml:space="preserve"> paper was published on </w:t>
      </w:r>
      <w:r w:rsidRPr="00C63047">
        <w:t>The Historical Journal</w:t>
      </w:r>
      <w:r>
        <w:t xml:space="preserve">, which is aimed at a wider historian scholarship. </w:t>
      </w:r>
    </w:p>
    <w:p w14:paraId="0E7D693A" w14:textId="73DFF770" w:rsidR="000F4C7B" w:rsidRPr="00064F90" w:rsidRDefault="000F4C7B" w:rsidP="00E64DA2">
      <w:pPr>
        <w:pStyle w:val="NormalWeb"/>
        <w:jc w:val="both"/>
        <w:rPr>
          <w:rFonts w:ascii="CIDFont+F3" w:hAnsi="CIDFont+F3"/>
          <w:sz w:val="20"/>
          <w:szCs w:val="20"/>
        </w:rPr>
      </w:pPr>
      <w:r>
        <w:rPr>
          <w:rFonts w:ascii="CIDFont+F3" w:hAnsi="CIDFont+F3"/>
          <w:sz w:val="20"/>
          <w:szCs w:val="20"/>
        </w:rPr>
        <w:br/>
      </w:r>
      <w:r w:rsidRPr="008E68DA">
        <w:rPr>
          <w:rFonts w:ascii="CIDFont+F3" w:hAnsi="CIDFont+F3"/>
          <w:color w:val="FF0000"/>
          <w:sz w:val="20"/>
          <w:szCs w:val="20"/>
        </w:rPr>
        <w:t>Who are the authors? Mention the rest of their scholarship. When did they live? Did they have an academic post? Are/were they connected with a philosophical movement?</w:t>
      </w:r>
      <w:r w:rsidRPr="008E68DA">
        <w:rPr>
          <w:rFonts w:ascii="CIDFont+F3" w:hAnsi="CIDFont+F3"/>
          <w:color w:val="FF0000"/>
          <w:sz w:val="20"/>
          <w:szCs w:val="20"/>
        </w:rPr>
        <w:br/>
        <w:t xml:space="preserve">When the text written? That will help you, and your reader, understand its context in terms of changing scholarship. </w:t>
      </w:r>
    </w:p>
    <w:p w14:paraId="207A681E" w14:textId="06EB5375" w:rsidR="00C63047" w:rsidRDefault="00C63047" w:rsidP="00E64DA2">
      <w:pPr>
        <w:pStyle w:val="NormalWeb"/>
        <w:jc w:val="both"/>
      </w:pPr>
      <w:r>
        <w:t>French</w:t>
      </w:r>
      <w:r w:rsidR="002023CD">
        <w:t xml:space="preserve"> (1938-2002)</w:t>
      </w:r>
      <w:r>
        <w:t xml:space="preserve"> was a </w:t>
      </w:r>
      <w:r w:rsidR="00DD5BF5">
        <w:t xml:space="preserve">English </w:t>
      </w:r>
      <w:r>
        <w:t>medical historian specialising in medieval and Renaissance period.</w:t>
      </w:r>
      <w:r w:rsidRPr="00C63047">
        <w:t xml:space="preserve"> </w:t>
      </w:r>
      <w:r w:rsidR="00DD5BF5" w:rsidRPr="00DD5BF5">
        <w:rPr>
          <w:highlight w:val="yellow"/>
        </w:rPr>
        <w:t>He was one of the world’s leading experts on William Harvey.</w:t>
      </w:r>
      <w:r w:rsidR="00DD5BF5">
        <w:t xml:space="preserve"> </w:t>
      </w:r>
      <w:r w:rsidR="005F63EA">
        <w:t xml:space="preserve">His scholarship also covered ancient Greek to nineteenth-century medicine. </w:t>
      </w:r>
      <w:r w:rsidR="002023CD">
        <w:t xml:space="preserve">He was a lecturer in History of Medicine at the University of Cambridge and the Director of the Faculty’s </w:t>
      </w:r>
      <w:proofErr w:type="spellStart"/>
      <w:r w:rsidR="002023CD">
        <w:t>Wellcome</w:t>
      </w:r>
      <w:proofErr w:type="spellEnd"/>
      <w:r w:rsidR="002023CD">
        <w:t xml:space="preserve"> Institute. </w:t>
      </w:r>
      <w:r w:rsidR="005F63EA">
        <w:t xml:space="preserve">He was an editor of two historical journals. </w:t>
      </w:r>
    </w:p>
    <w:p w14:paraId="4AF8D6A0" w14:textId="409EE5A1" w:rsidR="00C63047" w:rsidRDefault="00C63047" w:rsidP="00E64DA2">
      <w:pPr>
        <w:pStyle w:val="NormalWeb"/>
        <w:jc w:val="both"/>
        <w:rPr>
          <w:rFonts w:ascii="CIDFont+F3" w:hAnsi="CIDFont+F3"/>
          <w:sz w:val="20"/>
          <w:szCs w:val="20"/>
        </w:rPr>
      </w:pPr>
      <w:r>
        <w:t>Pfeffer is a</w:t>
      </w:r>
      <w:r w:rsidR="005F63EA">
        <w:t xml:space="preserve">n early </w:t>
      </w:r>
      <w:r>
        <w:t>modern historian</w:t>
      </w:r>
      <w:r w:rsidR="00D92EAD">
        <w:t xml:space="preserve"> in the history of science and religion,</w:t>
      </w:r>
      <w:r>
        <w:t xml:space="preserve"> </w:t>
      </w:r>
      <w:r w:rsidR="005F63EA">
        <w:t xml:space="preserve">and </w:t>
      </w:r>
      <w:r w:rsidR="00D92EAD">
        <w:t xml:space="preserve">currently </w:t>
      </w:r>
      <w:r w:rsidR="00DD5BF5">
        <w:t xml:space="preserve">a research fellow at University of Oxford. </w:t>
      </w:r>
      <w:r w:rsidR="005F63EA">
        <w:t>She h</w:t>
      </w:r>
      <w:r w:rsidR="00D92EAD">
        <w:t>olds a special interest in</w:t>
      </w:r>
      <w:r w:rsidR="00C643F8">
        <w:t xml:space="preserve"> the history of astrology. She proposes that </w:t>
      </w:r>
      <w:r w:rsidR="005F63EA">
        <w:t xml:space="preserve">the </w:t>
      </w:r>
      <w:r w:rsidR="00C643F8">
        <w:t>late humanist scholarship contributes to the marginalisation of astrology, and the phenomenon is both pan-European and global</w:t>
      </w:r>
      <w:r w:rsidR="00262965">
        <w:t xml:space="preserve"> (as part of her research subjects)</w:t>
      </w:r>
      <w:r w:rsidR="00C643F8">
        <w:t xml:space="preserve">. </w:t>
      </w:r>
    </w:p>
    <w:p w14:paraId="1562768F" w14:textId="474E842D" w:rsidR="0088662E" w:rsidRDefault="0088662E" w:rsidP="00E64DA2">
      <w:pPr>
        <w:jc w:val="both"/>
      </w:pPr>
    </w:p>
    <w:p w14:paraId="6CFCC594" w14:textId="6C8350A3" w:rsidR="000F4C7B" w:rsidRPr="007A54EF" w:rsidRDefault="000F4C7B" w:rsidP="00E64DA2">
      <w:pPr>
        <w:pStyle w:val="NormalWeb"/>
        <w:jc w:val="both"/>
        <w:rPr>
          <w:rFonts w:ascii="Century Gothic" w:hAnsi="Century Gothic"/>
          <w:b/>
          <w:bCs/>
          <w:color w:val="000000" w:themeColor="text1"/>
          <w:sz w:val="28"/>
          <w:szCs w:val="28"/>
        </w:rPr>
      </w:pPr>
      <w:r w:rsidRPr="007A54EF">
        <w:rPr>
          <w:rFonts w:ascii="Century Gothic" w:hAnsi="Century Gothic"/>
          <w:b/>
          <w:bCs/>
          <w:color w:val="000000" w:themeColor="text1"/>
          <w:sz w:val="28"/>
          <w:szCs w:val="28"/>
        </w:rPr>
        <w:t xml:space="preserve">3. </w:t>
      </w:r>
      <w:r w:rsidR="009F71DF" w:rsidRPr="007A54EF">
        <w:rPr>
          <w:rFonts w:ascii="Century Gothic" w:hAnsi="Century Gothic"/>
          <w:b/>
          <w:bCs/>
          <w:color w:val="000000" w:themeColor="text1"/>
          <w:sz w:val="28"/>
          <w:szCs w:val="28"/>
        </w:rPr>
        <w:t>Discussion</w:t>
      </w:r>
      <w:r w:rsidRPr="007A54EF">
        <w:rPr>
          <w:rFonts w:ascii="Century Gothic" w:hAnsi="Century Gothic"/>
          <w:b/>
          <w:bCs/>
          <w:color w:val="000000" w:themeColor="text1"/>
          <w:sz w:val="28"/>
          <w:szCs w:val="28"/>
        </w:rPr>
        <w:t xml:space="preserve"> </w:t>
      </w:r>
      <w:r w:rsidR="00C971D9">
        <w:rPr>
          <w:rFonts w:ascii="Century Gothic" w:hAnsi="Century Gothic"/>
          <w:b/>
          <w:bCs/>
          <w:color w:val="000000" w:themeColor="text1"/>
          <w:sz w:val="28"/>
          <w:szCs w:val="28"/>
        </w:rPr>
        <w:t>(800)</w:t>
      </w:r>
    </w:p>
    <w:p w14:paraId="3834A605" w14:textId="0641E735" w:rsidR="000F4C7B" w:rsidRDefault="000F4C7B" w:rsidP="00E64DA2">
      <w:pPr>
        <w:pStyle w:val="NormalWeb"/>
        <w:rPr>
          <w:rFonts w:ascii="CIDFont+F3" w:hAnsi="CIDFont+F3"/>
          <w:color w:val="FF0000"/>
          <w:sz w:val="20"/>
          <w:szCs w:val="20"/>
        </w:rPr>
      </w:pPr>
      <w:r w:rsidRPr="002F39EB">
        <w:rPr>
          <w:rFonts w:ascii="CIDFont+F3" w:hAnsi="CIDFont+F3"/>
          <w:color w:val="FF0000"/>
          <w:sz w:val="20"/>
          <w:szCs w:val="20"/>
        </w:rPr>
        <w:t>Briefly summarise the articles, papers, chapters, or books.</w:t>
      </w:r>
      <w:r w:rsidRPr="002F39EB">
        <w:rPr>
          <w:rFonts w:ascii="CIDFont+F3" w:hAnsi="CIDFont+F3"/>
          <w:color w:val="FF0000"/>
          <w:sz w:val="20"/>
          <w:szCs w:val="20"/>
        </w:rPr>
        <w:br/>
        <w:t>What they about?</w:t>
      </w:r>
      <w:r w:rsidRPr="002F39EB">
        <w:rPr>
          <w:rFonts w:ascii="CIDFont+F3" w:hAnsi="CIDFont+F3"/>
          <w:color w:val="FF0000"/>
          <w:sz w:val="20"/>
          <w:szCs w:val="20"/>
        </w:rPr>
        <w:br/>
        <w:t>What is the key content and main argument(s)?</w:t>
      </w:r>
      <w:r w:rsidRPr="002F39EB">
        <w:rPr>
          <w:rFonts w:ascii="CIDFont+F3" w:hAnsi="CIDFont+F3"/>
          <w:color w:val="FF0000"/>
          <w:sz w:val="20"/>
          <w:szCs w:val="20"/>
        </w:rPr>
        <w:br/>
        <w:t>What topics are dealt with? How do they deal with the subject matter?</w:t>
      </w:r>
      <w:r w:rsidRPr="002F39EB">
        <w:rPr>
          <w:rFonts w:ascii="CIDFont+F3" w:hAnsi="CIDFont+F3"/>
          <w:color w:val="FF0000"/>
          <w:sz w:val="20"/>
          <w:szCs w:val="20"/>
        </w:rPr>
        <w:br/>
        <w:t xml:space="preserve">Are there ‘thesis statements’ – i.e., a central statement about what the text sets out to investigate or achieve? </w:t>
      </w:r>
    </w:p>
    <w:p w14:paraId="7F92A0E0" w14:textId="11C59F66" w:rsidR="00EC155F" w:rsidRPr="00EC155F" w:rsidRDefault="00EC155F" w:rsidP="00E64DA2">
      <w:pPr>
        <w:pStyle w:val="NormalWeb"/>
        <w:jc w:val="both"/>
        <w:rPr>
          <w:rFonts w:ascii="Century Gothic" w:hAnsi="Century Gothic"/>
          <w:sz w:val="28"/>
          <w:szCs w:val="28"/>
        </w:rPr>
      </w:pPr>
      <w:r w:rsidRPr="00EC155F">
        <w:rPr>
          <w:rFonts w:ascii="Century Gothic" w:hAnsi="Century Gothic"/>
          <w:sz w:val="28"/>
          <w:szCs w:val="28"/>
        </w:rPr>
        <w:t>Astrologies</w:t>
      </w:r>
    </w:p>
    <w:p w14:paraId="0DF334F0" w14:textId="7826E60A" w:rsidR="00EC155F" w:rsidRDefault="00EC155F" w:rsidP="00E64DA2">
      <w:pPr>
        <w:pStyle w:val="NormalWeb"/>
        <w:jc w:val="both"/>
      </w:pPr>
      <w:r>
        <w:t xml:space="preserve">Before we take a comparative view of the two papers, we firstly need to identify the definition of </w:t>
      </w:r>
      <w:r w:rsidR="008116C9">
        <w:t>‘</w:t>
      </w:r>
      <w:r>
        <w:t>astrology</w:t>
      </w:r>
      <w:r w:rsidR="008116C9">
        <w:t>’</w:t>
      </w:r>
      <w:r>
        <w:t xml:space="preserve"> French and Pfeffer refer to.</w:t>
      </w:r>
      <w:r w:rsidR="008116C9">
        <w:t xml:space="preserve"> The term ‘Astrologies’ was </w:t>
      </w:r>
      <w:r w:rsidR="00CA045A">
        <w:t>iconised</w:t>
      </w:r>
      <w:r w:rsidR="008116C9">
        <w:t xml:space="preserve"> by Ni</w:t>
      </w:r>
      <w:r w:rsidR="00CA045A">
        <w:t xml:space="preserve">cholas </w:t>
      </w:r>
      <w:r w:rsidR="00CA045A">
        <w:lastRenderedPageBreak/>
        <w:t>Campion and Liz Greene in 2011, referring to a wide range of practices, traditions and philosophies about astrology that cannot be recognised as a</w:t>
      </w:r>
      <w:r w:rsidR="00531CBC">
        <w:t xml:space="preserve"> single subject</w:t>
      </w:r>
      <w:r w:rsidR="00531CBC">
        <w:rPr>
          <w:rStyle w:val="FootnoteReference"/>
        </w:rPr>
        <w:footnoteReference w:id="2"/>
      </w:r>
      <w:r w:rsidR="00531CBC">
        <w:t xml:space="preserve">. </w:t>
      </w:r>
    </w:p>
    <w:p w14:paraId="062DB0DE" w14:textId="35F802A6" w:rsidR="00E14B5A" w:rsidRDefault="00E14B5A" w:rsidP="00E64DA2">
      <w:pPr>
        <w:pStyle w:val="NormalWeb"/>
        <w:jc w:val="both"/>
      </w:pPr>
      <w:r>
        <w:t xml:space="preserve">Pfeffer takes </w:t>
      </w:r>
      <w:r w:rsidR="00E64DA2">
        <w:t xml:space="preserve">on </w:t>
      </w:r>
      <w:r w:rsidR="00FC13BA">
        <w:t xml:space="preserve">Patrick Curry’s categorisation </w:t>
      </w:r>
      <w:r w:rsidR="00E64DA2">
        <w:t>of</w:t>
      </w:r>
      <w:r w:rsidR="00FC13BA">
        <w:t xml:space="preserve"> astrolog</w:t>
      </w:r>
      <w:r w:rsidR="00E64DA2">
        <w:t>ies</w:t>
      </w:r>
      <w:r>
        <w:rPr>
          <w:rStyle w:val="FootnoteReference"/>
        </w:rPr>
        <w:footnoteReference w:id="3"/>
      </w:r>
      <w:r w:rsidR="00E64DA2">
        <w:t xml:space="preserve">: the higher form which is </w:t>
      </w:r>
      <w:r w:rsidR="00E64DA2">
        <w:t>cosmological and philosophical</w:t>
      </w:r>
      <w:r w:rsidR="00E64DA2">
        <w:t xml:space="preserve">, the middle form that is  </w:t>
      </w:r>
    </w:p>
    <w:p w14:paraId="6AF81482" w14:textId="25609B2C" w:rsidR="00FC13BA" w:rsidRDefault="00FC13BA" w:rsidP="00E64DA2">
      <w:pPr>
        <w:pStyle w:val="NormalWeb"/>
        <w:jc w:val="both"/>
      </w:pPr>
      <w:r>
        <w:t>Pfeffer proposes that</w:t>
      </w:r>
      <w:r w:rsidR="009F4381">
        <w:t xml:space="preserve"> the higher form of astrology which </w:t>
      </w:r>
      <w:r w:rsidR="00EC155F">
        <w:t xml:space="preserve">is cosmological and philosophical disappeared after Newton; </w:t>
      </w:r>
      <w:r w:rsidR="009F4381">
        <w:t xml:space="preserve">judicial astrology declines after Newton. </w:t>
      </w:r>
    </w:p>
    <w:p w14:paraId="425B3057" w14:textId="77777777" w:rsidR="009F4381" w:rsidRDefault="009F4381" w:rsidP="00E64DA2">
      <w:pPr>
        <w:pStyle w:val="NormalWeb"/>
        <w:jc w:val="both"/>
      </w:pPr>
    </w:p>
    <w:p w14:paraId="68B80167" w14:textId="4B5576C2" w:rsidR="009F71DF" w:rsidRPr="0035668A" w:rsidRDefault="009F71DF" w:rsidP="00E64DA2">
      <w:pPr>
        <w:jc w:val="both"/>
        <w:rPr>
          <w:rFonts w:ascii="Century Gothic" w:hAnsi="Century Gothic"/>
          <w:sz w:val="28"/>
          <w:szCs w:val="28"/>
        </w:rPr>
      </w:pPr>
      <w:r w:rsidRPr="0035668A">
        <w:rPr>
          <w:rFonts w:ascii="Century Gothic" w:hAnsi="Century Gothic"/>
          <w:sz w:val="28"/>
          <w:szCs w:val="28"/>
        </w:rPr>
        <w:t>Astrology as a powerful tool</w:t>
      </w:r>
    </w:p>
    <w:p w14:paraId="41D31A21" w14:textId="77777777" w:rsidR="0035668A" w:rsidRDefault="0035668A" w:rsidP="00E64DA2">
      <w:pPr>
        <w:jc w:val="both"/>
      </w:pPr>
    </w:p>
    <w:p w14:paraId="2EEB2483" w14:textId="439A0545" w:rsidR="009F71DF" w:rsidRDefault="00E743C2" w:rsidP="00E64DA2">
      <w:pPr>
        <w:jc w:val="both"/>
      </w:pPr>
      <w:r>
        <w:t>Knowledge is power</w:t>
      </w:r>
      <w:r w:rsidR="009F71DF">
        <w:rPr>
          <w:rStyle w:val="FootnoteReference"/>
        </w:rPr>
        <w:footnoteReference w:id="4"/>
      </w:r>
      <w:r w:rsidR="009F71DF">
        <w:t>.</w:t>
      </w:r>
      <w:r>
        <w:t xml:space="preserve"> And </w:t>
      </w:r>
      <w:r w:rsidR="009F71DF">
        <w:t xml:space="preserve">French believes that the power to predict the future was a </w:t>
      </w:r>
      <w:r>
        <w:t xml:space="preserve">key </w:t>
      </w:r>
      <w:r w:rsidR="009F71DF">
        <w:t>reason to make astrology superior to other subjects, such as gramma or logic. In a</w:t>
      </w:r>
      <w:r>
        <w:t>n</w:t>
      </w:r>
      <w:r w:rsidR="009F71DF">
        <w:t xml:space="preserve"> in-depth analysis of Simon du </w:t>
      </w:r>
      <w:proofErr w:type="spellStart"/>
      <w:r w:rsidR="009F71DF">
        <w:t>Fresne’s</w:t>
      </w:r>
      <w:proofErr w:type="spellEnd"/>
      <w:r w:rsidR="009F71DF">
        <w:t xml:space="preserve"> – Roger of Hereford’s contemporary – twelfth-century poem on learning, French deduced that astrology was a highly regarded subject at the time.   </w:t>
      </w:r>
    </w:p>
    <w:p w14:paraId="0DE47A74" w14:textId="77777777" w:rsidR="009F71DF" w:rsidRDefault="009F71DF" w:rsidP="00E64DA2">
      <w:pPr>
        <w:jc w:val="both"/>
      </w:pPr>
    </w:p>
    <w:p w14:paraId="113A64D9" w14:textId="77777777" w:rsidR="009F71DF" w:rsidRDefault="009F71DF" w:rsidP="00E64DA2">
      <w:pPr>
        <w:jc w:val="both"/>
      </w:pPr>
      <w:r>
        <w:t>Pfeffer suggests that the major attacks of astrology largely focused on the legitimacy of using such knowledge rather than the knowledge itself. Pfeffer gives several examples, from ancient Roman, Italian Renaissance, to seventeenth-century Mexico and England, where the practice of astrology was criminalised due to its danger to cause political unrest</w:t>
      </w:r>
      <w:r>
        <w:rPr>
          <w:rStyle w:val="FootnoteReference"/>
        </w:rPr>
        <w:footnoteReference w:id="5"/>
      </w:r>
      <w:r>
        <w:t xml:space="preserve">. And this trend, as Pfeffer suggested, lasted into the early Modern period. </w:t>
      </w:r>
    </w:p>
    <w:p w14:paraId="083B8EDC" w14:textId="77777777" w:rsidR="009F71DF" w:rsidRDefault="009F71DF" w:rsidP="00E64DA2">
      <w:pPr>
        <w:jc w:val="both"/>
      </w:pPr>
    </w:p>
    <w:p w14:paraId="6FE43FF9" w14:textId="77777777" w:rsidR="009F71DF" w:rsidRDefault="009F71DF" w:rsidP="00E64DA2">
      <w:pPr>
        <w:jc w:val="both"/>
      </w:pPr>
      <w:r>
        <w:t xml:space="preserve">This view is agreed by French, as well as Roger of Hereford whom French was commented on. </w:t>
      </w:r>
    </w:p>
    <w:p w14:paraId="22771A30" w14:textId="77777777" w:rsidR="009F71DF" w:rsidRDefault="009F71DF" w:rsidP="00E64DA2">
      <w:pPr>
        <w:jc w:val="both"/>
      </w:pPr>
    </w:p>
    <w:p w14:paraId="4E34581D" w14:textId="77777777" w:rsidR="009F71DF" w:rsidRDefault="009F71DF" w:rsidP="00E64DA2">
      <w:pPr>
        <w:jc w:val="both"/>
      </w:pPr>
      <w:r>
        <w:t xml:space="preserve">Further than that, French also suggests that astrology was most useful tool for medicine. </w:t>
      </w:r>
    </w:p>
    <w:p w14:paraId="28B9BBEE" w14:textId="77777777" w:rsidR="009F71DF" w:rsidRDefault="009F71DF" w:rsidP="00E64DA2">
      <w:pPr>
        <w:jc w:val="both"/>
      </w:pPr>
    </w:p>
    <w:p w14:paraId="7FAC16E4" w14:textId="12459F40" w:rsidR="009F71DF" w:rsidRDefault="009F71DF" w:rsidP="00E64DA2">
      <w:pPr>
        <w:jc w:val="both"/>
      </w:pPr>
    </w:p>
    <w:p w14:paraId="13FB1539" w14:textId="4CA27222" w:rsidR="009F71DF" w:rsidRPr="0035668A" w:rsidRDefault="0035668A" w:rsidP="00E64DA2">
      <w:pPr>
        <w:jc w:val="both"/>
        <w:rPr>
          <w:rFonts w:ascii="Century Gothic" w:hAnsi="Century Gothic"/>
          <w:sz w:val="28"/>
          <w:szCs w:val="28"/>
        </w:rPr>
      </w:pPr>
      <w:r w:rsidRPr="0035668A">
        <w:rPr>
          <w:rFonts w:ascii="Century Gothic" w:hAnsi="Century Gothic"/>
          <w:sz w:val="28"/>
          <w:szCs w:val="28"/>
        </w:rPr>
        <w:t>At its pinnacle</w:t>
      </w:r>
    </w:p>
    <w:p w14:paraId="0482F179" w14:textId="77777777" w:rsidR="0035668A" w:rsidRDefault="0035668A" w:rsidP="00E64DA2">
      <w:pPr>
        <w:jc w:val="both"/>
      </w:pPr>
    </w:p>
    <w:p w14:paraId="761AC02E" w14:textId="77777777" w:rsidR="009F71DF" w:rsidRDefault="009F71DF" w:rsidP="00E64DA2">
      <w:pPr>
        <w:pStyle w:val="ListParagraph"/>
        <w:numPr>
          <w:ilvl w:val="0"/>
          <w:numId w:val="3"/>
        </w:numPr>
        <w:jc w:val="both"/>
      </w:pPr>
      <w:r w:rsidRPr="0009644C">
        <w:rPr>
          <w:b/>
          <w:bCs/>
        </w:rPr>
        <w:t>Medieval period</w:t>
      </w:r>
      <w:r>
        <w:rPr>
          <w:b/>
          <w:bCs/>
        </w:rPr>
        <w:t xml:space="preserve"> (rise)</w:t>
      </w:r>
      <w:r>
        <w:t xml:space="preserve"> was a pinnacle height of astrology, where a large part of Arabic materials were introduced to expand its knowledge. The import of Arabic materials were motivated by political and military purposes. </w:t>
      </w:r>
    </w:p>
    <w:p w14:paraId="7B4B96E6" w14:textId="77777777" w:rsidR="009F71DF" w:rsidRDefault="009F71DF" w:rsidP="00E64DA2">
      <w:pPr>
        <w:jc w:val="both"/>
      </w:pPr>
    </w:p>
    <w:p w14:paraId="1DE8EEDE" w14:textId="77777777" w:rsidR="009F71DF" w:rsidRDefault="009F71DF" w:rsidP="00E64DA2">
      <w:pPr>
        <w:jc w:val="both"/>
      </w:pPr>
      <w:r>
        <w:t>Following the death of Alexandra the Great, the Greek culture was widely spread among cities in the near East and Arabian peninsula. With the expansion of Arabic empire in the East and the building of infrastructure, Astrology and its subdiscipline astronomy, was one of the first group of books translated into Arabic, along with laws and treaties, due to its practical use for military advancement</w:t>
      </w:r>
      <w:r>
        <w:rPr>
          <w:rStyle w:val="FootnoteReference"/>
        </w:rPr>
        <w:footnoteReference w:id="6"/>
      </w:r>
      <w:r>
        <w:t>. After four centuries of scholarship, the knowledge was largely extended and developed. And therefore, in the Twelfth century, when the knowledge was re-introduced back to Europe, it sees a medieval Renaissance, a period of flourish of art, literature, science and philosophical ideas</w:t>
      </w:r>
      <w:r>
        <w:rPr>
          <w:rStyle w:val="FootnoteReference"/>
        </w:rPr>
        <w:footnoteReference w:id="7"/>
      </w:r>
      <w:r>
        <w:t xml:space="preserve">. </w:t>
      </w:r>
    </w:p>
    <w:p w14:paraId="0C207120" w14:textId="204AB08A" w:rsidR="009F71DF" w:rsidRDefault="009F71DF" w:rsidP="00E64DA2">
      <w:pPr>
        <w:jc w:val="both"/>
      </w:pPr>
    </w:p>
    <w:p w14:paraId="6C635979" w14:textId="0A3F085C" w:rsidR="00FB3407" w:rsidRDefault="001A1AD3" w:rsidP="00E64DA2">
      <w:pPr>
        <w:jc w:val="both"/>
      </w:pPr>
      <w:r>
        <w:t xml:space="preserve">Little was known about Roger’s life. And by examining </w:t>
      </w:r>
      <w:r w:rsidR="006442F8">
        <w:t>letters, manuscript</w:t>
      </w:r>
      <w:r w:rsidR="008759AA">
        <w:t>s</w:t>
      </w:r>
      <w:r w:rsidR="006442F8">
        <w:t xml:space="preserve"> and literary works </w:t>
      </w:r>
      <w:r>
        <w:t xml:space="preserve">of Roger’s </w:t>
      </w:r>
      <w:r w:rsidR="008759AA">
        <w:t xml:space="preserve">own writing, as well as his </w:t>
      </w:r>
      <w:r>
        <w:t>contemporary</w:t>
      </w:r>
      <w:r w:rsidR="008759AA">
        <w:t>’s</w:t>
      </w:r>
      <w:r>
        <w:t>, French speculated</w:t>
      </w:r>
      <w:r w:rsidR="006442F8">
        <w:t xml:space="preserve"> Roger’s life as a prestigious learned man. He then </w:t>
      </w:r>
      <w:r w:rsidR="00B416B9">
        <w:t xml:space="preserve">summarises four key factors </w:t>
      </w:r>
      <w:r w:rsidR="00710CA4">
        <w:t>behind</w:t>
      </w:r>
      <w:r w:rsidR="00DA0747">
        <w:t xml:space="preserve"> </w:t>
      </w:r>
      <w:r w:rsidR="00710CA4">
        <w:t>Roger’s</w:t>
      </w:r>
      <w:r w:rsidR="00DA0747">
        <w:t xml:space="preserve"> success </w:t>
      </w:r>
      <w:r w:rsidR="00710CA4">
        <w:t>in spreading the knowledge of astrology</w:t>
      </w:r>
      <w:r w:rsidR="00B416B9">
        <w:t>:</w:t>
      </w:r>
    </w:p>
    <w:p w14:paraId="58903CD6" w14:textId="55C3DF72" w:rsidR="00B416B9" w:rsidRDefault="001A1AD3" w:rsidP="00E64DA2">
      <w:pPr>
        <w:pStyle w:val="ListParagraph"/>
        <w:numPr>
          <w:ilvl w:val="0"/>
          <w:numId w:val="4"/>
        </w:numPr>
        <w:jc w:val="both"/>
      </w:pPr>
      <w:r>
        <w:t>Roger</w:t>
      </w:r>
      <w:r w:rsidR="003447D1">
        <w:t>’s education</w:t>
      </w:r>
      <w:r>
        <w:t>;</w:t>
      </w:r>
    </w:p>
    <w:p w14:paraId="549773FA" w14:textId="5A4DAE84" w:rsidR="001A1AD3" w:rsidRDefault="00DA0747" w:rsidP="00E64DA2">
      <w:pPr>
        <w:pStyle w:val="ListParagraph"/>
        <w:numPr>
          <w:ilvl w:val="0"/>
          <w:numId w:val="4"/>
        </w:numPr>
        <w:jc w:val="both"/>
      </w:pPr>
      <w:r>
        <w:t>Patronage and influential social circle</w:t>
      </w:r>
      <w:r w:rsidR="001A1AD3">
        <w:t>;</w:t>
      </w:r>
    </w:p>
    <w:p w14:paraId="3E8F003E" w14:textId="18A7C8EC" w:rsidR="001A1AD3" w:rsidRDefault="001A1AD3" w:rsidP="00E64DA2">
      <w:pPr>
        <w:pStyle w:val="ListParagraph"/>
        <w:numPr>
          <w:ilvl w:val="0"/>
          <w:numId w:val="4"/>
        </w:numPr>
        <w:jc w:val="both"/>
      </w:pPr>
      <w:r>
        <w:t>Astrology as a highly regarded subject</w:t>
      </w:r>
      <w:r w:rsidR="006442F8">
        <w:t>;</w:t>
      </w:r>
    </w:p>
    <w:p w14:paraId="77D3C57F" w14:textId="70742A59" w:rsidR="006442F8" w:rsidRDefault="006442F8" w:rsidP="00E64DA2">
      <w:pPr>
        <w:pStyle w:val="ListParagraph"/>
        <w:numPr>
          <w:ilvl w:val="0"/>
          <w:numId w:val="4"/>
        </w:numPr>
        <w:jc w:val="both"/>
      </w:pPr>
      <w:r>
        <w:t>Geographical significance of Hereford school</w:t>
      </w:r>
      <w:r w:rsidR="00DA0747">
        <w:t xml:space="preserve"> and the access to foreign knowledge and thoughts</w:t>
      </w:r>
      <w:r>
        <w:t>.</w:t>
      </w:r>
    </w:p>
    <w:p w14:paraId="7572598A" w14:textId="26C90B7F" w:rsidR="00422C41" w:rsidRDefault="00422C41" w:rsidP="00E64DA2">
      <w:pPr>
        <w:jc w:val="both"/>
        <w:rPr>
          <w:rFonts w:asciiTheme="majorHAnsi" w:hAnsiTheme="majorHAnsi" w:cstheme="majorHAnsi"/>
        </w:rPr>
      </w:pPr>
    </w:p>
    <w:p w14:paraId="68653987" w14:textId="77777777" w:rsidR="00022C24" w:rsidRPr="00422C41" w:rsidRDefault="00022C24" w:rsidP="00E64DA2">
      <w:pPr>
        <w:jc w:val="both"/>
        <w:rPr>
          <w:rFonts w:asciiTheme="majorHAnsi" w:hAnsiTheme="majorHAnsi" w:cstheme="majorHAnsi"/>
        </w:rPr>
      </w:pPr>
    </w:p>
    <w:p w14:paraId="005BE3EC" w14:textId="77777777" w:rsidR="00422C41" w:rsidRDefault="00422C41" w:rsidP="00E64DA2">
      <w:pPr>
        <w:jc w:val="both"/>
        <w:rPr>
          <w:rFonts w:ascii="Century Gothic" w:hAnsi="Century Gothic"/>
          <w:sz w:val="28"/>
          <w:szCs w:val="28"/>
        </w:rPr>
      </w:pPr>
    </w:p>
    <w:p w14:paraId="007C09A1" w14:textId="1CC270A8" w:rsidR="00DC3FB3" w:rsidRDefault="0035668A" w:rsidP="00E64DA2">
      <w:pPr>
        <w:jc w:val="both"/>
        <w:rPr>
          <w:rFonts w:ascii="Century Gothic" w:hAnsi="Century Gothic"/>
          <w:sz w:val="28"/>
          <w:szCs w:val="28"/>
        </w:rPr>
      </w:pPr>
      <w:r w:rsidRPr="0035668A">
        <w:rPr>
          <w:rFonts w:ascii="Century Gothic" w:hAnsi="Century Gothic"/>
          <w:sz w:val="28"/>
          <w:szCs w:val="28"/>
        </w:rPr>
        <w:t xml:space="preserve">The </w:t>
      </w:r>
      <w:r w:rsidR="00422C41">
        <w:rPr>
          <w:rFonts w:ascii="Century Gothic" w:hAnsi="Century Gothic"/>
          <w:sz w:val="28"/>
          <w:szCs w:val="28"/>
        </w:rPr>
        <w:t>d</w:t>
      </w:r>
      <w:r w:rsidRPr="0035668A">
        <w:rPr>
          <w:rFonts w:ascii="Century Gothic" w:hAnsi="Century Gothic"/>
          <w:sz w:val="28"/>
          <w:szCs w:val="28"/>
        </w:rPr>
        <w:t>ecline</w:t>
      </w:r>
      <w:r w:rsidR="00A85A20">
        <w:rPr>
          <w:rFonts w:ascii="Century Gothic" w:hAnsi="Century Gothic"/>
          <w:sz w:val="28"/>
          <w:szCs w:val="28"/>
        </w:rPr>
        <w:t xml:space="preserve">: a rapid or </w:t>
      </w:r>
      <w:r w:rsidR="008817E6">
        <w:rPr>
          <w:rFonts w:ascii="Century Gothic" w:hAnsi="Century Gothic"/>
          <w:sz w:val="28"/>
          <w:szCs w:val="28"/>
        </w:rPr>
        <w:t>gradual</w:t>
      </w:r>
      <w:r w:rsidR="00A85A20">
        <w:rPr>
          <w:rFonts w:ascii="Century Gothic" w:hAnsi="Century Gothic"/>
          <w:sz w:val="28"/>
          <w:szCs w:val="28"/>
        </w:rPr>
        <w:t xml:space="preserve"> process</w:t>
      </w:r>
    </w:p>
    <w:p w14:paraId="66CE4A79" w14:textId="5284EC6D" w:rsidR="00A85A20" w:rsidRPr="0035668A" w:rsidRDefault="00A85A20" w:rsidP="00E64DA2">
      <w:pPr>
        <w:jc w:val="both"/>
        <w:rPr>
          <w:rFonts w:ascii="Century Gothic" w:hAnsi="Century Gothic"/>
          <w:sz w:val="28"/>
          <w:szCs w:val="28"/>
        </w:rPr>
      </w:pPr>
    </w:p>
    <w:p w14:paraId="51792FA0" w14:textId="276D571E" w:rsidR="009F71DF" w:rsidRDefault="009F71DF" w:rsidP="00E64DA2">
      <w:pPr>
        <w:pStyle w:val="ListParagraph"/>
        <w:numPr>
          <w:ilvl w:val="0"/>
          <w:numId w:val="3"/>
        </w:numPr>
        <w:jc w:val="both"/>
      </w:pPr>
      <w:r>
        <w:t xml:space="preserve">Astrology’s </w:t>
      </w:r>
      <w:r w:rsidRPr="0009644C">
        <w:rPr>
          <w:b/>
          <w:bCs/>
        </w:rPr>
        <w:t>rapid decline</w:t>
      </w:r>
      <w:r>
        <w:t xml:space="preserve"> in eighteenth-century is due to Humanism. And an important part of Humanism is to remove Arabic &amp; medieval influences. The humanism itself is also a result of social political agenda, esp. industrialisation. </w:t>
      </w:r>
    </w:p>
    <w:p w14:paraId="54CCB1A1" w14:textId="0AA7BACA" w:rsidR="0035668A" w:rsidRDefault="0035668A" w:rsidP="00E64DA2">
      <w:pPr>
        <w:jc w:val="both"/>
      </w:pPr>
      <w:r>
        <w:t xml:space="preserve">Pfeffer: the decline only happens to hight and middling astrology, not the popular astrology. </w:t>
      </w:r>
    </w:p>
    <w:p w14:paraId="12F97DE5" w14:textId="2DDBA43A" w:rsidR="009F71DF" w:rsidRDefault="00FB3407" w:rsidP="00E64DA2">
      <w:pPr>
        <w:jc w:val="both"/>
      </w:pPr>
      <w:r>
        <w:t>Pfeffer criticises the social-political approach of analysing this historical problem, and instead offers an intellectual one</w:t>
      </w:r>
      <w:r w:rsidR="00E04D71">
        <w:t>.</w:t>
      </w:r>
    </w:p>
    <w:p w14:paraId="5E381910" w14:textId="29266C68" w:rsidR="00E04D71" w:rsidRDefault="00E04D71" w:rsidP="00E64DA2">
      <w:pPr>
        <w:jc w:val="both"/>
      </w:pPr>
    </w:p>
    <w:p w14:paraId="42199358" w14:textId="6AB38D3F" w:rsidR="00E04D71" w:rsidRDefault="00A85A20" w:rsidP="00E64DA2">
      <w:pPr>
        <w:jc w:val="both"/>
      </w:pPr>
      <w:r>
        <w:t xml:space="preserve">The two papers offer a different views on the </w:t>
      </w:r>
      <w:r w:rsidR="00A45B87">
        <w:t xml:space="preserve">timeline of </w:t>
      </w:r>
      <w:r>
        <w:t>astrology</w:t>
      </w:r>
      <w:r w:rsidR="00A45B87">
        <w:t>’s</w:t>
      </w:r>
      <w:r>
        <w:t xml:space="preserve"> declin</w:t>
      </w:r>
      <w:r w:rsidR="00A45B87">
        <w:t>e</w:t>
      </w:r>
      <w:r>
        <w:t xml:space="preserve">. For Pfeffer, the process was a rapid one, and marks the </w:t>
      </w:r>
      <w:r w:rsidR="00A45B87">
        <w:t>transition from</w:t>
      </w:r>
      <w:r>
        <w:t xml:space="preserve"> pre-Modern </w:t>
      </w:r>
      <w:r w:rsidR="00A45B87">
        <w:t>to</w:t>
      </w:r>
      <w:r>
        <w:t xml:space="preserve"> Modern era.</w:t>
      </w:r>
      <w:r w:rsidR="00A45B87">
        <w:t xml:space="preserve"> While for French,</w:t>
      </w:r>
      <w:r w:rsidR="000F2DF4">
        <w:t xml:space="preserve"> the starting point traces back to the institutionalisation</w:t>
      </w:r>
      <w:r w:rsidR="00E83ACE">
        <w:t xml:space="preserve"> and </w:t>
      </w:r>
      <w:proofErr w:type="spellStart"/>
      <w:r w:rsidR="00E83ACE">
        <w:t>Aristotelisation</w:t>
      </w:r>
      <w:proofErr w:type="spellEnd"/>
      <w:r w:rsidR="000F2DF4">
        <w:t xml:space="preserve"> of medicine teaching in the </w:t>
      </w:r>
      <w:r w:rsidR="00E83ACE">
        <w:t>thirteenth</w:t>
      </w:r>
      <w:r w:rsidR="000F2DF4">
        <w:t xml:space="preserve"> century.</w:t>
      </w:r>
    </w:p>
    <w:p w14:paraId="6D8D13F7" w14:textId="00F5C01B" w:rsidR="00E83ACE" w:rsidRDefault="00E83ACE" w:rsidP="00E64DA2">
      <w:pPr>
        <w:jc w:val="both"/>
      </w:pPr>
    </w:p>
    <w:p w14:paraId="447A16BD" w14:textId="7ABB6C8B" w:rsidR="00DC3FB3" w:rsidRDefault="00F979DE" w:rsidP="00E64DA2">
      <w:pPr>
        <w:jc w:val="both"/>
      </w:pPr>
      <w:r>
        <w:lastRenderedPageBreak/>
        <w:t>Pfeffer</w:t>
      </w:r>
      <w:r w:rsidR="00DC3FB3">
        <w:t xml:space="preserve"> summarises the sociopolitical and religious factors that contributes to the decline of astrology are:</w:t>
      </w:r>
    </w:p>
    <w:p w14:paraId="03400E88" w14:textId="3D7B4427" w:rsidR="00DC3FB3" w:rsidRDefault="00DC3FB3" w:rsidP="00E64DA2">
      <w:pPr>
        <w:pStyle w:val="ListParagraph"/>
        <w:numPr>
          <w:ilvl w:val="0"/>
          <w:numId w:val="5"/>
        </w:numPr>
        <w:jc w:val="both"/>
      </w:pPr>
      <w:r>
        <w:t>The subversive nature of predictions</w:t>
      </w:r>
    </w:p>
    <w:p w14:paraId="3CF2621C" w14:textId="2D641E34" w:rsidR="00DC3FB3" w:rsidRDefault="00DC3FB3" w:rsidP="00E64DA2">
      <w:pPr>
        <w:pStyle w:val="ListParagraph"/>
        <w:numPr>
          <w:ilvl w:val="0"/>
          <w:numId w:val="5"/>
        </w:numPr>
        <w:jc w:val="both"/>
      </w:pPr>
      <w:r>
        <w:t>The removal of astrology from universities</w:t>
      </w:r>
    </w:p>
    <w:p w14:paraId="74E77539" w14:textId="3B6DDAF4" w:rsidR="00DC3FB3" w:rsidRDefault="00432F9D" w:rsidP="00E64DA2">
      <w:pPr>
        <w:pStyle w:val="ListParagraph"/>
        <w:numPr>
          <w:ilvl w:val="0"/>
          <w:numId w:val="5"/>
        </w:numPr>
        <w:jc w:val="both"/>
      </w:pPr>
      <w:r>
        <w:t xml:space="preserve">Self-censorship of astrologers due to </w:t>
      </w:r>
    </w:p>
    <w:p w14:paraId="213459ED" w14:textId="00758A93" w:rsidR="00DC3FB3" w:rsidRDefault="00DC3FB3" w:rsidP="00E64DA2">
      <w:pPr>
        <w:jc w:val="both"/>
      </w:pPr>
    </w:p>
    <w:p w14:paraId="3851EB44" w14:textId="02D39559" w:rsidR="00432F9D" w:rsidRDefault="00432F9D" w:rsidP="00E64DA2">
      <w:pPr>
        <w:jc w:val="both"/>
      </w:pPr>
      <w:r>
        <w:t xml:space="preserve">However, Pfeffer’s evidences are contradictory. She concludes that Reformation and Counter-Reformation </w:t>
      </w:r>
      <w:r w:rsidR="00840D4B">
        <w:t xml:space="preserve">led to the end of astrology practices among Christians, but also recognises that the self-censorship of the astrologers already began in medieval period. </w:t>
      </w:r>
    </w:p>
    <w:p w14:paraId="690D19C3" w14:textId="77777777" w:rsidR="00F979DE" w:rsidRDefault="00F979DE" w:rsidP="00E64DA2">
      <w:pPr>
        <w:jc w:val="both"/>
      </w:pPr>
    </w:p>
    <w:p w14:paraId="6DAEB280" w14:textId="6A68990C" w:rsidR="00F43B17" w:rsidRDefault="00F43B17" w:rsidP="00E64DA2">
      <w:pPr>
        <w:jc w:val="both"/>
        <w:rPr>
          <w:rFonts w:ascii="Century Gothic" w:hAnsi="Century Gothic"/>
          <w:sz w:val="28"/>
          <w:szCs w:val="28"/>
        </w:rPr>
      </w:pPr>
      <w:r>
        <w:rPr>
          <w:rFonts w:ascii="Century Gothic" w:hAnsi="Century Gothic"/>
          <w:sz w:val="28"/>
          <w:szCs w:val="28"/>
        </w:rPr>
        <w:t>The Arabic part</w:t>
      </w:r>
    </w:p>
    <w:p w14:paraId="1E72883B" w14:textId="77777777" w:rsidR="00D04C53" w:rsidRDefault="00F43B17" w:rsidP="00E64DA2">
      <w:pPr>
        <w:pStyle w:val="NormalWeb"/>
        <w:jc w:val="both"/>
        <w:rPr>
          <w:rFonts w:asciiTheme="minorHAnsi" w:hAnsiTheme="minorHAnsi" w:cstheme="minorHAnsi"/>
          <w:color w:val="000000" w:themeColor="text1"/>
        </w:rPr>
      </w:pPr>
      <w:r>
        <w:rPr>
          <w:rFonts w:asciiTheme="minorHAnsi" w:hAnsiTheme="minorHAnsi" w:cstheme="minorHAnsi"/>
          <w:color w:val="000000" w:themeColor="text1"/>
        </w:rPr>
        <w:t>French proposes that the pursuit of any knowledge has always been motivated by political agenda</w:t>
      </w:r>
      <w:r w:rsidR="00D04C53">
        <w:rPr>
          <w:rFonts w:asciiTheme="minorHAnsi" w:hAnsiTheme="minorHAnsi" w:cstheme="minorHAnsi"/>
          <w:color w:val="000000" w:themeColor="text1"/>
        </w:rPr>
        <w:t>, rather than intellectual curiosities</w:t>
      </w:r>
      <w:r>
        <w:rPr>
          <w:rFonts w:asciiTheme="minorHAnsi" w:hAnsiTheme="minorHAnsi" w:cstheme="minorHAnsi"/>
          <w:color w:val="000000" w:themeColor="text1"/>
        </w:rPr>
        <w:t xml:space="preserve">. In the case of astrology, </w:t>
      </w:r>
      <w:r w:rsidR="00D04C53">
        <w:rPr>
          <w:rFonts w:asciiTheme="minorHAnsi" w:hAnsiTheme="minorHAnsi" w:cstheme="minorHAnsi"/>
          <w:color w:val="000000" w:themeColor="text1"/>
        </w:rPr>
        <w:t xml:space="preserve">it was to understand the military and technological advancement of the enemy, i.e. the Arabic empire. </w:t>
      </w:r>
    </w:p>
    <w:p w14:paraId="5394018A" w14:textId="2AE114B4" w:rsidR="009F71DF" w:rsidRDefault="00F43B17" w:rsidP="00E64DA2">
      <w:pPr>
        <w:pStyle w:val="NormalWeb"/>
        <w:jc w:val="both"/>
        <w:rPr>
          <w:rFonts w:asciiTheme="minorHAnsi" w:hAnsiTheme="minorHAnsi" w:cstheme="minorHAnsi"/>
          <w:color w:val="000000" w:themeColor="text1"/>
        </w:rPr>
      </w:pPr>
      <w:r>
        <w:rPr>
          <w:rFonts w:asciiTheme="minorHAnsi" w:hAnsiTheme="minorHAnsi" w:cstheme="minorHAnsi"/>
          <w:color w:val="000000" w:themeColor="text1"/>
        </w:rPr>
        <w:t>By following this logic, the marginalisation of a certain knowledge</w:t>
      </w:r>
      <w:r w:rsidR="00D04C53">
        <w:rPr>
          <w:rFonts w:asciiTheme="minorHAnsi" w:hAnsiTheme="minorHAnsi" w:cstheme="minorHAnsi"/>
          <w:color w:val="000000" w:themeColor="text1"/>
        </w:rPr>
        <w:t xml:space="preserve"> </w:t>
      </w:r>
      <w:r>
        <w:rPr>
          <w:rFonts w:asciiTheme="minorHAnsi" w:hAnsiTheme="minorHAnsi" w:cstheme="minorHAnsi"/>
          <w:color w:val="000000" w:themeColor="text1"/>
        </w:rPr>
        <w:t xml:space="preserve">also fits the agenda. </w:t>
      </w:r>
    </w:p>
    <w:p w14:paraId="17E40BFE" w14:textId="77777777" w:rsidR="00D04C53" w:rsidRPr="00F43B17" w:rsidRDefault="00D04C53" w:rsidP="00E64DA2">
      <w:pPr>
        <w:pStyle w:val="NormalWeb"/>
        <w:jc w:val="both"/>
        <w:rPr>
          <w:rFonts w:asciiTheme="minorHAnsi" w:hAnsiTheme="minorHAnsi" w:cstheme="minorHAnsi"/>
          <w:color w:val="000000" w:themeColor="text1"/>
        </w:rPr>
      </w:pPr>
    </w:p>
    <w:p w14:paraId="5453DA20" w14:textId="7BAD6BFB" w:rsidR="000F4C7B" w:rsidRPr="007A54EF" w:rsidRDefault="000F4C7B" w:rsidP="00E64DA2">
      <w:pPr>
        <w:pStyle w:val="NormalWeb"/>
        <w:jc w:val="both"/>
        <w:rPr>
          <w:rFonts w:ascii="Century Gothic" w:hAnsi="Century Gothic"/>
          <w:b/>
          <w:bCs/>
          <w:color w:val="000000" w:themeColor="text1"/>
          <w:sz w:val="28"/>
          <w:szCs w:val="28"/>
        </w:rPr>
      </w:pPr>
      <w:r w:rsidRPr="007A54EF">
        <w:rPr>
          <w:rFonts w:ascii="Century Gothic" w:hAnsi="Century Gothic"/>
          <w:b/>
          <w:bCs/>
          <w:color w:val="000000" w:themeColor="text1"/>
          <w:sz w:val="28"/>
          <w:szCs w:val="28"/>
        </w:rPr>
        <w:t xml:space="preserve">4. </w:t>
      </w:r>
      <w:r w:rsidR="009F71DF" w:rsidRPr="007A54EF">
        <w:rPr>
          <w:rFonts w:ascii="Century Gothic" w:hAnsi="Century Gothic"/>
          <w:b/>
          <w:bCs/>
          <w:color w:val="000000" w:themeColor="text1"/>
          <w:sz w:val="28"/>
          <w:szCs w:val="28"/>
        </w:rPr>
        <w:t>Method</w:t>
      </w:r>
      <w:r w:rsidR="00C971D9">
        <w:rPr>
          <w:rFonts w:ascii="Century Gothic" w:hAnsi="Century Gothic"/>
          <w:b/>
          <w:bCs/>
          <w:color w:val="000000" w:themeColor="text1"/>
          <w:sz w:val="28"/>
          <w:szCs w:val="28"/>
        </w:rPr>
        <w:t xml:space="preserve"> (600)</w:t>
      </w:r>
    </w:p>
    <w:p w14:paraId="38C4F931" w14:textId="77777777" w:rsidR="007A54EF" w:rsidRDefault="007A54EF" w:rsidP="00E64DA2">
      <w:pPr>
        <w:pStyle w:val="NormalWeb"/>
        <w:jc w:val="both"/>
        <w:rPr>
          <w:rFonts w:ascii="CIDFont+F1" w:hAnsi="CIDFont+F1"/>
          <w:sz w:val="22"/>
          <w:szCs w:val="22"/>
        </w:rPr>
      </w:pPr>
    </w:p>
    <w:p w14:paraId="03D8EEB3" w14:textId="10A583FB" w:rsidR="000F4C7B" w:rsidRPr="00F80CAC" w:rsidRDefault="000F4C7B" w:rsidP="00E64DA2">
      <w:pPr>
        <w:pStyle w:val="NormalWeb"/>
        <w:jc w:val="both"/>
        <w:rPr>
          <w:color w:val="FF0000"/>
        </w:rPr>
      </w:pPr>
      <w:r w:rsidRPr="00F80CAC">
        <w:rPr>
          <w:rFonts w:ascii="CIDFont+F1" w:hAnsi="CIDFont+F1"/>
          <w:color w:val="FF0000"/>
          <w:sz w:val="22"/>
          <w:szCs w:val="22"/>
        </w:rPr>
        <w:t xml:space="preserve">comparing the papers, discussing the differences and similarities between them in their approaches and conclusions. </w:t>
      </w:r>
    </w:p>
    <w:p w14:paraId="2BF9AB7D" w14:textId="77777777" w:rsidR="000F4C7B" w:rsidRPr="00F80CAC" w:rsidRDefault="000F4C7B" w:rsidP="00E64DA2">
      <w:pPr>
        <w:spacing w:before="100" w:beforeAutospacing="1" w:after="100" w:afterAutospacing="1"/>
        <w:jc w:val="both"/>
        <w:rPr>
          <w:rFonts w:ascii="Times New Roman" w:eastAsia="Times New Roman" w:hAnsi="Times New Roman" w:cs="Times New Roman"/>
          <w:color w:val="FF0000"/>
        </w:rPr>
      </w:pPr>
      <w:r w:rsidRPr="00F80CAC">
        <w:rPr>
          <w:rFonts w:ascii="CIDFont+F3" w:eastAsia="Times New Roman" w:hAnsi="CIDFont+F3" w:cs="Times New Roman"/>
          <w:color w:val="FF0000"/>
          <w:sz w:val="20"/>
          <w:szCs w:val="20"/>
        </w:rPr>
        <w:t xml:space="preserve">examining the authors’ arguments and use of sources. This includes: </w:t>
      </w:r>
    </w:p>
    <w:p w14:paraId="2434ABA2" w14:textId="77777777" w:rsidR="000F4C7B" w:rsidRPr="007A54EF" w:rsidRDefault="000F4C7B" w:rsidP="00E64DA2">
      <w:pPr>
        <w:numPr>
          <w:ilvl w:val="0"/>
          <w:numId w:val="1"/>
        </w:numPr>
        <w:spacing w:before="100" w:beforeAutospacing="1" w:after="100" w:afterAutospacing="1"/>
        <w:jc w:val="both"/>
        <w:rPr>
          <w:rFonts w:ascii="Times New Roman" w:eastAsia="Times New Roman" w:hAnsi="Times New Roman" w:cs="Times New Roman"/>
          <w:color w:val="FF0000"/>
        </w:rPr>
      </w:pPr>
      <w:r w:rsidRPr="000F4C7B">
        <w:rPr>
          <w:rFonts w:ascii="CIDFont+F4" w:eastAsia="Times New Roman" w:hAnsi="CIDFont+F4" w:cs="Times New Roman"/>
          <w:sz w:val="20"/>
          <w:szCs w:val="20"/>
        </w:rPr>
        <w:sym w:font="Symbol" w:char="F0B7"/>
      </w:r>
      <w:r w:rsidRPr="000F4C7B">
        <w:rPr>
          <w:rFonts w:ascii="CIDFont+F4" w:eastAsia="Times New Roman" w:hAnsi="CIDFont+F4" w:cs="Times New Roman"/>
          <w:sz w:val="20"/>
          <w:szCs w:val="20"/>
        </w:rPr>
        <w:t xml:space="preserve">  </w:t>
      </w:r>
      <w:r w:rsidRPr="007A54EF">
        <w:rPr>
          <w:rFonts w:ascii="CIDFont+F3" w:eastAsia="Times New Roman" w:hAnsi="CIDFont+F3" w:cs="Times New Roman"/>
          <w:color w:val="FF0000"/>
          <w:sz w:val="20"/>
          <w:szCs w:val="20"/>
        </w:rPr>
        <w:t xml:space="preserve">Evaluate the texts’ writing styles. How well-written are they? Are they easy to follow? Does the prose flow? Are there any examples of technical jargon or difficult language that you struggled with? Are they clearly and logically structured? Or are they rhetorical and argumentative? Is there evidence of bias? </w:t>
      </w:r>
    </w:p>
    <w:p w14:paraId="13A93BCC" w14:textId="77777777" w:rsidR="000F4C7B" w:rsidRPr="007A54EF" w:rsidRDefault="000F4C7B" w:rsidP="00E64DA2">
      <w:pPr>
        <w:numPr>
          <w:ilvl w:val="0"/>
          <w:numId w:val="1"/>
        </w:numPr>
        <w:spacing w:before="100" w:beforeAutospacing="1" w:after="100" w:afterAutospacing="1"/>
        <w:jc w:val="both"/>
        <w:rPr>
          <w:rFonts w:ascii="Times New Roman" w:eastAsia="Times New Roman" w:hAnsi="Times New Roman" w:cs="Times New Roman"/>
          <w:color w:val="FF0000"/>
        </w:rPr>
      </w:pPr>
      <w:r w:rsidRPr="007A54EF">
        <w:rPr>
          <w:rFonts w:ascii="CIDFont+F4" w:eastAsia="Times New Roman" w:hAnsi="CIDFont+F4" w:cs="Times New Roman"/>
          <w:color w:val="FF0000"/>
          <w:sz w:val="20"/>
          <w:szCs w:val="20"/>
        </w:rPr>
        <w:sym w:font="Symbol" w:char="F0B7"/>
      </w:r>
      <w:r w:rsidRPr="007A54EF">
        <w:rPr>
          <w:rFonts w:ascii="CIDFont+F4" w:eastAsia="Times New Roman" w:hAnsi="CIDFont+F4" w:cs="Times New Roman"/>
          <w:color w:val="FF0000"/>
          <w:sz w:val="20"/>
          <w:szCs w:val="20"/>
        </w:rPr>
        <w:t xml:space="preserve">  </w:t>
      </w:r>
      <w:r w:rsidRPr="007A54EF">
        <w:rPr>
          <w:rFonts w:ascii="CIDFont+F3" w:eastAsia="Times New Roman" w:hAnsi="CIDFont+F3" w:cs="Times New Roman"/>
          <w:color w:val="FF0000"/>
          <w:sz w:val="20"/>
          <w:szCs w:val="20"/>
        </w:rPr>
        <w:t xml:space="preserve">Consider the texts’ theoretical and/or methodological approaches. How do they deal with fundamental concepts? Do they have an underlying philosophy? Does the methodology or philosophy influence the way that information is presented or dealt with? </w:t>
      </w:r>
    </w:p>
    <w:p w14:paraId="5E67C1B2" w14:textId="7798B1CD" w:rsidR="000F4C7B" w:rsidRPr="007A54EF" w:rsidRDefault="000F4C7B" w:rsidP="00E64DA2">
      <w:pPr>
        <w:numPr>
          <w:ilvl w:val="0"/>
          <w:numId w:val="1"/>
        </w:numPr>
        <w:spacing w:before="100" w:beforeAutospacing="1" w:after="100" w:afterAutospacing="1"/>
        <w:jc w:val="both"/>
        <w:rPr>
          <w:rFonts w:ascii="Times New Roman" w:eastAsia="Times New Roman" w:hAnsi="Times New Roman" w:cs="Times New Roman"/>
          <w:color w:val="FF0000"/>
        </w:rPr>
      </w:pPr>
      <w:r w:rsidRPr="007A54EF">
        <w:rPr>
          <w:rFonts w:ascii="CIDFont+F4" w:eastAsia="Times New Roman" w:hAnsi="CIDFont+F4" w:cs="Times New Roman"/>
          <w:color w:val="FF0000"/>
          <w:sz w:val="20"/>
          <w:szCs w:val="20"/>
        </w:rPr>
        <w:sym w:font="Symbol" w:char="F0B7"/>
      </w:r>
      <w:r w:rsidRPr="007A54EF">
        <w:rPr>
          <w:rFonts w:ascii="CIDFont+F4" w:eastAsia="Times New Roman" w:hAnsi="CIDFont+F4" w:cs="Times New Roman"/>
          <w:color w:val="FF0000"/>
          <w:sz w:val="20"/>
          <w:szCs w:val="20"/>
        </w:rPr>
        <w:t xml:space="preserve">  </w:t>
      </w:r>
      <w:r w:rsidRPr="007A54EF">
        <w:rPr>
          <w:rFonts w:ascii="CIDFont+F3" w:eastAsia="Times New Roman" w:hAnsi="CIDFont+F3" w:cs="Times New Roman"/>
          <w:color w:val="FF0000"/>
          <w:sz w:val="20"/>
          <w:szCs w:val="20"/>
        </w:rPr>
        <w:t xml:space="preserve">Discuss the types of primary sources the texts have used. What types of archival materials did the authors consult? Where did the authors access the sources? How are primary sources used in the article? What kinds of sources have been used? Are the arguments and evidence well- presented and well-referenced? Do the arguments rely on good evidence – or not? </w:t>
      </w:r>
    </w:p>
    <w:p w14:paraId="19D67F44" w14:textId="216EC0A9" w:rsidR="00710CA4" w:rsidRDefault="007A54EF" w:rsidP="00E64DA2">
      <w:pPr>
        <w:spacing w:before="100" w:beforeAutospacing="1" w:after="100" w:afterAutospacing="1"/>
        <w:jc w:val="both"/>
        <w:rPr>
          <w:rFonts w:ascii="CIDFont+F3" w:eastAsia="Times New Roman" w:hAnsi="CIDFont+F3" w:cs="Times New Roman"/>
          <w:color w:val="000000" w:themeColor="text1"/>
          <w:sz w:val="20"/>
          <w:szCs w:val="20"/>
        </w:rPr>
      </w:pPr>
      <w:r>
        <w:rPr>
          <w:rFonts w:ascii="CIDFont+F3" w:eastAsia="Times New Roman" w:hAnsi="CIDFont+F3" w:cs="Times New Roman"/>
          <w:color w:val="000000" w:themeColor="text1"/>
          <w:sz w:val="20"/>
          <w:szCs w:val="20"/>
        </w:rPr>
        <w:t xml:space="preserve">Pfeffer sees the marginalisation of astrology as a global issue, </w:t>
      </w:r>
      <w:r w:rsidR="0059336D">
        <w:rPr>
          <w:rFonts w:ascii="CIDFont+F3" w:eastAsia="Times New Roman" w:hAnsi="CIDFont+F3" w:cs="Times New Roman"/>
          <w:color w:val="000000" w:themeColor="text1"/>
          <w:sz w:val="20"/>
          <w:szCs w:val="20"/>
        </w:rPr>
        <w:t xml:space="preserve">and the examples she gives are </w:t>
      </w:r>
      <w:r w:rsidR="001E3E1A">
        <w:rPr>
          <w:rFonts w:ascii="CIDFont+F3" w:eastAsia="Times New Roman" w:hAnsi="CIDFont+F3" w:cs="Times New Roman"/>
          <w:color w:val="000000" w:themeColor="text1"/>
          <w:sz w:val="20"/>
          <w:szCs w:val="20"/>
        </w:rPr>
        <w:t xml:space="preserve">both from the </w:t>
      </w:r>
      <w:r w:rsidR="00710CA4">
        <w:rPr>
          <w:rFonts w:ascii="CIDFont+F3" w:eastAsia="Times New Roman" w:hAnsi="CIDFont+F3" w:cs="Times New Roman"/>
          <w:color w:val="000000" w:themeColor="text1"/>
          <w:sz w:val="20"/>
          <w:szCs w:val="20"/>
        </w:rPr>
        <w:t xml:space="preserve">pan-Europe </w:t>
      </w:r>
      <w:r w:rsidR="001E3E1A">
        <w:rPr>
          <w:rFonts w:ascii="CIDFont+F3" w:eastAsia="Times New Roman" w:hAnsi="CIDFont+F3" w:cs="Times New Roman"/>
          <w:color w:val="000000" w:themeColor="text1"/>
          <w:sz w:val="20"/>
          <w:szCs w:val="20"/>
        </w:rPr>
        <w:t xml:space="preserve">and the New World. </w:t>
      </w:r>
      <w:r w:rsidR="00710CA4">
        <w:rPr>
          <w:rFonts w:ascii="CIDFont+F3" w:eastAsia="Times New Roman" w:hAnsi="CIDFont+F3" w:cs="Times New Roman"/>
          <w:color w:val="000000" w:themeColor="text1"/>
          <w:sz w:val="20"/>
          <w:szCs w:val="20"/>
        </w:rPr>
        <w:t>Pfeffer sets an ambitious plan to…</w:t>
      </w:r>
    </w:p>
    <w:p w14:paraId="30E1DD93" w14:textId="77777777" w:rsidR="00710CA4" w:rsidRPr="00710CA4" w:rsidRDefault="00710CA4" w:rsidP="00E64DA2">
      <w:pPr>
        <w:spacing w:before="100" w:beforeAutospacing="1" w:after="100" w:afterAutospacing="1"/>
        <w:jc w:val="both"/>
        <w:rPr>
          <w:rFonts w:ascii="CIDFont+F3" w:eastAsia="Times New Roman" w:hAnsi="CIDFont+F3" w:cs="Times New Roman"/>
          <w:color w:val="000000" w:themeColor="text1"/>
          <w:sz w:val="20"/>
          <w:szCs w:val="20"/>
        </w:rPr>
      </w:pPr>
    </w:p>
    <w:p w14:paraId="4D7EB988" w14:textId="77777777" w:rsidR="000F4C7B" w:rsidRPr="007A54EF" w:rsidRDefault="000F4C7B" w:rsidP="00E64DA2">
      <w:pPr>
        <w:numPr>
          <w:ilvl w:val="0"/>
          <w:numId w:val="1"/>
        </w:numPr>
        <w:spacing w:before="100" w:beforeAutospacing="1" w:after="100" w:afterAutospacing="1"/>
        <w:jc w:val="both"/>
        <w:rPr>
          <w:rFonts w:ascii="Times New Roman" w:eastAsia="Times New Roman" w:hAnsi="Times New Roman" w:cs="Times New Roman"/>
          <w:color w:val="FF0000"/>
        </w:rPr>
      </w:pPr>
      <w:r w:rsidRPr="007A54EF">
        <w:rPr>
          <w:rFonts w:ascii="CIDFont+F4" w:eastAsia="Times New Roman" w:hAnsi="CIDFont+F4" w:cs="Times New Roman"/>
          <w:color w:val="FF0000"/>
          <w:sz w:val="22"/>
          <w:szCs w:val="22"/>
        </w:rPr>
        <w:sym w:font="Symbol" w:char="F0B7"/>
      </w:r>
      <w:r w:rsidRPr="007A54EF">
        <w:rPr>
          <w:rFonts w:ascii="CIDFont+F4" w:eastAsia="Times New Roman" w:hAnsi="CIDFont+F4" w:cs="Times New Roman"/>
          <w:color w:val="FF0000"/>
          <w:sz w:val="22"/>
          <w:szCs w:val="22"/>
        </w:rPr>
        <w:t xml:space="preserve">  </w:t>
      </w:r>
      <w:r w:rsidRPr="007A54EF">
        <w:rPr>
          <w:rFonts w:ascii="CIDFont+F1" w:eastAsia="Times New Roman" w:hAnsi="CIDFont+F1" w:cs="Times New Roman"/>
          <w:color w:val="FF0000"/>
          <w:sz w:val="22"/>
          <w:szCs w:val="22"/>
          <w:highlight w:val="yellow"/>
        </w:rPr>
        <w:t>Evaluate the texts’ main strengths and weaknesses (e.g. how persuasive are they? Are there any gaps in the evidence? Can counterarguments be mounted against them?)</w:t>
      </w:r>
      <w:r w:rsidRPr="007A54EF">
        <w:rPr>
          <w:rFonts w:ascii="CIDFont+F1" w:eastAsia="Times New Roman" w:hAnsi="CIDFont+F1" w:cs="Times New Roman"/>
          <w:color w:val="FF0000"/>
          <w:sz w:val="22"/>
          <w:szCs w:val="22"/>
        </w:rPr>
        <w:t xml:space="preserve"> </w:t>
      </w:r>
    </w:p>
    <w:p w14:paraId="11A07784" w14:textId="4689C13F" w:rsidR="000F4C7B" w:rsidRPr="00A85A20" w:rsidRDefault="000F4C7B" w:rsidP="00E64DA2">
      <w:pPr>
        <w:numPr>
          <w:ilvl w:val="0"/>
          <w:numId w:val="1"/>
        </w:numPr>
        <w:spacing w:before="100" w:beforeAutospacing="1" w:after="100" w:afterAutospacing="1"/>
        <w:jc w:val="both"/>
        <w:rPr>
          <w:rFonts w:ascii="Times New Roman" w:eastAsia="Times New Roman" w:hAnsi="Times New Roman" w:cs="Times New Roman"/>
        </w:rPr>
      </w:pPr>
      <w:r w:rsidRPr="007A54EF">
        <w:rPr>
          <w:rFonts w:ascii="CIDFont+F4" w:eastAsia="Times New Roman" w:hAnsi="CIDFont+F4" w:cs="Times New Roman"/>
          <w:color w:val="FF0000"/>
          <w:sz w:val="20"/>
          <w:szCs w:val="20"/>
        </w:rPr>
        <w:sym w:font="Symbol" w:char="F0B7"/>
      </w:r>
      <w:r w:rsidRPr="007A54EF">
        <w:rPr>
          <w:rFonts w:ascii="CIDFont+F4" w:eastAsia="Times New Roman" w:hAnsi="CIDFont+F4" w:cs="Times New Roman"/>
          <w:color w:val="FF0000"/>
          <w:sz w:val="20"/>
          <w:szCs w:val="20"/>
        </w:rPr>
        <w:t xml:space="preserve">  </w:t>
      </w:r>
      <w:r w:rsidRPr="007A54EF">
        <w:rPr>
          <w:rFonts w:ascii="CIDFont+F3" w:eastAsia="Times New Roman" w:hAnsi="CIDFont+F3" w:cs="Times New Roman"/>
          <w:color w:val="FF0000"/>
          <w:sz w:val="20"/>
          <w:szCs w:val="20"/>
        </w:rPr>
        <w:t xml:space="preserve">Do the texts have conclusions? Are they convincing, taking in mind the rest of the text? </w:t>
      </w:r>
    </w:p>
    <w:p w14:paraId="2DC772BB" w14:textId="77777777" w:rsidR="00A85A20" w:rsidRPr="000F4C7B" w:rsidRDefault="00A85A20" w:rsidP="00E64DA2">
      <w:pPr>
        <w:spacing w:before="100" w:beforeAutospacing="1" w:after="100" w:afterAutospacing="1"/>
        <w:jc w:val="both"/>
        <w:rPr>
          <w:rFonts w:ascii="Times New Roman" w:eastAsia="Times New Roman" w:hAnsi="Times New Roman" w:cs="Times New Roman"/>
        </w:rPr>
      </w:pPr>
    </w:p>
    <w:p w14:paraId="5415C603" w14:textId="54C027F0" w:rsidR="000F4C7B" w:rsidRPr="00F80CAC" w:rsidRDefault="000F4C7B" w:rsidP="00E64DA2">
      <w:pPr>
        <w:spacing w:before="100" w:beforeAutospacing="1" w:after="100" w:afterAutospacing="1"/>
        <w:jc w:val="both"/>
        <w:rPr>
          <w:rFonts w:ascii="Century Gothic" w:eastAsia="Times New Roman" w:hAnsi="Century Gothic" w:cs="Times New Roman"/>
          <w:b/>
          <w:bCs/>
          <w:color w:val="000000" w:themeColor="text1"/>
          <w:sz w:val="28"/>
          <w:szCs w:val="28"/>
        </w:rPr>
      </w:pPr>
      <w:r w:rsidRPr="00F80CAC">
        <w:rPr>
          <w:rFonts w:ascii="Century Gothic" w:eastAsia="Times New Roman" w:hAnsi="Century Gothic" w:cs="Times New Roman"/>
          <w:b/>
          <w:bCs/>
          <w:color w:val="000000" w:themeColor="text1"/>
          <w:sz w:val="28"/>
          <w:szCs w:val="28"/>
        </w:rPr>
        <w:lastRenderedPageBreak/>
        <w:t>5. Conclu</w:t>
      </w:r>
      <w:r w:rsidR="00F80CAC">
        <w:rPr>
          <w:rFonts w:ascii="Century Gothic" w:eastAsia="Times New Roman" w:hAnsi="Century Gothic" w:cs="Times New Roman"/>
          <w:b/>
          <w:bCs/>
          <w:color w:val="000000" w:themeColor="text1"/>
          <w:sz w:val="28"/>
          <w:szCs w:val="28"/>
        </w:rPr>
        <w:t>sion</w:t>
      </w:r>
      <w:r w:rsidRPr="00F80CAC">
        <w:rPr>
          <w:rFonts w:ascii="Century Gothic" w:eastAsia="Times New Roman" w:hAnsi="Century Gothic" w:cs="Times New Roman"/>
          <w:b/>
          <w:bCs/>
          <w:color w:val="000000" w:themeColor="text1"/>
          <w:sz w:val="28"/>
          <w:szCs w:val="28"/>
        </w:rPr>
        <w:t xml:space="preserve"> </w:t>
      </w:r>
      <w:r w:rsidR="002F39EB" w:rsidRPr="00F80CAC">
        <w:rPr>
          <w:rFonts w:ascii="Century Gothic" w:eastAsia="Times New Roman" w:hAnsi="Century Gothic" w:cs="Times New Roman"/>
          <w:b/>
          <w:bCs/>
          <w:color w:val="000000" w:themeColor="text1"/>
          <w:sz w:val="28"/>
          <w:szCs w:val="28"/>
        </w:rPr>
        <w:t>(200)</w:t>
      </w:r>
    </w:p>
    <w:p w14:paraId="625A50BB" w14:textId="77777777" w:rsidR="000F4C7B" w:rsidRPr="000F4C7B" w:rsidRDefault="000F4C7B" w:rsidP="00E64DA2">
      <w:pPr>
        <w:spacing w:before="100" w:beforeAutospacing="1" w:after="100" w:afterAutospacing="1"/>
        <w:ind w:left="720"/>
        <w:jc w:val="both"/>
        <w:rPr>
          <w:rFonts w:ascii="Times New Roman" w:eastAsia="Times New Roman" w:hAnsi="Times New Roman" w:cs="Times New Roman"/>
          <w:color w:val="FF0000"/>
        </w:rPr>
      </w:pPr>
      <w:r w:rsidRPr="000F4C7B">
        <w:rPr>
          <w:rFonts w:ascii="CIDFont+F3" w:eastAsia="Times New Roman" w:hAnsi="CIDFont+F3" w:cs="Times New Roman"/>
          <w:color w:val="FF0000"/>
          <w:sz w:val="20"/>
          <w:szCs w:val="20"/>
        </w:rPr>
        <w:t xml:space="preserve">Always conclude your essay by revisiting the aim of the essay, restating any conclusions you have reached, and drawing the essay to a close. Avoid introducing new material. Based on your analysis, what are the main differences between the papers you are comparing? What are their similarities? </w:t>
      </w:r>
    </w:p>
    <w:p w14:paraId="45DECF95" w14:textId="77777777" w:rsidR="000F4C7B" w:rsidRPr="000F4C7B" w:rsidRDefault="000F4C7B" w:rsidP="00E64DA2">
      <w:pPr>
        <w:pStyle w:val="NormalWeb"/>
        <w:jc w:val="both"/>
        <w:rPr>
          <w:rFonts w:ascii="CIDFont+F2" w:hAnsi="CIDFont+F2"/>
          <w:sz w:val="20"/>
          <w:szCs w:val="20"/>
        </w:rPr>
      </w:pPr>
    </w:p>
    <w:p w14:paraId="6B7F5FC1" w14:textId="77777777" w:rsidR="000F4C7B" w:rsidRDefault="000F4C7B" w:rsidP="00E64DA2">
      <w:pPr>
        <w:jc w:val="both"/>
      </w:pPr>
    </w:p>
    <w:p w14:paraId="10BB3D66" w14:textId="77777777" w:rsidR="0088662E" w:rsidRDefault="0088662E" w:rsidP="00E64DA2">
      <w:pPr>
        <w:jc w:val="both"/>
      </w:pPr>
    </w:p>
    <w:p w14:paraId="7C1BF6F5" w14:textId="77777777" w:rsidR="0088662E" w:rsidRDefault="0088662E" w:rsidP="00E64DA2">
      <w:pPr>
        <w:jc w:val="both"/>
      </w:pPr>
    </w:p>
    <w:sectPr w:rsidR="0088662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13ED5" w14:textId="77777777" w:rsidR="00EB3579" w:rsidRDefault="00EB3579" w:rsidP="00440033">
      <w:r>
        <w:separator/>
      </w:r>
    </w:p>
  </w:endnote>
  <w:endnote w:type="continuationSeparator" w:id="0">
    <w:p w14:paraId="771D1914" w14:textId="77777777" w:rsidR="00EB3579" w:rsidRDefault="00EB3579" w:rsidP="00440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IDFont+F2">
    <w:altName w:val="Cambria"/>
    <w:panose1 w:val="020B0604020202020204"/>
    <w:charset w:val="00"/>
    <w:family w:val="roman"/>
    <w:notTrueType/>
    <w:pitch w:val="default"/>
  </w:font>
  <w:font w:name="CIDFont+F3">
    <w:altName w:val="Cambria"/>
    <w:panose1 w:val="020B0604020202020204"/>
    <w:charset w:val="00"/>
    <w:family w:val="roman"/>
    <w:notTrueType/>
    <w:pitch w:val="default"/>
  </w:font>
  <w:font w:name="Times">
    <w:panose1 w:val="00000500000000020000"/>
    <w:charset w:val="00"/>
    <w:family w:val="auto"/>
    <w:pitch w:val="variable"/>
    <w:sig w:usb0="E00002FF" w:usb1="5000205A"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IDFont+F1">
    <w:altName w:val="Cambria"/>
    <w:panose1 w:val="020B0604020202020204"/>
    <w:charset w:val="00"/>
    <w:family w:val="roman"/>
    <w:notTrueType/>
    <w:pitch w:val="default"/>
  </w:font>
  <w:font w:name="CIDFont+F4">
    <w:altName w:val="Cambria"/>
    <w:panose1 w:val="020B0604020202020204"/>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42DF28" w14:textId="77777777" w:rsidR="00EB3579" w:rsidRDefault="00EB3579" w:rsidP="00440033">
      <w:r>
        <w:separator/>
      </w:r>
    </w:p>
  </w:footnote>
  <w:footnote w:type="continuationSeparator" w:id="0">
    <w:p w14:paraId="3CA0DA48" w14:textId="77777777" w:rsidR="00EB3579" w:rsidRDefault="00EB3579" w:rsidP="00440033">
      <w:r>
        <w:continuationSeparator/>
      </w:r>
    </w:p>
  </w:footnote>
  <w:footnote w:id="1">
    <w:p w14:paraId="7BEA19BD" w14:textId="77777777" w:rsidR="00F80CAC" w:rsidRPr="00497FAE" w:rsidRDefault="00F80CAC" w:rsidP="00F80CAC">
      <w:pPr>
        <w:jc w:val="both"/>
        <w:rPr>
          <w:rFonts w:ascii="Times" w:hAnsi="Times"/>
          <w:sz w:val="20"/>
          <w:szCs w:val="20"/>
        </w:rPr>
      </w:pPr>
      <w:r w:rsidRPr="00497FAE">
        <w:rPr>
          <w:rStyle w:val="FootnoteReference"/>
          <w:rFonts w:ascii="Times" w:hAnsi="Times"/>
          <w:sz w:val="20"/>
          <w:szCs w:val="20"/>
        </w:rPr>
        <w:footnoteRef/>
      </w:r>
      <w:r w:rsidRPr="00497FAE">
        <w:rPr>
          <w:rFonts w:ascii="Times" w:hAnsi="Times"/>
          <w:sz w:val="20"/>
          <w:szCs w:val="20"/>
        </w:rPr>
        <w:t xml:space="preserve"> </w:t>
      </w:r>
      <w:proofErr w:type="spellStart"/>
      <w:r w:rsidRPr="00497FAE">
        <w:rPr>
          <w:rFonts w:ascii="Times" w:hAnsi="Times"/>
          <w:sz w:val="20"/>
          <w:szCs w:val="20"/>
        </w:rPr>
        <w:t>Vermij</w:t>
      </w:r>
      <w:proofErr w:type="spellEnd"/>
      <w:r w:rsidRPr="00497FAE">
        <w:rPr>
          <w:rFonts w:ascii="Times" w:hAnsi="Times"/>
          <w:sz w:val="20"/>
          <w:szCs w:val="20"/>
        </w:rPr>
        <w:t xml:space="preserve">, </w:t>
      </w:r>
      <w:proofErr w:type="spellStart"/>
      <w:r w:rsidRPr="00497FAE">
        <w:rPr>
          <w:rFonts w:ascii="Times" w:hAnsi="Times"/>
          <w:sz w:val="20"/>
          <w:szCs w:val="20"/>
        </w:rPr>
        <w:t>Rienk</w:t>
      </w:r>
      <w:proofErr w:type="spellEnd"/>
      <w:r w:rsidRPr="00497FAE">
        <w:rPr>
          <w:rFonts w:ascii="Times" w:hAnsi="Times"/>
          <w:sz w:val="20"/>
          <w:szCs w:val="20"/>
        </w:rPr>
        <w:t xml:space="preserve"> ; Hirai, Hiro: The Marginalization of Astrology: Introduction. Early science and medicine, 2017-01, Vol.22 (5-6), p.405-409. </w:t>
      </w:r>
      <w:proofErr w:type="spellStart"/>
      <w:r w:rsidRPr="00497FAE">
        <w:rPr>
          <w:rFonts w:ascii="Times" w:hAnsi="Times"/>
          <w:sz w:val="20"/>
          <w:szCs w:val="20"/>
        </w:rPr>
        <w:t>Carolino</w:t>
      </w:r>
      <w:proofErr w:type="spellEnd"/>
      <w:r w:rsidRPr="00497FAE">
        <w:rPr>
          <w:rFonts w:ascii="Times" w:hAnsi="Times"/>
          <w:sz w:val="20"/>
          <w:szCs w:val="20"/>
        </w:rPr>
        <w:t xml:space="preserve">, Luís Miguel: The Jesuit Paradox: Intellectual Authority, Political Power, and the Marginalization of Astrology in Early Modern Portugal. Early science and medicine, 2017-01, Vol.22 (5-6), p.438-463. </w:t>
      </w:r>
      <w:proofErr w:type="spellStart"/>
      <w:r w:rsidRPr="00497FAE">
        <w:rPr>
          <w:rFonts w:ascii="Times" w:hAnsi="Times"/>
          <w:sz w:val="20"/>
          <w:szCs w:val="20"/>
        </w:rPr>
        <w:t>Rutkin</w:t>
      </w:r>
      <w:proofErr w:type="spellEnd"/>
      <w:r w:rsidRPr="00497FAE">
        <w:rPr>
          <w:rFonts w:ascii="Times" w:hAnsi="Times"/>
          <w:sz w:val="20"/>
          <w:szCs w:val="20"/>
        </w:rPr>
        <w:t xml:space="preserve">, H. Darrel: How to Accurately Account for Astrology’s Marginalization in the History of Science and Culture: The Central Importance of an Interpretive Framework. Early science and medicine, 2018-01, Vol.23 (3), p.217-243. </w:t>
      </w:r>
      <w:proofErr w:type="spellStart"/>
      <w:r w:rsidRPr="00497FAE">
        <w:rPr>
          <w:rFonts w:ascii="Times" w:hAnsi="Times"/>
          <w:sz w:val="20"/>
          <w:szCs w:val="20"/>
        </w:rPr>
        <w:t>Vermij</w:t>
      </w:r>
      <w:proofErr w:type="spellEnd"/>
      <w:r w:rsidRPr="00497FAE">
        <w:rPr>
          <w:rFonts w:ascii="Times" w:hAnsi="Times"/>
          <w:sz w:val="20"/>
          <w:szCs w:val="20"/>
        </w:rPr>
        <w:t xml:space="preserve">, </w:t>
      </w:r>
      <w:proofErr w:type="spellStart"/>
      <w:r w:rsidRPr="00497FAE">
        <w:rPr>
          <w:rFonts w:ascii="Times" w:hAnsi="Times"/>
          <w:sz w:val="20"/>
          <w:szCs w:val="20"/>
        </w:rPr>
        <w:t>Rienk</w:t>
      </w:r>
      <w:proofErr w:type="spellEnd"/>
      <w:r>
        <w:rPr>
          <w:rFonts w:ascii="Times" w:hAnsi="Times"/>
          <w:sz w:val="20"/>
          <w:szCs w:val="20"/>
        </w:rPr>
        <w:t xml:space="preserve">: </w:t>
      </w:r>
      <w:r w:rsidRPr="00497FAE">
        <w:rPr>
          <w:rFonts w:ascii="Times" w:hAnsi="Times"/>
          <w:sz w:val="20"/>
          <w:szCs w:val="20"/>
        </w:rPr>
        <w:t>The marginalization of astrology among Dutch astronomers in the first half of the 17th century</w:t>
      </w:r>
      <w:r>
        <w:rPr>
          <w:rFonts w:ascii="Times" w:hAnsi="Times"/>
          <w:sz w:val="20"/>
          <w:szCs w:val="20"/>
        </w:rPr>
        <w:t xml:space="preserve">. </w:t>
      </w:r>
      <w:r w:rsidRPr="00497FAE">
        <w:rPr>
          <w:rFonts w:ascii="Times" w:hAnsi="Times"/>
          <w:sz w:val="20"/>
          <w:szCs w:val="20"/>
        </w:rPr>
        <w:t>History of science, 2014-06, Vol.52 (2), p.153-177</w:t>
      </w:r>
      <w:r>
        <w:rPr>
          <w:rFonts w:ascii="Times" w:hAnsi="Times"/>
          <w:sz w:val="20"/>
          <w:szCs w:val="20"/>
        </w:rPr>
        <w:t xml:space="preserve">. </w:t>
      </w:r>
      <w:r w:rsidRPr="00DB53E9">
        <w:rPr>
          <w:rFonts w:ascii="Times" w:hAnsi="Times"/>
          <w:sz w:val="20"/>
          <w:szCs w:val="20"/>
        </w:rPr>
        <w:t>Ridder-Patrick, Jane</w:t>
      </w:r>
      <w:r>
        <w:rPr>
          <w:rFonts w:ascii="Times" w:hAnsi="Times"/>
          <w:sz w:val="20"/>
          <w:szCs w:val="20"/>
        </w:rPr>
        <w:t xml:space="preserve">: </w:t>
      </w:r>
      <w:r w:rsidRPr="00DB53E9">
        <w:rPr>
          <w:rFonts w:ascii="Times" w:hAnsi="Times"/>
          <w:sz w:val="20"/>
          <w:szCs w:val="20"/>
        </w:rPr>
        <w:t>The Marginalization of Astrology in Seventeenth-Century Scotland</w:t>
      </w:r>
      <w:r>
        <w:rPr>
          <w:rFonts w:ascii="Times" w:hAnsi="Times"/>
          <w:sz w:val="20"/>
          <w:szCs w:val="20"/>
        </w:rPr>
        <w:t xml:space="preserve">. </w:t>
      </w:r>
      <w:r w:rsidRPr="00DB53E9">
        <w:rPr>
          <w:rFonts w:ascii="Times" w:hAnsi="Times"/>
          <w:sz w:val="20"/>
          <w:szCs w:val="20"/>
        </w:rPr>
        <w:t>Early science and medicine, 2017-01, Vol.22 (5-6), p.464-486</w:t>
      </w:r>
      <w:r>
        <w:rPr>
          <w:rFonts w:ascii="Times" w:hAnsi="Times"/>
          <w:sz w:val="20"/>
          <w:szCs w:val="20"/>
        </w:rPr>
        <w:t xml:space="preserve">. </w:t>
      </w:r>
    </w:p>
    <w:p w14:paraId="5EEA6FBA" w14:textId="77777777" w:rsidR="00F80CAC" w:rsidRDefault="00F80CAC" w:rsidP="00F80CAC">
      <w:pPr>
        <w:pStyle w:val="FootnoteText"/>
      </w:pPr>
    </w:p>
  </w:footnote>
  <w:footnote w:id="2">
    <w:p w14:paraId="11103408" w14:textId="6AF5CCC9" w:rsidR="00531CBC" w:rsidRDefault="00531CBC">
      <w:pPr>
        <w:pStyle w:val="FootnoteText"/>
      </w:pPr>
      <w:r>
        <w:rPr>
          <w:rStyle w:val="FootnoteReference"/>
        </w:rPr>
        <w:footnoteRef/>
      </w:r>
      <w:r>
        <w:t xml:space="preserve"> Campion, Nicholas; Greene, Liz: Introduction: Astrologies: Plurality and diversity. Astrologies: Plurality and diversity in the history of astrology. Sophia Centre Press</w:t>
      </w:r>
      <w:r w:rsidR="0090081B">
        <w:t xml:space="preserve"> (2011), p</w:t>
      </w:r>
      <w:r w:rsidR="009F536E">
        <w:t>p</w:t>
      </w:r>
      <w:r w:rsidR="0090081B">
        <w:t>1-2</w:t>
      </w:r>
      <w:r>
        <w:t xml:space="preserve">. </w:t>
      </w:r>
    </w:p>
  </w:footnote>
  <w:footnote w:id="3">
    <w:p w14:paraId="5C506E5D" w14:textId="46997DBE" w:rsidR="00E14B5A" w:rsidRDefault="00E14B5A" w:rsidP="00E64DA2">
      <w:pPr>
        <w:pStyle w:val="FootnoteText"/>
        <w:jc w:val="both"/>
      </w:pPr>
      <w:r>
        <w:rPr>
          <w:rStyle w:val="FootnoteReference"/>
        </w:rPr>
        <w:footnoteRef/>
      </w:r>
      <w:r>
        <w:t xml:space="preserve"> </w:t>
      </w:r>
      <w:r w:rsidRPr="00E14B5A">
        <w:t xml:space="preserve">Patrick Curry, ‘Astrology in early modern England: the making of a vulgar knowledge’, in Stephen </w:t>
      </w:r>
      <w:proofErr w:type="spellStart"/>
      <w:r w:rsidRPr="00E14B5A">
        <w:t>Pumfrey</w:t>
      </w:r>
      <w:proofErr w:type="spellEnd"/>
      <w:r w:rsidRPr="00E14B5A">
        <w:t xml:space="preserve">, Paolo Rossi, and Maurice </w:t>
      </w:r>
      <w:proofErr w:type="spellStart"/>
      <w:r w:rsidRPr="00E14B5A">
        <w:t>Slawinski</w:t>
      </w:r>
      <w:proofErr w:type="spellEnd"/>
      <w:r w:rsidRPr="00E14B5A">
        <w:t>, eds., </w:t>
      </w:r>
      <w:r w:rsidRPr="00E14B5A">
        <w:rPr>
          <w:i/>
          <w:iCs/>
        </w:rPr>
        <w:t>Science, culture, and popular belief in Renaissance</w:t>
      </w:r>
      <w:r w:rsidR="00E64DA2">
        <w:rPr>
          <w:i/>
          <w:iCs/>
        </w:rPr>
        <w:t xml:space="preserve"> </w:t>
      </w:r>
      <w:r w:rsidRPr="00E14B5A">
        <w:rPr>
          <w:i/>
          <w:iCs/>
        </w:rPr>
        <w:t>Europe</w:t>
      </w:r>
      <w:r w:rsidRPr="00E14B5A">
        <w:t> (Manchester, 1991), pp. 274–91</w:t>
      </w:r>
    </w:p>
  </w:footnote>
  <w:footnote w:id="4">
    <w:p w14:paraId="49251E9C" w14:textId="77777777" w:rsidR="009F71DF" w:rsidRDefault="009F71DF" w:rsidP="00E64DA2">
      <w:pPr>
        <w:pStyle w:val="FootnoteText"/>
        <w:jc w:val="both"/>
      </w:pPr>
      <w:r>
        <w:rPr>
          <w:rStyle w:val="FootnoteReference"/>
        </w:rPr>
        <w:footnoteRef/>
      </w:r>
      <w:r>
        <w:t xml:space="preserve"> Francis Bacon, </w:t>
      </w:r>
      <w:proofErr w:type="spellStart"/>
      <w:r>
        <w:t>Meditationes</w:t>
      </w:r>
      <w:proofErr w:type="spellEnd"/>
      <w:r>
        <w:t xml:space="preserve"> </w:t>
      </w:r>
      <w:proofErr w:type="spellStart"/>
      <w:r>
        <w:t>sacrae</w:t>
      </w:r>
      <w:proofErr w:type="spellEnd"/>
      <w:r>
        <w:t xml:space="preserve"> (British Library, 1597).</w:t>
      </w:r>
    </w:p>
  </w:footnote>
  <w:footnote w:id="5">
    <w:p w14:paraId="30142ADA" w14:textId="77777777" w:rsidR="009F71DF" w:rsidRPr="0007708D" w:rsidRDefault="009F71DF" w:rsidP="00E64DA2">
      <w:pPr>
        <w:pStyle w:val="FootnoteText"/>
        <w:jc w:val="both"/>
      </w:pPr>
      <w:r>
        <w:rPr>
          <w:rStyle w:val="FootnoteReference"/>
        </w:rPr>
        <w:footnoteRef/>
      </w:r>
      <w:r>
        <w:t xml:space="preserve"> </w:t>
      </w:r>
      <w:r w:rsidRPr="008154A9">
        <w:t xml:space="preserve">The examples that Pfeffer includes in the paper are </w:t>
      </w:r>
      <w:r w:rsidRPr="0007708D">
        <w:t>Peter Wright, ‘Astrology and science in seventeenth-century England’, </w:t>
      </w:r>
      <w:r w:rsidRPr="0007708D">
        <w:rPr>
          <w:i/>
          <w:iCs/>
        </w:rPr>
        <w:t>Social Studies of Science</w:t>
      </w:r>
      <w:r w:rsidRPr="0007708D">
        <w:t>, 5 (1975), pp. 399–422; Hilary M. Carey, </w:t>
      </w:r>
      <w:r w:rsidRPr="0007708D">
        <w:rPr>
          <w:i/>
          <w:iCs/>
        </w:rPr>
        <w:t>Courting disaster: astrology at the English court and university in the later middle ages</w:t>
      </w:r>
      <w:r w:rsidRPr="0007708D">
        <w:t> (London, 1992), p. 13</w:t>
      </w:r>
      <w:r w:rsidRPr="008154A9">
        <w:t xml:space="preserve">; </w:t>
      </w:r>
      <w:r w:rsidRPr="0007708D">
        <w:t xml:space="preserve">Pauline </w:t>
      </w:r>
      <w:proofErr w:type="spellStart"/>
      <w:r w:rsidRPr="0007708D">
        <w:t>Ripat</w:t>
      </w:r>
      <w:proofErr w:type="spellEnd"/>
      <w:r w:rsidRPr="0007708D">
        <w:t>, ‘Expelling misconceptions: astrologers at Rome’, </w:t>
      </w:r>
      <w:r w:rsidRPr="0007708D">
        <w:rPr>
          <w:i/>
          <w:iCs/>
        </w:rPr>
        <w:t>Classical Philology</w:t>
      </w:r>
      <w:r w:rsidRPr="0007708D">
        <w:t>, 106 (2011), pp. 115–54</w:t>
      </w:r>
      <w:r w:rsidRPr="008154A9">
        <w:t xml:space="preserve">; </w:t>
      </w:r>
      <w:r w:rsidRPr="0007708D">
        <w:t xml:space="preserve">Monica </w:t>
      </w:r>
      <w:proofErr w:type="spellStart"/>
      <w:r w:rsidRPr="0007708D">
        <w:t>Azzolini</w:t>
      </w:r>
      <w:proofErr w:type="spellEnd"/>
      <w:r w:rsidRPr="0007708D">
        <w:t>, ‘The political uses of astrology: predicting the illness and death of princes, kings and popes in the Italian Renaissance’, </w:t>
      </w:r>
      <w:r w:rsidRPr="0007708D">
        <w:rPr>
          <w:i/>
          <w:iCs/>
        </w:rPr>
        <w:t>Studies in the History and Philosophy of Biological and Biomedical Sciences</w:t>
      </w:r>
      <w:r w:rsidRPr="0007708D">
        <w:t>, 41 (2010), pp. 135–45</w:t>
      </w:r>
      <w:r w:rsidRPr="008154A9">
        <w:t xml:space="preserve">; </w:t>
      </w:r>
      <w:r w:rsidRPr="0007708D">
        <w:t>Ana Avalos, ‘As above, so below: astrology and the Inquisition in seventeenth-century New Spain’ (Ph.D. thesis, European University Institute, 2007), p. 296. For a similar situation in England, see Capp, </w:t>
      </w:r>
      <w:r w:rsidRPr="0007708D">
        <w:rPr>
          <w:i/>
          <w:iCs/>
        </w:rPr>
        <w:t>Astrology</w:t>
      </w:r>
      <w:r w:rsidRPr="0007708D">
        <w:t>, pp. 48–9</w:t>
      </w:r>
      <w:r w:rsidRPr="008154A9">
        <w:t xml:space="preserve">; </w:t>
      </w:r>
      <w:r w:rsidRPr="0007708D">
        <w:t xml:space="preserve">Barbara </w:t>
      </w:r>
      <w:proofErr w:type="spellStart"/>
      <w:r w:rsidRPr="0007708D">
        <w:t>Mahlmann</w:t>
      </w:r>
      <w:proofErr w:type="spellEnd"/>
      <w:r w:rsidRPr="0007708D">
        <w:t xml:space="preserve">-Bauer, ‘Attacks on judicial astrology, religious dissent and the rise of </w:t>
      </w:r>
      <w:proofErr w:type="spellStart"/>
      <w:r w:rsidRPr="0007708D">
        <w:t>skepticism</w:t>
      </w:r>
      <w:proofErr w:type="spellEnd"/>
      <w:r w:rsidRPr="0007708D">
        <w:t xml:space="preserve">’, in Pietro D. </w:t>
      </w:r>
      <w:proofErr w:type="spellStart"/>
      <w:r w:rsidRPr="0007708D">
        <w:t>Omodeo</w:t>
      </w:r>
      <w:proofErr w:type="spellEnd"/>
      <w:r w:rsidRPr="0007708D">
        <w:t xml:space="preserve"> and </w:t>
      </w:r>
      <w:proofErr w:type="spellStart"/>
      <w:r w:rsidRPr="0007708D">
        <w:t>Volkhard</w:t>
      </w:r>
      <w:proofErr w:type="spellEnd"/>
      <w:r w:rsidRPr="0007708D">
        <w:t xml:space="preserve"> Wels, eds., </w:t>
      </w:r>
      <w:r w:rsidRPr="0007708D">
        <w:rPr>
          <w:i/>
          <w:iCs/>
        </w:rPr>
        <w:t>Natural knowledge and Aristotelianism at early modern Protestant universities</w:t>
      </w:r>
      <w:r w:rsidRPr="0007708D">
        <w:t> (Wiesbaden, 2019), pp. 148–9</w:t>
      </w:r>
      <w:r w:rsidRPr="008154A9">
        <w:t xml:space="preserve">; and </w:t>
      </w:r>
      <w:r w:rsidRPr="0007708D">
        <w:t>Curry, </w:t>
      </w:r>
      <w:r w:rsidRPr="0007708D">
        <w:rPr>
          <w:i/>
          <w:iCs/>
        </w:rPr>
        <w:t>Prophecy and power</w:t>
      </w:r>
      <w:r w:rsidRPr="0007708D">
        <w:t xml:space="preserve">; William E. Burns, ‘A </w:t>
      </w:r>
      <w:proofErr w:type="spellStart"/>
      <w:r w:rsidRPr="0007708D">
        <w:t>whig</w:t>
      </w:r>
      <w:proofErr w:type="spellEnd"/>
      <w:r w:rsidRPr="0007708D">
        <w:t xml:space="preserve"> apocalypse: astrology, millenarianism, and politics in England during the Restoration crisis, 1678–1683’, in James E. Force and Richard H. Popkin, eds., </w:t>
      </w:r>
      <w:r w:rsidRPr="0007708D">
        <w:rPr>
          <w:i/>
          <w:iCs/>
        </w:rPr>
        <w:t>Millenarianism and messianism in early modern European culture</w:t>
      </w:r>
      <w:r w:rsidRPr="0007708D">
        <w:t xml:space="preserve"> (Dordrecht, 2013), pp. 29–41; Luís Miguel </w:t>
      </w:r>
      <w:proofErr w:type="spellStart"/>
      <w:r w:rsidRPr="0007708D">
        <w:t>Carolino</w:t>
      </w:r>
      <w:proofErr w:type="spellEnd"/>
      <w:r w:rsidRPr="0007708D">
        <w:t xml:space="preserve"> and Carlos </w:t>
      </w:r>
      <w:proofErr w:type="spellStart"/>
      <w:r w:rsidRPr="0007708D">
        <w:t>Ziller</w:t>
      </w:r>
      <w:proofErr w:type="spellEnd"/>
      <w:r w:rsidRPr="0007708D">
        <w:t xml:space="preserve"> </w:t>
      </w:r>
      <w:proofErr w:type="spellStart"/>
      <w:r w:rsidRPr="0007708D">
        <w:t>Camenietzki</w:t>
      </w:r>
      <w:proofErr w:type="spellEnd"/>
      <w:r w:rsidRPr="0007708D">
        <w:t>, ‘Tokens of the future: comets, astrology and politics in early modern Portugal’, </w:t>
      </w:r>
      <w:r w:rsidRPr="0007708D">
        <w:rPr>
          <w:i/>
          <w:iCs/>
        </w:rPr>
        <w:t>Cronos</w:t>
      </w:r>
      <w:r w:rsidRPr="0007708D">
        <w:t xml:space="preserve">, 9 (2006), pp. 33–58; idem, ‘Astrologers at war: Manuel </w:t>
      </w:r>
      <w:proofErr w:type="spellStart"/>
      <w:r w:rsidRPr="0007708D">
        <w:t>Galhano</w:t>
      </w:r>
      <w:proofErr w:type="spellEnd"/>
      <w:r w:rsidRPr="0007708D">
        <w:t xml:space="preserve"> </w:t>
      </w:r>
      <w:proofErr w:type="spellStart"/>
      <w:r w:rsidRPr="0007708D">
        <w:t>Lourosa</w:t>
      </w:r>
      <w:proofErr w:type="spellEnd"/>
      <w:r w:rsidRPr="0007708D">
        <w:t xml:space="preserve"> and the political restoration of Portugal, 1640–1668’, </w:t>
      </w:r>
      <w:r w:rsidRPr="0007708D">
        <w:rPr>
          <w:i/>
          <w:iCs/>
        </w:rPr>
        <w:t>Culture and Cosmos</w:t>
      </w:r>
      <w:r w:rsidRPr="0007708D">
        <w:t>, 13 (2009), pp. 63–85.</w:t>
      </w:r>
    </w:p>
    <w:p w14:paraId="10BCC16B" w14:textId="77777777" w:rsidR="009F71DF" w:rsidRDefault="009F71DF" w:rsidP="009F71DF">
      <w:pPr>
        <w:pStyle w:val="FootnoteText"/>
      </w:pPr>
    </w:p>
  </w:footnote>
  <w:footnote w:id="6">
    <w:p w14:paraId="3124EA56" w14:textId="0979CCCD" w:rsidR="009F71DF" w:rsidRDefault="009F71DF" w:rsidP="00E64DA2">
      <w:pPr>
        <w:pStyle w:val="FootnoteText"/>
        <w:jc w:val="both"/>
      </w:pPr>
      <w:r>
        <w:rPr>
          <w:rStyle w:val="FootnoteReference"/>
        </w:rPr>
        <w:footnoteRef/>
      </w:r>
      <w:r>
        <w:t xml:space="preserve"> </w:t>
      </w:r>
      <w:r w:rsidR="0090081B">
        <w:t>Moller, Violet</w:t>
      </w:r>
      <w:r w:rsidR="00531CBC">
        <w:t xml:space="preserve">: Baghdad. </w:t>
      </w:r>
      <w:r>
        <w:t>‘The Map of Knowledge: How Classical Ideas Were Lost and Found: A History in Seven Cities’</w:t>
      </w:r>
      <w:r w:rsidR="00531CBC">
        <w:t xml:space="preserve">, </w:t>
      </w:r>
      <w:r w:rsidR="00531CBC">
        <w:t>Picador</w:t>
      </w:r>
      <w:r w:rsidR="0090081B">
        <w:t xml:space="preserve"> (2019)</w:t>
      </w:r>
      <w:r w:rsidR="00531CBC">
        <w:t>, p</w:t>
      </w:r>
      <w:r w:rsidR="00E64DA2">
        <w:t>p</w:t>
      </w:r>
      <w:r w:rsidR="00531CBC">
        <w:t>69-77</w:t>
      </w:r>
      <w:r>
        <w:t>.</w:t>
      </w:r>
    </w:p>
  </w:footnote>
  <w:footnote w:id="7">
    <w:p w14:paraId="703EBD94" w14:textId="77777777" w:rsidR="009F71DF" w:rsidRDefault="009F71DF" w:rsidP="00E64DA2">
      <w:pPr>
        <w:pStyle w:val="FootnoteText"/>
        <w:jc w:val="both"/>
      </w:pPr>
      <w:r>
        <w:rPr>
          <w:rStyle w:val="FootnoteReference"/>
        </w:rPr>
        <w:footnoteRef/>
      </w:r>
      <w:r>
        <w:t xml:space="preserve"> C. H. Haskins, The Renaissance of Twelfth-Century.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827B6"/>
    <w:multiLevelType w:val="multilevel"/>
    <w:tmpl w:val="4A8E8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FC2AB5"/>
    <w:multiLevelType w:val="hybridMultilevel"/>
    <w:tmpl w:val="A0542A58"/>
    <w:lvl w:ilvl="0" w:tplc="37A06AA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C21CED"/>
    <w:multiLevelType w:val="hybridMultilevel"/>
    <w:tmpl w:val="C786E0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9F61501"/>
    <w:multiLevelType w:val="hybridMultilevel"/>
    <w:tmpl w:val="17A2FD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B56F9B"/>
    <w:multiLevelType w:val="hybridMultilevel"/>
    <w:tmpl w:val="43EE777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1"/>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9A6"/>
    <w:rsid w:val="00004C0B"/>
    <w:rsid w:val="00022C24"/>
    <w:rsid w:val="00064F90"/>
    <w:rsid w:val="00092347"/>
    <w:rsid w:val="000F1C82"/>
    <w:rsid w:val="000F2DF4"/>
    <w:rsid w:val="000F4C7B"/>
    <w:rsid w:val="001111E6"/>
    <w:rsid w:val="00180B24"/>
    <w:rsid w:val="001A1AD3"/>
    <w:rsid w:val="001E3E1A"/>
    <w:rsid w:val="002023CD"/>
    <w:rsid w:val="00251932"/>
    <w:rsid w:val="00262965"/>
    <w:rsid w:val="002B06FE"/>
    <w:rsid w:val="002C75AD"/>
    <w:rsid w:val="002F39EB"/>
    <w:rsid w:val="003319EE"/>
    <w:rsid w:val="003447D1"/>
    <w:rsid w:val="0035668A"/>
    <w:rsid w:val="00422C41"/>
    <w:rsid w:val="00432F9D"/>
    <w:rsid w:val="00440033"/>
    <w:rsid w:val="00497FAE"/>
    <w:rsid w:val="00531CBC"/>
    <w:rsid w:val="00580F11"/>
    <w:rsid w:val="0059336D"/>
    <w:rsid w:val="005D4F45"/>
    <w:rsid w:val="005F63EA"/>
    <w:rsid w:val="006442F8"/>
    <w:rsid w:val="00710CA4"/>
    <w:rsid w:val="007149A6"/>
    <w:rsid w:val="00730223"/>
    <w:rsid w:val="007A54EF"/>
    <w:rsid w:val="00805E26"/>
    <w:rsid w:val="008116C9"/>
    <w:rsid w:val="00813A4D"/>
    <w:rsid w:val="00840D4B"/>
    <w:rsid w:val="00856243"/>
    <w:rsid w:val="008759AA"/>
    <w:rsid w:val="008817E6"/>
    <w:rsid w:val="0088662E"/>
    <w:rsid w:val="008E68DA"/>
    <w:rsid w:val="008F0CC0"/>
    <w:rsid w:val="0090081B"/>
    <w:rsid w:val="009444FA"/>
    <w:rsid w:val="009F11AD"/>
    <w:rsid w:val="009F4381"/>
    <w:rsid w:val="009F536E"/>
    <w:rsid w:val="009F71DF"/>
    <w:rsid w:val="00A45B87"/>
    <w:rsid w:val="00A74210"/>
    <w:rsid w:val="00A85A20"/>
    <w:rsid w:val="00B416B9"/>
    <w:rsid w:val="00B6458C"/>
    <w:rsid w:val="00B646D8"/>
    <w:rsid w:val="00C63047"/>
    <w:rsid w:val="00C643F8"/>
    <w:rsid w:val="00C971D9"/>
    <w:rsid w:val="00CA045A"/>
    <w:rsid w:val="00CB09A2"/>
    <w:rsid w:val="00D04C53"/>
    <w:rsid w:val="00D509E9"/>
    <w:rsid w:val="00D6385F"/>
    <w:rsid w:val="00D92EAD"/>
    <w:rsid w:val="00D964AB"/>
    <w:rsid w:val="00DA0747"/>
    <w:rsid w:val="00DB53E9"/>
    <w:rsid w:val="00DC3FB3"/>
    <w:rsid w:val="00DD5BF5"/>
    <w:rsid w:val="00E04D71"/>
    <w:rsid w:val="00E14B5A"/>
    <w:rsid w:val="00E64DA2"/>
    <w:rsid w:val="00E743C2"/>
    <w:rsid w:val="00E83ACE"/>
    <w:rsid w:val="00EB3579"/>
    <w:rsid w:val="00EC155F"/>
    <w:rsid w:val="00F43B17"/>
    <w:rsid w:val="00F80CAC"/>
    <w:rsid w:val="00F95302"/>
    <w:rsid w:val="00F979DE"/>
    <w:rsid w:val="00FB3407"/>
    <w:rsid w:val="00FC13BA"/>
    <w:rsid w:val="00FD11DE"/>
    <w:rsid w:val="00FD6B6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15369AA"/>
  <w15:chartTrackingRefBased/>
  <w15:docId w15:val="{AB6DEA29-F368-364A-B43C-B18671179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F4C7B"/>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semiHidden/>
    <w:unhideWhenUsed/>
    <w:rsid w:val="00440033"/>
    <w:rPr>
      <w:sz w:val="20"/>
      <w:szCs w:val="20"/>
    </w:rPr>
  </w:style>
  <w:style w:type="character" w:customStyle="1" w:styleId="FootnoteTextChar">
    <w:name w:val="Footnote Text Char"/>
    <w:basedOn w:val="DefaultParagraphFont"/>
    <w:link w:val="FootnoteText"/>
    <w:uiPriority w:val="99"/>
    <w:semiHidden/>
    <w:rsid w:val="00440033"/>
    <w:rPr>
      <w:sz w:val="20"/>
      <w:szCs w:val="20"/>
    </w:rPr>
  </w:style>
  <w:style w:type="character" w:styleId="FootnoteReference">
    <w:name w:val="footnote reference"/>
    <w:basedOn w:val="DefaultParagraphFont"/>
    <w:uiPriority w:val="99"/>
    <w:semiHidden/>
    <w:unhideWhenUsed/>
    <w:rsid w:val="00440033"/>
    <w:rPr>
      <w:vertAlign w:val="superscript"/>
    </w:rPr>
  </w:style>
  <w:style w:type="character" w:customStyle="1" w:styleId="media-delimiter">
    <w:name w:val="media-delimiter"/>
    <w:basedOn w:val="DefaultParagraphFont"/>
    <w:rsid w:val="00440033"/>
  </w:style>
  <w:style w:type="paragraph" w:styleId="ListParagraph">
    <w:name w:val="List Paragraph"/>
    <w:basedOn w:val="Normal"/>
    <w:uiPriority w:val="34"/>
    <w:qFormat/>
    <w:rsid w:val="00251932"/>
    <w:pPr>
      <w:ind w:left="720"/>
      <w:contextualSpacing/>
    </w:pPr>
  </w:style>
  <w:style w:type="character" w:styleId="Hyperlink">
    <w:name w:val="Hyperlink"/>
    <w:basedOn w:val="DefaultParagraphFont"/>
    <w:uiPriority w:val="99"/>
    <w:semiHidden/>
    <w:unhideWhenUsed/>
    <w:rsid w:val="009F71D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72560">
      <w:bodyDiv w:val="1"/>
      <w:marLeft w:val="0"/>
      <w:marRight w:val="0"/>
      <w:marTop w:val="0"/>
      <w:marBottom w:val="0"/>
      <w:divBdr>
        <w:top w:val="none" w:sz="0" w:space="0" w:color="auto"/>
        <w:left w:val="none" w:sz="0" w:space="0" w:color="auto"/>
        <w:bottom w:val="none" w:sz="0" w:space="0" w:color="auto"/>
        <w:right w:val="none" w:sz="0" w:space="0" w:color="auto"/>
      </w:divBdr>
      <w:divsChild>
        <w:div w:id="1199660425">
          <w:marLeft w:val="0"/>
          <w:marRight w:val="0"/>
          <w:marTop w:val="0"/>
          <w:marBottom w:val="0"/>
          <w:divBdr>
            <w:top w:val="none" w:sz="0" w:space="0" w:color="auto"/>
            <w:left w:val="none" w:sz="0" w:space="0" w:color="auto"/>
            <w:bottom w:val="none" w:sz="0" w:space="0" w:color="auto"/>
            <w:right w:val="none" w:sz="0" w:space="0" w:color="auto"/>
          </w:divBdr>
          <w:divsChild>
            <w:div w:id="57284231">
              <w:marLeft w:val="0"/>
              <w:marRight w:val="0"/>
              <w:marTop w:val="0"/>
              <w:marBottom w:val="0"/>
              <w:divBdr>
                <w:top w:val="none" w:sz="0" w:space="0" w:color="auto"/>
                <w:left w:val="none" w:sz="0" w:space="0" w:color="auto"/>
                <w:bottom w:val="none" w:sz="0" w:space="0" w:color="auto"/>
                <w:right w:val="none" w:sz="0" w:space="0" w:color="auto"/>
              </w:divBdr>
              <w:divsChild>
                <w:div w:id="147398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25630">
      <w:bodyDiv w:val="1"/>
      <w:marLeft w:val="0"/>
      <w:marRight w:val="0"/>
      <w:marTop w:val="0"/>
      <w:marBottom w:val="0"/>
      <w:divBdr>
        <w:top w:val="none" w:sz="0" w:space="0" w:color="auto"/>
        <w:left w:val="none" w:sz="0" w:space="0" w:color="auto"/>
        <w:bottom w:val="none" w:sz="0" w:space="0" w:color="auto"/>
        <w:right w:val="none" w:sz="0" w:space="0" w:color="auto"/>
      </w:divBdr>
      <w:divsChild>
        <w:div w:id="305747010">
          <w:marLeft w:val="0"/>
          <w:marRight w:val="0"/>
          <w:marTop w:val="0"/>
          <w:marBottom w:val="0"/>
          <w:divBdr>
            <w:top w:val="none" w:sz="0" w:space="0" w:color="auto"/>
            <w:left w:val="none" w:sz="0" w:space="0" w:color="auto"/>
            <w:bottom w:val="none" w:sz="0" w:space="0" w:color="auto"/>
            <w:right w:val="none" w:sz="0" w:space="0" w:color="auto"/>
          </w:divBdr>
          <w:divsChild>
            <w:div w:id="1171605439">
              <w:marLeft w:val="0"/>
              <w:marRight w:val="0"/>
              <w:marTop w:val="0"/>
              <w:marBottom w:val="0"/>
              <w:divBdr>
                <w:top w:val="none" w:sz="0" w:space="0" w:color="auto"/>
                <w:left w:val="none" w:sz="0" w:space="0" w:color="auto"/>
                <w:bottom w:val="none" w:sz="0" w:space="0" w:color="auto"/>
                <w:right w:val="none" w:sz="0" w:space="0" w:color="auto"/>
              </w:divBdr>
              <w:divsChild>
                <w:div w:id="66521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517494">
      <w:bodyDiv w:val="1"/>
      <w:marLeft w:val="0"/>
      <w:marRight w:val="0"/>
      <w:marTop w:val="0"/>
      <w:marBottom w:val="0"/>
      <w:divBdr>
        <w:top w:val="none" w:sz="0" w:space="0" w:color="auto"/>
        <w:left w:val="none" w:sz="0" w:space="0" w:color="auto"/>
        <w:bottom w:val="none" w:sz="0" w:space="0" w:color="auto"/>
        <w:right w:val="none" w:sz="0" w:space="0" w:color="auto"/>
      </w:divBdr>
    </w:div>
    <w:div w:id="364061548">
      <w:bodyDiv w:val="1"/>
      <w:marLeft w:val="0"/>
      <w:marRight w:val="0"/>
      <w:marTop w:val="0"/>
      <w:marBottom w:val="0"/>
      <w:divBdr>
        <w:top w:val="none" w:sz="0" w:space="0" w:color="auto"/>
        <w:left w:val="none" w:sz="0" w:space="0" w:color="auto"/>
        <w:bottom w:val="none" w:sz="0" w:space="0" w:color="auto"/>
        <w:right w:val="none" w:sz="0" w:space="0" w:color="auto"/>
      </w:divBdr>
    </w:div>
    <w:div w:id="599486647">
      <w:bodyDiv w:val="1"/>
      <w:marLeft w:val="0"/>
      <w:marRight w:val="0"/>
      <w:marTop w:val="0"/>
      <w:marBottom w:val="0"/>
      <w:divBdr>
        <w:top w:val="none" w:sz="0" w:space="0" w:color="auto"/>
        <w:left w:val="none" w:sz="0" w:space="0" w:color="auto"/>
        <w:bottom w:val="none" w:sz="0" w:space="0" w:color="auto"/>
        <w:right w:val="none" w:sz="0" w:space="0" w:color="auto"/>
      </w:divBdr>
      <w:divsChild>
        <w:div w:id="1140267481">
          <w:marLeft w:val="0"/>
          <w:marRight w:val="0"/>
          <w:marTop w:val="0"/>
          <w:marBottom w:val="0"/>
          <w:divBdr>
            <w:top w:val="none" w:sz="0" w:space="0" w:color="auto"/>
            <w:left w:val="none" w:sz="0" w:space="0" w:color="auto"/>
            <w:bottom w:val="none" w:sz="0" w:space="0" w:color="auto"/>
            <w:right w:val="none" w:sz="0" w:space="0" w:color="auto"/>
          </w:divBdr>
          <w:divsChild>
            <w:div w:id="1195004362">
              <w:marLeft w:val="0"/>
              <w:marRight w:val="0"/>
              <w:marTop w:val="0"/>
              <w:marBottom w:val="0"/>
              <w:divBdr>
                <w:top w:val="none" w:sz="0" w:space="0" w:color="auto"/>
                <w:left w:val="none" w:sz="0" w:space="0" w:color="auto"/>
                <w:bottom w:val="none" w:sz="0" w:space="0" w:color="auto"/>
                <w:right w:val="none" w:sz="0" w:space="0" w:color="auto"/>
              </w:divBdr>
              <w:divsChild>
                <w:div w:id="102486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465377">
      <w:bodyDiv w:val="1"/>
      <w:marLeft w:val="0"/>
      <w:marRight w:val="0"/>
      <w:marTop w:val="0"/>
      <w:marBottom w:val="0"/>
      <w:divBdr>
        <w:top w:val="none" w:sz="0" w:space="0" w:color="auto"/>
        <w:left w:val="none" w:sz="0" w:space="0" w:color="auto"/>
        <w:bottom w:val="none" w:sz="0" w:space="0" w:color="auto"/>
        <w:right w:val="none" w:sz="0" w:space="0" w:color="auto"/>
      </w:divBdr>
    </w:div>
    <w:div w:id="1298531091">
      <w:bodyDiv w:val="1"/>
      <w:marLeft w:val="0"/>
      <w:marRight w:val="0"/>
      <w:marTop w:val="0"/>
      <w:marBottom w:val="0"/>
      <w:divBdr>
        <w:top w:val="none" w:sz="0" w:space="0" w:color="auto"/>
        <w:left w:val="none" w:sz="0" w:space="0" w:color="auto"/>
        <w:bottom w:val="none" w:sz="0" w:space="0" w:color="auto"/>
        <w:right w:val="none" w:sz="0" w:space="0" w:color="auto"/>
      </w:divBdr>
      <w:divsChild>
        <w:div w:id="919799507">
          <w:marLeft w:val="0"/>
          <w:marRight w:val="0"/>
          <w:marTop w:val="0"/>
          <w:marBottom w:val="0"/>
          <w:divBdr>
            <w:top w:val="none" w:sz="0" w:space="0" w:color="auto"/>
            <w:left w:val="none" w:sz="0" w:space="0" w:color="auto"/>
            <w:bottom w:val="none" w:sz="0" w:space="0" w:color="auto"/>
            <w:right w:val="none" w:sz="0" w:space="0" w:color="auto"/>
          </w:divBdr>
          <w:divsChild>
            <w:div w:id="848907985">
              <w:marLeft w:val="0"/>
              <w:marRight w:val="0"/>
              <w:marTop w:val="0"/>
              <w:marBottom w:val="0"/>
              <w:divBdr>
                <w:top w:val="none" w:sz="0" w:space="0" w:color="auto"/>
                <w:left w:val="none" w:sz="0" w:space="0" w:color="auto"/>
                <w:bottom w:val="none" w:sz="0" w:space="0" w:color="auto"/>
                <w:right w:val="none" w:sz="0" w:space="0" w:color="auto"/>
              </w:divBdr>
              <w:divsChild>
                <w:div w:id="159397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857122">
      <w:bodyDiv w:val="1"/>
      <w:marLeft w:val="0"/>
      <w:marRight w:val="0"/>
      <w:marTop w:val="0"/>
      <w:marBottom w:val="0"/>
      <w:divBdr>
        <w:top w:val="none" w:sz="0" w:space="0" w:color="auto"/>
        <w:left w:val="none" w:sz="0" w:space="0" w:color="auto"/>
        <w:bottom w:val="none" w:sz="0" w:space="0" w:color="auto"/>
        <w:right w:val="none" w:sz="0" w:space="0" w:color="auto"/>
      </w:divBdr>
    </w:div>
    <w:div w:id="1476995885">
      <w:bodyDiv w:val="1"/>
      <w:marLeft w:val="0"/>
      <w:marRight w:val="0"/>
      <w:marTop w:val="0"/>
      <w:marBottom w:val="0"/>
      <w:divBdr>
        <w:top w:val="none" w:sz="0" w:space="0" w:color="auto"/>
        <w:left w:val="none" w:sz="0" w:space="0" w:color="auto"/>
        <w:bottom w:val="none" w:sz="0" w:space="0" w:color="auto"/>
        <w:right w:val="none" w:sz="0" w:space="0" w:color="auto"/>
      </w:divBdr>
    </w:div>
    <w:div w:id="1498307351">
      <w:bodyDiv w:val="1"/>
      <w:marLeft w:val="0"/>
      <w:marRight w:val="0"/>
      <w:marTop w:val="0"/>
      <w:marBottom w:val="0"/>
      <w:divBdr>
        <w:top w:val="none" w:sz="0" w:space="0" w:color="auto"/>
        <w:left w:val="none" w:sz="0" w:space="0" w:color="auto"/>
        <w:bottom w:val="none" w:sz="0" w:space="0" w:color="auto"/>
        <w:right w:val="none" w:sz="0" w:space="0" w:color="auto"/>
      </w:divBdr>
    </w:div>
    <w:div w:id="1529833044">
      <w:bodyDiv w:val="1"/>
      <w:marLeft w:val="0"/>
      <w:marRight w:val="0"/>
      <w:marTop w:val="0"/>
      <w:marBottom w:val="0"/>
      <w:divBdr>
        <w:top w:val="none" w:sz="0" w:space="0" w:color="auto"/>
        <w:left w:val="none" w:sz="0" w:space="0" w:color="auto"/>
        <w:bottom w:val="none" w:sz="0" w:space="0" w:color="auto"/>
        <w:right w:val="none" w:sz="0" w:space="0" w:color="auto"/>
      </w:divBdr>
    </w:div>
    <w:div w:id="1696228168">
      <w:bodyDiv w:val="1"/>
      <w:marLeft w:val="0"/>
      <w:marRight w:val="0"/>
      <w:marTop w:val="0"/>
      <w:marBottom w:val="0"/>
      <w:divBdr>
        <w:top w:val="none" w:sz="0" w:space="0" w:color="auto"/>
        <w:left w:val="none" w:sz="0" w:space="0" w:color="auto"/>
        <w:bottom w:val="none" w:sz="0" w:space="0" w:color="auto"/>
        <w:right w:val="none" w:sz="0" w:space="0" w:color="auto"/>
      </w:divBdr>
      <w:divsChild>
        <w:div w:id="595137023">
          <w:marLeft w:val="0"/>
          <w:marRight w:val="0"/>
          <w:marTop w:val="0"/>
          <w:marBottom w:val="0"/>
          <w:divBdr>
            <w:top w:val="none" w:sz="0" w:space="0" w:color="auto"/>
            <w:left w:val="none" w:sz="0" w:space="0" w:color="auto"/>
            <w:bottom w:val="none" w:sz="0" w:space="0" w:color="auto"/>
            <w:right w:val="none" w:sz="0" w:space="0" w:color="auto"/>
          </w:divBdr>
          <w:divsChild>
            <w:div w:id="1438676744">
              <w:marLeft w:val="0"/>
              <w:marRight w:val="0"/>
              <w:marTop w:val="0"/>
              <w:marBottom w:val="0"/>
              <w:divBdr>
                <w:top w:val="none" w:sz="0" w:space="0" w:color="auto"/>
                <w:left w:val="none" w:sz="0" w:space="0" w:color="auto"/>
                <w:bottom w:val="none" w:sz="0" w:space="0" w:color="auto"/>
                <w:right w:val="none" w:sz="0" w:space="0" w:color="auto"/>
              </w:divBdr>
              <w:divsChild>
                <w:div w:id="13071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966719">
      <w:bodyDiv w:val="1"/>
      <w:marLeft w:val="0"/>
      <w:marRight w:val="0"/>
      <w:marTop w:val="0"/>
      <w:marBottom w:val="0"/>
      <w:divBdr>
        <w:top w:val="none" w:sz="0" w:space="0" w:color="auto"/>
        <w:left w:val="none" w:sz="0" w:space="0" w:color="auto"/>
        <w:bottom w:val="none" w:sz="0" w:space="0" w:color="auto"/>
        <w:right w:val="none" w:sz="0" w:space="0" w:color="auto"/>
      </w:divBdr>
    </w:div>
    <w:div w:id="1979414454">
      <w:bodyDiv w:val="1"/>
      <w:marLeft w:val="0"/>
      <w:marRight w:val="0"/>
      <w:marTop w:val="0"/>
      <w:marBottom w:val="0"/>
      <w:divBdr>
        <w:top w:val="none" w:sz="0" w:space="0" w:color="auto"/>
        <w:left w:val="none" w:sz="0" w:space="0" w:color="auto"/>
        <w:bottom w:val="none" w:sz="0" w:space="0" w:color="auto"/>
        <w:right w:val="none" w:sz="0" w:space="0" w:color="auto"/>
      </w:divBdr>
      <w:divsChild>
        <w:div w:id="2023891630">
          <w:marLeft w:val="0"/>
          <w:marRight w:val="0"/>
          <w:marTop w:val="0"/>
          <w:marBottom w:val="0"/>
          <w:divBdr>
            <w:top w:val="none" w:sz="0" w:space="0" w:color="auto"/>
            <w:left w:val="none" w:sz="0" w:space="0" w:color="auto"/>
            <w:bottom w:val="none" w:sz="0" w:space="0" w:color="auto"/>
            <w:right w:val="none" w:sz="0" w:space="0" w:color="auto"/>
          </w:divBdr>
        </w:div>
        <w:div w:id="19792602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305</TotalTime>
  <Pages>6</Pages>
  <Words>1512</Words>
  <Characters>8623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Eldarin Yeong</dc:creator>
  <cp:keywords/>
  <dc:description/>
  <cp:lastModifiedBy>Eldarin Yeong</cp:lastModifiedBy>
  <cp:revision>39</cp:revision>
  <dcterms:created xsi:type="dcterms:W3CDTF">2024-10-22T15:08:00Z</dcterms:created>
  <dcterms:modified xsi:type="dcterms:W3CDTF">2024-10-23T18:11:00Z</dcterms:modified>
</cp:coreProperties>
</file>