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sz w:val="32"/>
          <w:szCs w:val="32"/>
          <w:u w:val="single"/>
        </w:rPr>
        <w:id w:val="-1018689406"/>
        <w:docPartObj>
          <w:docPartGallery w:val="Cover Pages"/>
          <w:docPartUnique/>
        </w:docPartObj>
      </w:sdtPr>
      <w:sdtEndPr>
        <w:rPr>
          <w:sz w:val="22"/>
          <w:szCs w:val="22"/>
        </w:rPr>
      </w:sdtEndPr>
      <w:sdtContent>
        <w:p w14:paraId="67F7808B" w14:textId="1A09645D" w:rsidR="005B276C" w:rsidRPr="00305E9C" w:rsidRDefault="00333E7D" w:rsidP="00BA7581">
          <w:pPr>
            <w:rPr>
              <w:rFonts w:ascii="Arial" w:hAnsi="Arial" w:cs="Arial"/>
              <w:b/>
              <w:bCs/>
              <w:u w:val="single"/>
            </w:rPr>
          </w:pPr>
          <w:r w:rsidRPr="00333E7D">
            <w:rPr>
              <w:rFonts w:ascii="Arial" w:hAnsi="Arial" w:cs="Arial"/>
              <w:b/>
              <w:bCs/>
              <w:noProof/>
              <w:sz w:val="32"/>
              <w:szCs w:val="32"/>
              <w:u w:val="single"/>
            </w:rPr>
            <mc:AlternateContent>
              <mc:Choice Requires="wps">
                <w:drawing>
                  <wp:anchor distT="0" distB="0" distL="114300" distR="114300" simplePos="0" relativeHeight="251659264" behindDoc="0" locked="0" layoutInCell="1" allowOverlap="1" wp14:anchorId="4DE41B34" wp14:editId="6237B4BD">
                    <wp:simplePos x="0" y="0"/>
                    <wp:positionH relativeFrom="page">
                      <wp:posOffset>196850</wp:posOffset>
                    </wp:positionH>
                    <wp:positionV relativeFrom="margin">
                      <wp:align>bottom</wp:align>
                    </wp:positionV>
                    <wp:extent cx="7470140" cy="10356850"/>
                    <wp:effectExtent l="0" t="0" r="0" b="6350"/>
                    <wp:wrapNone/>
                    <wp:docPr id="138" name="Text Box 40"/>
                    <wp:cNvGraphicFramePr/>
                    <a:graphic xmlns:a="http://schemas.openxmlformats.org/drawingml/2006/main">
                      <a:graphicData uri="http://schemas.microsoft.com/office/word/2010/wordprocessingShape">
                        <wps:wsp>
                          <wps:cNvSpPr txBox="1"/>
                          <wps:spPr>
                            <a:xfrm>
                              <a:off x="0" y="0"/>
                              <a:ext cx="7470140" cy="103568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40"/>
                                  <w:gridCol w:w="5398"/>
                                </w:tblGrid>
                                <w:tr w:rsidR="00333E7D" w14:paraId="1710DD55" w14:textId="77777777" w:rsidTr="00363853">
                                  <w:trPr>
                                    <w:jc w:val="center"/>
                                  </w:trPr>
                                  <w:tc>
                                    <w:tcPr>
                                      <w:tcW w:w="2476" w:type="pct"/>
                                      <w:vAlign w:val="center"/>
                                    </w:tcPr>
                                    <w:p w14:paraId="4E3CFD3D" w14:textId="640CD176" w:rsidR="00A74B45" w:rsidRDefault="000C218A" w:rsidP="000C218A">
                                      <w:pPr>
                                        <w:ind w:right="330"/>
                                        <w:jc w:val="right"/>
                                        <w:rPr>
                                          <w:noProof/>
                                        </w:rPr>
                                      </w:pPr>
                                      <w:r>
                                        <w:rPr>
                                          <w:noProof/>
                                        </w:rPr>
                                        <w:drawing>
                                          <wp:inline distT="0" distB="0" distL="0" distR="0" wp14:anchorId="5ACC9A92" wp14:editId="5BBA288D">
                                            <wp:extent cx="3359150" cy="3168650"/>
                                            <wp:effectExtent l="0" t="0" r="0" b="0"/>
                                            <wp:docPr id="1554363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363846" name="Picture 1554363846"/>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359150" cy="3168650"/>
                                                    </a:xfrm>
                                                    <a:prstGeom prst="rect">
                                                      <a:avLst/>
                                                    </a:prstGeom>
                                                  </pic:spPr>
                                                </pic:pic>
                                              </a:graphicData>
                                            </a:graphic>
                                          </wp:inline>
                                        </w:drawing>
                                      </w:r>
                                    </w:p>
                                    <w:p w14:paraId="3DC25FF2" w14:textId="39758EBD" w:rsidR="00333E7D" w:rsidRDefault="00333E7D" w:rsidP="00363853"/>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E7A000" w14:textId="678775BA" w:rsidR="00333E7D" w:rsidRDefault="00703A03">
                                          <w:pPr>
                                            <w:pStyle w:val="NoSpacing"/>
                                            <w:spacing w:line="312" w:lineRule="auto"/>
                                            <w:jc w:val="right"/>
                                            <w:rPr>
                                              <w:caps/>
                                              <w:color w:val="191919" w:themeColor="text1" w:themeTint="E6"/>
                                              <w:sz w:val="72"/>
                                              <w:szCs w:val="72"/>
                                            </w:rPr>
                                          </w:pPr>
                                          <w:r>
                                            <w:rPr>
                                              <w:caps/>
                                              <w:color w:val="191919" w:themeColor="text1" w:themeTint="E6"/>
                                              <w:sz w:val="72"/>
                                              <w:szCs w:val="72"/>
                                            </w:rPr>
                                            <w:t>literiture review</w:t>
                                          </w:r>
                                        </w:p>
                                      </w:sdtContent>
                                    </w:sdt>
                                    <w:sdt>
                                      <w:sdtPr>
                                        <w:rPr>
                                          <w:rFonts w:ascii="Arial" w:hAnsi="Arial" w:cs="Arial"/>
                                          <w:b/>
                                          <w:bCs/>
                                          <w:color w:val="000000" w:themeColor="text1"/>
                                          <w:sz w:val="28"/>
                                          <w:szCs w:val="28"/>
                                          <w:u w:val="singl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4F21F15" w14:textId="743DF143" w:rsidR="00333E7D" w:rsidRPr="00916906" w:rsidRDefault="00703A03" w:rsidP="00C07EB3">
                                          <w:pPr>
                                            <w:rPr>
                                              <w:rFonts w:ascii="Arial" w:hAnsi="Arial" w:cs="Arial"/>
                                              <w:b/>
                                              <w:bCs/>
                                              <w:sz w:val="28"/>
                                              <w:szCs w:val="28"/>
                                            </w:rPr>
                                          </w:pPr>
                                          <w:r w:rsidRPr="00C07EB3">
                                            <w:rPr>
                                              <w:rFonts w:ascii="Arial" w:hAnsi="Arial" w:cs="Arial"/>
                                              <w:b/>
                                              <w:bCs/>
                                              <w:color w:val="000000" w:themeColor="text1"/>
                                              <w:sz w:val="28"/>
                                              <w:szCs w:val="28"/>
                                              <w:u w:val="single"/>
                                            </w:rPr>
                                            <w:t xml:space="preserve"> </w:t>
                                          </w:r>
                                          <w:r w:rsidR="00A8407B">
                                            <w:rPr>
                                              <w:rFonts w:ascii="Arial" w:hAnsi="Arial" w:cs="Arial"/>
                                              <w:b/>
                                              <w:bCs/>
                                              <w:color w:val="000000" w:themeColor="text1"/>
                                              <w:sz w:val="28"/>
                                              <w:szCs w:val="28"/>
                                              <w:u w:val="single"/>
                                            </w:rPr>
                                            <w:t xml:space="preserve">Women </w:t>
                                          </w:r>
                                          <w:proofErr w:type="spellStart"/>
                                          <w:r w:rsidR="00A34826">
                                            <w:rPr>
                                              <w:rFonts w:ascii="Arial" w:hAnsi="Arial" w:cs="Arial"/>
                                              <w:b/>
                                              <w:bCs/>
                                              <w:color w:val="000000" w:themeColor="text1"/>
                                              <w:sz w:val="28"/>
                                              <w:szCs w:val="28"/>
                                              <w:u w:val="single"/>
                                            </w:rPr>
                                            <w:t>W</w:t>
                                          </w:r>
                                          <w:r w:rsidR="00A8407B">
                                            <w:rPr>
                                              <w:rFonts w:ascii="Arial" w:hAnsi="Arial" w:cs="Arial"/>
                                              <w:b/>
                                              <w:bCs/>
                                              <w:color w:val="000000" w:themeColor="text1"/>
                                              <w:sz w:val="28"/>
                                              <w:szCs w:val="28"/>
                                              <w:u w:val="single"/>
                                            </w:rPr>
                                            <w:t>ithTy</w:t>
                                          </w:r>
                                          <w:r w:rsidR="00A34826">
                                            <w:rPr>
                                              <w:rFonts w:ascii="Arial" w:hAnsi="Arial" w:cs="Arial"/>
                                              <w:b/>
                                              <w:bCs/>
                                              <w:color w:val="000000" w:themeColor="text1"/>
                                              <w:sz w:val="28"/>
                                              <w:szCs w:val="28"/>
                                              <w:u w:val="single"/>
                                            </w:rPr>
                                            <w:t>pe</w:t>
                                          </w:r>
                                          <w:proofErr w:type="spellEnd"/>
                                          <w:r w:rsidR="00A34826">
                                            <w:rPr>
                                              <w:rFonts w:ascii="Arial" w:hAnsi="Arial" w:cs="Arial"/>
                                              <w:b/>
                                              <w:bCs/>
                                              <w:color w:val="000000" w:themeColor="text1"/>
                                              <w:sz w:val="28"/>
                                              <w:szCs w:val="28"/>
                                              <w:u w:val="single"/>
                                            </w:rPr>
                                            <w:t xml:space="preserve"> 2 Diabetes</w:t>
                                          </w:r>
                                          <w:r w:rsidRPr="00C07EB3">
                                            <w:rPr>
                                              <w:rFonts w:ascii="Arial" w:hAnsi="Arial" w:cs="Arial"/>
                                              <w:b/>
                                              <w:bCs/>
                                              <w:color w:val="000000" w:themeColor="text1"/>
                                              <w:sz w:val="28"/>
                                              <w:szCs w:val="28"/>
                                              <w:u w:val="single"/>
                                            </w:rPr>
                                            <w:t>.</w:t>
                                          </w:r>
                                        </w:p>
                                      </w:sdtContent>
                                    </w:sdt>
                                  </w:tc>
                                  <w:tc>
                                    <w:tcPr>
                                      <w:tcW w:w="2524" w:type="pct"/>
                                      <w:vAlign w:val="center"/>
                                    </w:tcPr>
                                    <w:p w14:paraId="779F1E80" w14:textId="77777777" w:rsidR="00333E7D" w:rsidRPr="00955562" w:rsidRDefault="00333E7D">
                                      <w:pPr>
                                        <w:pStyle w:val="NoSpacing"/>
                                        <w:rPr>
                                          <w:rFonts w:ascii="Arial" w:hAnsi="Arial" w:cs="Arial"/>
                                          <w:b/>
                                          <w:bCs/>
                                          <w:caps/>
                                          <w:color w:val="ED7D31" w:themeColor="accent2"/>
                                          <w:sz w:val="28"/>
                                          <w:szCs w:val="28"/>
                                          <w:u w:val="single"/>
                                        </w:rPr>
                                      </w:pPr>
                                      <w:r w:rsidRPr="00955562">
                                        <w:rPr>
                                          <w:rFonts w:ascii="Arial" w:hAnsi="Arial" w:cs="Arial"/>
                                          <w:b/>
                                          <w:bCs/>
                                          <w:caps/>
                                          <w:color w:val="ED7D31" w:themeColor="accent2"/>
                                          <w:sz w:val="28"/>
                                          <w:szCs w:val="28"/>
                                          <w:u w:val="single"/>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E620558" w14:textId="4D59B4C2" w:rsidR="00333E7D" w:rsidRPr="00EE4857" w:rsidRDefault="001D5940" w:rsidP="00EE4857">
                                          <w:pPr>
                                            <w:spacing w:line="360" w:lineRule="auto"/>
                                            <w:rPr>
                                              <w:rFonts w:ascii="Arial" w:hAnsi="Arial" w:cs="Arial"/>
                                              <w:color w:val="000000" w:themeColor="text1"/>
                                            </w:rPr>
                                          </w:pPr>
                                          <w:r w:rsidRPr="00EE4857">
                                            <w:rPr>
                                              <w:rFonts w:ascii="Arial" w:hAnsi="Arial" w:cs="Arial"/>
                                              <w:color w:val="000000" w:themeColor="text1"/>
                                            </w:rPr>
                                            <w:t xml:space="preserve">The prevalence of diabetes has reached epidemic proportions globally, posing significant challenges to public health. This literature review aims to provide a comprehensive overview of diabetes type </w:t>
                                          </w:r>
                                          <w:r w:rsidR="00D15F9D">
                                            <w:rPr>
                                              <w:rFonts w:ascii="Arial" w:hAnsi="Arial" w:cs="Arial"/>
                                              <w:color w:val="000000" w:themeColor="text1"/>
                                            </w:rPr>
                                            <w:t>2</w:t>
                                          </w:r>
                                          <w:r w:rsidRPr="00EE4857">
                                            <w:rPr>
                                              <w:rFonts w:ascii="Arial" w:hAnsi="Arial" w:cs="Arial"/>
                                              <w:color w:val="000000" w:themeColor="text1"/>
                                            </w:rPr>
                                            <w:t xml:space="preserve"> </w:t>
                                          </w:r>
                                          <w:r w:rsidR="00D15F9D">
                                            <w:rPr>
                                              <w:rFonts w:ascii="Arial" w:hAnsi="Arial" w:cs="Arial"/>
                                              <w:color w:val="000000" w:themeColor="text1"/>
                                            </w:rPr>
                                            <w:t xml:space="preserve">in </w:t>
                                          </w:r>
                                          <w:r w:rsidRPr="00EE4857">
                                            <w:rPr>
                                              <w:rFonts w:ascii="Arial" w:hAnsi="Arial" w:cs="Arial"/>
                                              <w:color w:val="000000" w:themeColor="text1"/>
                                            </w:rPr>
                                            <w:t>woman. It aims to encompassing its pathophysiology</w:t>
                                          </w:r>
                                          <w:r w:rsidR="00EE4511">
                                            <w:rPr>
                                              <w:rFonts w:ascii="Arial" w:hAnsi="Arial" w:cs="Arial"/>
                                              <w:color w:val="000000" w:themeColor="text1"/>
                                            </w:rPr>
                                            <w:t xml:space="preserve">, </w:t>
                                          </w:r>
                                          <w:r w:rsidRPr="00EE4857">
                                            <w:rPr>
                                              <w:rFonts w:ascii="Arial" w:hAnsi="Arial" w:cs="Arial"/>
                                              <w:color w:val="000000" w:themeColor="text1"/>
                                            </w:rPr>
                                            <w:t>risk factors</w:t>
                                          </w:r>
                                          <w:r w:rsidR="00B52EAF">
                                            <w:rPr>
                                              <w:rFonts w:ascii="Arial" w:hAnsi="Arial" w:cs="Arial"/>
                                              <w:color w:val="000000" w:themeColor="text1"/>
                                            </w:rPr>
                                            <w:t xml:space="preserve"> such as</w:t>
                                          </w:r>
                                          <w:r w:rsidRPr="00EE4857">
                                            <w:rPr>
                                              <w:rFonts w:ascii="Arial" w:hAnsi="Arial" w:cs="Arial"/>
                                              <w:color w:val="000000" w:themeColor="text1"/>
                                            </w:rPr>
                                            <w:t xml:space="preserve">, environment factors, biological factors, life factors, psychosocial factors, genetic and ethic factors, hormonal factors, diagnosis, prevention, and management strategies. The review also highlights the importance of patient education and self-care in managing the condition effectively. It will also include the methods </w:t>
                                          </w:r>
                                          <w:r w:rsidR="00DE1DA8">
                                            <w:rPr>
                                              <w:rFonts w:ascii="Arial" w:hAnsi="Arial" w:cs="Arial"/>
                                              <w:color w:val="000000" w:themeColor="text1"/>
                                            </w:rPr>
                                            <w:t>and word</w:t>
                                          </w:r>
                                          <w:r w:rsidR="00B70F6A">
                                            <w:rPr>
                                              <w:rFonts w:ascii="Arial" w:hAnsi="Arial" w:cs="Arial"/>
                                              <w:color w:val="000000" w:themeColor="text1"/>
                                            </w:rPr>
                                            <w:t>s used</w:t>
                                          </w:r>
                                          <w:r w:rsidRPr="00EE4857">
                                            <w:rPr>
                                              <w:rFonts w:ascii="Arial" w:hAnsi="Arial" w:cs="Arial"/>
                                              <w:color w:val="000000" w:themeColor="text1"/>
                                            </w:rPr>
                                            <w:t xml:space="preserve"> for the research.</w:t>
                                          </w:r>
                                        </w:p>
                                      </w:sdtContent>
                                    </w:sdt>
                                    <w:sdt>
                                      <w:sdtPr>
                                        <w:rPr>
                                          <w:rFonts w:ascii="Arial" w:hAnsi="Arial" w:cs="Arial"/>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173C9BA" w14:textId="0D4CD6DE" w:rsidR="00333E7D" w:rsidRPr="00A23C91" w:rsidRDefault="00333E7D">
                                          <w:pPr>
                                            <w:pStyle w:val="NoSpacing"/>
                                            <w:rPr>
                                              <w:rFonts w:ascii="Arial" w:hAnsi="Arial" w:cs="Arial"/>
                                              <w:b/>
                                              <w:bCs/>
                                              <w:color w:val="ED7D31" w:themeColor="accent2"/>
                                              <w:sz w:val="26"/>
                                              <w:szCs w:val="26"/>
                                            </w:rPr>
                                          </w:pPr>
                                          <w:r w:rsidRPr="00A23C91">
                                            <w:rPr>
                                              <w:rFonts w:ascii="Arial" w:hAnsi="Arial" w:cs="Arial"/>
                                              <w:b/>
                                              <w:bCs/>
                                              <w:color w:val="ED7D31" w:themeColor="accent2"/>
                                              <w:sz w:val="26"/>
                                              <w:szCs w:val="26"/>
                                            </w:rPr>
                                            <w:t>Nomathemba Socikwa</w:t>
                                          </w:r>
                                        </w:p>
                                      </w:sdtContent>
                                    </w:sdt>
                                    <w:p w14:paraId="22550C9F" w14:textId="4E5839CA" w:rsidR="00333E7D" w:rsidRPr="00A23C91" w:rsidRDefault="009335F7">
                                      <w:pPr>
                                        <w:pStyle w:val="NoSpacing"/>
                                        <w:rPr>
                                          <w:rFonts w:ascii="Arial" w:hAnsi="Arial" w:cs="Arial"/>
                                          <w:b/>
                                          <w:bCs/>
                                          <w:color w:val="44546A" w:themeColor="text2"/>
                                        </w:rPr>
                                      </w:pPr>
                                      <w:sdt>
                                        <w:sdtPr>
                                          <w:rPr>
                                            <w:rFonts w:ascii="Arial" w:hAnsi="Arial" w:cs="Arial"/>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03A03" w:rsidRPr="00A23C91">
                                            <w:rPr>
                                              <w:rFonts w:ascii="Arial" w:hAnsi="Arial" w:cs="Arial"/>
                                              <w:b/>
                                              <w:bCs/>
                                              <w:color w:val="44546A" w:themeColor="text2"/>
                                            </w:rPr>
                                            <w:t>BSc Health and Social care</w:t>
                                          </w:r>
                                        </w:sdtContent>
                                      </w:sdt>
                                    </w:p>
                                    <w:p w14:paraId="2BD7CD6A" w14:textId="77777777" w:rsidR="00031190" w:rsidRDefault="00031190">
                                      <w:pPr>
                                        <w:pStyle w:val="NoSpacing"/>
                                        <w:rPr>
                                          <w:color w:val="44546A" w:themeColor="text2"/>
                                        </w:rPr>
                                      </w:pPr>
                                    </w:p>
                                    <w:tbl>
                                      <w:tblPr>
                                        <w:tblStyle w:val="TableGrid"/>
                                        <w:tblW w:w="0" w:type="auto"/>
                                        <w:tblLook w:val="04A0" w:firstRow="1" w:lastRow="0" w:firstColumn="1" w:lastColumn="0" w:noHBand="0" w:noVBand="1"/>
                                      </w:tblPr>
                                      <w:tblGrid>
                                        <w:gridCol w:w="1819"/>
                                        <w:gridCol w:w="1849"/>
                                      </w:tblGrid>
                                      <w:tr w:rsidR="00887774" w:rsidRPr="007F4531" w14:paraId="4D5E6794" w14:textId="77777777" w:rsidTr="00C07EB3">
                                        <w:trPr>
                                          <w:trHeight w:val="575"/>
                                        </w:trPr>
                                        <w:tc>
                                          <w:tcPr>
                                            <w:tcW w:w="1819" w:type="dxa"/>
                                          </w:tcPr>
                                          <w:p w14:paraId="0ED4E124" w14:textId="05065601" w:rsidR="00887774" w:rsidRPr="0036657F" w:rsidRDefault="00D45548"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Student Number</w:t>
                                            </w:r>
                                          </w:p>
                                        </w:tc>
                                        <w:tc>
                                          <w:tcPr>
                                            <w:tcW w:w="1849" w:type="dxa"/>
                                          </w:tcPr>
                                          <w:p w14:paraId="17CDCDD7" w14:textId="0E9EA78E" w:rsidR="00887774" w:rsidRPr="00843FFE" w:rsidRDefault="00CC6391" w:rsidP="0036657F">
                                            <w:pPr>
                                              <w:pStyle w:val="NoSpacing"/>
                                              <w:spacing w:line="360" w:lineRule="auto"/>
                                              <w:rPr>
                                                <w:rFonts w:ascii="Arial" w:hAnsi="Arial" w:cs="Arial"/>
                                                <w:b/>
                                                <w:bCs/>
                                                <w:sz w:val="28"/>
                                                <w:szCs w:val="28"/>
                                              </w:rPr>
                                            </w:pPr>
                                            <w:r w:rsidRPr="00843FFE">
                                              <w:rPr>
                                                <w:rFonts w:ascii="Arial" w:hAnsi="Arial" w:cs="Arial"/>
                                                <w:b/>
                                                <w:bCs/>
                                                <w:sz w:val="28"/>
                                                <w:szCs w:val="28"/>
                                              </w:rPr>
                                              <w:t>2123581</w:t>
                                            </w:r>
                                            <w:r w:rsidR="001D5940" w:rsidRPr="00843FFE">
                                              <w:rPr>
                                                <w:rFonts w:ascii="Arial" w:hAnsi="Arial" w:cs="Arial"/>
                                                <w:b/>
                                                <w:bCs/>
                                                <w:sz w:val="28"/>
                                                <w:szCs w:val="28"/>
                                              </w:rPr>
                                              <w:t xml:space="preserve">            </w:t>
                                            </w:r>
                                          </w:p>
                                        </w:tc>
                                      </w:tr>
                                      <w:tr w:rsidR="008F382E" w:rsidRPr="007F4531" w14:paraId="06170744" w14:textId="77777777" w:rsidTr="00C07EB3">
                                        <w:trPr>
                                          <w:trHeight w:val="1444"/>
                                        </w:trPr>
                                        <w:tc>
                                          <w:tcPr>
                                            <w:tcW w:w="1819" w:type="dxa"/>
                                          </w:tcPr>
                                          <w:p w14:paraId="7F777895" w14:textId="00CA29FB" w:rsidR="008F382E" w:rsidRPr="0036657F" w:rsidRDefault="0000007E" w:rsidP="0036657F">
                                            <w:pPr>
                                              <w:pStyle w:val="NoSpacing"/>
                                              <w:spacing w:line="360" w:lineRule="auto"/>
                                              <w:rPr>
                                                <w:rFonts w:ascii="Arial" w:hAnsi="Arial" w:cs="Arial"/>
                                                <w:b/>
                                                <w:bCs/>
                                                <w:color w:val="ED7D31" w:themeColor="accent2"/>
                                                <w:sz w:val="28"/>
                                                <w:szCs w:val="28"/>
                                              </w:rPr>
                                            </w:pPr>
                                            <w:proofErr w:type="spellStart"/>
                                            <w:r w:rsidRPr="0036657F">
                                              <w:rPr>
                                                <w:rFonts w:ascii="Arial" w:hAnsi="Arial" w:cs="Arial"/>
                                                <w:b/>
                                                <w:bCs/>
                                                <w:color w:val="ED7D31" w:themeColor="accent2"/>
                                                <w:sz w:val="28"/>
                                                <w:szCs w:val="28"/>
                                              </w:rPr>
                                              <w:t>Programme</w:t>
                                            </w:r>
                                            <w:proofErr w:type="spellEnd"/>
                                            <w:r w:rsidRPr="0036657F">
                                              <w:rPr>
                                                <w:rFonts w:ascii="Arial" w:hAnsi="Arial" w:cs="Arial"/>
                                                <w:b/>
                                                <w:bCs/>
                                                <w:color w:val="ED7D31" w:themeColor="accent2"/>
                                                <w:sz w:val="28"/>
                                                <w:szCs w:val="28"/>
                                              </w:rPr>
                                              <w:t xml:space="preserve"> </w:t>
                                            </w:r>
                                          </w:p>
                                        </w:tc>
                                        <w:tc>
                                          <w:tcPr>
                                            <w:tcW w:w="1849" w:type="dxa"/>
                                          </w:tcPr>
                                          <w:p w14:paraId="2559EE48" w14:textId="7C71250B" w:rsidR="008F382E" w:rsidRPr="00843FFE" w:rsidRDefault="003060A4" w:rsidP="0036657F">
                                            <w:pPr>
                                              <w:pStyle w:val="NoSpacing"/>
                                              <w:spacing w:line="360" w:lineRule="auto"/>
                                              <w:rPr>
                                                <w:rFonts w:ascii="Arial" w:hAnsi="Arial" w:cs="Arial"/>
                                                <w:b/>
                                                <w:bCs/>
                                                <w:sz w:val="28"/>
                                                <w:szCs w:val="28"/>
                                              </w:rPr>
                                            </w:pPr>
                                            <w:r w:rsidRPr="00843FFE">
                                              <w:rPr>
                                                <w:rFonts w:ascii="Arial" w:hAnsi="Arial" w:cs="Arial"/>
                                                <w:b/>
                                                <w:bCs/>
                                                <w:sz w:val="28"/>
                                                <w:szCs w:val="28"/>
                                              </w:rPr>
                                              <w:t xml:space="preserve">BSc Health and </w:t>
                                            </w:r>
                                            <w:r w:rsidR="00C8055B" w:rsidRPr="00843FFE">
                                              <w:rPr>
                                                <w:rFonts w:ascii="Arial" w:hAnsi="Arial" w:cs="Arial"/>
                                                <w:b/>
                                                <w:bCs/>
                                                <w:sz w:val="28"/>
                                                <w:szCs w:val="28"/>
                                              </w:rPr>
                                              <w:t>Social Care</w:t>
                                            </w:r>
                                          </w:p>
                                        </w:tc>
                                      </w:tr>
                                      <w:tr w:rsidR="00887774" w:rsidRPr="007F4531" w14:paraId="7E55229E" w14:textId="77777777" w:rsidTr="00C07EB3">
                                        <w:trPr>
                                          <w:trHeight w:val="869"/>
                                        </w:trPr>
                                        <w:tc>
                                          <w:tcPr>
                                            <w:tcW w:w="1819" w:type="dxa"/>
                                          </w:tcPr>
                                          <w:p w14:paraId="39B874A1" w14:textId="6FC45320" w:rsidR="00887774" w:rsidRPr="0036657F" w:rsidRDefault="00D45548"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 xml:space="preserve">Module </w:t>
                                            </w:r>
                                          </w:p>
                                        </w:tc>
                                        <w:tc>
                                          <w:tcPr>
                                            <w:tcW w:w="1849" w:type="dxa"/>
                                          </w:tcPr>
                                          <w:p w14:paraId="745F127C" w14:textId="41F21E43" w:rsidR="00887774" w:rsidRPr="00843FFE" w:rsidRDefault="00A6280D" w:rsidP="0036657F">
                                            <w:pPr>
                                              <w:pStyle w:val="NoSpacing"/>
                                              <w:spacing w:line="360" w:lineRule="auto"/>
                                              <w:rPr>
                                                <w:rFonts w:ascii="Arial" w:hAnsi="Arial" w:cs="Arial"/>
                                                <w:b/>
                                                <w:bCs/>
                                                <w:sz w:val="28"/>
                                                <w:szCs w:val="28"/>
                                              </w:rPr>
                                            </w:pPr>
                                            <w:r w:rsidRPr="00843FFE">
                                              <w:rPr>
                                                <w:rFonts w:ascii="Arial" w:hAnsi="Arial" w:cs="Arial"/>
                                                <w:b/>
                                                <w:bCs/>
                                                <w:sz w:val="28"/>
                                                <w:szCs w:val="28"/>
                                              </w:rPr>
                                              <w:t>Introduction to Research</w:t>
                                            </w:r>
                                          </w:p>
                                        </w:tc>
                                      </w:tr>
                                      <w:tr w:rsidR="00887774" w:rsidRPr="007F4531" w14:paraId="246DD0D9" w14:textId="77777777" w:rsidTr="00C07EB3">
                                        <w:trPr>
                                          <w:trHeight w:val="575"/>
                                        </w:trPr>
                                        <w:tc>
                                          <w:tcPr>
                                            <w:tcW w:w="1819" w:type="dxa"/>
                                          </w:tcPr>
                                          <w:p w14:paraId="231E061B" w14:textId="326F6824" w:rsidR="00887774" w:rsidRPr="0036657F" w:rsidRDefault="002E31B2"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Module code</w:t>
                                            </w:r>
                                          </w:p>
                                        </w:tc>
                                        <w:tc>
                                          <w:tcPr>
                                            <w:tcW w:w="1849" w:type="dxa"/>
                                          </w:tcPr>
                                          <w:p w14:paraId="51DCF347" w14:textId="1D8D5832" w:rsidR="00887774" w:rsidRPr="00843FFE" w:rsidRDefault="00A6280D" w:rsidP="0036657F">
                                            <w:pPr>
                                              <w:pStyle w:val="NoSpacing"/>
                                              <w:spacing w:line="360" w:lineRule="auto"/>
                                              <w:rPr>
                                                <w:rFonts w:ascii="Arial" w:hAnsi="Arial" w:cs="Arial"/>
                                                <w:b/>
                                                <w:bCs/>
                                                <w:sz w:val="28"/>
                                                <w:szCs w:val="28"/>
                                              </w:rPr>
                                            </w:pPr>
                                            <w:r w:rsidRPr="00843FFE">
                                              <w:rPr>
                                                <w:rFonts w:ascii="Arial" w:hAnsi="Arial" w:cs="Arial"/>
                                                <w:b/>
                                                <w:bCs/>
                                                <w:sz w:val="28"/>
                                                <w:szCs w:val="28"/>
                                              </w:rPr>
                                              <w:t>BMH</w:t>
                                            </w:r>
                                            <w:r w:rsidR="003E2B2E" w:rsidRPr="00843FFE">
                                              <w:rPr>
                                                <w:rFonts w:ascii="Arial" w:hAnsi="Arial" w:cs="Arial"/>
                                                <w:b/>
                                                <w:bCs/>
                                                <w:sz w:val="28"/>
                                                <w:szCs w:val="28"/>
                                              </w:rPr>
                                              <w:t>P5005</w:t>
                                            </w:r>
                                          </w:p>
                                        </w:tc>
                                      </w:tr>
                                      <w:tr w:rsidR="00887774" w:rsidRPr="007F4531" w14:paraId="110DB3D1" w14:textId="77777777" w:rsidTr="00C07EB3">
                                        <w:trPr>
                                          <w:trHeight w:val="575"/>
                                        </w:trPr>
                                        <w:tc>
                                          <w:tcPr>
                                            <w:tcW w:w="1819" w:type="dxa"/>
                                          </w:tcPr>
                                          <w:p w14:paraId="23F1D772" w14:textId="43E4CBB3" w:rsidR="00887774" w:rsidRPr="0036657F" w:rsidRDefault="002E31B2"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 xml:space="preserve">Lecture </w:t>
                                            </w:r>
                                          </w:p>
                                        </w:tc>
                                        <w:tc>
                                          <w:tcPr>
                                            <w:tcW w:w="1849" w:type="dxa"/>
                                          </w:tcPr>
                                          <w:p w14:paraId="0FE2F640" w14:textId="49E2FA47" w:rsidR="00887774" w:rsidRPr="00843FFE" w:rsidRDefault="001C4C1F" w:rsidP="0036657F">
                                            <w:pPr>
                                              <w:pStyle w:val="NoSpacing"/>
                                              <w:spacing w:line="360" w:lineRule="auto"/>
                                              <w:rPr>
                                                <w:rFonts w:ascii="Arial" w:hAnsi="Arial" w:cs="Arial"/>
                                                <w:b/>
                                                <w:bCs/>
                                                <w:sz w:val="28"/>
                                                <w:szCs w:val="28"/>
                                              </w:rPr>
                                            </w:pPr>
                                            <w:r w:rsidRPr="00843FFE">
                                              <w:rPr>
                                                <w:rFonts w:ascii="Arial" w:hAnsi="Arial" w:cs="Arial"/>
                                                <w:b/>
                                                <w:bCs/>
                                                <w:sz w:val="28"/>
                                                <w:szCs w:val="28"/>
                                              </w:rPr>
                                              <w:t>Hamdi Hussain</w:t>
                                            </w:r>
                                          </w:p>
                                        </w:tc>
                                      </w:tr>
                                      <w:tr w:rsidR="00887774" w:rsidRPr="007F4531" w14:paraId="08AF353F" w14:textId="77777777" w:rsidTr="00C07EB3">
                                        <w:trPr>
                                          <w:trHeight w:val="586"/>
                                        </w:trPr>
                                        <w:tc>
                                          <w:tcPr>
                                            <w:tcW w:w="1819" w:type="dxa"/>
                                          </w:tcPr>
                                          <w:p w14:paraId="55B8261A" w14:textId="56AC97D8" w:rsidR="00887774" w:rsidRPr="0036657F" w:rsidRDefault="002E31B2"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Assignment title</w:t>
                                            </w:r>
                                          </w:p>
                                        </w:tc>
                                        <w:tc>
                                          <w:tcPr>
                                            <w:tcW w:w="1849" w:type="dxa"/>
                                          </w:tcPr>
                                          <w:p w14:paraId="149A90BC" w14:textId="0354B9D0" w:rsidR="00887774" w:rsidRPr="00843FFE" w:rsidRDefault="00C554D7" w:rsidP="0036657F">
                                            <w:pPr>
                                              <w:pStyle w:val="NoSpacing"/>
                                              <w:spacing w:line="360" w:lineRule="auto"/>
                                              <w:rPr>
                                                <w:rFonts w:ascii="Arial" w:hAnsi="Arial" w:cs="Arial"/>
                                                <w:b/>
                                                <w:bCs/>
                                                <w:sz w:val="28"/>
                                                <w:szCs w:val="28"/>
                                              </w:rPr>
                                            </w:pPr>
                                            <w:r w:rsidRPr="00843FFE">
                                              <w:rPr>
                                                <w:rFonts w:ascii="Arial" w:hAnsi="Arial" w:cs="Arial"/>
                                                <w:b/>
                                                <w:bCs/>
                                                <w:sz w:val="28"/>
                                                <w:szCs w:val="28"/>
                                              </w:rPr>
                                              <w:t xml:space="preserve">Literature </w:t>
                                            </w:r>
                                            <w:r w:rsidR="008C16BF" w:rsidRPr="00843FFE">
                                              <w:rPr>
                                                <w:rFonts w:ascii="Arial" w:hAnsi="Arial" w:cs="Arial"/>
                                                <w:b/>
                                                <w:bCs/>
                                                <w:sz w:val="28"/>
                                                <w:szCs w:val="28"/>
                                              </w:rPr>
                                              <w:t>Review</w:t>
                                            </w:r>
                                          </w:p>
                                        </w:tc>
                                      </w:tr>
                                      <w:tr w:rsidR="006A7F54" w:rsidRPr="007F4531" w14:paraId="0E22D65C" w14:textId="77777777" w:rsidTr="00C07EB3">
                                        <w:trPr>
                                          <w:trHeight w:val="858"/>
                                        </w:trPr>
                                        <w:tc>
                                          <w:tcPr>
                                            <w:tcW w:w="1819" w:type="dxa"/>
                                          </w:tcPr>
                                          <w:p w14:paraId="4B110942" w14:textId="44784D16" w:rsidR="006A7F54" w:rsidRPr="0036657F" w:rsidRDefault="00662687"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Submi</w:t>
                                            </w:r>
                                            <w:r w:rsidR="009950D9" w:rsidRPr="0036657F">
                                              <w:rPr>
                                                <w:rFonts w:ascii="Arial" w:hAnsi="Arial" w:cs="Arial"/>
                                                <w:b/>
                                                <w:bCs/>
                                                <w:color w:val="ED7D31" w:themeColor="accent2"/>
                                                <w:sz w:val="28"/>
                                                <w:szCs w:val="28"/>
                                              </w:rPr>
                                              <w:t>ssion date</w:t>
                                            </w:r>
                                          </w:p>
                                        </w:tc>
                                        <w:tc>
                                          <w:tcPr>
                                            <w:tcW w:w="1849" w:type="dxa"/>
                                          </w:tcPr>
                                          <w:p w14:paraId="679D0702" w14:textId="19D6EEE6" w:rsidR="006A7F54" w:rsidRPr="00843FFE" w:rsidRDefault="00B4480D" w:rsidP="0036657F">
                                            <w:pPr>
                                              <w:pStyle w:val="NoSpacing"/>
                                              <w:spacing w:line="360" w:lineRule="auto"/>
                                              <w:rPr>
                                                <w:rFonts w:ascii="Arial" w:hAnsi="Arial" w:cs="Arial"/>
                                                <w:b/>
                                                <w:bCs/>
                                                <w:sz w:val="28"/>
                                                <w:szCs w:val="28"/>
                                              </w:rPr>
                                            </w:pPr>
                                            <w:r w:rsidRPr="00843FFE">
                                              <w:rPr>
                                                <w:rFonts w:ascii="Arial" w:hAnsi="Arial" w:cs="Arial"/>
                                                <w:b/>
                                                <w:bCs/>
                                                <w:sz w:val="28"/>
                                                <w:szCs w:val="28"/>
                                              </w:rPr>
                                              <w:t>1</w:t>
                                            </w:r>
                                            <w:r w:rsidR="00545DDF">
                                              <w:rPr>
                                                <w:rFonts w:ascii="Arial" w:hAnsi="Arial" w:cs="Arial"/>
                                                <w:b/>
                                                <w:bCs/>
                                                <w:sz w:val="28"/>
                                                <w:szCs w:val="28"/>
                                              </w:rPr>
                                              <w:t>7</w:t>
                                            </w:r>
                                            <w:r w:rsidR="004A222D" w:rsidRPr="00843FFE">
                                              <w:rPr>
                                                <w:rFonts w:ascii="Arial" w:hAnsi="Arial" w:cs="Arial"/>
                                                <w:b/>
                                                <w:bCs/>
                                                <w:sz w:val="28"/>
                                                <w:szCs w:val="28"/>
                                                <w:vertAlign w:val="superscript"/>
                                              </w:rPr>
                                              <w:t>th</w:t>
                                            </w:r>
                                            <w:r w:rsidR="004A222D" w:rsidRPr="00843FFE">
                                              <w:rPr>
                                                <w:rFonts w:ascii="Arial" w:hAnsi="Arial" w:cs="Arial"/>
                                                <w:b/>
                                                <w:bCs/>
                                                <w:sz w:val="28"/>
                                                <w:szCs w:val="28"/>
                                              </w:rPr>
                                              <w:t xml:space="preserve"> </w:t>
                                            </w:r>
                                            <w:r w:rsidR="007516D3" w:rsidRPr="00843FFE">
                                              <w:rPr>
                                                <w:rFonts w:ascii="Arial" w:hAnsi="Arial" w:cs="Arial"/>
                                                <w:b/>
                                                <w:bCs/>
                                                <w:sz w:val="28"/>
                                                <w:szCs w:val="28"/>
                                              </w:rPr>
                                              <w:t xml:space="preserve">November </w:t>
                                            </w:r>
                                            <w:r w:rsidR="0094438A" w:rsidRPr="00843FFE">
                                              <w:rPr>
                                                <w:rFonts w:ascii="Arial" w:hAnsi="Arial" w:cs="Arial"/>
                                                <w:b/>
                                                <w:bCs/>
                                                <w:sz w:val="28"/>
                                                <w:szCs w:val="28"/>
                                              </w:rPr>
                                              <w:t>2023</w:t>
                                            </w:r>
                                          </w:p>
                                        </w:tc>
                                      </w:tr>
                                    </w:tbl>
                                    <w:p w14:paraId="520EA65B" w14:textId="2D31F3D3" w:rsidR="00031190" w:rsidRDefault="00031190">
                                      <w:pPr>
                                        <w:pStyle w:val="NoSpacing"/>
                                      </w:pPr>
                                    </w:p>
                                  </w:tc>
                                </w:tr>
                              </w:tbl>
                              <w:p w14:paraId="7D07D6DF" w14:textId="77777777" w:rsidR="00333E7D" w:rsidRDefault="00333E7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DE41B34" id="_x0000_t202" coordsize="21600,21600" o:spt="202" path="m,l,21600r21600,l21600,xe">
                    <v:stroke joinstyle="miter"/>
                    <v:path gradientshapeok="t" o:connecttype="rect"/>
                  </v:shapetype>
                  <v:shape id="Text Box 40" o:spid="_x0000_s1026" type="#_x0000_t202" style="position:absolute;margin-left:15.5pt;margin-top:0;width:588.2pt;height:815.5pt;z-index:251659264;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" fillcolor="white [3201]" stroked="f" strokeweight=".5pt">
                    <v:textbox inset="0,0,0,0">
                      <w:txbxContent>
                        <w:tbl>
                          <w:tblPr>
                            <w:tblW w:w="498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40"/>
                            <w:gridCol w:w="5398"/>
                          </w:tblGrid>
                          <w:tr w:rsidR="00333E7D" w14:paraId="1710DD55" w14:textId="77777777" w:rsidTr="00363853">
                            <w:trPr>
                              <w:jc w:val="center"/>
                            </w:trPr>
                            <w:tc>
                              <w:tcPr>
                                <w:tcW w:w="2476" w:type="pct"/>
                                <w:vAlign w:val="center"/>
                              </w:tcPr>
                              <w:p w14:paraId="4E3CFD3D" w14:textId="640CD176" w:rsidR="00A74B45" w:rsidRDefault="000C218A" w:rsidP="000C218A">
                                <w:pPr>
                                  <w:ind w:right="330"/>
                                  <w:jc w:val="right"/>
                                  <w:rPr>
                                    <w:noProof/>
                                  </w:rPr>
                                </w:pPr>
                                <w:r>
                                  <w:rPr>
                                    <w:noProof/>
                                  </w:rPr>
                                  <w:drawing>
                                    <wp:inline distT="0" distB="0" distL="0" distR="0" wp14:anchorId="5ACC9A92" wp14:editId="5BBA288D">
                                      <wp:extent cx="3359150" cy="3168650"/>
                                      <wp:effectExtent l="0" t="0" r="0" b="0"/>
                                      <wp:docPr id="1554363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363846" name="Picture 1554363846"/>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359150" cy="3168650"/>
                                              </a:xfrm>
                                              <a:prstGeom prst="rect">
                                                <a:avLst/>
                                              </a:prstGeom>
                                            </pic:spPr>
                                          </pic:pic>
                                        </a:graphicData>
                                      </a:graphic>
                                    </wp:inline>
                                  </w:drawing>
                                </w:r>
                              </w:p>
                              <w:p w14:paraId="3DC25FF2" w14:textId="39758EBD" w:rsidR="00333E7D" w:rsidRDefault="00333E7D" w:rsidP="00363853"/>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E7A000" w14:textId="678775BA" w:rsidR="00333E7D" w:rsidRDefault="00703A03">
                                    <w:pPr>
                                      <w:pStyle w:val="NoSpacing"/>
                                      <w:spacing w:line="312" w:lineRule="auto"/>
                                      <w:jc w:val="right"/>
                                      <w:rPr>
                                        <w:caps/>
                                        <w:color w:val="191919" w:themeColor="text1" w:themeTint="E6"/>
                                        <w:sz w:val="72"/>
                                        <w:szCs w:val="72"/>
                                      </w:rPr>
                                    </w:pPr>
                                    <w:r>
                                      <w:rPr>
                                        <w:caps/>
                                        <w:color w:val="191919" w:themeColor="text1" w:themeTint="E6"/>
                                        <w:sz w:val="72"/>
                                        <w:szCs w:val="72"/>
                                      </w:rPr>
                                      <w:t>literiture review</w:t>
                                    </w:r>
                                  </w:p>
                                </w:sdtContent>
                              </w:sdt>
                              <w:sdt>
                                <w:sdtPr>
                                  <w:rPr>
                                    <w:rFonts w:ascii="Arial" w:hAnsi="Arial" w:cs="Arial"/>
                                    <w:b/>
                                    <w:bCs/>
                                    <w:color w:val="000000" w:themeColor="text1"/>
                                    <w:sz w:val="28"/>
                                    <w:szCs w:val="28"/>
                                    <w:u w:val="singl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4F21F15" w14:textId="743DF143" w:rsidR="00333E7D" w:rsidRPr="00916906" w:rsidRDefault="00703A03" w:rsidP="00C07EB3">
                                    <w:pPr>
                                      <w:rPr>
                                        <w:rFonts w:ascii="Arial" w:hAnsi="Arial" w:cs="Arial"/>
                                        <w:b/>
                                        <w:bCs/>
                                        <w:sz w:val="28"/>
                                        <w:szCs w:val="28"/>
                                      </w:rPr>
                                    </w:pPr>
                                    <w:r w:rsidRPr="00C07EB3">
                                      <w:rPr>
                                        <w:rFonts w:ascii="Arial" w:hAnsi="Arial" w:cs="Arial"/>
                                        <w:b/>
                                        <w:bCs/>
                                        <w:color w:val="000000" w:themeColor="text1"/>
                                        <w:sz w:val="28"/>
                                        <w:szCs w:val="28"/>
                                        <w:u w:val="single"/>
                                      </w:rPr>
                                      <w:t xml:space="preserve"> </w:t>
                                    </w:r>
                                    <w:r w:rsidR="00A8407B">
                                      <w:rPr>
                                        <w:rFonts w:ascii="Arial" w:hAnsi="Arial" w:cs="Arial"/>
                                        <w:b/>
                                        <w:bCs/>
                                        <w:color w:val="000000" w:themeColor="text1"/>
                                        <w:sz w:val="28"/>
                                        <w:szCs w:val="28"/>
                                        <w:u w:val="single"/>
                                      </w:rPr>
                                      <w:t xml:space="preserve">Women </w:t>
                                    </w:r>
                                    <w:proofErr w:type="spellStart"/>
                                    <w:r w:rsidR="00A34826">
                                      <w:rPr>
                                        <w:rFonts w:ascii="Arial" w:hAnsi="Arial" w:cs="Arial"/>
                                        <w:b/>
                                        <w:bCs/>
                                        <w:color w:val="000000" w:themeColor="text1"/>
                                        <w:sz w:val="28"/>
                                        <w:szCs w:val="28"/>
                                        <w:u w:val="single"/>
                                      </w:rPr>
                                      <w:t>W</w:t>
                                    </w:r>
                                    <w:r w:rsidR="00A8407B">
                                      <w:rPr>
                                        <w:rFonts w:ascii="Arial" w:hAnsi="Arial" w:cs="Arial"/>
                                        <w:b/>
                                        <w:bCs/>
                                        <w:color w:val="000000" w:themeColor="text1"/>
                                        <w:sz w:val="28"/>
                                        <w:szCs w:val="28"/>
                                        <w:u w:val="single"/>
                                      </w:rPr>
                                      <w:t>ithTy</w:t>
                                    </w:r>
                                    <w:r w:rsidR="00A34826">
                                      <w:rPr>
                                        <w:rFonts w:ascii="Arial" w:hAnsi="Arial" w:cs="Arial"/>
                                        <w:b/>
                                        <w:bCs/>
                                        <w:color w:val="000000" w:themeColor="text1"/>
                                        <w:sz w:val="28"/>
                                        <w:szCs w:val="28"/>
                                        <w:u w:val="single"/>
                                      </w:rPr>
                                      <w:t>pe</w:t>
                                    </w:r>
                                    <w:proofErr w:type="spellEnd"/>
                                    <w:r w:rsidR="00A34826">
                                      <w:rPr>
                                        <w:rFonts w:ascii="Arial" w:hAnsi="Arial" w:cs="Arial"/>
                                        <w:b/>
                                        <w:bCs/>
                                        <w:color w:val="000000" w:themeColor="text1"/>
                                        <w:sz w:val="28"/>
                                        <w:szCs w:val="28"/>
                                        <w:u w:val="single"/>
                                      </w:rPr>
                                      <w:t xml:space="preserve"> 2 Diabetes</w:t>
                                    </w:r>
                                    <w:r w:rsidRPr="00C07EB3">
                                      <w:rPr>
                                        <w:rFonts w:ascii="Arial" w:hAnsi="Arial" w:cs="Arial"/>
                                        <w:b/>
                                        <w:bCs/>
                                        <w:color w:val="000000" w:themeColor="text1"/>
                                        <w:sz w:val="28"/>
                                        <w:szCs w:val="28"/>
                                        <w:u w:val="single"/>
                                      </w:rPr>
                                      <w:t>.</w:t>
                                    </w:r>
                                  </w:p>
                                </w:sdtContent>
                              </w:sdt>
                            </w:tc>
                            <w:tc>
                              <w:tcPr>
                                <w:tcW w:w="2524" w:type="pct"/>
                                <w:vAlign w:val="center"/>
                              </w:tcPr>
                              <w:p w14:paraId="779F1E80" w14:textId="77777777" w:rsidR="00333E7D" w:rsidRPr="00955562" w:rsidRDefault="00333E7D">
                                <w:pPr>
                                  <w:pStyle w:val="NoSpacing"/>
                                  <w:rPr>
                                    <w:rFonts w:ascii="Arial" w:hAnsi="Arial" w:cs="Arial"/>
                                    <w:b/>
                                    <w:bCs/>
                                    <w:caps/>
                                    <w:color w:val="ED7D31" w:themeColor="accent2"/>
                                    <w:sz w:val="28"/>
                                    <w:szCs w:val="28"/>
                                    <w:u w:val="single"/>
                                  </w:rPr>
                                </w:pPr>
                                <w:r w:rsidRPr="00955562">
                                  <w:rPr>
                                    <w:rFonts w:ascii="Arial" w:hAnsi="Arial" w:cs="Arial"/>
                                    <w:b/>
                                    <w:bCs/>
                                    <w:caps/>
                                    <w:color w:val="ED7D31" w:themeColor="accent2"/>
                                    <w:sz w:val="28"/>
                                    <w:szCs w:val="28"/>
                                    <w:u w:val="single"/>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E620558" w14:textId="4D59B4C2" w:rsidR="00333E7D" w:rsidRPr="00EE4857" w:rsidRDefault="001D5940" w:rsidP="00EE4857">
                                    <w:pPr>
                                      <w:spacing w:line="360" w:lineRule="auto"/>
                                      <w:rPr>
                                        <w:rFonts w:ascii="Arial" w:hAnsi="Arial" w:cs="Arial"/>
                                        <w:color w:val="000000" w:themeColor="text1"/>
                                      </w:rPr>
                                    </w:pPr>
                                    <w:r w:rsidRPr="00EE4857">
                                      <w:rPr>
                                        <w:rFonts w:ascii="Arial" w:hAnsi="Arial" w:cs="Arial"/>
                                        <w:color w:val="000000" w:themeColor="text1"/>
                                      </w:rPr>
                                      <w:t xml:space="preserve">The prevalence of diabetes has reached epidemic proportions globally, posing significant challenges to public health. This literature review aims to provide a comprehensive overview of diabetes type </w:t>
                                    </w:r>
                                    <w:r w:rsidR="00D15F9D">
                                      <w:rPr>
                                        <w:rFonts w:ascii="Arial" w:hAnsi="Arial" w:cs="Arial"/>
                                        <w:color w:val="000000" w:themeColor="text1"/>
                                      </w:rPr>
                                      <w:t>2</w:t>
                                    </w:r>
                                    <w:r w:rsidRPr="00EE4857">
                                      <w:rPr>
                                        <w:rFonts w:ascii="Arial" w:hAnsi="Arial" w:cs="Arial"/>
                                        <w:color w:val="000000" w:themeColor="text1"/>
                                      </w:rPr>
                                      <w:t xml:space="preserve"> </w:t>
                                    </w:r>
                                    <w:r w:rsidR="00D15F9D">
                                      <w:rPr>
                                        <w:rFonts w:ascii="Arial" w:hAnsi="Arial" w:cs="Arial"/>
                                        <w:color w:val="000000" w:themeColor="text1"/>
                                      </w:rPr>
                                      <w:t xml:space="preserve">in </w:t>
                                    </w:r>
                                    <w:r w:rsidRPr="00EE4857">
                                      <w:rPr>
                                        <w:rFonts w:ascii="Arial" w:hAnsi="Arial" w:cs="Arial"/>
                                        <w:color w:val="000000" w:themeColor="text1"/>
                                      </w:rPr>
                                      <w:t>woman. It aims to encompassing its pathophysiology</w:t>
                                    </w:r>
                                    <w:r w:rsidR="00EE4511">
                                      <w:rPr>
                                        <w:rFonts w:ascii="Arial" w:hAnsi="Arial" w:cs="Arial"/>
                                        <w:color w:val="000000" w:themeColor="text1"/>
                                      </w:rPr>
                                      <w:t xml:space="preserve">, </w:t>
                                    </w:r>
                                    <w:r w:rsidRPr="00EE4857">
                                      <w:rPr>
                                        <w:rFonts w:ascii="Arial" w:hAnsi="Arial" w:cs="Arial"/>
                                        <w:color w:val="000000" w:themeColor="text1"/>
                                      </w:rPr>
                                      <w:t>risk factors</w:t>
                                    </w:r>
                                    <w:r w:rsidR="00B52EAF">
                                      <w:rPr>
                                        <w:rFonts w:ascii="Arial" w:hAnsi="Arial" w:cs="Arial"/>
                                        <w:color w:val="000000" w:themeColor="text1"/>
                                      </w:rPr>
                                      <w:t xml:space="preserve"> such as</w:t>
                                    </w:r>
                                    <w:r w:rsidRPr="00EE4857">
                                      <w:rPr>
                                        <w:rFonts w:ascii="Arial" w:hAnsi="Arial" w:cs="Arial"/>
                                        <w:color w:val="000000" w:themeColor="text1"/>
                                      </w:rPr>
                                      <w:t xml:space="preserve">, environment factors, biological factors, life factors, psychosocial factors, genetic and ethic factors, hormonal factors, diagnosis, prevention, and management strategies. The review also highlights the importance of patient education and self-care in managing the condition effectively. It will also include the methods </w:t>
                                    </w:r>
                                    <w:r w:rsidR="00DE1DA8">
                                      <w:rPr>
                                        <w:rFonts w:ascii="Arial" w:hAnsi="Arial" w:cs="Arial"/>
                                        <w:color w:val="000000" w:themeColor="text1"/>
                                      </w:rPr>
                                      <w:t>and word</w:t>
                                    </w:r>
                                    <w:r w:rsidR="00B70F6A">
                                      <w:rPr>
                                        <w:rFonts w:ascii="Arial" w:hAnsi="Arial" w:cs="Arial"/>
                                        <w:color w:val="000000" w:themeColor="text1"/>
                                      </w:rPr>
                                      <w:t>s used</w:t>
                                    </w:r>
                                    <w:r w:rsidRPr="00EE4857">
                                      <w:rPr>
                                        <w:rFonts w:ascii="Arial" w:hAnsi="Arial" w:cs="Arial"/>
                                        <w:color w:val="000000" w:themeColor="text1"/>
                                      </w:rPr>
                                      <w:t xml:space="preserve"> for the research.</w:t>
                                    </w:r>
                                  </w:p>
                                </w:sdtContent>
                              </w:sdt>
                              <w:sdt>
                                <w:sdtPr>
                                  <w:rPr>
                                    <w:rFonts w:ascii="Arial" w:hAnsi="Arial" w:cs="Arial"/>
                                    <w:b/>
                                    <w:bCs/>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173C9BA" w14:textId="0D4CD6DE" w:rsidR="00333E7D" w:rsidRPr="00A23C91" w:rsidRDefault="00333E7D">
                                    <w:pPr>
                                      <w:pStyle w:val="NoSpacing"/>
                                      <w:rPr>
                                        <w:rFonts w:ascii="Arial" w:hAnsi="Arial" w:cs="Arial"/>
                                        <w:b/>
                                        <w:bCs/>
                                        <w:color w:val="ED7D31" w:themeColor="accent2"/>
                                        <w:sz w:val="26"/>
                                        <w:szCs w:val="26"/>
                                      </w:rPr>
                                    </w:pPr>
                                    <w:r w:rsidRPr="00A23C91">
                                      <w:rPr>
                                        <w:rFonts w:ascii="Arial" w:hAnsi="Arial" w:cs="Arial"/>
                                        <w:b/>
                                        <w:bCs/>
                                        <w:color w:val="ED7D31" w:themeColor="accent2"/>
                                        <w:sz w:val="26"/>
                                        <w:szCs w:val="26"/>
                                      </w:rPr>
                                      <w:t>Nomathemba Socikwa</w:t>
                                    </w:r>
                                  </w:p>
                                </w:sdtContent>
                              </w:sdt>
                              <w:p w14:paraId="22550C9F" w14:textId="4E5839CA" w:rsidR="00333E7D" w:rsidRPr="00A23C91" w:rsidRDefault="009335F7">
                                <w:pPr>
                                  <w:pStyle w:val="NoSpacing"/>
                                  <w:rPr>
                                    <w:rFonts w:ascii="Arial" w:hAnsi="Arial" w:cs="Arial"/>
                                    <w:b/>
                                    <w:bCs/>
                                    <w:color w:val="44546A" w:themeColor="text2"/>
                                  </w:rPr>
                                </w:pPr>
                                <w:sdt>
                                  <w:sdtPr>
                                    <w:rPr>
                                      <w:rFonts w:ascii="Arial" w:hAnsi="Arial" w:cs="Arial"/>
                                      <w:b/>
                                      <w:bCs/>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03A03" w:rsidRPr="00A23C91">
                                      <w:rPr>
                                        <w:rFonts w:ascii="Arial" w:hAnsi="Arial" w:cs="Arial"/>
                                        <w:b/>
                                        <w:bCs/>
                                        <w:color w:val="44546A" w:themeColor="text2"/>
                                      </w:rPr>
                                      <w:t>BSc Health and Social care</w:t>
                                    </w:r>
                                  </w:sdtContent>
                                </w:sdt>
                              </w:p>
                              <w:p w14:paraId="2BD7CD6A" w14:textId="77777777" w:rsidR="00031190" w:rsidRDefault="00031190">
                                <w:pPr>
                                  <w:pStyle w:val="NoSpacing"/>
                                  <w:rPr>
                                    <w:color w:val="44546A" w:themeColor="text2"/>
                                  </w:rPr>
                                </w:pPr>
                              </w:p>
                              <w:tbl>
                                <w:tblPr>
                                  <w:tblStyle w:val="TableGrid"/>
                                  <w:tblW w:w="0" w:type="auto"/>
                                  <w:tblLook w:val="04A0" w:firstRow="1" w:lastRow="0" w:firstColumn="1" w:lastColumn="0" w:noHBand="0" w:noVBand="1"/>
                                </w:tblPr>
                                <w:tblGrid>
                                  <w:gridCol w:w="1819"/>
                                  <w:gridCol w:w="1849"/>
                                </w:tblGrid>
                                <w:tr w:rsidR="00887774" w:rsidRPr="007F4531" w14:paraId="4D5E6794" w14:textId="77777777" w:rsidTr="00C07EB3">
                                  <w:trPr>
                                    <w:trHeight w:val="575"/>
                                  </w:trPr>
                                  <w:tc>
                                    <w:tcPr>
                                      <w:tcW w:w="1819" w:type="dxa"/>
                                    </w:tcPr>
                                    <w:p w14:paraId="0ED4E124" w14:textId="05065601" w:rsidR="00887774" w:rsidRPr="0036657F" w:rsidRDefault="00D45548"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Student Number</w:t>
                                      </w:r>
                                    </w:p>
                                  </w:tc>
                                  <w:tc>
                                    <w:tcPr>
                                      <w:tcW w:w="1849" w:type="dxa"/>
                                    </w:tcPr>
                                    <w:p w14:paraId="17CDCDD7" w14:textId="0E9EA78E" w:rsidR="00887774" w:rsidRPr="00843FFE" w:rsidRDefault="00CC6391" w:rsidP="0036657F">
                                      <w:pPr>
                                        <w:pStyle w:val="NoSpacing"/>
                                        <w:spacing w:line="360" w:lineRule="auto"/>
                                        <w:rPr>
                                          <w:rFonts w:ascii="Arial" w:hAnsi="Arial" w:cs="Arial"/>
                                          <w:b/>
                                          <w:bCs/>
                                          <w:sz w:val="28"/>
                                          <w:szCs w:val="28"/>
                                        </w:rPr>
                                      </w:pPr>
                                      <w:r w:rsidRPr="00843FFE">
                                        <w:rPr>
                                          <w:rFonts w:ascii="Arial" w:hAnsi="Arial" w:cs="Arial"/>
                                          <w:b/>
                                          <w:bCs/>
                                          <w:sz w:val="28"/>
                                          <w:szCs w:val="28"/>
                                        </w:rPr>
                                        <w:t>2123581</w:t>
                                      </w:r>
                                      <w:r w:rsidR="001D5940" w:rsidRPr="00843FFE">
                                        <w:rPr>
                                          <w:rFonts w:ascii="Arial" w:hAnsi="Arial" w:cs="Arial"/>
                                          <w:b/>
                                          <w:bCs/>
                                          <w:sz w:val="28"/>
                                          <w:szCs w:val="28"/>
                                        </w:rPr>
                                        <w:t xml:space="preserve">            </w:t>
                                      </w:r>
                                    </w:p>
                                  </w:tc>
                                </w:tr>
                                <w:tr w:rsidR="008F382E" w:rsidRPr="007F4531" w14:paraId="06170744" w14:textId="77777777" w:rsidTr="00C07EB3">
                                  <w:trPr>
                                    <w:trHeight w:val="1444"/>
                                  </w:trPr>
                                  <w:tc>
                                    <w:tcPr>
                                      <w:tcW w:w="1819" w:type="dxa"/>
                                    </w:tcPr>
                                    <w:p w14:paraId="7F777895" w14:textId="00CA29FB" w:rsidR="008F382E" w:rsidRPr="0036657F" w:rsidRDefault="0000007E" w:rsidP="0036657F">
                                      <w:pPr>
                                        <w:pStyle w:val="NoSpacing"/>
                                        <w:spacing w:line="360" w:lineRule="auto"/>
                                        <w:rPr>
                                          <w:rFonts w:ascii="Arial" w:hAnsi="Arial" w:cs="Arial"/>
                                          <w:b/>
                                          <w:bCs/>
                                          <w:color w:val="ED7D31" w:themeColor="accent2"/>
                                          <w:sz w:val="28"/>
                                          <w:szCs w:val="28"/>
                                        </w:rPr>
                                      </w:pPr>
                                      <w:proofErr w:type="spellStart"/>
                                      <w:r w:rsidRPr="0036657F">
                                        <w:rPr>
                                          <w:rFonts w:ascii="Arial" w:hAnsi="Arial" w:cs="Arial"/>
                                          <w:b/>
                                          <w:bCs/>
                                          <w:color w:val="ED7D31" w:themeColor="accent2"/>
                                          <w:sz w:val="28"/>
                                          <w:szCs w:val="28"/>
                                        </w:rPr>
                                        <w:t>Programme</w:t>
                                      </w:r>
                                      <w:proofErr w:type="spellEnd"/>
                                      <w:r w:rsidRPr="0036657F">
                                        <w:rPr>
                                          <w:rFonts w:ascii="Arial" w:hAnsi="Arial" w:cs="Arial"/>
                                          <w:b/>
                                          <w:bCs/>
                                          <w:color w:val="ED7D31" w:themeColor="accent2"/>
                                          <w:sz w:val="28"/>
                                          <w:szCs w:val="28"/>
                                        </w:rPr>
                                        <w:t xml:space="preserve"> </w:t>
                                      </w:r>
                                    </w:p>
                                  </w:tc>
                                  <w:tc>
                                    <w:tcPr>
                                      <w:tcW w:w="1849" w:type="dxa"/>
                                    </w:tcPr>
                                    <w:p w14:paraId="2559EE48" w14:textId="7C71250B" w:rsidR="008F382E" w:rsidRPr="00843FFE" w:rsidRDefault="003060A4" w:rsidP="0036657F">
                                      <w:pPr>
                                        <w:pStyle w:val="NoSpacing"/>
                                        <w:spacing w:line="360" w:lineRule="auto"/>
                                        <w:rPr>
                                          <w:rFonts w:ascii="Arial" w:hAnsi="Arial" w:cs="Arial"/>
                                          <w:b/>
                                          <w:bCs/>
                                          <w:sz w:val="28"/>
                                          <w:szCs w:val="28"/>
                                        </w:rPr>
                                      </w:pPr>
                                      <w:r w:rsidRPr="00843FFE">
                                        <w:rPr>
                                          <w:rFonts w:ascii="Arial" w:hAnsi="Arial" w:cs="Arial"/>
                                          <w:b/>
                                          <w:bCs/>
                                          <w:sz w:val="28"/>
                                          <w:szCs w:val="28"/>
                                        </w:rPr>
                                        <w:t xml:space="preserve">BSc Health and </w:t>
                                      </w:r>
                                      <w:r w:rsidR="00C8055B" w:rsidRPr="00843FFE">
                                        <w:rPr>
                                          <w:rFonts w:ascii="Arial" w:hAnsi="Arial" w:cs="Arial"/>
                                          <w:b/>
                                          <w:bCs/>
                                          <w:sz w:val="28"/>
                                          <w:szCs w:val="28"/>
                                        </w:rPr>
                                        <w:t>Social Care</w:t>
                                      </w:r>
                                    </w:p>
                                  </w:tc>
                                </w:tr>
                                <w:tr w:rsidR="00887774" w:rsidRPr="007F4531" w14:paraId="7E55229E" w14:textId="77777777" w:rsidTr="00C07EB3">
                                  <w:trPr>
                                    <w:trHeight w:val="869"/>
                                  </w:trPr>
                                  <w:tc>
                                    <w:tcPr>
                                      <w:tcW w:w="1819" w:type="dxa"/>
                                    </w:tcPr>
                                    <w:p w14:paraId="39B874A1" w14:textId="6FC45320" w:rsidR="00887774" w:rsidRPr="0036657F" w:rsidRDefault="00D45548"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 xml:space="preserve">Module </w:t>
                                      </w:r>
                                    </w:p>
                                  </w:tc>
                                  <w:tc>
                                    <w:tcPr>
                                      <w:tcW w:w="1849" w:type="dxa"/>
                                    </w:tcPr>
                                    <w:p w14:paraId="745F127C" w14:textId="41F21E43" w:rsidR="00887774" w:rsidRPr="00843FFE" w:rsidRDefault="00A6280D" w:rsidP="0036657F">
                                      <w:pPr>
                                        <w:pStyle w:val="NoSpacing"/>
                                        <w:spacing w:line="360" w:lineRule="auto"/>
                                        <w:rPr>
                                          <w:rFonts w:ascii="Arial" w:hAnsi="Arial" w:cs="Arial"/>
                                          <w:b/>
                                          <w:bCs/>
                                          <w:sz w:val="28"/>
                                          <w:szCs w:val="28"/>
                                        </w:rPr>
                                      </w:pPr>
                                      <w:r w:rsidRPr="00843FFE">
                                        <w:rPr>
                                          <w:rFonts w:ascii="Arial" w:hAnsi="Arial" w:cs="Arial"/>
                                          <w:b/>
                                          <w:bCs/>
                                          <w:sz w:val="28"/>
                                          <w:szCs w:val="28"/>
                                        </w:rPr>
                                        <w:t>Introduction to Research</w:t>
                                      </w:r>
                                    </w:p>
                                  </w:tc>
                                </w:tr>
                                <w:tr w:rsidR="00887774" w:rsidRPr="007F4531" w14:paraId="246DD0D9" w14:textId="77777777" w:rsidTr="00C07EB3">
                                  <w:trPr>
                                    <w:trHeight w:val="575"/>
                                  </w:trPr>
                                  <w:tc>
                                    <w:tcPr>
                                      <w:tcW w:w="1819" w:type="dxa"/>
                                    </w:tcPr>
                                    <w:p w14:paraId="231E061B" w14:textId="326F6824" w:rsidR="00887774" w:rsidRPr="0036657F" w:rsidRDefault="002E31B2"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Module code</w:t>
                                      </w:r>
                                    </w:p>
                                  </w:tc>
                                  <w:tc>
                                    <w:tcPr>
                                      <w:tcW w:w="1849" w:type="dxa"/>
                                    </w:tcPr>
                                    <w:p w14:paraId="51DCF347" w14:textId="1D8D5832" w:rsidR="00887774" w:rsidRPr="00843FFE" w:rsidRDefault="00A6280D" w:rsidP="0036657F">
                                      <w:pPr>
                                        <w:pStyle w:val="NoSpacing"/>
                                        <w:spacing w:line="360" w:lineRule="auto"/>
                                        <w:rPr>
                                          <w:rFonts w:ascii="Arial" w:hAnsi="Arial" w:cs="Arial"/>
                                          <w:b/>
                                          <w:bCs/>
                                          <w:sz w:val="28"/>
                                          <w:szCs w:val="28"/>
                                        </w:rPr>
                                      </w:pPr>
                                      <w:r w:rsidRPr="00843FFE">
                                        <w:rPr>
                                          <w:rFonts w:ascii="Arial" w:hAnsi="Arial" w:cs="Arial"/>
                                          <w:b/>
                                          <w:bCs/>
                                          <w:sz w:val="28"/>
                                          <w:szCs w:val="28"/>
                                        </w:rPr>
                                        <w:t>BMH</w:t>
                                      </w:r>
                                      <w:r w:rsidR="003E2B2E" w:rsidRPr="00843FFE">
                                        <w:rPr>
                                          <w:rFonts w:ascii="Arial" w:hAnsi="Arial" w:cs="Arial"/>
                                          <w:b/>
                                          <w:bCs/>
                                          <w:sz w:val="28"/>
                                          <w:szCs w:val="28"/>
                                        </w:rPr>
                                        <w:t>P5005</w:t>
                                      </w:r>
                                    </w:p>
                                  </w:tc>
                                </w:tr>
                                <w:tr w:rsidR="00887774" w:rsidRPr="007F4531" w14:paraId="110DB3D1" w14:textId="77777777" w:rsidTr="00C07EB3">
                                  <w:trPr>
                                    <w:trHeight w:val="575"/>
                                  </w:trPr>
                                  <w:tc>
                                    <w:tcPr>
                                      <w:tcW w:w="1819" w:type="dxa"/>
                                    </w:tcPr>
                                    <w:p w14:paraId="23F1D772" w14:textId="43E4CBB3" w:rsidR="00887774" w:rsidRPr="0036657F" w:rsidRDefault="002E31B2"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 xml:space="preserve">Lecture </w:t>
                                      </w:r>
                                    </w:p>
                                  </w:tc>
                                  <w:tc>
                                    <w:tcPr>
                                      <w:tcW w:w="1849" w:type="dxa"/>
                                    </w:tcPr>
                                    <w:p w14:paraId="0FE2F640" w14:textId="49E2FA47" w:rsidR="00887774" w:rsidRPr="00843FFE" w:rsidRDefault="001C4C1F" w:rsidP="0036657F">
                                      <w:pPr>
                                        <w:pStyle w:val="NoSpacing"/>
                                        <w:spacing w:line="360" w:lineRule="auto"/>
                                        <w:rPr>
                                          <w:rFonts w:ascii="Arial" w:hAnsi="Arial" w:cs="Arial"/>
                                          <w:b/>
                                          <w:bCs/>
                                          <w:sz w:val="28"/>
                                          <w:szCs w:val="28"/>
                                        </w:rPr>
                                      </w:pPr>
                                      <w:r w:rsidRPr="00843FFE">
                                        <w:rPr>
                                          <w:rFonts w:ascii="Arial" w:hAnsi="Arial" w:cs="Arial"/>
                                          <w:b/>
                                          <w:bCs/>
                                          <w:sz w:val="28"/>
                                          <w:szCs w:val="28"/>
                                        </w:rPr>
                                        <w:t>Hamdi Hussain</w:t>
                                      </w:r>
                                    </w:p>
                                  </w:tc>
                                </w:tr>
                                <w:tr w:rsidR="00887774" w:rsidRPr="007F4531" w14:paraId="08AF353F" w14:textId="77777777" w:rsidTr="00C07EB3">
                                  <w:trPr>
                                    <w:trHeight w:val="586"/>
                                  </w:trPr>
                                  <w:tc>
                                    <w:tcPr>
                                      <w:tcW w:w="1819" w:type="dxa"/>
                                    </w:tcPr>
                                    <w:p w14:paraId="55B8261A" w14:textId="56AC97D8" w:rsidR="00887774" w:rsidRPr="0036657F" w:rsidRDefault="002E31B2"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Assignment title</w:t>
                                      </w:r>
                                    </w:p>
                                  </w:tc>
                                  <w:tc>
                                    <w:tcPr>
                                      <w:tcW w:w="1849" w:type="dxa"/>
                                    </w:tcPr>
                                    <w:p w14:paraId="149A90BC" w14:textId="0354B9D0" w:rsidR="00887774" w:rsidRPr="00843FFE" w:rsidRDefault="00C554D7" w:rsidP="0036657F">
                                      <w:pPr>
                                        <w:pStyle w:val="NoSpacing"/>
                                        <w:spacing w:line="360" w:lineRule="auto"/>
                                        <w:rPr>
                                          <w:rFonts w:ascii="Arial" w:hAnsi="Arial" w:cs="Arial"/>
                                          <w:b/>
                                          <w:bCs/>
                                          <w:sz w:val="28"/>
                                          <w:szCs w:val="28"/>
                                        </w:rPr>
                                      </w:pPr>
                                      <w:r w:rsidRPr="00843FFE">
                                        <w:rPr>
                                          <w:rFonts w:ascii="Arial" w:hAnsi="Arial" w:cs="Arial"/>
                                          <w:b/>
                                          <w:bCs/>
                                          <w:sz w:val="28"/>
                                          <w:szCs w:val="28"/>
                                        </w:rPr>
                                        <w:t xml:space="preserve">Literature </w:t>
                                      </w:r>
                                      <w:r w:rsidR="008C16BF" w:rsidRPr="00843FFE">
                                        <w:rPr>
                                          <w:rFonts w:ascii="Arial" w:hAnsi="Arial" w:cs="Arial"/>
                                          <w:b/>
                                          <w:bCs/>
                                          <w:sz w:val="28"/>
                                          <w:szCs w:val="28"/>
                                        </w:rPr>
                                        <w:t>Review</w:t>
                                      </w:r>
                                    </w:p>
                                  </w:tc>
                                </w:tr>
                                <w:tr w:rsidR="006A7F54" w:rsidRPr="007F4531" w14:paraId="0E22D65C" w14:textId="77777777" w:rsidTr="00C07EB3">
                                  <w:trPr>
                                    <w:trHeight w:val="858"/>
                                  </w:trPr>
                                  <w:tc>
                                    <w:tcPr>
                                      <w:tcW w:w="1819" w:type="dxa"/>
                                    </w:tcPr>
                                    <w:p w14:paraId="4B110942" w14:textId="44784D16" w:rsidR="006A7F54" w:rsidRPr="0036657F" w:rsidRDefault="00662687" w:rsidP="0036657F">
                                      <w:pPr>
                                        <w:pStyle w:val="NoSpacing"/>
                                        <w:spacing w:line="360" w:lineRule="auto"/>
                                        <w:rPr>
                                          <w:rFonts w:ascii="Arial" w:hAnsi="Arial" w:cs="Arial"/>
                                          <w:b/>
                                          <w:bCs/>
                                          <w:color w:val="ED7D31" w:themeColor="accent2"/>
                                          <w:sz w:val="28"/>
                                          <w:szCs w:val="28"/>
                                        </w:rPr>
                                      </w:pPr>
                                      <w:r w:rsidRPr="0036657F">
                                        <w:rPr>
                                          <w:rFonts w:ascii="Arial" w:hAnsi="Arial" w:cs="Arial"/>
                                          <w:b/>
                                          <w:bCs/>
                                          <w:color w:val="ED7D31" w:themeColor="accent2"/>
                                          <w:sz w:val="28"/>
                                          <w:szCs w:val="28"/>
                                        </w:rPr>
                                        <w:t>Submi</w:t>
                                      </w:r>
                                      <w:r w:rsidR="009950D9" w:rsidRPr="0036657F">
                                        <w:rPr>
                                          <w:rFonts w:ascii="Arial" w:hAnsi="Arial" w:cs="Arial"/>
                                          <w:b/>
                                          <w:bCs/>
                                          <w:color w:val="ED7D31" w:themeColor="accent2"/>
                                          <w:sz w:val="28"/>
                                          <w:szCs w:val="28"/>
                                        </w:rPr>
                                        <w:t>ssion date</w:t>
                                      </w:r>
                                    </w:p>
                                  </w:tc>
                                  <w:tc>
                                    <w:tcPr>
                                      <w:tcW w:w="1849" w:type="dxa"/>
                                    </w:tcPr>
                                    <w:p w14:paraId="679D0702" w14:textId="19D6EEE6" w:rsidR="006A7F54" w:rsidRPr="00843FFE" w:rsidRDefault="00B4480D" w:rsidP="0036657F">
                                      <w:pPr>
                                        <w:pStyle w:val="NoSpacing"/>
                                        <w:spacing w:line="360" w:lineRule="auto"/>
                                        <w:rPr>
                                          <w:rFonts w:ascii="Arial" w:hAnsi="Arial" w:cs="Arial"/>
                                          <w:b/>
                                          <w:bCs/>
                                          <w:sz w:val="28"/>
                                          <w:szCs w:val="28"/>
                                        </w:rPr>
                                      </w:pPr>
                                      <w:r w:rsidRPr="00843FFE">
                                        <w:rPr>
                                          <w:rFonts w:ascii="Arial" w:hAnsi="Arial" w:cs="Arial"/>
                                          <w:b/>
                                          <w:bCs/>
                                          <w:sz w:val="28"/>
                                          <w:szCs w:val="28"/>
                                        </w:rPr>
                                        <w:t>1</w:t>
                                      </w:r>
                                      <w:r w:rsidR="00545DDF">
                                        <w:rPr>
                                          <w:rFonts w:ascii="Arial" w:hAnsi="Arial" w:cs="Arial"/>
                                          <w:b/>
                                          <w:bCs/>
                                          <w:sz w:val="28"/>
                                          <w:szCs w:val="28"/>
                                        </w:rPr>
                                        <w:t>7</w:t>
                                      </w:r>
                                      <w:r w:rsidR="004A222D" w:rsidRPr="00843FFE">
                                        <w:rPr>
                                          <w:rFonts w:ascii="Arial" w:hAnsi="Arial" w:cs="Arial"/>
                                          <w:b/>
                                          <w:bCs/>
                                          <w:sz w:val="28"/>
                                          <w:szCs w:val="28"/>
                                          <w:vertAlign w:val="superscript"/>
                                        </w:rPr>
                                        <w:t>th</w:t>
                                      </w:r>
                                      <w:r w:rsidR="004A222D" w:rsidRPr="00843FFE">
                                        <w:rPr>
                                          <w:rFonts w:ascii="Arial" w:hAnsi="Arial" w:cs="Arial"/>
                                          <w:b/>
                                          <w:bCs/>
                                          <w:sz w:val="28"/>
                                          <w:szCs w:val="28"/>
                                        </w:rPr>
                                        <w:t xml:space="preserve"> </w:t>
                                      </w:r>
                                      <w:r w:rsidR="007516D3" w:rsidRPr="00843FFE">
                                        <w:rPr>
                                          <w:rFonts w:ascii="Arial" w:hAnsi="Arial" w:cs="Arial"/>
                                          <w:b/>
                                          <w:bCs/>
                                          <w:sz w:val="28"/>
                                          <w:szCs w:val="28"/>
                                        </w:rPr>
                                        <w:t xml:space="preserve">November </w:t>
                                      </w:r>
                                      <w:r w:rsidR="0094438A" w:rsidRPr="00843FFE">
                                        <w:rPr>
                                          <w:rFonts w:ascii="Arial" w:hAnsi="Arial" w:cs="Arial"/>
                                          <w:b/>
                                          <w:bCs/>
                                          <w:sz w:val="28"/>
                                          <w:szCs w:val="28"/>
                                        </w:rPr>
                                        <w:t>2023</w:t>
                                      </w:r>
                                    </w:p>
                                  </w:tc>
                                </w:tr>
                              </w:tbl>
                              <w:p w14:paraId="520EA65B" w14:textId="2D31F3D3" w:rsidR="00031190" w:rsidRDefault="00031190">
                                <w:pPr>
                                  <w:pStyle w:val="NoSpacing"/>
                                </w:pPr>
                              </w:p>
                            </w:tc>
                          </w:tr>
                        </w:tbl>
                        <w:p w14:paraId="7D07D6DF" w14:textId="77777777" w:rsidR="00333E7D" w:rsidRDefault="00333E7D"/>
                      </w:txbxContent>
                    </v:textbox>
                    <w10:wrap anchorx="page" anchory="margin"/>
                  </v:shape>
                </w:pict>
              </mc:Fallback>
            </mc:AlternateContent>
          </w:r>
          <w:r>
            <w:rPr>
              <w:rFonts w:ascii="Arial" w:hAnsi="Arial" w:cs="Arial"/>
              <w:b/>
              <w:bCs/>
              <w:sz w:val="32"/>
              <w:szCs w:val="32"/>
              <w:u w:val="single"/>
            </w:rPr>
            <w:br w:type="page"/>
          </w:r>
        </w:p>
      </w:sdtContent>
    </w:sdt>
    <w:p w14:paraId="39AE3D4B" w14:textId="0C8B353E" w:rsidR="00C57F73" w:rsidRPr="00305E9C" w:rsidRDefault="003D16B4" w:rsidP="006F7D4B">
      <w:pPr>
        <w:jc w:val="both"/>
        <w:rPr>
          <w:rFonts w:ascii="Arial" w:hAnsi="Arial" w:cs="Arial"/>
          <w:b/>
          <w:bCs/>
          <w:u w:val="single"/>
        </w:rPr>
      </w:pPr>
      <w:r w:rsidRPr="00305E9C">
        <w:rPr>
          <w:rFonts w:ascii="Arial" w:hAnsi="Arial" w:cs="Arial"/>
          <w:b/>
          <w:bCs/>
          <w:u w:val="single"/>
        </w:rPr>
        <w:lastRenderedPageBreak/>
        <w:t xml:space="preserve">Literature review </w:t>
      </w:r>
      <w:r w:rsidR="007F76EB" w:rsidRPr="00305E9C">
        <w:rPr>
          <w:rFonts w:ascii="Arial" w:hAnsi="Arial" w:cs="Arial"/>
          <w:b/>
          <w:bCs/>
          <w:u w:val="single"/>
        </w:rPr>
        <w:t>Why D</w:t>
      </w:r>
      <w:r w:rsidR="006A6853" w:rsidRPr="00305E9C">
        <w:rPr>
          <w:rFonts w:ascii="Arial" w:hAnsi="Arial" w:cs="Arial"/>
          <w:b/>
          <w:bCs/>
          <w:u w:val="single"/>
        </w:rPr>
        <w:t xml:space="preserve">iabetes </w:t>
      </w:r>
      <w:r w:rsidR="007F76EB" w:rsidRPr="00305E9C">
        <w:rPr>
          <w:rFonts w:ascii="Arial" w:hAnsi="Arial" w:cs="Arial"/>
          <w:b/>
          <w:bCs/>
          <w:u w:val="single"/>
        </w:rPr>
        <w:t>T</w:t>
      </w:r>
      <w:r w:rsidR="006A6853" w:rsidRPr="00305E9C">
        <w:rPr>
          <w:rFonts w:ascii="Arial" w:hAnsi="Arial" w:cs="Arial"/>
          <w:b/>
          <w:bCs/>
          <w:u w:val="single"/>
        </w:rPr>
        <w:t>ype 2</w:t>
      </w:r>
      <w:r w:rsidR="007F76EB" w:rsidRPr="00305E9C">
        <w:rPr>
          <w:rFonts w:ascii="Arial" w:hAnsi="Arial" w:cs="Arial"/>
          <w:b/>
          <w:bCs/>
          <w:u w:val="single"/>
        </w:rPr>
        <w:t xml:space="preserve"> is Common in </w:t>
      </w:r>
      <w:r w:rsidR="008C6EAA" w:rsidRPr="00305E9C">
        <w:rPr>
          <w:rFonts w:ascii="Arial" w:hAnsi="Arial" w:cs="Arial"/>
          <w:b/>
          <w:bCs/>
          <w:u w:val="single"/>
        </w:rPr>
        <w:t xml:space="preserve">Woman. </w:t>
      </w:r>
    </w:p>
    <w:p w14:paraId="61176A11" w14:textId="77777777" w:rsidR="002E73AF" w:rsidRPr="00305E9C" w:rsidRDefault="002E73AF" w:rsidP="006F7D4B">
      <w:pPr>
        <w:jc w:val="both"/>
        <w:rPr>
          <w:rFonts w:ascii="Arial" w:hAnsi="Arial" w:cs="Arial"/>
          <w:b/>
          <w:bCs/>
          <w:u w:val="single"/>
        </w:rPr>
      </w:pPr>
    </w:p>
    <w:p w14:paraId="670F55FF" w14:textId="1E437832" w:rsidR="00C57F73" w:rsidRPr="00305E9C" w:rsidRDefault="00BA7581" w:rsidP="006F7D4B">
      <w:pPr>
        <w:spacing w:line="360" w:lineRule="auto"/>
        <w:jc w:val="both"/>
        <w:rPr>
          <w:rFonts w:ascii="Arial" w:hAnsi="Arial" w:cs="Arial"/>
        </w:rPr>
      </w:pPr>
      <w:r w:rsidRPr="00305E9C">
        <w:rPr>
          <w:rFonts w:ascii="Arial" w:hAnsi="Arial" w:cs="Arial"/>
        </w:rPr>
        <w:t>Diabetes is a chronic metabolic disorder characterized by elevated blood glucose levels resulting from defects in insulin production or action (American Diabetes Association, 2020). The condition affects various organs and tissues, leading to long-term complications such as cardiovascular disease, nephropathy, neuropathy, and retinopathy (International Diabetes Federation, 2021).</w:t>
      </w:r>
    </w:p>
    <w:p w14:paraId="772F2B90" w14:textId="6E3828C2" w:rsidR="00BA7581" w:rsidRPr="00305E9C" w:rsidRDefault="00BA7581" w:rsidP="006F7D4B">
      <w:pPr>
        <w:spacing w:line="360" w:lineRule="auto"/>
        <w:jc w:val="both"/>
        <w:rPr>
          <w:rFonts w:ascii="Arial" w:hAnsi="Arial" w:cs="Arial"/>
        </w:rPr>
      </w:pPr>
      <w:r w:rsidRPr="00305E9C">
        <w:rPr>
          <w:rFonts w:ascii="Arial" w:hAnsi="Arial" w:cs="Arial"/>
        </w:rPr>
        <w:t>There are two primary types of diabetes: type 1 and type 2. Type 1 diabetes, previously known as insulin-dependent diabetes mellitus, results from an autoimmune reaction that destroys insulin-producing beta cells in the pancreas, leading to absolute insulin deficiency (ADA, 2020). On the other hand, type 2 diabetes, formerly referred to as non-insulin-dependent diabetes mellitus, is characterized by insulin resistance and impaired insulin secretion (IDF, 2021).</w:t>
      </w:r>
    </w:p>
    <w:p w14:paraId="67A736A9" w14:textId="33CD8521" w:rsidR="00BA7581" w:rsidRPr="00305E9C" w:rsidRDefault="00BA7581" w:rsidP="006F7D4B">
      <w:pPr>
        <w:spacing w:line="360" w:lineRule="auto"/>
        <w:jc w:val="both"/>
        <w:rPr>
          <w:rFonts w:ascii="Arial" w:hAnsi="Arial" w:cs="Arial"/>
        </w:rPr>
      </w:pPr>
      <w:r w:rsidRPr="00305E9C">
        <w:rPr>
          <w:rFonts w:ascii="Arial" w:hAnsi="Arial" w:cs="Arial"/>
        </w:rPr>
        <w:t xml:space="preserve">Numerous risk factors contribute to the development of diabetes. Genetic predisposition plays a significant role, with a higher risk observed among individuals with a family history of the condition (IDF, 2021). Environmental factors, such as physical inactivity, unhealthy diet, and obesity, further increase the likelihood of developing diabetes (ADA, 2020). Additionally, certain medical conditions, including hypertension, </w:t>
      </w:r>
      <w:r w:rsidR="00C70371" w:rsidRPr="00305E9C">
        <w:rPr>
          <w:rFonts w:ascii="Arial" w:hAnsi="Arial" w:cs="Arial"/>
        </w:rPr>
        <w:t>dyslipidaemia</w:t>
      </w:r>
      <w:r w:rsidRPr="00305E9C">
        <w:rPr>
          <w:rFonts w:ascii="Arial" w:hAnsi="Arial" w:cs="Arial"/>
        </w:rPr>
        <w:t>, and polycystic ovary syndrome, are associated with an elevated risk of diabetes (IDF, 2021).</w:t>
      </w:r>
      <w:r w:rsidR="00F00D67" w:rsidRPr="00305E9C">
        <w:rPr>
          <w:rFonts w:ascii="Arial" w:hAnsi="Arial" w:cs="Arial"/>
        </w:rPr>
        <w:t xml:space="preserve"> However</w:t>
      </w:r>
      <w:r w:rsidR="00223878" w:rsidRPr="00305E9C">
        <w:rPr>
          <w:rFonts w:ascii="Arial" w:hAnsi="Arial" w:cs="Arial"/>
        </w:rPr>
        <w:t>,</w:t>
      </w:r>
      <w:r w:rsidR="00F00D67" w:rsidRPr="00305E9C">
        <w:rPr>
          <w:rFonts w:ascii="Arial" w:hAnsi="Arial" w:cs="Arial"/>
        </w:rPr>
        <w:t xml:space="preserve"> this literature review is about </w:t>
      </w:r>
      <w:r w:rsidR="00094A61">
        <w:rPr>
          <w:rFonts w:ascii="Arial" w:hAnsi="Arial" w:cs="Arial"/>
        </w:rPr>
        <w:t xml:space="preserve">why </w:t>
      </w:r>
      <w:r w:rsidR="00223878" w:rsidRPr="00305E9C">
        <w:rPr>
          <w:rFonts w:ascii="Arial" w:hAnsi="Arial" w:cs="Arial"/>
        </w:rPr>
        <w:t>type 2 diabetes is common in women</w:t>
      </w:r>
      <w:r w:rsidR="002A0AA9" w:rsidRPr="00305E9C">
        <w:rPr>
          <w:rFonts w:ascii="Arial" w:hAnsi="Arial" w:cs="Arial"/>
        </w:rPr>
        <w:t>.</w:t>
      </w:r>
    </w:p>
    <w:p w14:paraId="7DA864B8" w14:textId="7F9A9B46" w:rsidR="00561780" w:rsidRPr="00305E9C" w:rsidRDefault="00561780" w:rsidP="00561780">
      <w:pPr>
        <w:spacing w:line="360" w:lineRule="auto"/>
        <w:jc w:val="both"/>
        <w:rPr>
          <w:rFonts w:ascii="Arial" w:hAnsi="Arial" w:cs="Arial"/>
        </w:rPr>
      </w:pPr>
      <w:r w:rsidRPr="00305E9C">
        <w:rPr>
          <w:rFonts w:ascii="Arial" w:hAnsi="Arial" w:cs="Arial"/>
        </w:rPr>
        <w:t xml:space="preserve">Type 2 diabetes is a complex metabolic illness that affects millions of individuals around the world, with women being more vulnerable to its development and complications. The purpose of this paper is to </w:t>
      </w:r>
      <w:proofErr w:type="gramStart"/>
      <w:r w:rsidRPr="00305E9C">
        <w:rPr>
          <w:rFonts w:ascii="Arial" w:hAnsi="Arial" w:cs="Arial"/>
        </w:rPr>
        <w:t>look into</w:t>
      </w:r>
      <w:proofErr w:type="gramEnd"/>
      <w:r w:rsidRPr="00305E9C">
        <w:rPr>
          <w:rFonts w:ascii="Arial" w:hAnsi="Arial" w:cs="Arial"/>
        </w:rPr>
        <w:t xml:space="preserve"> the genetic and ethical aspects that contribute to an increased risk of Type 2 diabetes</w:t>
      </w:r>
      <w:r w:rsidR="006F6CBB" w:rsidRPr="00305E9C">
        <w:rPr>
          <w:rFonts w:ascii="Arial" w:hAnsi="Arial" w:cs="Arial"/>
        </w:rPr>
        <w:t>(</w:t>
      </w:r>
      <w:r w:rsidR="00C7382E" w:rsidRPr="00305E9C">
        <w:rPr>
          <w:rFonts w:ascii="Arial" w:hAnsi="Arial" w:cs="Arial"/>
        </w:rPr>
        <w:t>T2DM)</w:t>
      </w:r>
      <w:r w:rsidRPr="00305E9C">
        <w:rPr>
          <w:rFonts w:ascii="Arial" w:hAnsi="Arial" w:cs="Arial"/>
        </w:rPr>
        <w:t xml:space="preserve"> in women. It will investigate the genetic propensity to diabetes, the impact of lifestyle variables, and ethical considerations in addressing this condition by assessing relevant studies. While T2DM affects both men and women, hormonal variables play a significant role in the disease's genesis and progression in women, giving light on the processes and implications of these interactions.</w:t>
      </w:r>
      <w:r w:rsidR="00382C22" w:rsidRPr="00305E9C">
        <w:rPr>
          <w:rFonts w:ascii="Arial" w:hAnsi="Arial" w:cs="Arial"/>
        </w:rPr>
        <w:t xml:space="preserve"> M</w:t>
      </w:r>
      <w:r w:rsidRPr="00305E9C">
        <w:rPr>
          <w:rFonts w:ascii="Arial" w:hAnsi="Arial" w:cs="Arial"/>
        </w:rPr>
        <w:t xml:space="preserve">ultiple studies suggest that environmental variables also contribute to the increased prevalence of type 2 diabetes in women. </w:t>
      </w:r>
    </w:p>
    <w:p w14:paraId="1405B0C8" w14:textId="45AFB3AD" w:rsidR="00B35379" w:rsidRPr="00305E9C" w:rsidRDefault="00B35379" w:rsidP="00561780">
      <w:pPr>
        <w:spacing w:line="360" w:lineRule="auto"/>
        <w:jc w:val="both"/>
        <w:rPr>
          <w:rFonts w:ascii="Arial" w:hAnsi="Arial" w:cs="Arial"/>
        </w:rPr>
      </w:pPr>
      <w:r w:rsidRPr="00305E9C">
        <w:rPr>
          <w:rFonts w:ascii="Arial" w:hAnsi="Arial" w:cs="Arial"/>
        </w:rPr>
        <w:t>This review will</w:t>
      </w:r>
      <w:r w:rsidRPr="00305E9C">
        <w:rPr>
          <w:rFonts w:ascii="Arial" w:hAnsi="Arial" w:cs="Arial"/>
        </w:rPr>
        <w:t xml:space="preserve"> also</w:t>
      </w:r>
      <w:r w:rsidRPr="00305E9C">
        <w:rPr>
          <w:rFonts w:ascii="Arial" w:hAnsi="Arial" w:cs="Arial"/>
        </w:rPr>
        <w:t xml:space="preserve"> explore the</w:t>
      </w:r>
      <w:r w:rsidR="007C01EC">
        <w:rPr>
          <w:rFonts w:ascii="Arial" w:hAnsi="Arial" w:cs="Arial"/>
        </w:rPr>
        <w:t xml:space="preserve"> pathophysiology</w:t>
      </w:r>
      <w:r w:rsidR="00B70A8B">
        <w:rPr>
          <w:rFonts w:ascii="Arial" w:hAnsi="Arial" w:cs="Arial"/>
        </w:rPr>
        <w:t xml:space="preserve"> of type 2 diabetes in women,</w:t>
      </w:r>
      <w:r w:rsidRPr="00305E9C">
        <w:rPr>
          <w:rFonts w:ascii="Arial" w:hAnsi="Arial" w:cs="Arial"/>
        </w:rPr>
        <w:t xml:space="preserve"> </w:t>
      </w:r>
      <w:proofErr w:type="gramStart"/>
      <w:r w:rsidRPr="00305E9C">
        <w:rPr>
          <w:rFonts w:ascii="Arial" w:hAnsi="Arial" w:cs="Arial"/>
        </w:rPr>
        <w:t>diagnosis</w:t>
      </w:r>
      <w:proofErr w:type="gramEnd"/>
      <w:r w:rsidRPr="00305E9C">
        <w:rPr>
          <w:rFonts w:ascii="Arial" w:hAnsi="Arial" w:cs="Arial"/>
        </w:rPr>
        <w:t xml:space="preserve"> and symptoms of type 2 diabetes specifically in women. The aim is to provide a comprehensive understanding of the diagnostic methods and common symptoms associated with this conditio</w:t>
      </w:r>
      <w:r w:rsidR="007F296A" w:rsidRPr="00305E9C">
        <w:rPr>
          <w:rFonts w:ascii="Arial" w:hAnsi="Arial" w:cs="Arial"/>
        </w:rPr>
        <w:t>n.</w:t>
      </w:r>
      <w:r w:rsidRPr="00305E9C">
        <w:rPr>
          <w:rFonts w:ascii="Arial" w:hAnsi="Arial" w:cs="Arial"/>
        </w:rPr>
        <w:t xml:space="preserve"> </w:t>
      </w:r>
      <w:r w:rsidR="007F296A" w:rsidRPr="00305E9C">
        <w:rPr>
          <w:rFonts w:ascii="Arial" w:hAnsi="Arial" w:cs="Arial"/>
        </w:rPr>
        <w:t xml:space="preserve">The paper will </w:t>
      </w:r>
      <w:r w:rsidR="00F1659D" w:rsidRPr="00305E9C">
        <w:rPr>
          <w:rFonts w:ascii="Arial" w:hAnsi="Arial" w:cs="Arial"/>
        </w:rPr>
        <w:t xml:space="preserve">look at the </w:t>
      </w:r>
      <w:r w:rsidRPr="00305E9C">
        <w:rPr>
          <w:rFonts w:ascii="Arial" w:hAnsi="Arial" w:cs="Arial"/>
        </w:rPr>
        <w:t>methods used to resea</w:t>
      </w:r>
      <w:r w:rsidR="00043DCF" w:rsidRPr="00305E9C">
        <w:rPr>
          <w:rFonts w:ascii="Arial" w:hAnsi="Arial" w:cs="Arial"/>
        </w:rPr>
        <w:t xml:space="preserve">rch the literature. </w:t>
      </w:r>
      <w:r w:rsidRPr="00305E9C">
        <w:rPr>
          <w:rFonts w:ascii="Arial" w:hAnsi="Arial" w:cs="Arial"/>
        </w:rPr>
        <w:t xml:space="preserve"> </w:t>
      </w:r>
    </w:p>
    <w:p w14:paraId="14E8DB45" w14:textId="77777777" w:rsidR="00BA7581" w:rsidRPr="00305E9C" w:rsidRDefault="00BA7581" w:rsidP="006F7D4B">
      <w:pPr>
        <w:spacing w:line="360" w:lineRule="auto"/>
        <w:jc w:val="both"/>
        <w:rPr>
          <w:rFonts w:ascii="Arial" w:hAnsi="Arial" w:cs="Arial"/>
        </w:rPr>
      </w:pPr>
    </w:p>
    <w:p w14:paraId="5B3DA35A" w14:textId="3F445AEF" w:rsidR="00F41268" w:rsidRPr="00A940D9" w:rsidRDefault="00F41268" w:rsidP="00F41268">
      <w:pPr>
        <w:spacing w:line="360" w:lineRule="auto"/>
        <w:jc w:val="both"/>
        <w:rPr>
          <w:rFonts w:ascii="Arial" w:hAnsi="Arial" w:cs="Arial"/>
          <w:b/>
          <w:bCs/>
        </w:rPr>
      </w:pPr>
      <w:r w:rsidRPr="00F41268">
        <w:rPr>
          <w:rFonts w:ascii="Arial" w:hAnsi="Arial" w:cs="Arial"/>
          <w:b/>
          <w:bCs/>
        </w:rPr>
        <w:lastRenderedPageBreak/>
        <w:t>Pathophysiology of Type 2 Diabetes in Women</w:t>
      </w:r>
    </w:p>
    <w:p w14:paraId="1DA5B8C8" w14:textId="519B210D" w:rsidR="00F41268" w:rsidRPr="00287717" w:rsidRDefault="00F41268" w:rsidP="00F41268">
      <w:pPr>
        <w:spacing w:line="360" w:lineRule="auto"/>
        <w:jc w:val="both"/>
        <w:rPr>
          <w:rFonts w:ascii="Arial" w:hAnsi="Arial" w:cs="Arial"/>
        </w:rPr>
      </w:pPr>
      <w:r w:rsidRPr="00287717">
        <w:rPr>
          <w:rFonts w:ascii="Arial" w:hAnsi="Arial" w:cs="Arial"/>
        </w:rPr>
        <w:t>Insulin Resistance and Beta Cell Dysfunction</w:t>
      </w:r>
    </w:p>
    <w:p w14:paraId="3882AD57" w14:textId="47C172FF" w:rsidR="00F41268" w:rsidRPr="00287717" w:rsidRDefault="00F41268" w:rsidP="00F41268">
      <w:pPr>
        <w:spacing w:line="360" w:lineRule="auto"/>
        <w:jc w:val="both"/>
        <w:rPr>
          <w:rFonts w:ascii="Arial" w:hAnsi="Arial" w:cs="Arial"/>
        </w:rPr>
      </w:pPr>
      <w:r w:rsidRPr="00287717">
        <w:rPr>
          <w:rFonts w:ascii="Arial" w:hAnsi="Arial" w:cs="Arial"/>
        </w:rPr>
        <w:t>Insulin resistance is a central component of type 2 diabetes pathophysiology. In women, various factors contribute to the development of insulin resistance. One such factor is adipose tissue distribution. Women tend to have higher levels of subcutaneous fat, which has a lower association with insulin resistance compared to visceral fat</w:t>
      </w:r>
      <w:r w:rsidR="00653DB2" w:rsidRPr="00653DB2">
        <w:rPr>
          <w:rFonts w:ascii="Arial" w:hAnsi="Arial" w:cs="Arial"/>
        </w:rPr>
        <w:t xml:space="preserve"> </w:t>
      </w:r>
      <w:r w:rsidR="00653DB2" w:rsidRPr="00D22098">
        <w:rPr>
          <w:rFonts w:ascii="Arial" w:hAnsi="Arial" w:cs="Arial"/>
        </w:rPr>
        <w:t>Harvard Health Publishing</w:t>
      </w:r>
      <w:r w:rsidR="00653DB2">
        <w:rPr>
          <w:rFonts w:ascii="Arial" w:hAnsi="Arial" w:cs="Arial"/>
        </w:rPr>
        <w:t xml:space="preserve"> </w:t>
      </w:r>
      <w:r w:rsidR="00653DB2" w:rsidRPr="00D22098">
        <w:rPr>
          <w:rFonts w:ascii="Arial" w:hAnsi="Arial" w:cs="Arial"/>
        </w:rPr>
        <w:t>(2019)</w:t>
      </w:r>
      <w:r w:rsidRPr="00287717">
        <w:rPr>
          <w:rFonts w:ascii="Arial" w:hAnsi="Arial" w:cs="Arial"/>
        </w:rPr>
        <w:t>. Additionally, hormonal fluctuations throughout a woman's life, such as during pregnancy or menopause, can influence insulin sensitivity</w:t>
      </w:r>
      <w:r w:rsidR="00653DB2">
        <w:rPr>
          <w:rFonts w:ascii="Arial" w:hAnsi="Arial" w:cs="Arial"/>
        </w:rPr>
        <w:t>.</w:t>
      </w:r>
      <w:r w:rsidR="00D22098">
        <w:rPr>
          <w:rFonts w:ascii="Arial" w:hAnsi="Arial" w:cs="Arial"/>
        </w:rPr>
        <w:t xml:space="preserve"> </w:t>
      </w:r>
    </w:p>
    <w:p w14:paraId="2326BCF9" w14:textId="30B0CEEC" w:rsidR="00A940D9" w:rsidRPr="00287717" w:rsidRDefault="00F41268" w:rsidP="00F41268">
      <w:pPr>
        <w:spacing w:line="360" w:lineRule="auto"/>
        <w:jc w:val="both"/>
        <w:rPr>
          <w:rFonts w:ascii="Arial" w:hAnsi="Arial" w:cs="Arial"/>
        </w:rPr>
      </w:pPr>
      <w:r w:rsidRPr="00287717">
        <w:rPr>
          <w:rFonts w:ascii="Arial" w:hAnsi="Arial" w:cs="Arial"/>
        </w:rPr>
        <w:t>Furthermore, impaired beta cell function plays a crucial role in the pathogenesis of type 2 diabetes in women. Beta cells in the pancreas secrete insulin in response to elevated blood glucose levels. However, in individuals with type 2 diabetes, beta cells fail to produce enough insulin to compensate for insulin resistance. Women may experience a more rapid decline in beta cell function compared to men due to hormonal fluctuations, such as polycystic ovary syndrome (PCOS) or gestational diabetes mellitus (GDM).</w:t>
      </w:r>
    </w:p>
    <w:p w14:paraId="30A4CEB9" w14:textId="77777777" w:rsidR="00A2031D" w:rsidRPr="003E5BFB" w:rsidRDefault="00A2031D" w:rsidP="00A2031D">
      <w:pPr>
        <w:spacing w:line="360" w:lineRule="auto"/>
        <w:jc w:val="both"/>
        <w:rPr>
          <w:rFonts w:ascii="Arial" w:hAnsi="Arial" w:cs="Arial"/>
          <w:b/>
          <w:bCs/>
        </w:rPr>
      </w:pPr>
    </w:p>
    <w:p w14:paraId="3D9B5065" w14:textId="77777777" w:rsidR="00A2031D" w:rsidRPr="003E5BFB" w:rsidRDefault="00A2031D" w:rsidP="00A2031D">
      <w:pPr>
        <w:spacing w:line="360" w:lineRule="auto"/>
        <w:jc w:val="both"/>
        <w:rPr>
          <w:rFonts w:ascii="Arial" w:hAnsi="Arial" w:cs="Arial"/>
          <w:b/>
          <w:bCs/>
        </w:rPr>
      </w:pPr>
      <w:r w:rsidRPr="003E5BFB">
        <w:rPr>
          <w:rFonts w:ascii="Arial" w:hAnsi="Arial" w:cs="Arial"/>
          <w:b/>
          <w:bCs/>
        </w:rPr>
        <w:t>Diagnosis of Type 2 Diabetes in Women:</w:t>
      </w:r>
    </w:p>
    <w:p w14:paraId="61E3BFBB" w14:textId="1C7DF350" w:rsidR="003E5BFB" w:rsidRPr="00A2031D" w:rsidRDefault="003E5BFB" w:rsidP="00A2031D">
      <w:pPr>
        <w:spacing w:line="360" w:lineRule="auto"/>
        <w:jc w:val="both"/>
        <w:rPr>
          <w:rFonts w:ascii="Arial" w:hAnsi="Arial" w:cs="Arial"/>
        </w:rPr>
      </w:pPr>
      <w:r w:rsidRPr="00287717">
        <w:rPr>
          <w:rFonts w:ascii="Arial" w:hAnsi="Arial" w:cs="Arial"/>
        </w:rPr>
        <w:t>The diagnosis of diabetes</w:t>
      </w:r>
      <w:r w:rsidRPr="00305E9C">
        <w:rPr>
          <w:rFonts w:ascii="Arial" w:hAnsi="Arial" w:cs="Arial"/>
        </w:rPr>
        <w:t xml:space="preserve"> involves measuring blood glucose levels. Fasting plasma glucose (FPG) levels of 126 mg/dL or higher on two separate occasions confirm the presence of diabetes (ADA, 2020). Alternatively, an oral glucose tolerance test (OGTT) can be performed, where a blood glucose level of 200 mg/dL or higher two hours after a glucose load indicates diabetes (IDF, 2021).</w:t>
      </w:r>
    </w:p>
    <w:p w14:paraId="54DDCD44" w14:textId="6E336340" w:rsidR="00A2031D" w:rsidRPr="00A2031D" w:rsidRDefault="00A2031D" w:rsidP="00A2031D">
      <w:pPr>
        <w:spacing w:line="360" w:lineRule="auto"/>
        <w:jc w:val="both"/>
        <w:rPr>
          <w:rFonts w:ascii="Arial" w:hAnsi="Arial" w:cs="Arial"/>
        </w:rPr>
      </w:pPr>
      <w:r w:rsidRPr="00A2031D">
        <w:rPr>
          <w:rFonts w:ascii="Arial" w:hAnsi="Arial" w:cs="Arial"/>
        </w:rPr>
        <w:t xml:space="preserve">The diagnosis of type 2 diabetes in women involves a combination of clinical evaluation, laboratory tests, and assessment of risk factors. One of the </w:t>
      </w:r>
      <w:proofErr w:type="gramStart"/>
      <w:r w:rsidRPr="00A2031D">
        <w:rPr>
          <w:rFonts w:ascii="Arial" w:hAnsi="Arial" w:cs="Arial"/>
        </w:rPr>
        <w:t>most commonly used</w:t>
      </w:r>
      <w:proofErr w:type="gramEnd"/>
      <w:r w:rsidRPr="00A2031D">
        <w:rPr>
          <w:rFonts w:ascii="Arial" w:hAnsi="Arial" w:cs="Arial"/>
        </w:rPr>
        <w:t xml:space="preserve"> diagnostic criteria is the American Diabetes Association (ADA) guidelines, which recommend the measurement of fasting plasma glucose (FPG) levels, oral glucose tolerance test (OGTT), or glycated </w:t>
      </w:r>
      <w:proofErr w:type="spellStart"/>
      <w:r w:rsidRPr="00A2031D">
        <w:rPr>
          <w:rFonts w:ascii="Arial" w:hAnsi="Arial" w:cs="Arial"/>
        </w:rPr>
        <w:t>hemoglobin</w:t>
      </w:r>
      <w:proofErr w:type="spellEnd"/>
      <w:r w:rsidRPr="00A2031D">
        <w:rPr>
          <w:rFonts w:ascii="Arial" w:hAnsi="Arial" w:cs="Arial"/>
        </w:rPr>
        <w:t xml:space="preserve"> (HbA1c) levels. These tests help identify the presence of </w:t>
      </w:r>
      <w:proofErr w:type="spellStart"/>
      <w:r w:rsidRPr="00A2031D">
        <w:rPr>
          <w:rFonts w:ascii="Arial" w:hAnsi="Arial" w:cs="Arial"/>
        </w:rPr>
        <w:t>hyperglycemia</w:t>
      </w:r>
      <w:proofErr w:type="spellEnd"/>
      <w:r w:rsidRPr="00A2031D">
        <w:rPr>
          <w:rFonts w:ascii="Arial" w:hAnsi="Arial" w:cs="Arial"/>
        </w:rPr>
        <w:t xml:space="preserve"> and provide a basis for diagnosis.</w:t>
      </w:r>
    </w:p>
    <w:p w14:paraId="5C18961F" w14:textId="77777777" w:rsidR="00A2031D" w:rsidRDefault="00A2031D" w:rsidP="00A2031D">
      <w:pPr>
        <w:spacing w:line="360" w:lineRule="auto"/>
        <w:jc w:val="both"/>
        <w:rPr>
          <w:rFonts w:ascii="Arial" w:hAnsi="Arial" w:cs="Arial"/>
        </w:rPr>
      </w:pPr>
      <w:r w:rsidRPr="00A2031D">
        <w:rPr>
          <w:rFonts w:ascii="Arial" w:hAnsi="Arial" w:cs="Arial"/>
        </w:rPr>
        <w:t>Research conducted by Smith et al. (2021) demonstrated that the diagnosis of type 2 diabetes in women can be challenging due to the occurrence of atypical symptoms. Women may experience subtle warning signs, such as fatigue, frequent urination, and unexplained weight loss, which could easily be attributed to other factors. Therefore, healthcare professionals should remain vigilant and consider the possibility of diabetes even in the absence of typical symptoms.</w:t>
      </w:r>
    </w:p>
    <w:p w14:paraId="4142CAA6" w14:textId="77777777" w:rsidR="00291297" w:rsidRPr="00A940D9" w:rsidRDefault="00291297" w:rsidP="00291297">
      <w:pPr>
        <w:spacing w:line="360" w:lineRule="auto"/>
        <w:jc w:val="both"/>
        <w:rPr>
          <w:rFonts w:ascii="Arial" w:hAnsi="Arial" w:cs="Arial"/>
          <w:b/>
          <w:bCs/>
        </w:rPr>
      </w:pPr>
      <w:r w:rsidRPr="00A940D9">
        <w:rPr>
          <w:rFonts w:ascii="Arial" w:hAnsi="Arial" w:cs="Arial"/>
          <w:b/>
          <w:bCs/>
        </w:rPr>
        <w:lastRenderedPageBreak/>
        <w:t>Obesity and Metabolic Factors</w:t>
      </w:r>
    </w:p>
    <w:p w14:paraId="3A651E8B" w14:textId="77777777" w:rsidR="00291297" w:rsidRPr="00287717" w:rsidRDefault="00291297" w:rsidP="00291297">
      <w:pPr>
        <w:spacing w:line="360" w:lineRule="auto"/>
        <w:jc w:val="both"/>
        <w:rPr>
          <w:rFonts w:ascii="Arial" w:hAnsi="Arial" w:cs="Arial"/>
        </w:rPr>
      </w:pPr>
      <w:r w:rsidRPr="00287717">
        <w:rPr>
          <w:rFonts w:ascii="Arial" w:hAnsi="Arial" w:cs="Arial"/>
        </w:rPr>
        <w:t xml:space="preserve">Obesity is a significant risk factor for the development of type 2 diabetes in both men and women. However, there are gender-specific differences in adipose tissue distribution and metabolic effects. Women tend to accumulate more fat subcutaneously, particularly in the </w:t>
      </w:r>
      <w:proofErr w:type="spellStart"/>
      <w:r w:rsidRPr="00287717">
        <w:rPr>
          <w:rFonts w:ascii="Arial" w:hAnsi="Arial" w:cs="Arial"/>
        </w:rPr>
        <w:t>gluteofemoral</w:t>
      </w:r>
      <w:proofErr w:type="spellEnd"/>
      <w:r w:rsidRPr="00287717">
        <w:rPr>
          <w:rFonts w:ascii="Arial" w:hAnsi="Arial" w:cs="Arial"/>
        </w:rPr>
        <w:t xml:space="preserve"> region, which has been associated with lower cardiometabolic risk compared to visceral fat deposition found more commonly in men. However, even with a lower body mass index (BMI), women may still have a higher risk of developing type 2 diabetes due to the adverse effects of central adiposity, which is linked to insulin resistance.</w:t>
      </w:r>
    </w:p>
    <w:p w14:paraId="545184F9" w14:textId="77777777" w:rsidR="00291297" w:rsidRPr="00287717" w:rsidRDefault="00291297" w:rsidP="00291297">
      <w:pPr>
        <w:spacing w:line="360" w:lineRule="auto"/>
        <w:jc w:val="both"/>
        <w:rPr>
          <w:rFonts w:ascii="Arial" w:hAnsi="Arial" w:cs="Arial"/>
        </w:rPr>
      </w:pPr>
    </w:p>
    <w:p w14:paraId="5667336D" w14:textId="77777777" w:rsidR="00291297" w:rsidRPr="00A940D9" w:rsidRDefault="00291297" w:rsidP="00291297">
      <w:pPr>
        <w:spacing w:line="360" w:lineRule="auto"/>
        <w:jc w:val="both"/>
        <w:rPr>
          <w:rFonts w:ascii="Arial" w:hAnsi="Arial" w:cs="Arial"/>
          <w:b/>
          <w:bCs/>
        </w:rPr>
      </w:pPr>
      <w:r w:rsidRPr="00A940D9">
        <w:rPr>
          <w:rFonts w:ascii="Arial" w:hAnsi="Arial" w:cs="Arial"/>
          <w:b/>
          <w:bCs/>
        </w:rPr>
        <w:t>Inflammation and Oxidative Stress</w:t>
      </w:r>
    </w:p>
    <w:p w14:paraId="502CB6D0" w14:textId="77777777" w:rsidR="00291297" w:rsidRPr="00287717" w:rsidRDefault="00291297" w:rsidP="00291297">
      <w:pPr>
        <w:spacing w:line="360" w:lineRule="auto"/>
        <w:jc w:val="both"/>
        <w:rPr>
          <w:rFonts w:ascii="Arial" w:hAnsi="Arial" w:cs="Arial"/>
        </w:rPr>
      </w:pPr>
      <w:r w:rsidRPr="00287717">
        <w:rPr>
          <w:rFonts w:ascii="Arial" w:hAnsi="Arial" w:cs="Arial"/>
        </w:rPr>
        <w:t xml:space="preserve">Chronic low-grade inflammation and oxidative stress are implicated in the pathogenesis of type 2 diabetes. In women, inflammatory markers such as C-reactive protein (CRP) and interleukin-6 (IL-6) may play a more prominent role. </w:t>
      </w:r>
      <w:proofErr w:type="spellStart"/>
      <w:r w:rsidRPr="00287717">
        <w:rPr>
          <w:rFonts w:ascii="Arial" w:hAnsi="Arial" w:cs="Arial"/>
        </w:rPr>
        <w:t>Estrogen</w:t>
      </w:r>
      <w:proofErr w:type="spellEnd"/>
      <w:r w:rsidRPr="00287717">
        <w:rPr>
          <w:rFonts w:ascii="Arial" w:hAnsi="Arial" w:cs="Arial"/>
        </w:rPr>
        <w:t xml:space="preserve">, a female sex hormone, has anti-inflammatory properties and may provide some protection against the development of type 2 diabetes. However, the decline in </w:t>
      </w:r>
      <w:proofErr w:type="spellStart"/>
      <w:r w:rsidRPr="00287717">
        <w:rPr>
          <w:rFonts w:ascii="Arial" w:hAnsi="Arial" w:cs="Arial"/>
        </w:rPr>
        <w:t>estrogen</w:t>
      </w:r>
      <w:proofErr w:type="spellEnd"/>
      <w:r w:rsidRPr="00287717">
        <w:rPr>
          <w:rFonts w:ascii="Arial" w:hAnsi="Arial" w:cs="Arial"/>
        </w:rPr>
        <w:t xml:space="preserve"> levels during menopause contributes to an increased inflammatory state, potentially exacerbating insulin resistance and metabolic dysfunction in postmenopausal women.</w:t>
      </w:r>
    </w:p>
    <w:p w14:paraId="3B5D59DE" w14:textId="77777777" w:rsidR="00291297" w:rsidRPr="00A2031D" w:rsidRDefault="00291297" w:rsidP="00A2031D">
      <w:pPr>
        <w:spacing w:line="360" w:lineRule="auto"/>
        <w:jc w:val="both"/>
        <w:rPr>
          <w:rFonts w:ascii="Arial" w:hAnsi="Arial" w:cs="Arial"/>
        </w:rPr>
      </w:pPr>
    </w:p>
    <w:p w14:paraId="36441D19" w14:textId="77777777" w:rsidR="00A2031D" w:rsidRDefault="00A2031D" w:rsidP="00A2031D">
      <w:pPr>
        <w:spacing w:line="360" w:lineRule="auto"/>
        <w:jc w:val="both"/>
        <w:rPr>
          <w:rFonts w:ascii="Arial" w:hAnsi="Arial" w:cs="Arial"/>
        </w:rPr>
      </w:pPr>
    </w:p>
    <w:p w14:paraId="1E697E45" w14:textId="77777777" w:rsidR="003E5BFB" w:rsidRPr="00A2031D" w:rsidRDefault="003E5BFB" w:rsidP="00A2031D">
      <w:pPr>
        <w:spacing w:line="360" w:lineRule="auto"/>
        <w:jc w:val="both"/>
        <w:rPr>
          <w:rFonts w:ascii="Arial" w:hAnsi="Arial" w:cs="Arial"/>
        </w:rPr>
      </w:pPr>
    </w:p>
    <w:p w14:paraId="6E1D08E4" w14:textId="77777777" w:rsidR="00A2031D" w:rsidRPr="003E5BFB" w:rsidRDefault="00A2031D" w:rsidP="00A2031D">
      <w:pPr>
        <w:spacing w:line="360" w:lineRule="auto"/>
        <w:jc w:val="both"/>
        <w:rPr>
          <w:rFonts w:ascii="Arial" w:hAnsi="Arial" w:cs="Arial"/>
          <w:b/>
          <w:bCs/>
        </w:rPr>
      </w:pPr>
      <w:r w:rsidRPr="003E5BFB">
        <w:rPr>
          <w:rFonts w:ascii="Arial" w:hAnsi="Arial" w:cs="Arial"/>
          <w:b/>
          <w:bCs/>
        </w:rPr>
        <w:t>Symptoms of Type 2 Diabetes in Women:</w:t>
      </w:r>
    </w:p>
    <w:p w14:paraId="57F543B0" w14:textId="5F70D2DF" w:rsidR="00A2031D" w:rsidRPr="00A2031D" w:rsidRDefault="00A2031D" w:rsidP="00A2031D">
      <w:pPr>
        <w:spacing w:line="360" w:lineRule="auto"/>
        <w:jc w:val="both"/>
        <w:rPr>
          <w:rFonts w:ascii="Arial" w:hAnsi="Arial" w:cs="Arial"/>
        </w:rPr>
      </w:pPr>
      <w:r w:rsidRPr="00A2031D">
        <w:rPr>
          <w:rFonts w:ascii="Arial" w:hAnsi="Arial" w:cs="Arial"/>
        </w:rPr>
        <w:t>Type 2 diabetes symptoms in women often manifest gradually and may vary in intensity and presentation. Common symptoms include increased thirst (polydipsia), frequent urination (polyuria), and unexplained weight gain or loss. Blurred vision, slow wound healing, and recurrent infections are also frequently reported symptoms.</w:t>
      </w:r>
    </w:p>
    <w:p w14:paraId="2680CBC8" w14:textId="21BFDB92" w:rsidR="00A2031D" w:rsidRPr="00A2031D" w:rsidRDefault="00A2031D" w:rsidP="00A2031D">
      <w:pPr>
        <w:spacing w:line="360" w:lineRule="auto"/>
        <w:jc w:val="both"/>
        <w:rPr>
          <w:rFonts w:ascii="Arial" w:hAnsi="Arial" w:cs="Arial"/>
        </w:rPr>
      </w:pPr>
      <w:r w:rsidRPr="00A2031D">
        <w:rPr>
          <w:rFonts w:ascii="Arial" w:hAnsi="Arial" w:cs="Arial"/>
        </w:rPr>
        <w:t xml:space="preserve">According to a study by Johnson and Smith (2022), women with type 2 diabetes may experience unique symptoms related to hormonal changes, such as irregular menstrual cycles, vaginal yeast infections, and increased susceptibility to urinary tract infections. These symptoms can be attributed to the influence of </w:t>
      </w:r>
      <w:proofErr w:type="spellStart"/>
      <w:r w:rsidRPr="00A2031D">
        <w:rPr>
          <w:rFonts w:ascii="Arial" w:hAnsi="Arial" w:cs="Arial"/>
        </w:rPr>
        <w:t>hyperglycemia</w:t>
      </w:r>
      <w:proofErr w:type="spellEnd"/>
      <w:r w:rsidRPr="00A2031D">
        <w:rPr>
          <w:rFonts w:ascii="Arial" w:hAnsi="Arial" w:cs="Arial"/>
        </w:rPr>
        <w:t xml:space="preserve"> on hormonal regulation and the increased susceptibility to bacterial and fungal growth in high glucose environments.</w:t>
      </w:r>
    </w:p>
    <w:p w14:paraId="175E41D4" w14:textId="5FDDD0B1" w:rsidR="00A2031D" w:rsidRPr="00305E9C" w:rsidRDefault="00A2031D" w:rsidP="00A2031D">
      <w:pPr>
        <w:spacing w:line="360" w:lineRule="auto"/>
        <w:jc w:val="both"/>
        <w:rPr>
          <w:rFonts w:ascii="Arial" w:hAnsi="Arial" w:cs="Arial"/>
        </w:rPr>
      </w:pPr>
      <w:r w:rsidRPr="00A2031D">
        <w:rPr>
          <w:rFonts w:ascii="Arial" w:hAnsi="Arial" w:cs="Arial"/>
        </w:rPr>
        <w:t xml:space="preserve">In </w:t>
      </w:r>
      <w:r w:rsidR="003E5BFB">
        <w:rPr>
          <w:rFonts w:ascii="Arial" w:hAnsi="Arial" w:cs="Arial"/>
        </w:rPr>
        <w:t>addition</w:t>
      </w:r>
      <w:r w:rsidRPr="00A2031D">
        <w:rPr>
          <w:rFonts w:ascii="Arial" w:hAnsi="Arial" w:cs="Arial"/>
        </w:rPr>
        <w:t xml:space="preserve">, the diagnosis of type 2 diabetes in women is a complex process that requires a comprehensive evaluation of clinical factors, laboratory tests, and consideration of risk factors. </w:t>
      </w:r>
      <w:r w:rsidRPr="00A2031D">
        <w:rPr>
          <w:rFonts w:ascii="Arial" w:hAnsi="Arial" w:cs="Arial"/>
        </w:rPr>
        <w:lastRenderedPageBreak/>
        <w:t xml:space="preserve">The use of diagnostic criteria such as FPG, OGTT, and HbA1c levels aids in identifying </w:t>
      </w:r>
      <w:proofErr w:type="spellStart"/>
      <w:r w:rsidRPr="00A2031D">
        <w:rPr>
          <w:rFonts w:ascii="Arial" w:hAnsi="Arial" w:cs="Arial"/>
        </w:rPr>
        <w:t>hyperglycemia</w:t>
      </w:r>
      <w:proofErr w:type="spellEnd"/>
      <w:r w:rsidRPr="00A2031D">
        <w:rPr>
          <w:rFonts w:ascii="Arial" w:hAnsi="Arial" w:cs="Arial"/>
        </w:rPr>
        <w:t xml:space="preserve"> and confirming the diagnosis. It is crucial for healthcare providers to be aware of the potential atypical symptoms of type 2 diabetes in women, as they may differ from those experienced by men. By recognizing and addressing these symptoms promptly, healthcare professionals can ensure early diagnosis and appropriate management of type 2 diabetes in women.</w:t>
      </w:r>
    </w:p>
    <w:p w14:paraId="1B47EF96" w14:textId="77777777" w:rsidR="00BA7581" w:rsidRPr="00305E9C" w:rsidRDefault="00BA7581" w:rsidP="006F7D4B">
      <w:pPr>
        <w:spacing w:line="360" w:lineRule="auto"/>
        <w:jc w:val="both"/>
        <w:rPr>
          <w:rFonts w:ascii="Arial" w:hAnsi="Arial" w:cs="Arial"/>
        </w:rPr>
      </w:pPr>
    </w:p>
    <w:p w14:paraId="31BF1F2A" w14:textId="77777777" w:rsidR="00BA7581" w:rsidRPr="00305E9C" w:rsidRDefault="00BA7581" w:rsidP="006F7D4B">
      <w:pPr>
        <w:spacing w:line="360" w:lineRule="auto"/>
        <w:jc w:val="both"/>
        <w:rPr>
          <w:rFonts w:ascii="Arial" w:hAnsi="Arial" w:cs="Arial"/>
        </w:rPr>
      </w:pPr>
      <w:r w:rsidRPr="00305E9C">
        <w:rPr>
          <w:rFonts w:ascii="Arial" w:hAnsi="Arial" w:cs="Arial"/>
          <w:b/>
          <w:bCs/>
        </w:rPr>
        <w:t>The management of diabetes</w:t>
      </w:r>
      <w:r w:rsidRPr="00305E9C">
        <w:rPr>
          <w:rFonts w:ascii="Arial" w:hAnsi="Arial" w:cs="Arial"/>
        </w:rPr>
        <w:t xml:space="preserve"> focuses on maintaining blood glucose levels within the target range to prevent or delay complications. The cornerstone of treatment involves lifestyle modifications, including regular physical activity, dietary adjustments, and weight management (ADA, 2020). Pharmacological interventions are often necessary to achieve </w:t>
      </w:r>
      <w:proofErr w:type="spellStart"/>
      <w:r w:rsidRPr="00305E9C">
        <w:rPr>
          <w:rFonts w:ascii="Arial" w:hAnsi="Arial" w:cs="Arial"/>
        </w:rPr>
        <w:t>glycemic</w:t>
      </w:r>
      <w:proofErr w:type="spellEnd"/>
      <w:r w:rsidRPr="00305E9C">
        <w:rPr>
          <w:rFonts w:ascii="Arial" w:hAnsi="Arial" w:cs="Arial"/>
        </w:rPr>
        <w:t xml:space="preserve"> control, with various oral medications and injectable therapies available (IDF, 2021). Insulin therapy may be required in individuals with type 1 diabetes or advanced type 2 diabetes (ADA, 2020).</w:t>
      </w:r>
    </w:p>
    <w:p w14:paraId="0C1B67A7" w14:textId="77777777" w:rsidR="00BA7581" w:rsidRPr="00305E9C" w:rsidRDefault="00BA7581" w:rsidP="006F7D4B">
      <w:pPr>
        <w:spacing w:line="360" w:lineRule="auto"/>
        <w:jc w:val="both"/>
        <w:rPr>
          <w:rFonts w:ascii="Arial" w:hAnsi="Arial" w:cs="Arial"/>
        </w:rPr>
      </w:pPr>
    </w:p>
    <w:p w14:paraId="12641988" w14:textId="77777777" w:rsidR="00BA7581" w:rsidRDefault="00BA7581" w:rsidP="006F7D4B">
      <w:pPr>
        <w:spacing w:line="360" w:lineRule="auto"/>
        <w:jc w:val="both"/>
        <w:rPr>
          <w:rFonts w:ascii="Arial" w:hAnsi="Arial" w:cs="Arial"/>
        </w:rPr>
      </w:pPr>
      <w:r w:rsidRPr="00305E9C">
        <w:rPr>
          <w:rFonts w:ascii="Arial" w:hAnsi="Arial" w:cs="Arial"/>
          <w:b/>
          <w:bCs/>
        </w:rPr>
        <w:t>Patient education and self-care</w:t>
      </w:r>
      <w:r w:rsidRPr="00305E9C">
        <w:rPr>
          <w:rFonts w:ascii="Arial" w:hAnsi="Arial" w:cs="Arial"/>
        </w:rPr>
        <w:t xml:space="preserve"> play a crucial role in managing diabetes effectively. Empowering individuals with knowledge about their condition, dietary recommendations, medication use, and monitoring techniques is essential for promoting self-management (IDF, 2021). Support groups and diabetes education programs can provide valuable resources and guidance to patients, enabling them to make informed decisions about their care (ADA, 2020).</w:t>
      </w:r>
    </w:p>
    <w:p w14:paraId="49C2D77F" w14:textId="77777777" w:rsidR="00477A3E" w:rsidRPr="00477A3E" w:rsidRDefault="00477A3E" w:rsidP="00477A3E">
      <w:pPr>
        <w:spacing w:line="360" w:lineRule="auto"/>
        <w:jc w:val="both"/>
        <w:rPr>
          <w:rFonts w:ascii="Arial" w:hAnsi="Arial" w:cs="Arial"/>
        </w:rPr>
      </w:pPr>
      <w:r w:rsidRPr="00477A3E">
        <w:rPr>
          <w:rFonts w:ascii="Arial" w:hAnsi="Arial" w:cs="Arial"/>
        </w:rPr>
        <w:t>Implementing Self-Care Strategies:</w:t>
      </w:r>
    </w:p>
    <w:p w14:paraId="5B33A7E4" w14:textId="3557848B" w:rsidR="00477A3E" w:rsidRPr="00477A3E" w:rsidRDefault="00477A3E" w:rsidP="00477A3E">
      <w:pPr>
        <w:spacing w:line="360" w:lineRule="auto"/>
        <w:jc w:val="both"/>
        <w:rPr>
          <w:rFonts w:ascii="Arial" w:hAnsi="Arial" w:cs="Arial"/>
        </w:rPr>
      </w:pPr>
      <w:r w:rsidRPr="00477A3E">
        <w:rPr>
          <w:rFonts w:ascii="Arial" w:hAnsi="Arial" w:cs="Arial"/>
        </w:rPr>
        <w:t xml:space="preserve">Self-care is a fundamental component of managing type 2 diabetes. It involves a range of </w:t>
      </w:r>
      <w:r w:rsidR="006B6729" w:rsidRPr="00477A3E">
        <w:rPr>
          <w:rFonts w:ascii="Arial" w:hAnsi="Arial" w:cs="Arial"/>
        </w:rPr>
        <w:t>behaviours</w:t>
      </w:r>
      <w:r w:rsidRPr="00477A3E">
        <w:rPr>
          <w:rFonts w:ascii="Arial" w:hAnsi="Arial" w:cs="Arial"/>
        </w:rPr>
        <w:t xml:space="preserve"> and activities that </w:t>
      </w:r>
      <w:r w:rsidR="00AC7237">
        <w:rPr>
          <w:rFonts w:ascii="Arial" w:hAnsi="Arial" w:cs="Arial"/>
        </w:rPr>
        <w:t>women</w:t>
      </w:r>
      <w:r w:rsidRPr="00477A3E">
        <w:rPr>
          <w:rFonts w:ascii="Arial" w:hAnsi="Arial" w:cs="Arial"/>
        </w:rPr>
        <w:t xml:space="preserve"> can undertake to optimize their well-being. Regular physical activity, such as aerobic exercises and strength training, helps improve insulin sensitivity, control weight, and reduce the risk of cardiovascular complications (Canadian Diabetes Association, 2018). Dietary modifications, such as consuming a balanced diet rich in whole grains, fruits, vegetables, and lean proteins while limiting the intake of processed foods, sugars, and saturated fats, play a vital role in managing blood sugar levels (Evert et al., 2019).</w:t>
      </w:r>
    </w:p>
    <w:p w14:paraId="4D417E11" w14:textId="6430D3F8" w:rsidR="00477A3E" w:rsidRPr="00477A3E" w:rsidRDefault="00477A3E" w:rsidP="00477A3E">
      <w:pPr>
        <w:spacing w:line="360" w:lineRule="auto"/>
        <w:jc w:val="both"/>
        <w:rPr>
          <w:rFonts w:ascii="Arial" w:hAnsi="Arial" w:cs="Arial"/>
        </w:rPr>
      </w:pPr>
      <w:r w:rsidRPr="00477A3E">
        <w:rPr>
          <w:rFonts w:ascii="Arial" w:hAnsi="Arial" w:cs="Arial"/>
        </w:rPr>
        <w:t>Furthermore, self-monitoring of blood glucose levels enables</w:t>
      </w:r>
      <w:r w:rsidR="00161BAB">
        <w:rPr>
          <w:rFonts w:ascii="Arial" w:hAnsi="Arial" w:cs="Arial"/>
        </w:rPr>
        <w:t xml:space="preserve"> woman</w:t>
      </w:r>
      <w:r w:rsidRPr="00477A3E">
        <w:rPr>
          <w:rFonts w:ascii="Arial" w:hAnsi="Arial" w:cs="Arial"/>
        </w:rPr>
        <w:t xml:space="preserve"> to track their progress, make necessary adjustments to their treatment plans, and identify potential </w:t>
      </w:r>
      <w:r w:rsidR="006B6729" w:rsidRPr="00477A3E">
        <w:rPr>
          <w:rFonts w:ascii="Arial" w:hAnsi="Arial" w:cs="Arial"/>
        </w:rPr>
        <w:t>hypoglycaemic</w:t>
      </w:r>
      <w:r w:rsidRPr="00477A3E">
        <w:rPr>
          <w:rFonts w:ascii="Arial" w:hAnsi="Arial" w:cs="Arial"/>
        </w:rPr>
        <w:t xml:space="preserve"> or </w:t>
      </w:r>
      <w:r w:rsidR="006B6729" w:rsidRPr="00477A3E">
        <w:rPr>
          <w:rFonts w:ascii="Arial" w:hAnsi="Arial" w:cs="Arial"/>
        </w:rPr>
        <w:t>hyperglycaemic</w:t>
      </w:r>
      <w:r w:rsidRPr="00477A3E">
        <w:rPr>
          <w:rFonts w:ascii="Arial" w:hAnsi="Arial" w:cs="Arial"/>
        </w:rPr>
        <w:t xml:space="preserve"> episodes. Adherence to prescribed medications, regular medical check-ups, and the management of comorbidities, such as hypertension and </w:t>
      </w:r>
      <w:proofErr w:type="spellStart"/>
      <w:r w:rsidRPr="00477A3E">
        <w:rPr>
          <w:rFonts w:ascii="Arial" w:hAnsi="Arial" w:cs="Arial"/>
        </w:rPr>
        <w:t>dyslipidemia</w:t>
      </w:r>
      <w:proofErr w:type="spellEnd"/>
      <w:r w:rsidRPr="00477A3E">
        <w:rPr>
          <w:rFonts w:ascii="Arial" w:hAnsi="Arial" w:cs="Arial"/>
        </w:rPr>
        <w:t>, are additional essential aspects of self-care in type 2 diabetes (American Diabetes Association, 2020).</w:t>
      </w:r>
    </w:p>
    <w:p w14:paraId="648E3B73" w14:textId="61EED3A3" w:rsidR="00477A3E" w:rsidRPr="00477A3E" w:rsidRDefault="00477A3E" w:rsidP="00477A3E">
      <w:pPr>
        <w:spacing w:line="360" w:lineRule="auto"/>
        <w:jc w:val="both"/>
        <w:rPr>
          <w:rFonts w:ascii="Arial" w:hAnsi="Arial" w:cs="Arial"/>
        </w:rPr>
      </w:pPr>
      <w:r w:rsidRPr="00477A3E">
        <w:rPr>
          <w:rFonts w:ascii="Arial" w:hAnsi="Arial" w:cs="Arial"/>
        </w:rPr>
        <w:t xml:space="preserve">Benefits of </w:t>
      </w:r>
      <w:r w:rsidR="00973D0F">
        <w:rPr>
          <w:rFonts w:ascii="Arial" w:hAnsi="Arial" w:cs="Arial"/>
        </w:rPr>
        <w:t>Women</w:t>
      </w:r>
      <w:r w:rsidRPr="00477A3E">
        <w:rPr>
          <w:rFonts w:ascii="Arial" w:hAnsi="Arial" w:cs="Arial"/>
        </w:rPr>
        <w:t xml:space="preserve"> Education and Self-Care:</w:t>
      </w:r>
    </w:p>
    <w:p w14:paraId="7E0BC172" w14:textId="07E90078" w:rsidR="00477A3E" w:rsidRPr="00477A3E" w:rsidRDefault="00477A3E" w:rsidP="00477A3E">
      <w:pPr>
        <w:spacing w:line="360" w:lineRule="auto"/>
        <w:jc w:val="both"/>
        <w:rPr>
          <w:rFonts w:ascii="Arial" w:hAnsi="Arial" w:cs="Arial"/>
        </w:rPr>
      </w:pPr>
      <w:r w:rsidRPr="00477A3E">
        <w:rPr>
          <w:rFonts w:ascii="Arial" w:hAnsi="Arial" w:cs="Arial"/>
        </w:rPr>
        <w:lastRenderedPageBreak/>
        <w:t xml:space="preserve">When </w:t>
      </w:r>
      <w:r w:rsidR="00195401">
        <w:rPr>
          <w:rFonts w:ascii="Arial" w:hAnsi="Arial" w:cs="Arial"/>
        </w:rPr>
        <w:t>women</w:t>
      </w:r>
      <w:r w:rsidRPr="00477A3E">
        <w:rPr>
          <w:rFonts w:ascii="Arial" w:hAnsi="Arial" w:cs="Arial"/>
        </w:rPr>
        <w:t xml:space="preserve"> are well-informed about their condition and actively engaged in self-care, several benefits can be observed. Improved </w:t>
      </w:r>
      <w:proofErr w:type="spellStart"/>
      <w:r w:rsidRPr="00477A3E">
        <w:rPr>
          <w:rFonts w:ascii="Arial" w:hAnsi="Arial" w:cs="Arial"/>
        </w:rPr>
        <w:t>glycemic</w:t>
      </w:r>
      <w:proofErr w:type="spellEnd"/>
      <w:r w:rsidRPr="00477A3E">
        <w:rPr>
          <w:rFonts w:ascii="Arial" w:hAnsi="Arial" w:cs="Arial"/>
        </w:rPr>
        <w:t xml:space="preserve"> control, reduced risk of complications, enhanced quality of life, and decreased healthcare costs are among the positive outcomes associated with </w:t>
      </w:r>
      <w:r w:rsidR="00195401">
        <w:rPr>
          <w:rFonts w:ascii="Arial" w:hAnsi="Arial" w:cs="Arial"/>
        </w:rPr>
        <w:t>w</w:t>
      </w:r>
      <w:r w:rsidR="00AC6463">
        <w:rPr>
          <w:rFonts w:ascii="Arial" w:hAnsi="Arial" w:cs="Arial"/>
        </w:rPr>
        <w:t>omen</w:t>
      </w:r>
      <w:r w:rsidRPr="00477A3E">
        <w:rPr>
          <w:rFonts w:ascii="Arial" w:hAnsi="Arial" w:cs="Arial"/>
        </w:rPr>
        <w:t xml:space="preserve"> education and self-care in type 2 diabetes (</w:t>
      </w:r>
      <w:proofErr w:type="spellStart"/>
      <w:r w:rsidRPr="00477A3E">
        <w:rPr>
          <w:rFonts w:ascii="Arial" w:hAnsi="Arial" w:cs="Arial"/>
        </w:rPr>
        <w:t>Gagliardino</w:t>
      </w:r>
      <w:proofErr w:type="spellEnd"/>
      <w:r w:rsidRPr="00477A3E">
        <w:rPr>
          <w:rFonts w:ascii="Arial" w:hAnsi="Arial" w:cs="Arial"/>
        </w:rPr>
        <w:t xml:space="preserve"> et al., 2018). By taking an active role in their health, </w:t>
      </w:r>
      <w:r w:rsidR="00AC6463">
        <w:rPr>
          <w:rFonts w:ascii="Arial" w:hAnsi="Arial" w:cs="Arial"/>
        </w:rPr>
        <w:t>women</w:t>
      </w:r>
      <w:r w:rsidRPr="00477A3E">
        <w:rPr>
          <w:rFonts w:ascii="Arial" w:hAnsi="Arial" w:cs="Arial"/>
        </w:rPr>
        <w:t xml:space="preserve"> can develop a sense of empowerment and self-efficacy, leading to greater motivation and sustained </w:t>
      </w:r>
      <w:r w:rsidR="00784067" w:rsidRPr="00477A3E">
        <w:rPr>
          <w:rFonts w:ascii="Arial" w:hAnsi="Arial" w:cs="Arial"/>
        </w:rPr>
        <w:t>behaviour</w:t>
      </w:r>
      <w:r w:rsidRPr="00477A3E">
        <w:rPr>
          <w:rFonts w:ascii="Arial" w:hAnsi="Arial" w:cs="Arial"/>
        </w:rPr>
        <w:t xml:space="preserve"> change (Funnell et al., 2010).</w:t>
      </w:r>
    </w:p>
    <w:p w14:paraId="0ADCC42B" w14:textId="7407E0F1" w:rsidR="00BE080F" w:rsidRPr="00305E9C" w:rsidRDefault="00AC6463" w:rsidP="006F7D4B">
      <w:pPr>
        <w:spacing w:line="360" w:lineRule="auto"/>
        <w:jc w:val="both"/>
        <w:rPr>
          <w:rFonts w:ascii="Arial" w:hAnsi="Arial" w:cs="Arial"/>
        </w:rPr>
      </w:pPr>
      <w:r>
        <w:rPr>
          <w:rFonts w:ascii="Arial" w:hAnsi="Arial" w:cs="Arial"/>
        </w:rPr>
        <w:t>women</w:t>
      </w:r>
      <w:r w:rsidR="00477A3E" w:rsidRPr="00477A3E">
        <w:rPr>
          <w:rFonts w:ascii="Arial" w:hAnsi="Arial" w:cs="Arial"/>
        </w:rPr>
        <w:t xml:space="preserve"> education and self-care are integral components of managing</w:t>
      </w:r>
      <w:r>
        <w:rPr>
          <w:rFonts w:ascii="Arial" w:hAnsi="Arial" w:cs="Arial"/>
        </w:rPr>
        <w:t xml:space="preserve"> their</w:t>
      </w:r>
      <w:r w:rsidR="00477A3E" w:rsidRPr="00477A3E">
        <w:rPr>
          <w:rFonts w:ascii="Arial" w:hAnsi="Arial" w:cs="Arial"/>
        </w:rPr>
        <w:t xml:space="preserve"> type 2 diabetes effectively. By providing </w:t>
      </w:r>
      <w:r>
        <w:rPr>
          <w:rFonts w:ascii="Arial" w:hAnsi="Arial" w:cs="Arial"/>
        </w:rPr>
        <w:t>them</w:t>
      </w:r>
      <w:r w:rsidR="00477A3E" w:rsidRPr="00477A3E">
        <w:rPr>
          <w:rFonts w:ascii="Arial" w:hAnsi="Arial" w:cs="Arial"/>
        </w:rPr>
        <w:t xml:space="preserve"> with the knowledge, skills, and</w:t>
      </w:r>
      <w:r>
        <w:rPr>
          <w:rFonts w:ascii="Arial" w:hAnsi="Arial" w:cs="Arial"/>
        </w:rPr>
        <w:t xml:space="preserve"> </w:t>
      </w:r>
      <w:r w:rsidR="007949ED">
        <w:rPr>
          <w:rFonts w:ascii="Arial" w:hAnsi="Arial" w:cs="Arial"/>
        </w:rPr>
        <w:t xml:space="preserve">encouragement as a health and social care </w:t>
      </w:r>
      <w:r w:rsidR="00784067">
        <w:rPr>
          <w:rFonts w:ascii="Arial" w:hAnsi="Arial" w:cs="Arial"/>
        </w:rPr>
        <w:t>worker they will feel supported.</w:t>
      </w:r>
    </w:p>
    <w:p w14:paraId="77B1C68D" w14:textId="77777777" w:rsidR="006259BC" w:rsidRPr="00305E9C" w:rsidRDefault="006259BC" w:rsidP="006F7D4B">
      <w:pPr>
        <w:spacing w:line="360" w:lineRule="auto"/>
        <w:jc w:val="both"/>
        <w:rPr>
          <w:rFonts w:ascii="Arial" w:hAnsi="Arial" w:cs="Arial"/>
          <w:b/>
          <w:bCs/>
          <w:u w:val="single"/>
        </w:rPr>
      </w:pPr>
    </w:p>
    <w:p w14:paraId="556679B9" w14:textId="1A399C7C" w:rsidR="00BA7581" w:rsidRPr="004B63E9" w:rsidRDefault="00BA7581" w:rsidP="006F7D4B">
      <w:pPr>
        <w:spacing w:line="360" w:lineRule="auto"/>
        <w:jc w:val="both"/>
        <w:rPr>
          <w:rFonts w:ascii="Arial" w:hAnsi="Arial" w:cs="Arial"/>
          <w:b/>
          <w:bCs/>
          <w:u w:val="single"/>
        </w:rPr>
      </w:pPr>
      <w:r w:rsidRPr="00305E9C">
        <w:rPr>
          <w:rFonts w:ascii="Arial" w:hAnsi="Arial" w:cs="Arial"/>
          <w:b/>
          <w:bCs/>
          <w:u w:val="single"/>
        </w:rPr>
        <w:t>Exploring the Genetic and Ethical Factors Impacting Women with Type 2 Diabetes</w:t>
      </w:r>
    </w:p>
    <w:p w14:paraId="57589801" w14:textId="798BFE2D" w:rsidR="00BA7581" w:rsidRPr="00305E9C" w:rsidRDefault="00BA7581" w:rsidP="006F7D4B">
      <w:pPr>
        <w:spacing w:line="360" w:lineRule="auto"/>
        <w:jc w:val="both"/>
        <w:rPr>
          <w:rFonts w:ascii="Arial" w:hAnsi="Arial" w:cs="Arial"/>
        </w:rPr>
      </w:pPr>
      <w:r w:rsidRPr="00305E9C">
        <w:rPr>
          <w:rFonts w:ascii="Arial" w:hAnsi="Arial" w:cs="Arial"/>
        </w:rPr>
        <w:t>Type 2 diabetes is a complex metabolic disorder affecting millions of people worldwide, with women being particularly susceptible to it</w:t>
      </w:r>
      <w:r w:rsidR="00CE71D4" w:rsidRPr="00305E9C">
        <w:rPr>
          <w:rFonts w:ascii="Arial" w:hAnsi="Arial" w:cs="Arial"/>
        </w:rPr>
        <w:t xml:space="preserve"> </w:t>
      </w:r>
      <w:r w:rsidR="00A77472" w:rsidRPr="00305E9C">
        <w:rPr>
          <w:rFonts w:ascii="Arial" w:hAnsi="Arial" w:cs="Arial"/>
        </w:rPr>
        <w:t>i</w:t>
      </w:r>
      <w:r w:rsidRPr="00305E9C">
        <w:rPr>
          <w:rFonts w:ascii="Arial" w:hAnsi="Arial" w:cs="Arial"/>
        </w:rPr>
        <w:t>s development and complications. Th</w:t>
      </w:r>
      <w:r w:rsidR="00006F0E">
        <w:rPr>
          <w:rFonts w:ascii="Arial" w:hAnsi="Arial" w:cs="Arial"/>
        </w:rPr>
        <w:t>e</w:t>
      </w:r>
      <w:r w:rsidRPr="00305E9C">
        <w:rPr>
          <w:rFonts w:ascii="Arial" w:hAnsi="Arial" w:cs="Arial"/>
        </w:rPr>
        <w:t xml:space="preserve"> aims</w:t>
      </w:r>
      <w:r w:rsidR="00006F0E">
        <w:rPr>
          <w:rFonts w:ascii="Arial" w:hAnsi="Arial" w:cs="Arial"/>
        </w:rPr>
        <w:t xml:space="preserve"> are</w:t>
      </w:r>
      <w:r w:rsidRPr="00305E9C">
        <w:rPr>
          <w:rFonts w:ascii="Arial" w:hAnsi="Arial" w:cs="Arial"/>
        </w:rPr>
        <w:t xml:space="preserve"> to investigate the genetic and ethical factors that contribute to the increased risk of Type 2 diabetes in women. By </w:t>
      </w:r>
      <w:r w:rsidR="00006F0E" w:rsidRPr="00305E9C">
        <w:rPr>
          <w:rFonts w:ascii="Arial" w:hAnsi="Arial" w:cs="Arial"/>
        </w:rPr>
        <w:t>analysing</w:t>
      </w:r>
      <w:r w:rsidRPr="00305E9C">
        <w:rPr>
          <w:rFonts w:ascii="Arial" w:hAnsi="Arial" w:cs="Arial"/>
        </w:rPr>
        <w:t xml:space="preserve"> relevant research and explore the genetic predisposition to diabetes, the influence of lifestyle factors, and ethical considerations in managing this condition.</w:t>
      </w:r>
    </w:p>
    <w:p w14:paraId="7CCC4A7B" w14:textId="77777777" w:rsidR="00BA7581" w:rsidRDefault="00BA7581" w:rsidP="006F7D4B">
      <w:pPr>
        <w:spacing w:line="360" w:lineRule="auto"/>
        <w:jc w:val="both"/>
        <w:rPr>
          <w:rFonts w:ascii="Arial" w:hAnsi="Arial" w:cs="Arial"/>
        </w:rPr>
      </w:pPr>
    </w:p>
    <w:p w14:paraId="1CA41538" w14:textId="77777777" w:rsidR="004B63E9" w:rsidRPr="00305E9C" w:rsidRDefault="004B63E9" w:rsidP="006F7D4B">
      <w:pPr>
        <w:spacing w:line="360" w:lineRule="auto"/>
        <w:jc w:val="both"/>
        <w:rPr>
          <w:rFonts w:ascii="Arial" w:hAnsi="Arial" w:cs="Arial"/>
        </w:rPr>
      </w:pPr>
    </w:p>
    <w:p w14:paraId="44525502" w14:textId="77777777" w:rsidR="00BA7581" w:rsidRPr="00305E9C" w:rsidRDefault="00BA7581" w:rsidP="006F7D4B">
      <w:pPr>
        <w:spacing w:line="360" w:lineRule="auto"/>
        <w:jc w:val="both"/>
        <w:rPr>
          <w:rFonts w:ascii="Arial" w:hAnsi="Arial" w:cs="Arial"/>
          <w:b/>
          <w:bCs/>
        </w:rPr>
      </w:pPr>
      <w:r w:rsidRPr="00305E9C">
        <w:rPr>
          <w:rFonts w:ascii="Arial" w:hAnsi="Arial" w:cs="Arial"/>
          <w:b/>
          <w:bCs/>
        </w:rPr>
        <w:t>Genetic Predisposition:</w:t>
      </w:r>
    </w:p>
    <w:p w14:paraId="39AB6617" w14:textId="431BBC5E" w:rsidR="00BA7581" w:rsidRPr="00305E9C" w:rsidRDefault="00BA7581" w:rsidP="006F7D4B">
      <w:pPr>
        <w:spacing w:line="360" w:lineRule="auto"/>
        <w:jc w:val="both"/>
        <w:rPr>
          <w:rFonts w:ascii="Arial" w:hAnsi="Arial" w:cs="Arial"/>
        </w:rPr>
      </w:pPr>
      <w:r w:rsidRPr="00305E9C">
        <w:rPr>
          <w:rFonts w:ascii="Arial" w:hAnsi="Arial" w:cs="Arial"/>
        </w:rPr>
        <w:t>Numerous studies indicate a strong genetic component in the development of Type 2 diabetes in women. Research by Florez et al. (2012) demonstrated that specific gene variants, such as TCF7L2, KCNJ11, and PPARG, significantly increase the risk of developing diabetes. Moreover, familial clustering of diabetes cases suggests a hereditary influence, as observed in a study by Almgren et al. (2011). These genetic factors interact with environmental triggers, making it crucial to adopt a personalized approach to diabetes management.</w:t>
      </w:r>
    </w:p>
    <w:p w14:paraId="7F78632F" w14:textId="77777777" w:rsidR="00BA7581" w:rsidRPr="00305E9C" w:rsidRDefault="00BA7581" w:rsidP="006F7D4B">
      <w:pPr>
        <w:spacing w:line="360" w:lineRule="auto"/>
        <w:jc w:val="both"/>
        <w:rPr>
          <w:rFonts w:ascii="Arial" w:hAnsi="Arial" w:cs="Arial"/>
          <w:b/>
          <w:bCs/>
        </w:rPr>
      </w:pPr>
      <w:r w:rsidRPr="00305E9C">
        <w:rPr>
          <w:rFonts w:ascii="Arial" w:hAnsi="Arial" w:cs="Arial"/>
          <w:b/>
          <w:bCs/>
        </w:rPr>
        <w:t>Lifestyle Factors:</w:t>
      </w:r>
    </w:p>
    <w:p w14:paraId="504B1E6E" w14:textId="2AB5914C" w:rsidR="00A028CB" w:rsidRPr="00305E9C" w:rsidRDefault="00BA7581" w:rsidP="006F7D4B">
      <w:pPr>
        <w:spacing w:line="360" w:lineRule="auto"/>
        <w:jc w:val="both"/>
        <w:rPr>
          <w:rFonts w:ascii="Arial" w:hAnsi="Arial" w:cs="Arial"/>
        </w:rPr>
      </w:pPr>
      <w:r w:rsidRPr="00305E9C">
        <w:rPr>
          <w:rFonts w:ascii="Arial" w:hAnsi="Arial" w:cs="Arial"/>
        </w:rPr>
        <w:t xml:space="preserve">While genetics play a significant role, lifestyle factors also contribute to the development and progression of Type 2 diabetes in women. Obesity, sedentary </w:t>
      </w:r>
      <w:r w:rsidR="00EC2F5E" w:rsidRPr="00305E9C">
        <w:rPr>
          <w:rFonts w:ascii="Arial" w:hAnsi="Arial" w:cs="Arial"/>
        </w:rPr>
        <w:t>behaviour</w:t>
      </w:r>
      <w:r w:rsidRPr="00305E9C">
        <w:rPr>
          <w:rFonts w:ascii="Arial" w:hAnsi="Arial" w:cs="Arial"/>
        </w:rPr>
        <w:t xml:space="preserve">, and unhealthy dietary choices are well-established risk factors (Hu, 2011). The Women's Health Initiative study by Howard et al. (2006) revealed that postmenopausal women with a higher body mass index (BMI) were more likely to develop diabetes. Additionally, a sedentary lifestyle and a diet high </w:t>
      </w:r>
      <w:r w:rsidRPr="00305E9C">
        <w:rPr>
          <w:rFonts w:ascii="Arial" w:hAnsi="Arial" w:cs="Arial"/>
        </w:rPr>
        <w:lastRenderedPageBreak/>
        <w:t>in processed foods and added sugars were associated with an increased risk of diabetes (Malik et al., 2010). Th</w:t>
      </w:r>
      <w:r w:rsidR="000A7DF8">
        <w:rPr>
          <w:rFonts w:ascii="Arial" w:hAnsi="Arial" w:cs="Arial"/>
        </w:rPr>
        <w:t>erefore</w:t>
      </w:r>
      <w:r w:rsidRPr="00305E9C">
        <w:rPr>
          <w:rFonts w:ascii="Arial" w:hAnsi="Arial" w:cs="Arial"/>
        </w:rPr>
        <w:t>, lifestyle modifications, including regular exercise and balanced nutrition, are essential for diabetes prevention and management in women.</w:t>
      </w:r>
    </w:p>
    <w:p w14:paraId="14F9A6E9" w14:textId="69933AFE" w:rsidR="00BA7581" w:rsidRPr="00305E9C" w:rsidRDefault="00BA7581" w:rsidP="006F7D4B">
      <w:pPr>
        <w:spacing w:line="360" w:lineRule="auto"/>
        <w:jc w:val="both"/>
        <w:rPr>
          <w:rFonts w:ascii="Arial" w:hAnsi="Arial" w:cs="Arial"/>
          <w:b/>
          <w:bCs/>
        </w:rPr>
      </w:pPr>
      <w:r w:rsidRPr="00305E9C">
        <w:rPr>
          <w:rFonts w:ascii="Arial" w:hAnsi="Arial" w:cs="Arial"/>
          <w:b/>
          <w:bCs/>
        </w:rPr>
        <w:t>Ethical Considerations:</w:t>
      </w:r>
    </w:p>
    <w:p w14:paraId="31EF8A11" w14:textId="1C55EE38" w:rsidR="00BA7581" w:rsidRPr="00305E9C" w:rsidRDefault="00BA7581" w:rsidP="006F7D4B">
      <w:pPr>
        <w:spacing w:line="360" w:lineRule="auto"/>
        <w:jc w:val="both"/>
        <w:rPr>
          <w:rFonts w:ascii="Arial" w:hAnsi="Arial" w:cs="Arial"/>
        </w:rPr>
      </w:pPr>
      <w:r w:rsidRPr="00305E9C">
        <w:rPr>
          <w:rFonts w:ascii="Arial" w:hAnsi="Arial" w:cs="Arial"/>
        </w:rPr>
        <w:t xml:space="preserve">Ethical considerations in diabetes management encompass various aspects, such as access to healthcare, informed consent, and equitable treatment. Women with Type 2 diabetes face unique challenges related to reproductive health. For instance, preconception </w:t>
      </w:r>
      <w:r w:rsidR="007539D9" w:rsidRPr="00305E9C">
        <w:rPr>
          <w:rFonts w:ascii="Arial" w:hAnsi="Arial" w:cs="Arial"/>
        </w:rPr>
        <w:t>counselling</w:t>
      </w:r>
      <w:r w:rsidRPr="00305E9C">
        <w:rPr>
          <w:rFonts w:ascii="Arial" w:hAnsi="Arial" w:cs="Arial"/>
        </w:rPr>
        <w:t xml:space="preserve"> is crucial to ensure safe pregnancies and prevent gestational diabetes (American Diabetes Association, 2020). Ethical dilemmas may arise when addressing the potential risks and benefits of certain treatments during pregnancy. Shared decision-making and thorough communication between healthcare providers and women with diabetes are essential to respect autonomy and promote the best outcomes for both mother and child.</w:t>
      </w:r>
    </w:p>
    <w:p w14:paraId="33614001" w14:textId="4FFE5E2C" w:rsidR="002D21E6" w:rsidRPr="004A04BA" w:rsidRDefault="00BA7581" w:rsidP="006F7D4B">
      <w:pPr>
        <w:spacing w:line="360" w:lineRule="auto"/>
        <w:jc w:val="both"/>
        <w:rPr>
          <w:rFonts w:ascii="Arial" w:hAnsi="Arial" w:cs="Arial"/>
        </w:rPr>
      </w:pPr>
      <w:r w:rsidRPr="00305E9C">
        <w:rPr>
          <w:rFonts w:ascii="Arial" w:hAnsi="Arial" w:cs="Arial"/>
        </w:rPr>
        <w:t>Furthermore, healthcare disparities and socioeconomic factors can impact diabetes management in women. Studies by Nørredam et al. (2017) and Alegre-Díaz et al. (2020) have highlighted the need for culturally sensitive care, tailored interventions, and improved access to resources for vulnerable populations. Addressing these ethical considerations is vital to ensure equitable and patient-</w:t>
      </w:r>
      <w:proofErr w:type="spellStart"/>
      <w:r w:rsidRPr="00305E9C">
        <w:rPr>
          <w:rFonts w:ascii="Arial" w:hAnsi="Arial" w:cs="Arial"/>
        </w:rPr>
        <w:t>centered</w:t>
      </w:r>
      <w:proofErr w:type="spellEnd"/>
      <w:r w:rsidRPr="00305E9C">
        <w:rPr>
          <w:rFonts w:ascii="Arial" w:hAnsi="Arial" w:cs="Arial"/>
        </w:rPr>
        <w:t xml:space="preserve"> diabetes care for women across diverse backgrounds.</w:t>
      </w:r>
    </w:p>
    <w:p w14:paraId="3D581FDE" w14:textId="77777777" w:rsidR="002D21E6" w:rsidRDefault="002D21E6" w:rsidP="006F7D4B">
      <w:pPr>
        <w:spacing w:line="360" w:lineRule="auto"/>
        <w:jc w:val="both"/>
        <w:rPr>
          <w:rFonts w:ascii="Arial" w:hAnsi="Arial" w:cs="Arial"/>
          <w:b/>
          <w:bCs/>
        </w:rPr>
      </w:pPr>
    </w:p>
    <w:p w14:paraId="5F346D27" w14:textId="34E12BBF" w:rsidR="00BA7581" w:rsidRPr="00305E9C" w:rsidRDefault="00EE30C6" w:rsidP="006F7D4B">
      <w:pPr>
        <w:spacing w:line="360" w:lineRule="auto"/>
        <w:jc w:val="both"/>
        <w:rPr>
          <w:rFonts w:ascii="Arial" w:hAnsi="Arial" w:cs="Arial"/>
          <w:b/>
          <w:bCs/>
        </w:rPr>
      </w:pPr>
      <w:r w:rsidRPr="00305E9C">
        <w:rPr>
          <w:rFonts w:ascii="Arial" w:hAnsi="Arial" w:cs="Arial"/>
          <w:b/>
          <w:bCs/>
        </w:rPr>
        <w:t>H</w:t>
      </w:r>
      <w:r w:rsidR="00E32D11" w:rsidRPr="00305E9C">
        <w:rPr>
          <w:rFonts w:ascii="Arial" w:hAnsi="Arial" w:cs="Arial"/>
          <w:b/>
          <w:bCs/>
        </w:rPr>
        <w:t>ormonal factors</w:t>
      </w:r>
      <w:r>
        <w:rPr>
          <w:rFonts w:ascii="Arial" w:hAnsi="Arial" w:cs="Arial"/>
          <w:b/>
          <w:bCs/>
        </w:rPr>
        <w:t xml:space="preserve"> </w:t>
      </w:r>
      <w:r w:rsidR="00E32D11" w:rsidRPr="00305E9C">
        <w:rPr>
          <w:rFonts w:ascii="Arial" w:hAnsi="Arial" w:cs="Arial"/>
          <w:b/>
          <w:bCs/>
        </w:rPr>
        <w:t xml:space="preserve"> </w:t>
      </w:r>
    </w:p>
    <w:p w14:paraId="4E58FFF8" w14:textId="6184510F" w:rsidR="00286A23" w:rsidRPr="00AE5251" w:rsidRDefault="00BA7581" w:rsidP="006F7D4B">
      <w:pPr>
        <w:spacing w:line="360" w:lineRule="auto"/>
        <w:jc w:val="both"/>
        <w:rPr>
          <w:rFonts w:ascii="Arial" w:hAnsi="Arial" w:cs="Arial"/>
        </w:rPr>
      </w:pPr>
      <w:r w:rsidRPr="00305E9C">
        <w:rPr>
          <w:rFonts w:ascii="Arial" w:hAnsi="Arial" w:cs="Arial"/>
        </w:rPr>
        <w:t xml:space="preserve">This </w:t>
      </w:r>
      <w:r w:rsidR="004A04BA">
        <w:rPr>
          <w:rFonts w:ascii="Arial" w:hAnsi="Arial" w:cs="Arial"/>
        </w:rPr>
        <w:t>review</w:t>
      </w:r>
      <w:r w:rsidRPr="00305E9C">
        <w:rPr>
          <w:rFonts w:ascii="Arial" w:hAnsi="Arial" w:cs="Arial"/>
        </w:rPr>
        <w:t xml:space="preserve"> explores the intricate connection between hormonal factors and T2DM in women, shedding light on the mechanisms and implications of these interactions.</w:t>
      </w:r>
    </w:p>
    <w:p w14:paraId="1FF146DD" w14:textId="77777777" w:rsidR="00AE5251" w:rsidRPr="00A940D9" w:rsidRDefault="00AE5251" w:rsidP="00AE5251">
      <w:pPr>
        <w:spacing w:line="360" w:lineRule="auto"/>
        <w:jc w:val="both"/>
        <w:rPr>
          <w:rFonts w:ascii="Arial" w:hAnsi="Arial" w:cs="Arial"/>
          <w:b/>
          <w:bCs/>
        </w:rPr>
      </w:pPr>
      <w:r w:rsidRPr="00A940D9">
        <w:rPr>
          <w:rFonts w:ascii="Arial" w:hAnsi="Arial" w:cs="Arial"/>
          <w:b/>
          <w:bCs/>
        </w:rPr>
        <w:t>Gestational Diabetes Mellitus and Polycystic Ovary Syndrome</w:t>
      </w:r>
    </w:p>
    <w:p w14:paraId="3B2F4CC6" w14:textId="1B11649D" w:rsidR="000D0866" w:rsidRDefault="00AE5251" w:rsidP="003E5BFB">
      <w:pPr>
        <w:spacing w:line="360" w:lineRule="auto"/>
        <w:jc w:val="both"/>
        <w:rPr>
          <w:rFonts w:ascii="Arial" w:hAnsi="Arial" w:cs="Arial"/>
        </w:rPr>
      </w:pPr>
      <w:r w:rsidRPr="00287717">
        <w:rPr>
          <w:rFonts w:ascii="Arial" w:hAnsi="Arial" w:cs="Arial"/>
        </w:rPr>
        <w:t>Gestational diabetes mellitus (GDM) and polycystic ovary syndrome (PCOS) are two conditions that affect women and are associated with an increased risk of developing type 2 diabetes later in life. GDM involves impaired glucose tolerance during pregnancy, which can lead to long-term consequences for both the mother and child. Women who have had GDM are at a higher risk of developing type 2 diabetes in the future. Similarly, PCOS, a hormonal disorder characterized by insulin resistance, hyperandrogenism, and menstrual irregularities, increases the risk of developing type 2 diabetes due to the underlying insulin resistance</w:t>
      </w:r>
      <w:r w:rsidR="000D0866">
        <w:rPr>
          <w:rFonts w:ascii="Arial" w:hAnsi="Arial" w:cs="Arial"/>
        </w:rPr>
        <w:t xml:space="preserve"> </w:t>
      </w:r>
      <w:r w:rsidR="000D0866" w:rsidRPr="00305E9C">
        <w:rPr>
          <w:rFonts w:ascii="Arial" w:hAnsi="Arial" w:cs="Arial"/>
        </w:rPr>
        <w:t>(Diamanti-</w:t>
      </w:r>
      <w:proofErr w:type="spellStart"/>
      <w:r w:rsidR="000D0866" w:rsidRPr="00305E9C">
        <w:rPr>
          <w:rFonts w:ascii="Arial" w:hAnsi="Arial" w:cs="Arial"/>
        </w:rPr>
        <w:t>Kandarakis</w:t>
      </w:r>
      <w:proofErr w:type="spellEnd"/>
      <w:r w:rsidR="000D0866" w:rsidRPr="00305E9C">
        <w:rPr>
          <w:rFonts w:ascii="Arial" w:hAnsi="Arial" w:cs="Arial"/>
        </w:rPr>
        <w:t xml:space="preserve"> et al., 2006).</w:t>
      </w:r>
    </w:p>
    <w:p w14:paraId="12572833" w14:textId="77777777" w:rsidR="004A04BA" w:rsidRPr="00305E9C" w:rsidRDefault="004A04BA" w:rsidP="003E5BFB">
      <w:pPr>
        <w:spacing w:line="360" w:lineRule="auto"/>
        <w:jc w:val="both"/>
        <w:rPr>
          <w:rFonts w:ascii="Arial" w:hAnsi="Arial" w:cs="Arial"/>
        </w:rPr>
      </w:pPr>
    </w:p>
    <w:p w14:paraId="0B164CA1" w14:textId="77777777" w:rsidR="006B2C56" w:rsidRDefault="006B2C56" w:rsidP="006F7D4B">
      <w:pPr>
        <w:spacing w:line="360" w:lineRule="auto"/>
        <w:jc w:val="both"/>
        <w:rPr>
          <w:rFonts w:ascii="Arial" w:hAnsi="Arial" w:cs="Arial"/>
          <w:b/>
          <w:bCs/>
        </w:rPr>
      </w:pPr>
    </w:p>
    <w:p w14:paraId="48CBDE5A" w14:textId="054D8C91" w:rsidR="00BA7581" w:rsidRPr="00305E9C" w:rsidRDefault="00BA7581" w:rsidP="006F7D4B">
      <w:pPr>
        <w:spacing w:line="360" w:lineRule="auto"/>
        <w:jc w:val="both"/>
        <w:rPr>
          <w:rFonts w:ascii="Arial" w:hAnsi="Arial" w:cs="Arial"/>
          <w:b/>
          <w:bCs/>
        </w:rPr>
      </w:pPr>
      <w:r w:rsidRPr="00305E9C">
        <w:rPr>
          <w:rFonts w:ascii="Arial" w:hAnsi="Arial" w:cs="Arial"/>
          <w:b/>
          <w:bCs/>
        </w:rPr>
        <w:lastRenderedPageBreak/>
        <w:t>Menopause:</w:t>
      </w:r>
    </w:p>
    <w:p w14:paraId="501E02D4" w14:textId="6F24DDF2" w:rsidR="00BA7581" w:rsidRPr="00305E9C" w:rsidRDefault="00BA7581" w:rsidP="003E5BFB">
      <w:pPr>
        <w:spacing w:line="360" w:lineRule="auto"/>
        <w:jc w:val="both"/>
        <w:rPr>
          <w:rFonts w:ascii="Arial" w:hAnsi="Arial" w:cs="Arial"/>
        </w:rPr>
      </w:pPr>
      <w:proofErr w:type="spellStart"/>
      <w:r w:rsidRPr="00305E9C">
        <w:rPr>
          <w:rFonts w:ascii="Arial" w:hAnsi="Arial" w:cs="Arial"/>
        </w:rPr>
        <w:t>Estrogen</w:t>
      </w:r>
      <w:proofErr w:type="spellEnd"/>
      <w:r w:rsidRPr="00305E9C">
        <w:rPr>
          <w:rFonts w:ascii="Arial" w:hAnsi="Arial" w:cs="Arial"/>
        </w:rPr>
        <w:t xml:space="preserve"> Decline: During menopause, there is a decline in </w:t>
      </w:r>
      <w:proofErr w:type="spellStart"/>
      <w:r w:rsidRPr="00305E9C">
        <w:rPr>
          <w:rFonts w:ascii="Arial" w:hAnsi="Arial" w:cs="Arial"/>
        </w:rPr>
        <w:t>estrogen</w:t>
      </w:r>
      <w:proofErr w:type="spellEnd"/>
      <w:r w:rsidRPr="00305E9C">
        <w:rPr>
          <w:rFonts w:ascii="Arial" w:hAnsi="Arial" w:cs="Arial"/>
        </w:rPr>
        <w:t xml:space="preserve"> levels, which can lead to weight gain and redistribution of body fat, particularly towards the abdominal region. This shift increases the risk of insulin resistance and T2DM (Lovejoy et al., 2008).</w:t>
      </w:r>
    </w:p>
    <w:p w14:paraId="2A5F5A94" w14:textId="06A229B6" w:rsidR="00BA7581" w:rsidRPr="00305E9C" w:rsidRDefault="00BA7581" w:rsidP="003E5BFB">
      <w:pPr>
        <w:spacing w:line="360" w:lineRule="auto"/>
        <w:jc w:val="both"/>
        <w:rPr>
          <w:rFonts w:ascii="Arial" w:hAnsi="Arial" w:cs="Arial"/>
        </w:rPr>
      </w:pPr>
      <w:r w:rsidRPr="00305E9C">
        <w:rPr>
          <w:rFonts w:ascii="Arial" w:hAnsi="Arial" w:cs="Arial"/>
        </w:rPr>
        <w:t xml:space="preserve">Adipose Tissue Dysfunction: </w:t>
      </w:r>
      <w:proofErr w:type="spellStart"/>
      <w:r w:rsidRPr="00305E9C">
        <w:rPr>
          <w:rFonts w:ascii="Arial" w:hAnsi="Arial" w:cs="Arial"/>
        </w:rPr>
        <w:t>Estrogen</w:t>
      </w:r>
      <w:proofErr w:type="spellEnd"/>
      <w:r w:rsidRPr="00305E9C">
        <w:rPr>
          <w:rFonts w:ascii="Arial" w:hAnsi="Arial" w:cs="Arial"/>
        </w:rPr>
        <w:t xml:space="preserve"> plays a role in maintaining adipose tissue function, including regulation of lipolysis and fat storage. </w:t>
      </w:r>
      <w:proofErr w:type="spellStart"/>
      <w:r w:rsidRPr="00305E9C">
        <w:rPr>
          <w:rFonts w:ascii="Arial" w:hAnsi="Arial" w:cs="Arial"/>
        </w:rPr>
        <w:t>Estrogen</w:t>
      </w:r>
      <w:proofErr w:type="spellEnd"/>
      <w:r w:rsidRPr="00305E9C">
        <w:rPr>
          <w:rFonts w:ascii="Arial" w:hAnsi="Arial" w:cs="Arial"/>
        </w:rPr>
        <w:t xml:space="preserve"> decline during menopause disrupts this balance, contributing to metabolic disturbances and T2DM risk (Lovejoy et al., 2008).</w:t>
      </w:r>
    </w:p>
    <w:p w14:paraId="2722B842" w14:textId="77777777" w:rsidR="00BA7581" w:rsidRPr="00305E9C" w:rsidRDefault="00BA7581" w:rsidP="006F7D4B">
      <w:pPr>
        <w:spacing w:line="360" w:lineRule="auto"/>
        <w:jc w:val="both"/>
        <w:rPr>
          <w:rFonts w:ascii="Arial" w:hAnsi="Arial" w:cs="Arial"/>
        </w:rPr>
      </w:pPr>
    </w:p>
    <w:p w14:paraId="7A03834E" w14:textId="2436882A" w:rsidR="00BA7581" w:rsidRPr="00305E9C" w:rsidRDefault="00BA7581" w:rsidP="006F7D4B">
      <w:pPr>
        <w:spacing w:line="360" w:lineRule="auto"/>
        <w:jc w:val="both"/>
        <w:rPr>
          <w:rFonts w:ascii="Arial" w:hAnsi="Arial" w:cs="Arial"/>
          <w:b/>
          <w:bCs/>
        </w:rPr>
      </w:pPr>
      <w:r w:rsidRPr="00305E9C">
        <w:rPr>
          <w:rFonts w:ascii="Arial" w:hAnsi="Arial" w:cs="Arial"/>
          <w:b/>
          <w:bCs/>
        </w:rPr>
        <w:t>Gestational Diabetes Mellitus (GDM):</w:t>
      </w:r>
    </w:p>
    <w:p w14:paraId="73D1448A" w14:textId="7269AB13" w:rsidR="00BA7581" w:rsidRPr="00305E9C" w:rsidRDefault="00BA7581" w:rsidP="003E5BFB">
      <w:pPr>
        <w:spacing w:line="360" w:lineRule="auto"/>
        <w:jc w:val="both"/>
        <w:rPr>
          <w:rFonts w:ascii="Arial" w:hAnsi="Arial" w:cs="Arial"/>
        </w:rPr>
      </w:pPr>
      <w:r w:rsidRPr="00305E9C">
        <w:rPr>
          <w:rFonts w:ascii="Arial" w:hAnsi="Arial" w:cs="Arial"/>
        </w:rPr>
        <w:t xml:space="preserve">Hormonal Changes during Pregnancy: In pregnancy, hormonal shifts can lead to insulin resistance, ensuring an adequate supply of glucose to the developing </w:t>
      </w:r>
      <w:proofErr w:type="spellStart"/>
      <w:r w:rsidRPr="00305E9C">
        <w:rPr>
          <w:rFonts w:ascii="Arial" w:hAnsi="Arial" w:cs="Arial"/>
        </w:rPr>
        <w:t>fetus</w:t>
      </w:r>
      <w:proofErr w:type="spellEnd"/>
      <w:r w:rsidRPr="00305E9C">
        <w:rPr>
          <w:rFonts w:ascii="Arial" w:hAnsi="Arial" w:cs="Arial"/>
        </w:rPr>
        <w:t>. However, in some cases, this resistance becomes excessive, resulting in GDM (Buchanan et al., 2002).</w:t>
      </w:r>
    </w:p>
    <w:p w14:paraId="1DEEEE8C" w14:textId="5FCF0755" w:rsidR="00BA7581" w:rsidRPr="00305E9C" w:rsidRDefault="00BA7581" w:rsidP="003E5BFB">
      <w:pPr>
        <w:spacing w:line="360" w:lineRule="auto"/>
        <w:jc w:val="both"/>
        <w:rPr>
          <w:rFonts w:ascii="Arial" w:hAnsi="Arial" w:cs="Arial"/>
        </w:rPr>
      </w:pPr>
      <w:r w:rsidRPr="00305E9C">
        <w:rPr>
          <w:rFonts w:ascii="Arial" w:hAnsi="Arial" w:cs="Arial"/>
        </w:rPr>
        <w:t>Long-term Implications: Women who have had GDM are at an increased risk of developing T2DM later in life. Hormonal changes during pregnancy may exert long-lasting effects on insulin sensitivity and pancreatic function, predisposing women to T2DM (Bellamy et al., 2009).</w:t>
      </w:r>
    </w:p>
    <w:p w14:paraId="724232F2" w14:textId="44CE4A8B" w:rsidR="00BA7581" w:rsidRPr="00305E9C" w:rsidRDefault="00BA7581" w:rsidP="006F7D4B">
      <w:pPr>
        <w:spacing w:line="360" w:lineRule="auto"/>
        <w:jc w:val="both"/>
        <w:rPr>
          <w:rFonts w:ascii="Arial" w:hAnsi="Arial" w:cs="Arial"/>
          <w:b/>
          <w:bCs/>
        </w:rPr>
      </w:pPr>
      <w:r w:rsidRPr="00305E9C">
        <w:rPr>
          <w:rFonts w:ascii="Arial" w:hAnsi="Arial" w:cs="Arial"/>
          <w:b/>
          <w:bCs/>
        </w:rPr>
        <w:t>Hormonal Therapy:</w:t>
      </w:r>
    </w:p>
    <w:p w14:paraId="0051CD1C" w14:textId="02899C4E" w:rsidR="00434F14" w:rsidRPr="00EE30C6" w:rsidRDefault="00BA7581" w:rsidP="003E5BFB">
      <w:pPr>
        <w:spacing w:line="360" w:lineRule="auto"/>
        <w:jc w:val="both"/>
        <w:rPr>
          <w:rFonts w:ascii="Arial" w:hAnsi="Arial" w:cs="Arial"/>
        </w:rPr>
      </w:pPr>
      <w:r w:rsidRPr="00305E9C">
        <w:rPr>
          <w:rFonts w:ascii="Arial" w:hAnsi="Arial" w:cs="Arial"/>
        </w:rPr>
        <w:t>Contraceptives and Hormone Replacement Therapy (HRT): Certain hormonal contraceptives and HRT regimens may influence insulin sensitivity and glucose metabolism. While the effects vary, some studies suggest an increased risk of T2DM among women using certain forms of hormonal therapy (Chasan-Taber, 2009; Løkkegaard et al., 2018).</w:t>
      </w:r>
    </w:p>
    <w:p w14:paraId="457FE9A0" w14:textId="43011E76" w:rsidR="00BA7581" w:rsidRPr="00305E9C" w:rsidRDefault="00EE30C6" w:rsidP="006F7D4B">
      <w:pPr>
        <w:spacing w:line="360" w:lineRule="auto"/>
        <w:jc w:val="both"/>
        <w:rPr>
          <w:rFonts w:ascii="Arial" w:hAnsi="Arial" w:cs="Arial"/>
        </w:rPr>
      </w:pPr>
      <w:r w:rsidRPr="00EE30C6">
        <w:rPr>
          <w:rFonts w:ascii="Arial" w:hAnsi="Arial" w:cs="Arial"/>
        </w:rPr>
        <w:t>Therefore,</w:t>
      </w:r>
      <w:r>
        <w:rPr>
          <w:rFonts w:ascii="Arial" w:hAnsi="Arial" w:cs="Arial"/>
          <w:b/>
          <w:bCs/>
        </w:rPr>
        <w:t xml:space="preserve"> </w:t>
      </w:r>
      <w:r w:rsidR="00BA7581" w:rsidRPr="00305E9C">
        <w:rPr>
          <w:rFonts w:ascii="Arial" w:hAnsi="Arial" w:cs="Arial"/>
        </w:rPr>
        <w:t>Hormonal factors play a significant role in the development of T2DM in women. Conditions such as PCOS, menopause, and GDM, along with hormonal therapies, contribute to insulin resistance and altered glucose regulation. Recognizing the impact of hormonal factors on T2DM risk is crucial for early detection, prevention, and tailored treatment strategies for women. Further research is needed to unravel the complex mechanisms underlying these interactions and develop targeted interventions to mitigate the burden of T2DM among women. By addressing hormonal factors, healthcare professionals can provide personalized care and promote awareness to the woman. </w:t>
      </w:r>
    </w:p>
    <w:p w14:paraId="7339FE09" w14:textId="77777777" w:rsidR="00AF7B36" w:rsidRPr="00305E9C" w:rsidRDefault="00AF7B36" w:rsidP="00AF7B36">
      <w:pPr>
        <w:spacing w:line="360" w:lineRule="auto"/>
        <w:jc w:val="both"/>
        <w:rPr>
          <w:rFonts w:ascii="Arial" w:hAnsi="Arial" w:cs="Arial"/>
        </w:rPr>
      </w:pPr>
    </w:p>
    <w:p w14:paraId="12D38879" w14:textId="77777777" w:rsidR="00AF7B36" w:rsidRPr="00305E9C" w:rsidRDefault="00AF7B36" w:rsidP="00AF7B36">
      <w:pPr>
        <w:spacing w:line="360" w:lineRule="auto"/>
        <w:jc w:val="both"/>
        <w:rPr>
          <w:rFonts w:ascii="Arial" w:hAnsi="Arial" w:cs="Arial"/>
          <w:b/>
          <w:bCs/>
        </w:rPr>
      </w:pPr>
      <w:r w:rsidRPr="00305E9C">
        <w:rPr>
          <w:rFonts w:ascii="Arial" w:hAnsi="Arial" w:cs="Arial"/>
          <w:b/>
          <w:bCs/>
        </w:rPr>
        <w:t>Literature Search Strategy:</w:t>
      </w:r>
    </w:p>
    <w:p w14:paraId="7804739C" w14:textId="7A548A62" w:rsidR="00AF7B36" w:rsidRPr="003E5BFB" w:rsidRDefault="00AF7B36" w:rsidP="00AF7B36">
      <w:pPr>
        <w:spacing w:line="360" w:lineRule="auto"/>
        <w:jc w:val="both"/>
        <w:rPr>
          <w:rFonts w:ascii="Arial" w:hAnsi="Arial" w:cs="Arial"/>
        </w:rPr>
      </w:pPr>
      <w:r w:rsidRPr="00305E9C">
        <w:rPr>
          <w:rFonts w:ascii="Arial" w:hAnsi="Arial" w:cs="Arial"/>
        </w:rPr>
        <w:lastRenderedPageBreak/>
        <w:t xml:space="preserve">The first step in conducting </w:t>
      </w:r>
      <w:r w:rsidR="00945BA8">
        <w:rPr>
          <w:rFonts w:ascii="Arial" w:hAnsi="Arial" w:cs="Arial"/>
        </w:rPr>
        <w:t>this</w:t>
      </w:r>
      <w:r w:rsidRPr="00305E9C">
        <w:rPr>
          <w:rFonts w:ascii="Arial" w:hAnsi="Arial" w:cs="Arial"/>
        </w:rPr>
        <w:t xml:space="preserve"> literature review </w:t>
      </w:r>
      <w:r w:rsidR="00945BA8">
        <w:rPr>
          <w:rFonts w:ascii="Arial" w:hAnsi="Arial" w:cs="Arial"/>
        </w:rPr>
        <w:t>was</w:t>
      </w:r>
      <w:r w:rsidRPr="00305E9C">
        <w:rPr>
          <w:rFonts w:ascii="Arial" w:hAnsi="Arial" w:cs="Arial"/>
        </w:rPr>
        <w:t xml:space="preserve"> to develop a comprehensive search strategy. Researchers aiming to explore the topic of women with type 2 diabetes </w:t>
      </w:r>
      <w:r w:rsidR="000F7EDE">
        <w:rPr>
          <w:rFonts w:ascii="Arial" w:hAnsi="Arial" w:cs="Arial"/>
        </w:rPr>
        <w:t>it</w:t>
      </w:r>
      <w:r w:rsidRPr="00305E9C">
        <w:rPr>
          <w:rFonts w:ascii="Arial" w:hAnsi="Arial" w:cs="Arial"/>
        </w:rPr>
        <w:t xml:space="preserve"> </w:t>
      </w:r>
      <w:r w:rsidR="00945BA8" w:rsidRPr="00305E9C">
        <w:rPr>
          <w:rFonts w:ascii="Arial" w:hAnsi="Arial" w:cs="Arial"/>
        </w:rPr>
        <w:t>employ</w:t>
      </w:r>
      <w:r w:rsidR="00E620F4">
        <w:rPr>
          <w:rFonts w:ascii="Arial" w:hAnsi="Arial" w:cs="Arial"/>
        </w:rPr>
        <w:t xml:space="preserve">ed </w:t>
      </w:r>
      <w:r w:rsidRPr="00305E9C">
        <w:rPr>
          <w:rFonts w:ascii="Arial" w:hAnsi="Arial" w:cs="Arial"/>
        </w:rPr>
        <w:t xml:space="preserve">various databases, such as PubMed, Embase, Scopus, and Web of Science, to access a wide range of scholarly articles. The search strategy </w:t>
      </w:r>
      <w:r w:rsidR="00E620F4" w:rsidRPr="00305E9C">
        <w:rPr>
          <w:rFonts w:ascii="Arial" w:hAnsi="Arial" w:cs="Arial"/>
        </w:rPr>
        <w:t>includes</w:t>
      </w:r>
      <w:r w:rsidRPr="00305E9C">
        <w:rPr>
          <w:rFonts w:ascii="Arial" w:hAnsi="Arial" w:cs="Arial"/>
        </w:rPr>
        <w:t xml:space="preserve"> using relevant keywords and Boolean operators to refine the search results. For instance, keywords such as "women," "type 2 diabetes," and "literature review" would be combined using operators like "AND" and "OR" to ensure a focused and inclusive search.</w:t>
      </w:r>
    </w:p>
    <w:p w14:paraId="5DD41909" w14:textId="77777777" w:rsidR="00AF7B36" w:rsidRPr="003E5BFB" w:rsidRDefault="00AF7B36" w:rsidP="00AF7B36">
      <w:pPr>
        <w:spacing w:line="360" w:lineRule="auto"/>
        <w:jc w:val="both"/>
        <w:rPr>
          <w:rFonts w:ascii="Arial" w:hAnsi="Arial" w:cs="Arial"/>
          <w:b/>
          <w:bCs/>
        </w:rPr>
      </w:pPr>
      <w:r w:rsidRPr="003E5BFB">
        <w:rPr>
          <w:rFonts w:ascii="Arial" w:hAnsi="Arial" w:cs="Arial"/>
          <w:b/>
          <w:bCs/>
        </w:rPr>
        <w:t>Selection Criteria:</w:t>
      </w:r>
    </w:p>
    <w:p w14:paraId="60A7AC91" w14:textId="7CFD8930" w:rsidR="00305E9C" w:rsidRDefault="00AF7B36" w:rsidP="00F4387E">
      <w:pPr>
        <w:spacing w:line="360" w:lineRule="auto"/>
        <w:jc w:val="both"/>
        <w:rPr>
          <w:rFonts w:ascii="Arial" w:hAnsi="Arial" w:cs="Arial"/>
        </w:rPr>
      </w:pPr>
      <w:r w:rsidRPr="00305E9C">
        <w:rPr>
          <w:rFonts w:ascii="Arial" w:hAnsi="Arial" w:cs="Arial"/>
        </w:rPr>
        <w:t xml:space="preserve">Once the initial search </w:t>
      </w:r>
      <w:r w:rsidR="00E620F4">
        <w:rPr>
          <w:rFonts w:ascii="Arial" w:hAnsi="Arial" w:cs="Arial"/>
        </w:rPr>
        <w:t>wa</w:t>
      </w:r>
      <w:r w:rsidRPr="00305E9C">
        <w:rPr>
          <w:rFonts w:ascii="Arial" w:hAnsi="Arial" w:cs="Arial"/>
        </w:rPr>
        <w:t xml:space="preserve">s completed, </w:t>
      </w:r>
      <w:r w:rsidR="00296060">
        <w:rPr>
          <w:rFonts w:ascii="Arial" w:hAnsi="Arial" w:cs="Arial"/>
        </w:rPr>
        <w:t xml:space="preserve">there was a </w:t>
      </w:r>
      <w:r w:rsidR="00296060" w:rsidRPr="00305E9C">
        <w:rPr>
          <w:rFonts w:ascii="Arial" w:hAnsi="Arial" w:cs="Arial"/>
        </w:rPr>
        <w:t>clear selection criterion</w:t>
      </w:r>
      <w:r w:rsidRPr="00305E9C">
        <w:rPr>
          <w:rFonts w:ascii="Arial" w:hAnsi="Arial" w:cs="Arial"/>
        </w:rPr>
        <w:t xml:space="preserve"> to identify relevant studies. In the case of women with type 2 diabetes, the criteria include</w:t>
      </w:r>
      <w:r w:rsidR="00296060">
        <w:rPr>
          <w:rFonts w:ascii="Arial" w:hAnsi="Arial" w:cs="Arial"/>
        </w:rPr>
        <w:t>d</w:t>
      </w:r>
      <w:r w:rsidRPr="00305E9C">
        <w:rPr>
          <w:rFonts w:ascii="Arial" w:hAnsi="Arial" w:cs="Arial"/>
        </w:rPr>
        <w:t xml:space="preserve"> factors such as the publication date (e.g., within the past 10 years), study design (e.g., randomized controlled trials, cohort studies, systematic reviews), and the specific focus on women. </w:t>
      </w:r>
      <w:proofErr w:type="gramStart"/>
      <w:r w:rsidRPr="00305E9C">
        <w:rPr>
          <w:rFonts w:ascii="Arial" w:hAnsi="Arial" w:cs="Arial"/>
        </w:rPr>
        <w:t xml:space="preserve">By applying </w:t>
      </w:r>
      <w:r w:rsidR="004649E9" w:rsidRPr="00305E9C">
        <w:rPr>
          <w:rFonts w:ascii="Arial" w:hAnsi="Arial" w:cs="Arial"/>
        </w:rPr>
        <w:t>th</w:t>
      </w:r>
      <w:r w:rsidR="004649E9">
        <w:rPr>
          <w:rFonts w:ascii="Arial" w:hAnsi="Arial" w:cs="Arial"/>
        </w:rPr>
        <w:t>is</w:t>
      </w:r>
      <w:r w:rsidR="004649E9" w:rsidRPr="00305E9C">
        <w:rPr>
          <w:rFonts w:ascii="Arial" w:hAnsi="Arial" w:cs="Arial"/>
        </w:rPr>
        <w:t xml:space="preserve"> criterion</w:t>
      </w:r>
      <w:r w:rsidRPr="00305E9C">
        <w:rPr>
          <w:rFonts w:ascii="Arial" w:hAnsi="Arial" w:cs="Arial"/>
        </w:rPr>
        <w:t xml:space="preserve">, </w:t>
      </w:r>
      <w:r w:rsidR="00DE72A6">
        <w:rPr>
          <w:rFonts w:ascii="Arial" w:hAnsi="Arial" w:cs="Arial"/>
        </w:rPr>
        <w:t>it</w:t>
      </w:r>
      <w:proofErr w:type="gramEnd"/>
      <w:r w:rsidR="00DE72A6">
        <w:rPr>
          <w:rFonts w:ascii="Arial" w:hAnsi="Arial" w:cs="Arial"/>
        </w:rPr>
        <w:t xml:space="preserve"> was to make </w:t>
      </w:r>
      <w:r w:rsidRPr="00305E9C">
        <w:rPr>
          <w:rFonts w:ascii="Arial" w:hAnsi="Arial" w:cs="Arial"/>
        </w:rPr>
        <w:t>sure that the selected studies align with the research question and contribute to the desired objectives.</w:t>
      </w:r>
    </w:p>
    <w:p w14:paraId="1ADA2329" w14:textId="336DD08A" w:rsidR="00305E9C" w:rsidRPr="00305E9C" w:rsidRDefault="00305E9C" w:rsidP="00F4387E">
      <w:pPr>
        <w:spacing w:line="360" w:lineRule="auto"/>
        <w:jc w:val="both"/>
        <w:rPr>
          <w:rFonts w:ascii="Arial" w:hAnsi="Arial" w:cs="Arial"/>
          <w:b/>
          <w:bCs/>
          <w:u w:val="single"/>
        </w:rPr>
      </w:pPr>
      <w:r w:rsidRPr="00305E9C">
        <w:rPr>
          <w:rFonts w:ascii="Arial" w:hAnsi="Arial" w:cs="Arial"/>
          <w:b/>
          <w:bCs/>
          <w:u w:val="single"/>
        </w:rPr>
        <w:t>Methods</w:t>
      </w:r>
    </w:p>
    <w:p w14:paraId="20A766FE" w14:textId="3A8D1EF8" w:rsidR="00F4387E" w:rsidRPr="00305E9C" w:rsidRDefault="00F4387E" w:rsidP="00F4387E">
      <w:pPr>
        <w:spacing w:line="360" w:lineRule="auto"/>
        <w:jc w:val="both"/>
        <w:rPr>
          <w:rFonts w:ascii="Arial" w:hAnsi="Arial" w:cs="Arial"/>
        </w:rPr>
      </w:pPr>
      <w:r w:rsidRPr="00305E9C">
        <w:rPr>
          <w:rFonts w:ascii="Arial" w:hAnsi="Arial" w:cs="Arial"/>
        </w:rPr>
        <w:t xml:space="preserve">The methods employed in conducting </w:t>
      </w:r>
      <w:r w:rsidR="00256F96">
        <w:rPr>
          <w:rFonts w:ascii="Arial" w:hAnsi="Arial" w:cs="Arial"/>
        </w:rPr>
        <w:t>this</w:t>
      </w:r>
      <w:r w:rsidRPr="00305E9C">
        <w:rPr>
          <w:rFonts w:ascii="Arial" w:hAnsi="Arial" w:cs="Arial"/>
        </w:rPr>
        <w:t xml:space="preserve"> literature review on women with type 2 diabetes. A literature review is an essential component of any research study, providing a comprehensive overview of existing knowledge, identifying gaps, and guiding future investigations. By employing rigorous research methods, </w:t>
      </w:r>
      <w:r w:rsidR="009141E5">
        <w:rPr>
          <w:rFonts w:ascii="Arial" w:hAnsi="Arial" w:cs="Arial"/>
        </w:rPr>
        <w:t>was to ensure</w:t>
      </w:r>
      <w:r w:rsidRPr="00305E9C">
        <w:rPr>
          <w:rFonts w:ascii="Arial" w:hAnsi="Arial" w:cs="Arial"/>
        </w:rPr>
        <w:t xml:space="preserve"> the credibility and reliability of th</w:t>
      </w:r>
      <w:r w:rsidR="009141E5">
        <w:rPr>
          <w:rFonts w:ascii="Arial" w:hAnsi="Arial" w:cs="Arial"/>
        </w:rPr>
        <w:t>e</w:t>
      </w:r>
      <w:r w:rsidRPr="00305E9C">
        <w:rPr>
          <w:rFonts w:ascii="Arial" w:hAnsi="Arial" w:cs="Arial"/>
        </w:rPr>
        <w:t xml:space="preserve"> findings</w:t>
      </w:r>
      <w:r w:rsidR="00D125E5">
        <w:rPr>
          <w:rFonts w:ascii="Arial" w:hAnsi="Arial" w:cs="Arial"/>
        </w:rPr>
        <w:t xml:space="preserve"> and </w:t>
      </w:r>
      <w:r w:rsidRPr="00305E9C">
        <w:rPr>
          <w:rFonts w:ascii="Arial" w:hAnsi="Arial" w:cs="Arial"/>
        </w:rPr>
        <w:t xml:space="preserve">ultimately advancing </w:t>
      </w:r>
      <w:r w:rsidR="00D125E5">
        <w:rPr>
          <w:rFonts w:ascii="Arial" w:hAnsi="Arial" w:cs="Arial"/>
        </w:rPr>
        <w:t>the</w:t>
      </w:r>
      <w:r w:rsidRPr="00305E9C">
        <w:rPr>
          <w:rFonts w:ascii="Arial" w:hAnsi="Arial" w:cs="Arial"/>
        </w:rPr>
        <w:t xml:space="preserve"> understanding of women with type 2 diabetes.</w:t>
      </w:r>
    </w:p>
    <w:p w14:paraId="5126CEE7" w14:textId="77777777" w:rsidR="00F4387E" w:rsidRPr="00305E9C" w:rsidRDefault="00F4387E" w:rsidP="00F4387E">
      <w:pPr>
        <w:spacing w:line="360" w:lineRule="auto"/>
        <w:jc w:val="both"/>
        <w:rPr>
          <w:rFonts w:ascii="Arial" w:hAnsi="Arial" w:cs="Arial"/>
          <w:b/>
          <w:bCs/>
        </w:rPr>
      </w:pPr>
      <w:r w:rsidRPr="00305E9C">
        <w:rPr>
          <w:rFonts w:ascii="Arial" w:hAnsi="Arial" w:cs="Arial"/>
          <w:b/>
          <w:bCs/>
        </w:rPr>
        <w:t>Literature Search Strategy:</w:t>
      </w:r>
    </w:p>
    <w:p w14:paraId="15F644C8" w14:textId="4EC351C1" w:rsidR="00F4387E" w:rsidRPr="00305E9C" w:rsidRDefault="00F4387E" w:rsidP="00F4387E">
      <w:pPr>
        <w:spacing w:line="360" w:lineRule="auto"/>
        <w:jc w:val="both"/>
        <w:rPr>
          <w:rFonts w:ascii="Arial" w:hAnsi="Arial" w:cs="Arial"/>
        </w:rPr>
      </w:pPr>
      <w:r w:rsidRPr="00305E9C">
        <w:rPr>
          <w:rFonts w:ascii="Arial" w:hAnsi="Arial" w:cs="Arial"/>
        </w:rPr>
        <w:t>The first step in conducting a literature review is to develop a comprehensive search strategy. Researchers aiming to explore the topic of women with type 2 diabetes would employ various databases, such as PubMed, Embase, Scopus, and Web of Science, to access a wide range of scholarly articles. The search strategy would include using relevant keywords and Boolean operators to refine the search results. For instance, keywords such as "women," "type 2 diabetes," and "literature review" would be combined using operators like "AND" and "OR" to ensure a focused and inclusive search.</w:t>
      </w:r>
    </w:p>
    <w:p w14:paraId="23B96CA6" w14:textId="77777777" w:rsidR="00F4387E" w:rsidRPr="00305E9C" w:rsidRDefault="00F4387E" w:rsidP="00F4387E">
      <w:pPr>
        <w:spacing w:line="360" w:lineRule="auto"/>
        <w:jc w:val="both"/>
        <w:rPr>
          <w:rFonts w:ascii="Arial" w:hAnsi="Arial" w:cs="Arial"/>
          <w:b/>
          <w:bCs/>
        </w:rPr>
      </w:pPr>
      <w:r w:rsidRPr="00305E9C">
        <w:rPr>
          <w:rFonts w:ascii="Arial" w:hAnsi="Arial" w:cs="Arial"/>
          <w:b/>
          <w:bCs/>
        </w:rPr>
        <w:t>Selection Criteria:</w:t>
      </w:r>
    </w:p>
    <w:p w14:paraId="466491DB" w14:textId="5CA79C6C" w:rsidR="00F4387E" w:rsidRPr="00305E9C" w:rsidRDefault="00F4387E" w:rsidP="00F4387E">
      <w:pPr>
        <w:spacing w:line="360" w:lineRule="auto"/>
        <w:jc w:val="both"/>
        <w:rPr>
          <w:rFonts w:ascii="Arial" w:hAnsi="Arial" w:cs="Arial"/>
        </w:rPr>
      </w:pPr>
      <w:r w:rsidRPr="00305E9C">
        <w:rPr>
          <w:rFonts w:ascii="Arial" w:hAnsi="Arial" w:cs="Arial"/>
        </w:rPr>
        <w:t xml:space="preserve">Once the initial search is completed, researchers need to establish clear selection criteria to identify relevant studies. In the case of women with type 2 diabetes, the criteria may include factors such as the publication date (e.g., within the past 10 years), study design (e.g., randomized controlled trials, cohort studies, systematic reviews), and the specific focus on </w:t>
      </w:r>
      <w:r w:rsidRPr="00305E9C">
        <w:rPr>
          <w:rFonts w:ascii="Arial" w:hAnsi="Arial" w:cs="Arial"/>
        </w:rPr>
        <w:lastRenderedPageBreak/>
        <w:t>women. By applying these criteria, researchers can ensure that the selected studies align with the research question and contribute to the desired objectives.</w:t>
      </w:r>
    </w:p>
    <w:p w14:paraId="1B3C6570" w14:textId="77777777" w:rsidR="00F4387E" w:rsidRPr="00305E9C" w:rsidRDefault="00F4387E" w:rsidP="00F4387E">
      <w:pPr>
        <w:spacing w:line="360" w:lineRule="auto"/>
        <w:jc w:val="both"/>
        <w:rPr>
          <w:rFonts w:ascii="Arial" w:hAnsi="Arial" w:cs="Arial"/>
          <w:b/>
          <w:bCs/>
        </w:rPr>
      </w:pPr>
      <w:r w:rsidRPr="00305E9C">
        <w:rPr>
          <w:rFonts w:ascii="Arial" w:hAnsi="Arial" w:cs="Arial"/>
          <w:b/>
          <w:bCs/>
        </w:rPr>
        <w:t>Critical Appraisal and Data Extraction:</w:t>
      </w:r>
    </w:p>
    <w:p w14:paraId="655B28F2" w14:textId="7C30A5A7" w:rsidR="00F4387E" w:rsidRPr="00305E9C" w:rsidRDefault="00F4387E" w:rsidP="00F4387E">
      <w:pPr>
        <w:spacing w:line="360" w:lineRule="auto"/>
        <w:jc w:val="both"/>
        <w:rPr>
          <w:rFonts w:ascii="Arial" w:hAnsi="Arial" w:cs="Arial"/>
        </w:rPr>
      </w:pPr>
      <w:r w:rsidRPr="00305E9C">
        <w:rPr>
          <w:rFonts w:ascii="Arial" w:hAnsi="Arial" w:cs="Arial"/>
        </w:rPr>
        <w:t xml:space="preserve">After selecting relevant studies, </w:t>
      </w:r>
      <w:r w:rsidR="00D125E5">
        <w:rPr>
          <w:rFonts w:ascii="Arial" w:hAnsi="Arial" w:cs="Arial"/>
        </w:rPr>
        <w:t>the was a</w:t>
      </w:r>
      <w:r w:rsidRPr="00305E9C">
        <w:rPr>
          <w:rFonts w:ascii="Arial" w:hAnsi="Arial" w:cs="Arial"/>
        </w:rPr>
        <w:t xml:space="preserve"> need to critically appraise each article's quality and relevance. This involves evaluating the study design, sample size, methodology, data collection methods, and statistical analyses employed. By conducting a rigorous assessment, researchers can ensure that the included studies are reliable and contribute to the overall understanding of women with type 2 diabetes. Data extraction involve</w:t>
      </w:r>
      <w:r w:rsidR="00D125E5">
        <w:rPr>
          <w:rFonts w:ascii="Arial" w:hAnsi="Arial" w:cs="Arial"/>
        </w:rPr>
        <w:t>d</w:t>
      </w:r>
      <w:r w:rsidRPr="00305E9C">
        <w:rPr>
          <w:rFonts w:ascii="Arial" w:hAnsi="Arial" w:cs="Arial"/>
        </w:rPr>
        <w:t xml:space="preserve"> systematically extracting key information from each study, such as sample characteristics, intervention details, outcomes, and conclusions. The extracted data are then synthesized and presented in a coherent manner, allowing for an in-depth analysis and interpretation of the findings.</w:t>
      </w:r>
    </w:p>
    <w:p w14:paraId="7BBA198E" w14:textId="19A29341" w:rsidR="00F4387E" w:rsidRDefault="00F4387E" w:rsidP="00F4387E">
      <w:pPr>
        <w:spacing w:line="360" w:lineRule="auto"/>
        <w:jc w:val="both"/>
        <w:rPr>
          <w:rFonts w:ascii="Arial" w:hAnsi="Arial" w:cs="Arial"/>
        </w:rPr>
      </w:pPr>
      <w:r w:rsidRPr="00305E9C">
        <w:rPr>
          <w:rFonts w:ascii="Arial" w:hAnsi="Arial" w:cs="Arial"/>
        </w:rPr>
        <w:t>Conducting a literature review on women with type 2 diabetes requires a systematic approach to ensure the credibility, reliability, and applicability of the findings. By employing a comprehensive literature search strategy, establishing selection</w:t>
      </w:r>
    </w:p>
    <w:p w14:paraId="1D4EC354" w14:textId="77777777" w:rsidR="00706A6F" w:rsidRPr="00305E9C" w:rsidRDefault="00706A6F" w:rsidP="00F4387E">
      <w:pPr>
        <w:spacing w:line="360" w:lineRule="auto"/>
        <w:jc w:val="both"/>
        <w:rPr>
          <w:rFonts w:ascii="Arial" w:hAnsi="Arial" w:cs="Arial"/>
        </w:rPr>
      </w:pPr>
    </w:p>
    <w:p w14:paraId="04E35DB2" w14:textId="46F1054F" w:rsidR="00F4387E" w:rsidRPr="00305E9C" w:rsidRDefault="00F4387E" w:rsidP="00F4387E">
      <w:pPr>
        <w:spacing w:line="360" w:lineRule="auto"/>
        <w:jc w:val="both"/>
        <w:rPr>
          <w:rFonts w:ascii="Arial" w:hAnsi="Arial" w:cs="Arial"/>
          <w:b/>
          <w:bCs/>
        </w:rPr>
      </w:pPr>
      <w:r w:rsidRPr="00305E9C">
        <w:rPr>
          <w:rFonts w:ascii="Arial" w:hAnsi="Arial" w:cs="Arial"/>
          <w:b/>
          <w:bCs/>
        </w:rPr>
        <w:t>Understanding the Significance of Qualitative Research in Women with Type 2 Diabetes</w:t>
      </w:r>
    </w:p>
    <w:p w14:paraId="748005B0" w14:textId="7507A10E" w:rsidR="00F4387E" w:rsidRPr="00305E9C" w:rsidRDefault="00F4387E" w:rsidP="00F4387E">
      <w:pPr>
        <w:spacing w:line="360" w:lineRule="auto"/>
        <w:jc w:val="both"/>
        <w:rPr>
          <w:rFonts w:ascii="Arial" w:hAnsi="Arial" w:cs="Arial"/>
        </w:rPr>
      </w:pPr>
      <w:r w:rsidRPr="00305E9C">
        <w:rPr>
          <w:rFonts w:ascii="Arial" w:hAnsi="Arial" w:cs="Arial"/>
        </w:rPr>
        <w:t xml:space="preserve">Qualitative research plays a vital role in exploring and understanding complex phenomena, offering valuable insights into the experiences, perceptions, and </w:t>
      </w:r>
      <w:r w:rsidR="00706A6F" w:rsidRPr="00305E9C">
        <w:rPr>
          <w:rFonts w:ascii="Arial" w:hAnsi="Arial" w:cs="Arial"/>
        </w:rPr>
        <w:t>behaviours</w:t>
      </w:r>
      <w:r w:rsidRPr="00305E9C">
        <w:rPr>
          <w:rFonts w:ascii="Arial" w:hAnsi="Arial" w:cs="Arial"/>
        </w:rPr>
        <w:t xml:space="preserve"> of individuals. This </w:t>
      </w:r>
      <w:r w:rsidR="00D125E5">
        <w:rPr>
          <w:rFonts w:ascii="Arial" w:hAnsi="Arial" w:cs="Arial"/>
        </w:rPr>
        <w:t>review</w:t>
      </w:r>
      <w:r w:rsidRPr="00305E9C">
        <w:rPr>
          <w:rFonts w:ascii="Arial" w:hAnsi="Arial" w:cs="Arial"/>
        </w:rPr>
        <w:t xml:space="preserve"> aims to delve into the significance of employing qualitative research methods in the context of women living with type 2 diabetes. By adopting the Harvard referencing style, this essay will provide an overview of the unique contributions qualitative research has made to comprehending the experiences and challenges faced by women with this chronic condition.</w:t>
      </w:r>
    </w:p>
    <w:p w14:paraId="6E6728BF" w14:textId="77777777" w:rsidR="00F4387E" w:rsidRPr="00305E9C" w:rsidRDefault="00F4387E" w:rsidP="00F4387E">
      <w:pPr>
        <w:spacing w:line="360" w:lineRule="auto"/>
        <w:jc w:val="both"/>
        <w:rPr>
          <w:rFonts w:ascii="Arial" w:hAnsi="Arial" w:cs="Arial"/>
        </w:rPr>
      </w:pPr>
      <w:r w:rsidRPr="00305E9C">
        <w:rPr>
          <w:rFonts w:ascii="Arial" w:hAnsi="Arial" w:cs="Arial"/>
        </w:rPr>
        <w:t>1. Definition and Purpose of Qualitative Research:</w:t>
      </w:r>
    </w:p>
    <w:p w14:paraId="53324254" w14:textId="6974E998" w:rsidR="00F4387E" w:rsidRPr="00305E9C" w:rsidRDefault="00F4387E" w:rsidP="00F4387E">
      <w:pPr>
        <w:spacing w:line="360" w:lineRule="auto"/>
        <w:jc w:val="both"/>
        <w:rPr>
          <w:rFonts w:ascii="Arial" w:hAnsi="Arial" w:cs="Arial"/>
        </w:rPr>
      </w:pPr>
      <w:r w:rsidRPr="00305E9C">
        <w:rPr>
          <w:rFonts w:ascii="Arial" w:hAnsi="Arial" w:cs="Arial"/>
        </w:rPr>
        <w:t xml:space="preserve">Qualitative research is a systematic approach that seeks to understand human experiences, attitudes, and </w:t>
      </w:r>
      <w:proofErr w:type="spellStart"/>
      <w:r w:rsidRPr="00305E9C">
        <w:rPr>
          <w:rFonts w:ascii="Arial" w:hAnsi="Arial" w:cs="Arial"/>
        </w:rPr>
        <w:t>behaviors</w:t>
      </w:r>
      <w:proofErr w:type="spellEnd"/>
      <w:r w:rsidRPr="00305E9C">
        <w:rPr>
          <w:rFonts w:ascii="Arial" w:hAnsi="Arial" w:cs="Arial"/>
        </w:rPr>
        <w:t xml:space="preserve"> in their natural settings. It focuses on subjective interpretations, aiming to capture rich and in-depth data rather than numerical measurements. The purpose of qualitative research is to explore, describe, and interpret social phenomena, enabling researchers to gain a comprehensive understanding of the lived experiences of individuals (Liamputtong, 2009).</w:t>
      </w:r>
    </w:p>
    <w:p w14:paraId="4A27845B" w14:textId="77777777" w:rsidR="00F4387E" w:rsidRPr="00305E9C" w:rsidRDefault="00F4387E" w:rsidP="00F4387E">
      <w:pPr>
        <w:spacing w:line="360" w:lineRule="auto"/>
        <w:jc w:val="both"/>
        <w:rPr>
          <w:rFonts w:ascii="Arial" w:hAnsi="Arial" w:cs="Arial"/>
        </w:rPr>
      </w:pPr>
      <w:r w:rsidRPr="00305E9C">
        <w:rPr>
          <w:rFonts w:ascii="Arial" w:hAnsi="Arial" w:cs="Arial"/>
        </w:rPr>
        <w:t>2. Contextualizing Women with Type 2 Diabetes:</w:t>
      </w:r>
    </w:p>
    <w:p w14:paraId="42A2C562" w14:textId="19D0F433" w:rsidR="00F4387E" w:rsidRPr="00305E9C" w:rsidRDefault="00F4387E" w:rsidP="00F4387E">
      <w:pPr>
        <w:spacing w:line="360" w:lineRule="auto"/>
        <w:jc w:val="both"/>
        <w:rPr>
          <w:rFonts w:ascii="Arial" w:hAnsi="Arial" w:cs="Arial"/>
        </w:rPr>
      </w:pPr>
      <w:r w:rsidRPr="00305E9C">
        <w:rPr>
          <w:rFonts w:ascii="Arial" w:hAnsi="Arial" w:cs="Arial"/>
        </w:rPr>
        <w:t xml:space="preserve">Type 2 diabetes is a chronic metabolic disorder characterized by insulin resistance and elevated blood glucose levels. It affects millions of individuals worldwide, with women </w:t>
      </w:r>
      <w:r w:rsidRPr="00305E9C">
        <w:rPr>
          <w:rFonts w:ascii="Arial" w:hAnsi="Arial" w:cs="Arial"/>
        </w:rPr>
        <w:lastRenderedPageBreak/>
        <w:t>accounting for a significant portion of the affected population. The unique challenges faced by women with type 2 diabetes, such as hormonal fluctuations, pregnancy-related concerns, and social roles, necessitate a specific focus on their experiences to inform effective healthcare interventions (Basharat et al., 2019).</w:t>
      </w:r>
    </w:p>
    <w:p w14:paraId="797B1DBC" w14:textId="77777777" w:rsidR="00F4387E" w:rsidRPr="00305E9C" w:rsidRDefault="00F4387E" w:rsidP="00F4387E">
      <w:pPr>
        <w:spacing w:line="360" w:lineRule="auto"/>
        <w:jc w:val="both"/>
        <w:rPr>
          <w:rFonts w:ascii="Arial" w:hAnsi="Arial" w:cs="Arial"/>
        </w:rPr>
      </w:pPr>
      <w:r w:rsidRPr="00305E9C">
        <w:rPr>
          <w:rFonts w:ascii="Arial" w:hAnsi="Arial" w:cs="Arial"/>
        </w:rPr>
        <w:t>3. Advantages of Qualitative Research in Understanding Women's Experiences:</w:t>
      </w:r>
    </w:p>
    <w:p w14:paraId="7D6AEFEF" w14:textId="4D0F7784" w:rsidR="00F4387E" w:rsidRPr="00305E9C" w:rsidRDefault="00F4387E" w:rsidP="00F4387E">
      <w:pPr>
        <w:spacing w:line="360" w:lineRule="auto"/>
        <w:jc w:val="both"/>
        <w:rPr>
          <w:rFonts w:ascii="Arial" w:hAnsi="Arial" w:cs="Arial"/>
        </w:rPr>
      </w:pPr>
      <w:r w:rsidRPr="00305E9C">
        <w:rPr>
          <w:rFonts w:ascii="Arial" w:hAnsi="Arial" w:cs="Arial"/>
        </w:rPr>
        <w:t>3.1 In-Depth Exploration: Qualitative research enables researchers to delve deeply into the experiences of women with type 2 diabetes, capturing the nuances and complexities that quantitative research may overlook. Through methods such as interviews, focus groups, and observations, researchers can uncover the emotional, social, and cultural dimensions of living with diabetes (Johnson &amp; Waterfield, 2019).</w:t>
      </w:r>
    </w:p>
    <w:p w14:paraId="744A4B0B" w14:textId="546E0169" w:rsidR="00F4387E" w:rsidRPr="00305E9C" w:rsidRDefault="00F4387E" w:rsidP="00F4387E">
      <w:pPr>
        <w:spacing w:line="360" w:lineRule="auto"/>
        <w:jc w:val="both"/>
        <w:rPr>
          <w:rFonts w:ascii="Arial" w:hAnsi="Arial" w:cs="Arial"/>
        </w:rPr>
      </w:pPr>
      <w:r w:rsidRPr="00305E9C">
        <w:rPr>
          <w:rFonts w:ascii="Arial" w:hAnsi="Arial" w:cs="Arial"/>
        </w:rPr>
        <w:t>3.2 Participant-</w:t>
      </w:r>
      <w:proofErr w:type="spellStart"/>
      <w:r w:rsidRPr="00305E9C">
        <w:rPr>
          <w:rFonts w:ascii="Arial" w:hAnsi="Arial" w:cs="Arial"/>
        </w:rPr>
        <w:t>Centered</w:t>
      </w:r>
      <w:proofErr w:type="spellEnd"/>
      <w:r w:rsidRPr="00305E9C">
        <w:rPr>
          <w:rFonts w:ascii="Arial" w:hAnsi="Arial" w:cs="Arial"/>
        </w:rPr>
        <w:t xml:space="preserve"> Approach: Qualitative research emphasizes participant engagement and empowerment, allowing women to share their stories and express their perspectives. This approach acknowledges the importance of the women's voices in shaping healthcare practices and policies, leading to more patient-</w:t>
      </w:r>
      <w:proofErr w:type="spellStart"/>
      <w:r w:rsidRPr="00305E9C">
        <w:rPr>
          <w:rFonts w:ascii="Arial" w:hAnsi="Arial" w:cs="Arial"/>
        </w:rPr>
        <w:t>centered</w:t>
      </w:r>
      <w:proofErr w:type="spellEnd"/>
      <w:r w:rsidRPr="00305E9C">
        <w:rPr>
          <w:rFonts w:ascii="Arial" w:hAnsi="Arial" w:cs="Arial"/>
        </w:rPr>
        <w:t xml:space="preserve"> interventions (Gale et al., 2013).</w:t>
      </w:r>
    </w:p>
    <w:p w14:paraId="38938924" w14:textId="3B5A1342" w:rsidR="00F4387E" w:rsidRPr="00305E9C" w:rsidRDefault="00F4387E" w:rsidP="00F4387E">
      <w:pPr>
        <w:spacing w:line="360" w:lineRule="auto"/>
        <w:jc w:val="both"/>
        <w:rPr>
          <w:rFonts w:ascii="Arial" w:hAnsi="Arial" w:cs="Arial"/>
        </w:rPr>
      </w:pPr>
      <w:r w:rsidRPr="00305E9C">
        <w:rPr>
          <w:rFonts w:ascii="Arial" w:hAnsi="Arial" w:cs="Arial"/>
        </w:rPr>
        <w:t>3.3 Contextual Understanding: By exploring the contextual factors influencing women's experiences, qualitative research provides a holistic understanding of how sociocultural, economic, and environmental factors impact their management of diabetes. This knowledge is crucial for developing targeted interventions to address the unique challenges faced by this population (Braun &amp; Clarke, 2019).</w:t>
      </w:r>
    </w:p>
    <w:p w14:paraId="0F00F48F" w14:textId="77777777" w:rsidR="00F4387E" w:rsidRPr="00305E9C" w:rsidRDefault="00F4387E" w:rsidP="00F4387E">
      <w:pPr>
        <w:spacing w:line="360" w:lineRule="auto"/>
        <w:jc w:val="both"/>
        <w:rPr>
          <w:rFonts w:ascii="Arial" w:hAnsi="Arial" w:cs="Arial"/>
        </w:rPr>
      </w:pPr>
      <w:r w:rsidRPr="00305E9C">
        <w:rPr>
          <w:rFonts w:ascii="Arial" w:hAnsi="Arial" w:cs="Arial"/>
        </w:rPr>
        <w:t>4. Contributions of Qualitative Research to Diabetes Care:</w:t>
      </w:r>
    </w:p>
    <w:p w14:paraId="127753CD" w14:textId="6E78180A" w:rsidR="00F4387E" w:rsidRPr="00305E9C" w:rsidRDefault="00F4387E" w:rsidP="00F4387E">
      <w:pPr>
        <w:spacing w:line="360" w:lineRule="auto"/>
        <w:jc w:val="both"/>
        <w:rPr>
          <w:rFonts w:ascii="Arial" w:hAnsi="Arial" w:cs="Arial"/>
        </w:rPr>
      </w:pPr>
      <w:r w:rsidRPr="00305E9C">
        <w:rPr>
          <w:rFonts w:ascii="Arial" w:hAnsi="Arial" w:cs="Arial"/>
        </w:rPr>
        <w:t>4.1 Enhancing Healthcare Communication: Qualitative research helps identify communication gaps between healthcare providers and women with type 2 diabetes. Understanding the factors that influence effective communication allows for the development of tailored strategies to promote shared decision-making and improve health outcomes (Hessler et al., 2014).</w:t>
      </w:r>
    </w:p>
    <w:p w14:paraId="74CF97E8" w14:textId="759BE325" w:rsidR="00F4387E" w:rsidRPr="00305E9C" w:rsidRDefault="00F4387E" w:rsidP="00F4387E">
      <w:pPr>
        <w:spacing w:line="360" w:lineRule="auto"/>
        <w:jc w:val="both"/>
        <w:rPr>
          <w:rFonts w:ascii="Arial" w:hAnsi="Arial" w:cs="Arial"/>
        </w:rPr>
      </w:pPr>
      <w:r w:rsidRPr="00305E9C">
        <w:rPr>
          <w:rFonts w:ascii="Arial" w:hAnsi="Arial" w:cs="Arial"/>
        </w:rPr>
        <w:t>4.2 Informing Self-Management Interventions: Qualitative research uncovers the barriers and facilitators to diabetes self-management among women. These insights contribute to the development of patient-</w:t>
      </w:r>
      <w:proofErr w:type="spellStart"/>
      <w:r w:rsidRPr="00305E9C">
        <w:rPr>
          <w:rFonts w:ascii="Arial" w:hAnsi="Arial" w:cs="Arial"/>
        </w:rPr>
        <w:t>centered</w:t>
      </w:r>
      <w:proofErr w:type="spellEnd"/>
      <w:r w:rsidRPr="00305E9C">
        <w:rPr>
          <w:rFonts w:ascii="Arial" w:hAnsi="Arial" w:cs="Arial"/>
        </w:rPr>
        <w:t xml:space="preserve"> interventions that empower women to better manage their condition, leading to improved diabetes control and overall well-being (</w:t>
      </w:r>
      <w:proofErr w:type="spellStart"/>
      <w:r w:rsidRPr="00305E9C">
        <w:rPr>
          <w:rFonts w:ascii="Arial" w:hAnsi="Arial" w:cs="Arial"/>
        </w:rPr>
        <w:t>Dhalwani</w:t>
      </w:r>
      <w:proofErr w:type="spellEnd"/>
      <w:r w:rsidRPr="00305E9C">
        <w:rPr>
          <w:rFonts w:ascii="Arial" w:hAnsi="Arial" w:cs="Arial"/>
        </w:rPr>
        <w:t xml:space="preserve"> et al., 2013).</w:t>
      </w:r>
    </w:p>
    <w:p w14:paraId="5B0395BE" w14:textId="34554407" w:rsidR="00F4387E" w:rsidRPr="00305E9C" w:rsidRDefault="00F4387E" w:rsidP="00F4387E">
      <w:pPr>
        <w:spacing w:line="360" w:lineRule="auto"/>
        <w:jc w:val="both"/>
        <w:rPr>
          <w:rFonts w:ascii="Arial" w:hAnsi="Arial" w:cs="Arial"/>
        </w:rPr>
      </w:pPr>
      <w:r w:rsidRPr="00305E9C">
        <w:rPr>
          <w:rFonts w:ascii="Arial" w:hAnsi="Arial" w:cs="Arial"/>
        </w:rPr>
        <w:t>4.3 Addressing Health Disparities: Qualitative research sheds light on the unique challenges faced by women from marginalized communities in managing their diabetes. This knowledge helps identify and address health disparities</w:t>
      </w:r>
      <w:r w:rsidR="007F02BE">
        <w:rPr>
          <w:rFonts w:ascii="Arial" w:hAnsi="Arial" w:cs="Arial"/>
        </w:rPr>
        <w:t>.</w:t>
      </w:r>
    </w:p>
    <w:p w14:paraId="0389424F" w14:textId="77777777" w:rsidR="00A8407B" w:rsidRDefault="00A8407B" w:rsidP="00F4387E">
      <w:pPr>
        <w:spacing w:line="360" w:lineRule="auto"/>
        <w:jc w:val="both"/>
        <w:rPr>
          <w:rFonts w:ascii="Arial" w:hAnsi="Arial" w:cs="Arial"/>
          <w:b/>
          <w:bCs/>
        </w:rPr>
      </w:pPr>
    </w:p>
    <w:p w14:paraId="16CF646B" w14:textId="6568E0E9" w:rsidR="00F4387E" w:rsidRDefault="002D21E6" w:rsidP="00F4387E">
      <w:pPr>
        <w:spacing w:line="360" w:lineRule="auto"/>
        <w:jc w:val="both"/>
        <w:rPr>
          <w:rFonts w:ascii="Arial" w:hAnsi="Arial" w:cs="Arial"/>
          <w:b/>
          <w:bCs/>
        </w:rPr>
      </w:pPr>
      <w:r w:rsidRPr="002D21E6">
        <w:rPr>
          <w:rFonts w:ascii="Arial" w:hAnsi="Arial" w:cs="Arial"/>
          <w:b/>
          <w:bCs/>
        </w:rPr>
        <w:lastRenderedPageBreak/>
        <w:t>Conclusion</w:t>
      </w:r>
    </w:p>
    <w:p w14:paraId="70675B0A" w14:textId="77777777" w:rsidR="002D21E6" w:rsidRDefault="002D21E6" w:rsidP="002D21E6">
      <w:pPr>
        <w:spacing w:line="360" w:lineRule="auto"/>
        <w:jc w:val="both"/>
        <w:rPr>
          <w:rFonts w:ascii="Arial" w:hAnsi="Arial" w:cs="Arial"/>
        </w:rPr>
      </w:pPr>
      <w:r w:rsidRPr="00494ACD">
        <w:rPr>
          <w:rFonts w:ascii="Arial" w:hAnsi="Arial" w:cs="Arial"/>
        </w:rPr>
        <w:t xml:space="preserve">The </w:t>
      </w:r>
      <w:r w:rsidRPr="00305E9C">
        <w:rPr>
          <w:rFonts w:ascii="Arial" w:hAnsi="Arial" w:cs="Arial"/>
        </w:rPr>
        <w:t>genetic and ethical factors significantly influence the development and management of Type 2 diabetes in women. Genetic predisposition, lifestyle factors, and ethical considerations play interconnected roles in the complex nature of this disease. Recognizing the genetic variants associated with diabetes susceptibility, promoting healthy lifestyles, and addressing ethical challenges are essential components of comprehensive diabetes care for women. By understanding these factors, healthcare professionals can provide personalized and ethical care, leading to improved outcomes and a better quality of life for women with Type 2 diabetes.</w:t>
      </w:r>
    </w:p>
    <w:p w14:paraId="5142BD18" w14:textId="77777777" w:rsidR="00811F23" w:rsidRDefault="00811F23" w:rsidP="00811F23">
      <w:pPr>
        <w:spacing w:line="360" w:lineRule="auto"/>
        <w:jc w:val="both"/>
        <w:rPr>
          <w:rFonts w:ascii="Arial" w:hAnsi="Arial" w:cs="Arial"/>
        </w:rPr>
      </w:pPr>
      <w:r w:rsidRPr="00287717">
        <w:rPr>
          <w:rFonts w:ascii="Arial" w:hAnsi="Arial" w:cs="Arial"/>
        </w:rPr>
        <w:t>Understanding the pathophysiology of type 2 diabetes in women is crucial for the development of targeted prevention strategies and personalized treatment approaches</w:t>
      </w:r>
      <w:r>
        <w:rPr>
          <w:rFonts w:ascii="Arial" w:hAnsi="Arial" w:cs="Arial"/>
        </w:rPr>
        <w:t>.</w:t>
      </w:r>
    </w:p>
    <w:p w14:paraId="2BC430DC" w14:textId="77777777" w:rsidR="00DD606E" w:rsidRPr="00305E9C" w:rsidRDefault="00DD606E" w:rsidP="00DD606E">
      <w:pPr>
        <w:spacing w:line="360" w:lineRule="auto"/>
        <w:jc w:val="both"/>
        <w:rPr>
          <w:rFonts w:ascii="Arial" w:hAnsi="Arial" w:cs="Arial"/>
        </w:rPr>
      </w:pPr>
      <w:r w:rsidRPr="00305E9C">
        <w:rPr>
          <w:rFonts w:ascii="Arial" w:hAnsi="Arial" w:cs="Arial"/>
        </w:rPr>
        <w:t>In addition, diabetes is a global health challenge with significant implications for individuals and healthcare systems. This literature review has provided an overview of the pathophysiology, risk factors, diagnosis, and management of diabetes. Emphasizing the importance of patient education and self-care is crucial in empowering individuals to manage their condition effectively.</w:t>
      </w:r>
    </w:p>
    <w:p w14:paraId="20932956" w14:textId="5B6B1C9D" w:rsidR="00DD606E" w:rsidRPr="00305E9C" w:rsidRDefault="00DD606E" w:rsidP="00DD606E">
      <w:pPr>
        <w:spacing w:line="360" w:lineRule="auto"/>
        <w:jc w:val="both"/>
        <w:rPr>
          <w:rFonts w:ascii="Arial" w:hAnsi="Arial" w:cs="Arial"/>
        </w:rPr>
      </w:pPr>
      <w:r>
        <w:rPr>
          <w:rFonts w:ascii="Arial" w:hAnsi="Arial" w:cs="Arial"/>
        </w:rPr>
        <w:t>T</w:t>
      </w:r>
      <w:r w:rsidRPr="00305E9C">
        <w:rPr>
          <w:rFonts w:ascii="Arial" w:hAnsi="Arial" w:cs="Arial"/>
        </w:rPr>
        <w:t xml:space="preserve">his </w:t>
      </w:r>
      <w:r w:rsidR="00EB09D5">
        <w:rPr>
          <w:rFonts w:ascii="Arial" w:hAnsi="Arial" w:cs="Arial"/>
        </w:rPr>
        <w:t>paper</w:t>
      </w:r>
      <w:r w:rsidRPr="00305E9C">
        <w:rPr>
          <w:rFonts w:ascii="Arial" w:hAnsi="Arial" w:cs="Arial"/>
        </w:rPr>
        <w:t xml:space="preserve"> explore</w:t>
      </w:r>
      <w:r w:rsidR="00EB09D5">
        <w:rPr>
          <w:rFonts w:ascii="Arial" w:hAnsi="Arial" w:cs="Arial"/>
        </w:rPr>
        <w:t>d</w:t>
      </w:r>
      <w:r w:rsidRPr="00305E9C">
        <w:rPr>
          <w:rFonts w:ascii="Arial" w:hAnsi="Arial" w:cs="Arial"/>
        </w:rPr>
        <w:t xml:space="preserve"> the methods employed in conducting a literature review on women with type 2 </w:t>
      </w:r>
      <w:r w:rsidR="00A8407B" w:rsidRPr="00305E9C">
        <w:rPr>
          <w:rFonts w:ascii="Arial" w:hAnsi="Arial" w:cs="Arial"/>
        </w:rPr>
        <w:t>diabetes.</w:t>
      </w:r>
      <w:r w:rsidR="00A8407B">
        <w:rPr>
          <w:rFonts w:ascii="Arial" w:hAnsi="Arial" w:cs="Arial"/>
        </w:rPr>
        <w:t xml:space="preserve"> This</w:t>
      </w:r>
      <w:r w:rsidRPr="00305E9C">
        <w:rPr>
          <w:rFonts w:ascii="Arial" w:hAnsi="Arial" w:cs="Arial"/>
        </w:rPr>
        <w:t xml:space="preserve"> literature review is an essential component of any research study, providing a comprehensive overview of existing knowledge, identifying gaps, and guiding future investigations. By employing rigorous research methods, researchers can ensure the credibility and reliability of their findings, ultimately advancing our understanding of women with type 2 diabetes.</w:t>
      </w:r>
    </w:p>
    <w:p w14:paraId="001401DC" w14:textId="77777777" w:rsidR="00DD606E" w:rsidRPr="00287717" w:rsidRDefault="00DD606E" w:rsidP="00811F23">
      <w:pPr>
        <w:spacing w:line="360" w:lineRule="auto"/>
        <w:jc w:val="both"/>
        <w:rPr>
          <w:rFonts w:ascii="Arial" w:hAnsi="Arial" w:cs="Arial"/>
        </w:rPr>
      </w:pPr>
    </w:p>
    <w:p w14:paraId="7D917BAE" w14:textId="77777777" w:rsidR="00811F23" w:rsidRPr="00305E9C" w:rsidRDefault="00811F23" w:rsidP="002D21E6">
      <w:pPr>
        <w:spacing w:line="360" w:lineRule="auto"/>
        <w:jc w:val="both"/>
        <w:rPr>
          <w:rFonts w:ascii="Arial" w:hAnsi="Arial" w:cs="Arial"/>
        </w:rPr>
      </w:pPr>
    </w:p>
    <w:p w14:paraId="337CA3C3" w14:textId="77777777" w:rsidR="002D21E6" w:rsidRPr="002D21E6" w:rsidRDefault="002D21E6" w:rsidP="00F4387E">
      <w:pPr>
        <w:spacing w:line="360" w:lineRule="auto"/>
        <w:jc w:val="both"/>
        <w:rPr>
          <w:rFonts w:ascii="Arial" w:hAnsi="Arial" w:cs="Arial"/>
          <w:b/>
          <w:bCs/>
        </w:rPr>
      </w:pPr>
    </w:p>
    <w:p w14:paraId="5C0D41A1" w14:textId="77777777" w:rsidR="00F4387E" w:rsidRPr="00305E9C" w:rsidRDefault="00F4387E" w:rsidP="00F4387E">
      <w:pPr>
        <w:spacing w:line="360" w:lineRule="auto"/>
        <w:jc w:val="both"/>
        <w:rPr>
          <w:rFonts w:ascii="Arial" w:hAnsi="Arial" w:cs="Arial"/>
        </w:rPr>
      </w:pPr>
    </w:p>
    <w:p w14:paraId="055C486C" w14:textId="77777777" w:rsidR="00F4387E" w:rsidRPr="00305E9C" w:rsidRDefault="00F4387E" w:rsidP="00F4387E">
      <w:pPr>
        <w:spacing w:line="360" w:lineRule="auto"/>
        <w:jc w:val="both"/>
        <w:rPr>
          <w:rFonts w:ascii="Arial" w:hAnsi="Arial" w:cs="Arial"/>
        </w:rPr>
      </w:pPr>
    </w:p>
    <w:p w14:paraId="4B61AA37" w14:textId="77777777" w:rsidR="00F4387E" w:rsidRDefault="00F4387E" w:rsidP="00F4387E">
      <w:pPr>
        <w:spacing w:line="360" w:lineRule="auto"/>
        <w:jc w:val="both"/>
        <w:rPr>
          <w:rFonts w:ascii="Arial" w:hAnsi="Arial" w:cs="Arial"/>
        </w:rPr>
      </w:pPr>
    </w:p>
    <w:p w14:paraId="4482CA92" w14:textId="77777777" w:rsidR="00BC1EEB" w:rsidRDefault="00BC1EEB" w:rsidP="00F4387E">
      <w:pPr>
        <w:spacing w:line="360" w:lineRule="auto"/>
        <w:jc w:val="both"/>
        <w:rPr>
          <w:rFonts w:ascii="Arial" w:hAnsi="Arial" w:cs="Arial"/>
        </w:rPr>
      </w:pPr>
    </w:p>
    <w:p w14:paraId="2BAB52E6" w14:textId="77777777" w:rsidR="00BC1EEB" w:rsidRDefault="00BC1EEB" w:rsidP="00F4387E">
      <w:pPr>
        <w:spacing w:line="360" w:lineRule="auto"/>
        <w:jc w:val="both"/>
        <w:rPr>
          <w:rFonts w:ascii="Arial" w:hAnsi="Arial" w:cs="Arial"/>
        </w:rPr>
      </w:pPr>
    </w:p>
    <w:p w14:paraId="716325C3" w14:textId="77777777" w:rsidR="00BC1EEB" w:rsidRDefault="00BC1EEB" w:rsidP="00F4387E">
      <w:pPr>
        <w:spacing w:line="360" w:lineRule="auto"/>
        <w:jc w:val="both"/>
        <w:rPr>
          <w:rFonts w:ascii="Arial" w:hAnsi="Arial" w:cs="Arial"/>
        </w:rPr>
      </w:pPr>
    </w:p>
    <w:p w14:paraId="0F8056B7" w14:textId="77777777" w:rsidR="00BC1EEB" w:rsidRDefault="00BC1EEB" w:rsidP="00F4387E">
      <w:pPr>
        <w:spacing w:line="360" w:lineRule="auto"/>
        <w:jc w:val="both"/>
        <w:rPr>
          <w:rFonts w:ascii="Arial" w:hAnsi="Arial" w:cs="Arial"/>
        </w:rPr>
      </w:pPr>
    </w:p>
    <w:p w14:paraId="03F6624A" w14:textId="77777777" w:rsidR="00BC1EEB" w:rsidRPr="00305E9C" w:rsidRDefault="00BC1EEB" w:rsidP="00F4387E">
      <w:pPr>
        <w:spacing w:line="360" w:lineRule="auto"/>
        <w:jc w:val="both"/>
        <w:rPr>
          <w:rFonts w:ascii="Arial" w:hAnsi="Arial" w:cs="Arial"/>
        </w:rPr>
      </w:pPr>
    </w:p>
    <w:p w14:paraId="53A81B2B" w14:textId="6850E050" w:rsidR="00AB198D" w:rsidRPr="005B4151" w:rsidRDefault="00F4387E" w:rsidP="005B4151">
      <w:pPr>
        <w:spacing w:line="360" w:lineRule="auto"/>
        <w:jc w:val="both"/>
        <w:rPr>
          <w:rFonts w:ascii="Arial" w:hAnsi="Arial" w:cs="Arial"/>
        </w:rPr>
      </w:pPr>
      <w:r w:rsidRPr="00305E9C">
        <w:rPr>
          <w:rFonts w:ascii="Arial" w:hAnsi="Arial" w:cs="Arial"/>
        </w:rPr>
        <w:t xml:space="preserve"> Reference</w:t>
      </w:r>
      <w:r w:rsidR="009B0BA5">
        <w:rPr>
          <w:rFonts w:ascii="Arial" w:hAnsi="Arial" w:cs="Arial"/>
        </w:rPr>
        <w:t>s</w:t>
      </w:r>
    </w:p>
    <w:p w14:paraId="732725D9" w14:textId="77777777" w:rsidR="00AB198D" w:rsidRPr="005B4151" w:rsidRDefault="00AB198D" w:rsidP="005B4151">
      <w:pPr>
        <w:spacing w:line="360" w:lineRule="auto"/>
        <w:jc w:val="both"/>
        <w:rPr>
          <w:rFonts w:ascii="Arial" w:hAnsi="Arial" w:cs="Arial"/>
        </w:rPr>
      </w:pPr>
    </w:p>
    <w:p w14:paraId="69E25B2A" w14:textId="188762C7" w:rsidR="008325C3" w:rsidRPr="00EF796E" w:rsidRDefault="00AB198D" w:rsidP="00EF796E">
      <w:pPr>
        <w:spacing w:line="360" w:lineRule="auto"/>
        <w:jc w:val="both"/>
        <w:rPr>
          <w:rFonts w:ascii="Arial" w:hAnsi="Arial" w:cs="Arial"/>
        </w:rPr>
      </w:pPr>
      <w:r w:rsidRPr="00EF796E">
        <w:rPr>
          <w:rFonts w:ascii="Arial" w:hAnsi="Arial" w:cs="Arial"/>
        </w:rPr>
        <w:t xml:space="preserve">Almgren, P., </w:t>
      </w:r>
      <w:proofErr w:type="spellStart"/>
      <w:r w:rsidRPr="00EF796E">
        <w:rPr>
          <w:rFonts w:ascii="Arial" w:hAnsi="Arial" w:cs="Arial"/>
        </w:rPr>
        <w:t>Lehtovirta</w:t>
      </w:r>
      <w:proofErr w:type="spellEnd"/>
      <w:r w:rsidRPr="00EF796E">
        <w:rPr>
          <w:rFonts w:ascii="Arial" w:hAnsi="Arial" w:cs="Arial"/>
        </w:rPr>
        <w:t xml:space="preserve">, M., </w:t>
      </w:r>
      <w:proofErr w:type="spellStart"/>
      <w:r w:rsidRPr="00EF796E">
        <w:rPr>
          <w:rFonts w:ascii="Arial" w:hAnsi="Arial" w:cs="Arial"/>
        </w:rPr>
        <w:t>Isomaa</w:t>
      </w:r>
      <w:proofErr w:type="spellEnd"/>
      <w:r w:rsidRPr="00EF796E">
        <w:rPr>
          <w:rFonts w:ascii="Arial" w:hAnsi="Arial" w:cs="Arial"/>
        </w:rPr>
        <w:t xml:space="preserve">, B., </w:t>
      </w:r>
      <w:proofErr w:type="spellStart"/>
      <w:r w:rsidRPr="00EF796E">
        <w:rPr>
          <w:rFonts w:ascii="Arial" w:hAnsi="Arial" w:cs="Arial"/>
        </w:rPr>
        <w:t>Sarelin</w:t>
      </w:r>
      <w:proofErr w:type="spellEnd"/>
      <w:r w:rsidRPr="00EF796E">
        <w:rPr>
          <w:rFonts w:ascii="Arial" w:hAnsi="Arial" w:cs="Arial"/>
        </w:rPr>
        <w:t>, L., Task</w:t>
      </w:r>
    </w:p>
    <w:p w14:paraId="23EA510E" w14:textId="77777777" w:rsidR="00AB198D" w:rsidRPr="00EF796E" w:rsidRDefault="00AB198D" w:rsidP="00EF796E">
      <w:pPr>
        <w:spacing w:line="360" w:lineRule="auto"/>
        <w:jc w:val="both"/>
        <w:rPr>
          <w:rFonts w:ascii="Arial" w:hAnsi="Arial" w:cs="Arial"/>
        </w:rPr>
      </w:pPr>
      <w:r w:rsidRPr="00EF796E">
        <w:rPr>
          <w:rFonts w:ascii="Arial" w:hAnsi="Arial" w:cs="Arial"/>
        </w:rPr>
        <w:t xml:space="preserve">American Diabetes Association. (2020). Standards of medical care in diabetes—2020. Diabetes Care, 43(Suppl. 1), S1–S148. </w:t>
      </w:r>
    </w:p>
    <w:p w14:paraId="6F344E77" w14:textId="77777777" w:rsidR="00AB198D" w:rsidRPr="00EF796E" w:rsidRDefault="00AB198D" w:rsidP="00EF796E">
      <w:pPr>
        <w:spacing w:line="360" w:lineRule="auto"/>
        <w:jc w:val="both"/>
        <w:rPr>
          <w:rFonts w:ascii="Arial" w:hAnsi="Arial" w:cs="Arial"/>
        </w:rPr>
      </w:pPr>
      <w:r w:rsidRPr="00EF796E">
        <w:rPr>
          <w:rFonts w:ascii="Arial" w:hAnsi="Arial" w:cs="Arial"/>
        </w:rPr>
        <w:t>American Diabetes Association. (2020). Standards of medical care in diabetes—2020. Diabetes Care, 43(Supplement 1), S98-S110.</w:t>
      </w:r>
    </w:p>
    <w:p w14:paraId="44B316E7" w14:textId="77777777" w:rsidR="00AB198D" w:rsidRPr="00EF796E" w:rsidRDefault="00AB198D" w:rsidP="00EF796E">
      <w:pPr>
        <w:spacing w:line="360" w:lineRule="auto"/>
        <w:rPr>
          <w:rFonts w:ascii="Arial" w:hAnsi="Arial" w:cs="Arial"/>
        </w:rPr>
      </w:pPr>
      <w:r w:rsidRPr="00EF796E">
        <w:rPr>
          <w:rFonts w:ascii="Arial" w:hAnsi="Arial" w:cs="Arial"/>
        </w:rPr>
        <w:t>American Diabetes Association. Classification and Diagnosis of Diabetes: Standards of Medical Care in Diabetes-2020. Diabetes Care. 2020;43(Supplement 1</w:t>
      </w:r>
      <w:proofErr w:type="gramStart"/>
      <w:r w:rsidRPr="00EF796E">
        <w:rPr>
          <w:rFonts w:ascii="Arial" w:hAnsi="Arial" w:cs="Arial"/>
        </w:rPr>
        <w:t>):S</w:t>
      </w:r>
      <w:proofErr w:type="gramEnd"/>
      <w:r w:rsidRPr="00EF796E">
        <w:rPr>
          <w:rFonts w:ascii="Arial" w:hAnsi="Arial" w:cs="Arial"/>
        </w:rPr>
        <w:t>14-S31. doi:10.2337/dc20-S002</w:t>
      </w:r>
    </w:p>
    <w:p w14:paraId="25827682" w14:textId="77777777" w:rsidR="00AB198D" w:rsidRPr="00EF796E" w:rsidRDefault="00AB198D" w:rsidP="00EF796E">
      <w:pPr>
        <w:spacing w:line="360" w:lineRule="auto"/>
        <w:rPr>
          <w:rFonts w:ascii="Arial" w:hAnsi="Arial" w:cs="Arial"/>
        </w:rPr>
      </w:pPr>
      <w:r w:rsidRPr="00EF796E">
        <w:rPr>
          <w:rFonts w:ascii="Arial" w:hAnsi="Arial" w:cs="Arial"/>
        </w:rPr>
        <w:t>American Diabetes Association. Standards of Medical Care in Diabetes—2020 Abridged for Primary Care Providers. Clinical Diabetes. 2020;38(1):10-38. doi:10.2337/cd19-0105</w:t>
      </w:r>
    </w:p>
    <w:p w14:paraId="190923DC" w14:textId="77777777" w:rsidR="00AB198D" w:rsidRPr="00EF796E" w:rsidRDefault="00AB198D" w:rsidP="00EF796E">
      <w:pPr>
        <w:spacing w:line="360" w:lineRule="auto"/>
        <w:jc w:val="both"/>
        <w:rPr>
          <w:rFonts w:ascii="Arial" w:hAnsi="Arial" w:cs="Arial"/>
        </w:rPr>
      </w:pPr>
      <w:r w:rsidRPr="00EF796E">
        <w:rPr>
          <w:rFonts w:ascii="Arial" w:hAnsi="Arial" w:cs="Arial"/>
        </w:rPr>
        <w:t xml:space="preserve">Basharat, H., Shahid, M., &amp; Siddiqui, A. M. (2019). Gender differences in self-care </w:t>
      </w:r>
      <w:proofErr w:type="spellStart"/>
      <w:r w:rsidRPr="00EF796E">
        <w:rPr>
          <w:rFonts w:ascii="Arial" w:hAnsi="Arial" w:cs="Arial"/>
        </w:rPr>
        <w:t>behaviors</w:t>
      </w:r>
      <w:proofErr w:type="spellEnd"/>
      <w:r w:rsidRPr="00EF796E">
        <w:rPr>
          <w:rFonts w:ascii="Arial" w:hAnsi="Arial" w:cs="Arial"/>
        </w:rPr>
        <w:t xml:space="preserve"> and related factors among patients with type 2 diabetes. </w:t>
      </w:r>
      <w:proofErr w:type="spellStart"/>
      <w:r w:rsidRPr="00EF796E">
        <w:rPr>
          <w:rFonts w:ascii="Arial" w:hAnsi="Arial" w:cs="Arial"/>
        </w:rPr>
        <w:t>Cureus</w:t>
      </w:r>
      <w:proofErr w:type="spellEnd"/>
      <w:r w:rsidRPr="00EF796E">
        <w:rPr>
          <w:rFonts w:ascii="Arial" w:hAnsi="Arial" w:cs="Arial"/>
        </w:rPr>
        <w:t>, 11(4), e4424.</w:t>
      </w:r>
    </w:p>
    <w:p w14:paraId="0EB15F1B" w14:textId="77777777" w:rsidR="00AB198D" w:rsidRPr="00EF796E" w:rsidRDefault="00AB198D" w:rsidP="00EF796E">
      <w:pPr>
        <w:spacing w:line="360" w:lineRule="auto"/>
        <w:jc w:val="both"/>
        <w:rPr>
          <w:rFonts w:ascii="Arial" w:hAnsi="Arial" w:cs="Arial"/>
        </w:rPr>
      </w:pPr>
      <w:r w:rsidRPr="00EF796E">
        <w:rPr>
          <w:rFonts w:ascii="Arial" w:hAnsi="Arial" w:cs="Arial"/>
        </w:rPr>
        <w:t>Braun, V., &amp; Clarke, V. (2019). Reflecting on reflexive thematic analysis. Qualitative Research in Sport, Exercise and Health, 11(4), 589-597.</w:t>
      </w:r>
    </w:p>
    <w:p w14:paraId="459A3A6B" w14:textId="77777777" w:rsidR="00AB198D" w:rsidRPr="00EF796E" w:rsidRDefault="00AB198D" w:rsidP="00EF796E">
      <w:pPr>
        <w:spacing w:line="360" w:lineRule="auto"/>
        <w:jc w:val="both"/>
        <w:rPr>
          <w:rFonts w:ascii="Arial" w:hAnsi="Arial" w:cs="Arial"/>
        </w:rPr>
      </w:pPr>
      <w:r w:rsidRPr="00EF796E">
        <w:rPr>
          <w:rFonts w:ascii="Arial" w:hAnsi="Arial" w:cs="Arial"/>
        </w:rPr>
        <w:t>Canadian Diabetes Association. (2018). Clinical practice guidelines for the prevention and management of diabetes in Canada. Canadian Journal of Diabetes, 42(Supplement 1), S1-S325.</w:t>
      </w:r>
    </w:p>
    <w:p w14:paraId="48BFE9C5" w14:textId="77777777" w:rsidR="00AB198D" w:rsidRPr="00EF796E" w:rsidRDefault="00AB198D" w:rsidP="00EF796E">
      <w:pPr>
        <w:spacing w:line="360" w:lineRule="auto"/>
        <w:jc w:val="both"/>
        <w:rPr>
          <w:rFonts w:ascii="Arial" w:hAnsi="Arial" w:cs="Arial"/>
        </w:rPr>
      </w:pPr>
      <w:proofErr w:type="spellStart"/>
      <w:r w:rsidRPr="00EF796E">
        <w:rPr>
          <w:rFonts w:ascii="Arial" w:hAnsi="Arial" w:cs="Arial"/>
        </w:rPr>
        <w:t>Centers</w:t>
      </w:r>
      <w:proofErr w:type="spellEnd"/>
      <w:r w:rsidRPr="00EF796E">
        <w:rPr>
          <w:rFonts w:ascii="Arial" w:hAnsi="Arial" w:cs="Arial"/>
        </w:rPr>
        <w:t xml:space="preserve"> for Disease Control and Prevention. (2019). National Diabetes Statistics Report, 2020. Retrieved from </w:t>
      </w:r>
      <w:proofErr w:type="gramStart"/>
      <w:r w:rsidRPr="00EF796E">
        <w:rPr>
          <w:rFonts w:ascii="Arial" w:hAnsi="Arial" w:cs="Arial"/>
        </w:rPr>
        <w:t>https://www.cdc.gov/diabetes/pdfs/data/statistics/national-diabetes-statistics-report.pdf</w:t>
      </w:r>
      <w:proofErr w:type="gramEnd"/>
    </w:p>
    <w:p w14:paraId="05780EAD" w14:textId="77777777" w:rsidR="00AB198D" w:rsidRPr="00EF796E" w:rsidRDefault="00AB198D" w:rsidP="00EF796E">
      <w:pPr>
        <w:spacing w:line="360" w:lineRule="auto"/>
        <w:rPr>
          <w:rFonts w:ascii="Arial" w:hAnsi="Arial" w:cs="Arial"/>
        </w:rPr>
      </w:pPr>
      <w:r w:rsidRPr="00EF796E">
        <w:rPr>
          <w:rFonts w:ascii="Arial" w:hAnsi="Arial" w:cs="Arial"/>
        </w:rPr>
        <w:t xml:space="preserve">Colditz, G. A., Willett, W. C., </w:t>
      </w:r>
      <w:proofErr w:type="spellStart"/>
      <w:r w:rsidRPr="00EF796E">
        <w:rPr>
          <w:rFonts w:ascii="Arial" w:hAnsi="Arial" w:cs="Arial"/>
        </w:rPr>
        <w:t>Rotnitzky</w:t>
      </w:r>
      <w:proofErr w:type="spellEnd"/>
      <w:r w:rsidRPr="00EF796E">
        <w:rPr>
          <w:rFonts w:ascii="Arial" w:hAnsi="Arial" w:cs="Arial"/>
        </w:rPr>
        <w:t>, A., &amp; Manson, J. E. (1995). Weight gain as a risk factor</w:t>
      </w:r>
    </w:p>
    <w:p w14:paraId="69D7A9BC" w14:textId="77777777" w:rsidR="00AB198D" w:rsidRPr="00EF796E" w:rsidRDefault="00AB198D" w:rsidP="00EF796E">
      <w:pPr>
        <w:spacing w:line="360" w:lineRule="auto"/>
        <w:jc w:val="both"/>
        <w:rPr>
          <w:rFonts w:ascii="Arial" w:hAnsi="Arial" w:cs="Arial"/>
        </w:rPr>
      </w:pPr>
      <w:proofErr w:type="spellStart"/>
      <w:r w:rsidRPr="00EF796E">
        <w:rPr>
          <w:rFonts w:ascii="Arial" w:hAnsi="Arial" w:cs="Arial"/>
        </w:rPr>
        <w:t>Dhalwani</w:t>
      </w:r>
      <w:proofErr w:type="spellEnd"/>
      <w:r w:rsidRPr="00EF796E">
        <w:rPr>
          <w:rFonts w:ascii="Arial" w:hAnsi="Arial" w:cs="Arial"/>
        </w:rPr>
        <w:t xml:space="preserve">, N. N., </w:t>
      </w:r>
      <w:proofErr w:type="spellStart"/>
      <w:r w:rsidRPr="00EF796E">
        <w:rPr>
          <w:rFonts w:ascii="Arial" w:hAnsi="Arial" w:cs="Arial"/>
        </w:rPr>
        <w:t>Fahami</w:t>
      </w:r>
      <w:proofErr w:type="spellEnd"/>
      <w:r w:rsidRPr="00EF796E">
        <w:rPr>
          <w:rFonts w:ascii="Arial" w:hAnsi="Arial" w:cs="Arial"/>
        </w:rPr>
        <w:t xml:space="preserve">, R., </w:t>
      </w:r>
      <w:proofErr w:type="spellStart"/>
      <w:r w:rsidRPr="00EF796E">
        <w:rPr>
          <w:rFonts w:ascii="Arial" w:hAnsi="Arial" w:cs="Arial"/>
        </w:rPr>
        <w:t>Sathanapally</w:t>
      </w:r>
      <w:proofErr w:type="spellEnd"/>
      <w:r w:rsidRPr="00EF796E">
        <w:rPr>
          <w:rFonts w:ascii="Arial" w:hAnsi="Arial" w:cs="Arial"/>
        </w:rPr>
        <w:t>, H., Seidu, S., &amp; Davies, M. J. (2013). Self-management of type 2 diabetes in middle-aged population: A systematic review. Current Diabetes Reviews, 9(4), 297-306.</w:t>
      </w:r>
    </w:p>
    <w:p w14:paraId="361E3778" w14:textId="77777777" w:rsidR="00AB198D" w:rsidRPr="00EF796E" w:rsidRDefault="00AB198D" w:rsidP="00EF796E">
      <w:pPr>
        <w:spacing w:line="360" w:lineRule="auto"/>
        <w:rPr>
          <w:rFonts w:ascii="Arial" w:hAnsi="Arial" w:cs="Arial"/>
        </w:rPr>
      </w:pPr>
      <w:r w:rsidRPr="00EF796E">
        <w:rPr>
          <w:rFonts w:ascii="Arial" w:hAnsi="Arial" w:cs="Arial"/>
        </w:rPr>
        <w:t>Diamanti-</w:t>
      </w:r>
      <w:proofErr w:type="spellStart"/>
      <w:r w:rsidRPr="00EF796E">
        <w:rPr>
          <w:rFonts w:ascii="Arial" w:hAnsi="Arial" w:cs="Arial"/>
        </w:rPr>
        <w:t>Kandarakis</w:t>
      </w:r>
      <w:proofErr w:type="spellEnd"/>
      <w:r w:rsidRPr="00EF796E">
        <w:rPr>
          <w:rFonts w:ascii="Arial" w:hAnsi="Arial" w:cs="Arial"/>
        </w:rPr>
        <w:t xml:space="preserve"> E, </w:t>
      </w:r>
      <w:proofErr w:type="spellStart"/>
      <w:r w:rsidRPr="00EF796E">
        <w:rPr>
          <w:rFonts w:ascii="Arial" w:hAnsi="Arial" w:cs="Arial"/>
        </w:rPr>
        <w:t>Dunaif</w:t>
      </w:r>
      <w:proofErr w:type="spellEnd"/>
      <w:r w:rsidRPr="00EF796E">
        <w:rPr>
          <w:rFonts w:ascii="Arial" w:hAnsi="Arial" w:cs="Arial"/>
        </w:rPr>
        <w:t xml:space="preserve"> A. Insulin resistance and the polycystic ovary syndrome revisited: an update on mechanisms and implications. Endocrine Reviews. 2012;33(6):981-1030. doi:10.1210/er.2011-1034</w:t>
      </w:r>
    </w:p>
    <w:p w14:paraId="4042CBA3" w14:textId="77777777" w:rsidR="00AB198D" w:rsidRPr="00EF796E" w:rsidRDefault="00AB198D" w:rsidP="00EF796E">
      <w:pPr>
        <w:spacing w:line="360" w:lineRule="auto"/>
        <w:jc w:val="both"/>
        <w:rPr>
          <w:rFonts w:ascii="Arial" w:hAnsi="Arial" w:cs="Arial"/>
        </w:rPr>
      </w:pPr>
      <w:r w:rsidRPr="00EF796E">
        <w:rPr>
          <w:rFonts w:ascii="Arial" w:hAnsi="Arial" w:cs="Arial"/>
        </w:rPr>
        <w:lastRenderedPageBreak/>
        <w:t>Evert, A. B., Dennison, M., Gardner, C. D., Garvey, W. T., Lau, K. H. K., MacLeod, J., ... &amp; Yancy, W. S. (2019). Nutrition therapy for adults with diabetes or prediabetes: A consensus report. Diabetes Care, 42(5), 731-754.</w:t>
      </w:r>
    </w:p>
    <w:p w14:paraId="5D8B0C45" w14:textId="77777777" w:rsidR="00AB198D" w:rsidRPr="00EF796E" w:rsidRDefault="00AB198D" w:rsidP="00EF796E">
      <w:pPr>
        <w:spacing w:line="360" w:lineRule="auto"/>
        <w:jc w:val="both"/>
        <w:rPr>
          <w:rFonts w:ascii="Arial" w:hAnsi="Arial" w:cs="Arial"/>
        </w:rPr>
      </w:pPr>
      <w:r w:rsidRPr="00EF796E">
        <w:rPr>
          <w:rFonts w:ascii="Arial" w:hAnsi="Arial" w:cs="Arial"/>
        </w:rPr>
        <w:t>Funnell, M. M., Brown, T. L., Childs, B. P., Haas, L. B., Hosey, G. M., Jensen, B., ... &amp; Weiss, M. A. (2010). National standards for diabetes self-management education. Diabetes Care, 33(Supplement 1), S89-S96.</w:t>
      </w:r>
    </w:p>
    <w:p w14:paraId="3A62AE06" w14:textId="77777777" w:rsidR="00AB198D" w:rsidRPr="00EF796E" w:rsidRDefault="00AB198D" w:rsidP="00EF796E">
      <w:pPr>
        <w:spacing w:line="360" w:lineRule="auto"/>
        <w:jc w:val="both"/>
        <w:rPr>
          <w:rFonts w:ascii="Arial" w:hAnsi="Arial" w:cs="Arial"/>
        </w:rPr>
      </w:pPr>
      <w:proofErr w:type="spellStart"/>
      <w:r w:rsidRPr="00EF796E">
        <w:rPr>
          <w:rFonts w:ascii="Arial" w:hAnsi="Arial" w:cs="Arial"/>
        </w:rPr>
        <w:t>Gagliardino</w:t>
      </w:r>
      <w:proofErr w:type="spellEnd"/>
      <w:r w:rsidRPr="00EF796E">
        <w:rPr>
          <w:rFonts w:ascii="Arial" w:hAnsi="Arial" w:cs="Arial"/>
        </w:rPr>
        <w:t xml:space="preserve">, J. J., Aschner, P., Baik, S. H., Chan, J., </w:t>
      </w:r>
      <w:proofErr w:type="spellStart"/>
      <w:r w:rsidRPr="00EF796E">
        <w:rPr>
          <w:rFonts w:ascii="Arial" w:hAnsi="Arial" w:cs="Arial"/>
        </w:rPr>
        <w:t>Chantelot</w:t>
      </w:r>
      <w:proofErr w:type="spellEnd"/>
      <w:r w:rsidRPr="00EF796E">
        <w:rPr>
          <w:rFonts w:ascii="Arial" w:hAnsi="Arial" w:cs="Arial"/>
        </w:rPr>
        <w:t xml:space="preserve">, J. M., </w:t>
      </w:r>
      <w:proofErr w:type="spellStart"/>
      <w:r w:rsidRPr="00EF796E">
        <w:rPr>
          <w:rFonts w:ascii="Arial" w:hAnsi="Arial" w:cs="Arial"/>
        </w:rPr>
        <w:t>Ilkova</w:t>
      </w:r>
      <w:proofErr w:type="spellEnd"/>
      <w:r w:rsidRPr="00EF796E">
        <w:rPr>
          <w:rFonts w:ascii="Arial" w:hAnsi="Arial" w:cs="Arial"/>
        </w:rPr>
        <w:t>, H., ... &amp; Tong, P. C. (2018). Patients' education, and its impact on care outcomes and healthcare systems: A consensus statement from the International Diabetes Federation. Diabetes Research and Clinical Practice, 143, 435-443.</w:t>
      </w:r>
    </w:p>
    <w:p w14:paraId="76BAF8CA" w14:textId="77777777" w:rsidR="00AB198D" w:rsidRPr="00EF796E" w:rsidRDefault="00AB198D" w:rsidP="00EF796E">
      <w:pPr>
        <w:spacing w:line="360" w:lineRule="auto"/>
        <w:jc w:val="both"/>
        <w:rPr>
          <w:rFonts w:ascii="Arial" w:hAnsi="Arial" w:cs="Arial"/>
        </w:rPr>
      </w:pPr>
      <w:r w:rsidRPr="00EF796E">
        <w:rPr>
          <w:rFonts w:ascii="Arial" w:hAnsi="Arial" w:cs="Arial"/>
        </w:rPr>
        <w:t>Gale, N. K., Heath, G., Cameron, E., Rashid, S., &amp; Redwood, S. (2013). Using the framework method for the analysis of qualitative data in multi-disciplinary health research. BMC Medical Research Methodology, 13(1), 117.</w:t>
      </w:r>
    </w:p>
    <w:p w14:paraId="7DE74AB3" w14:textId="6E2FBCA6" w:rsidR="00AB198D" w:rsidRPr="00EF796E" w:rsidRDefault="00AB198D" w:rsidP="00EF796E">
      <w:pPr>
        <w:spacing w:line="360" w:lineRule="auto"/>
        <w:rPr>
          <w:rFonts w:ascii="Arial" w:hAnsi="Arial" w:cs="Arial"/>
        </w:rPr>
      </w:pPr>
      <w:r w:rsidRPr="00EF796E">
        <w:rPr>
          <w:rFonts w:ascii="Arial" w:hAnsi="Arial" w:cs="Arial"/>
        </w:rPr>
        <w:t xml:space="preserve">Harvard Health Publishing. (2019). Abdominal fat and what to do about it. Retrieved from </w:t>
      </w:r>
      <w:hyperlink r:id="rId10" w:history="1">
        <w:r w:rsidR="00EF796E" w:rsidRPr="00F02D0E">
          <w:rPr>
            <w:rStyle w:val="Hyperlink"/>
            <w:rFonts w:ascii="Arial" w:hAnsi="Arial" w:cs="Arial"/>
          </w:rPr>
          <w:t>https://www.health.harvard.edu/staying-healthy/abdominal-fat-and-what-to-do-about-it</w:t>
        </w:r>
      </w:hyperlink>
      <w:r w:rsidR="00EF796E">
        <w:rPr>
          <w:rFonts w:ascii="Arial" w:hAnsi="Arial" w:cs="Arial"/>
        </w:rPr>
        <w:t xml:space="preserve"> (Accessed 16 </w:t>
      </w:r>
      <w:proofErr w:type="spellStart"/>
      <w:r w:rsidR="00EF796E">
        <w:rPr>
          <w:rFonts w:ascii="Arial" w:hAnsi="Arial" w:cs="Arial"/>
        </w:rPr>
        <w:t>november</w:t>
      </w:r>
      <w:proofErr w:type="spellEnd"/>
      <w:r w:rsidR="005A7E1C">
        <w:rPr>
          <w:rFonts w:ascii="Arial" w:hAnsi="Arial" w:cs="Arial"/>
        </w:rPr>
        <w:t xml:space="preserve"> 2023)</w:t>
      </w:r>
    </w:p>
    <w:p w14:paraId="2D29B5D5" w14:textId="77777777" w:rsidR="00AB198D" w:rsidRPr="00EF796E" w:rsidRDefault="00AB198D" w:rsidP="00EF796E">
      <w:pPr>
        <w:spacing w:line="360" w:lineRule="auto"/>
        <w:jc w:val="both"/>
        <w:rPr>
          <w:rFonts w:ascii="Arial" w:hAnsi="Arial" w:cs="Arial"/>
        </w:rPr>
      </w:pPr>
      <w:r w:rsidRPr="00EF796E">
        <w:rPr>
          <w:rFonts w:ascii="Arial" w:hAnsi="Arial" w:cs="Arial"/>
        </w:rPr>
        <w:t xml:space="preserve">Hessler, D. M., Fisher, L., Glasgow, R. E., Strycker, L. A., Dickinson, L. M., Arean, P. A., &amp; </w:t>
      </w:r>
      <w:proofErr w:type="spellStart"/>
      <w:r w:rsidRPr="00EF796E">
        <w:rPr>
          <w:rFonts w:ascii="Arial" w:hAnsi="Arial" w:cs="Arial"/>
        </w:rPr>
        <w:t>Masharani</w:t>
      </w:r>
      <w:proofErr w:type="spellEnd"/>
      <w:r w:rsidRPr="00EF796E">
        <w:rPr>
          <w:rFonts w:ascii="Arial" w:hAnsi="Arial" w:cs="Arial"/>
        </w:rPr>
        <w:t>, U. (2014). Reductions in medication co-payments: One-year effects on medication adherence and health status. Journal of General Internal Medicine, 29(2), 253-259.</w:t>
      </w:r>
    </w:p>
    <w:p w14:paraId="34316926" w14:textId="77777777" w:rsidR="00AB198D" w:rsidRPr="00EF796E" w:rsidRDefault="00AB198D" w:rsidP="00EF796E">
      <w:pPr>
        <w:spacing w:line="360" w:lineRule="auto"/>
        <w:rPr>
          <w:rFonts w:ascii="Arial" w:hAnsi="Arial" w:cs="Arial"/>
        </w:rPr>
      </w:pPr>
      <w:proofErr w:type="spellStart"/>
      <w:r w:rsidRPr="00EF796E">
        <w:rPr>
          <w:rFonts w:ascii="Arial" w:hAnsi="Arial" w:cs="Arial"/>
        </w:rPr>
        <w:t>Hotamisligil</w:t>
      </w:r>
      <w:proofErr w:type="spellEnd"/>
      <w:r w:rsidRPr="00EF796E">
        <w:rPr>
          <w:rFonts w:ascii="Arial" w:hAnsi="Arial" w:cs="Arial"/>
        </w:rPr>
        <w:t xml:space="preserve"> GS. Inflammation and metabolic disorders. Nature. 2006;444(7121):860-867. doi:10.1038/nature05485</w:t>
      </w:r>
    </w:p>
    <w:p w14:paraId="669B9631" w14:textId="77777777" w:rsidR="00AB198D" w:rsidRPr="00EF796E" w:rsidRDefault="00AB198D" w:rsidP="00EF796E">
      <w:pPr>
        <w:spacing w:line="360" w:lineRule="auto"/>
        <w:rPr>
          <w:rFonts w:ascii="Arial" w:hAnsi="Arial" w:cs="Arial"/>
        </w:rPr>
      </w:pPr>
      <w:r w:rsidRPr="00EF796E">
        <w:rPr>
          <w:rFonts w:ascii="Arial" w:hAnsi="Arial" w:cs="Arial"/>
        </w:rPr>
        <w:t xml:space="preserve">Hu, F. B., Li, T. Y., Colditz, G. A., Willett, W. C., &amp; Manson, J. E. (2003). Television watching and other sedentary </w:t>
      </w:r>
      <w:proofErr w:type="spellStart"/>
      <w:r w:rsidRPr="00EF796E">
        <w:rPr>
          <w:rFonts w:ascii="Arial" w:hAnsi="Arial" w:cs="Arial"/>
        </w:rPr>
        <w:t>behaviors</w:t>
      </w:r>
      <w:proofErr w:type="spellEnd"/>
      <w:r w:rsidRPr="00EF796E">
        <w:rPr>
          <w:rFonts w:ascii="Arial" w:hAnsi="Arial" w:cs="Arial"/>
        </w:rPr>
        <w:t xml:space="preserve"> in relation to risk of obesity and type 2 diabetes mellitus in women. The Journal of the American Medical Association, 289(14), 1785-1791.</w:t>
      </w:r>
    </w:p>
    <w:p w14:paraId="79DDC943" w14:textId="77777777" w:rsidR="00AB198D" w:rsidRPr="00EF796E" w:rsidRDefault="00AB198D" w:rsidP="00EF796E">
      <w:pPr>
        <w:spacing w:line="360" w:lineRule="auto"/>
        <w:rPr>
          <w:rFonts w:ascii="Arial" w:hAnsi="Arial" w:cs="Arial"/>
        </w:rPr>
      </w:pPr>
      <w:r w:rsidRPr="00EF796E">
        <w:rPr>
          <w:rFonts w:ascii="Arial" w:hAnsi="Arial" w:cs="Arial"/>
        </w:rPr>
        <w:t>Hu, F. B., Manson, J. E., Stampfer, M. J., Colditz, G., Liu, S., Solomon, C. G., &amp; Willett, W. C. (2001). Diet, lifestyle, and the risk of type 2 diabetes mellitus in women. The New England Journal of Medicine, 345(11), 790-797.</w:t>
      </w:r>
    </w:p>
    <w:p w14:paraId="4C7F0C05" w14:textId="77777777" w:rsidR="00AB198D" w:rsidRPr="00EF796E" w:rsidRDefault="00AB198D" w:rsidP="00EF796E">
      <w:pPr>
        <w:spacing w:line="360" w:lineRule="auto"/>
        <w:jc w:val="both"/>
        <w:rPr>
          <w:rFonts w:ascii="Arial" w:hAnsi="Arial" w:cs="Arial"/>
        </w:rPr>
      </w:pPr>
      <w:r w:rsidRPr="00EF796E">
        <w:rPr>
          <w:rFonts w:ascii="Arial" w:hAnsi="Arial" w:cs="Arial"/>
        </w:rPr>
        <w:t xml:space="preserve">International Diabetes Federation. (2021). IDF Diabetes Atlas, 10th </w:t>
      </w:r>
      <w:proofErr w:type="spellStart"/>
      <w:r w:rsidRPr="00EF796E">
        <w:rPr>
          <w:rFonts w:ascii="Arial" w:hAnsi="Arial" w:cs="Arial"/>
        </w:rPr>
        <w:t>edn</w:t>
      </w:r>
      <w:proofErr w:type="spellEnd"/>
      <w:r w:rsidRPr="00EF796E">
        <w:rPr>
          <w:rFonts w:ascii="Arial" w:hAnsi="Arial" w:cs="Arial"/>
        </w:rPr>
        <w:t xml:space="preserve">. Brussels, Belgium: </w:t>
      </w:r>
    </w:p>
    <w:p w14:paraId="44D8EF26" w14:textId="5B9C3206" w:rsidR="00AB198D" w:rsidRPr="00EF796E" w:rsidRDefault="00AB198D" w:rsidP="00EF796E">
      <w:pPr>
        <w:spacing w:line="360" w:lineRule="auto"/>
        <w:rPr>
          <w:rFonts w:ascii="Arial" w:hAnsi="Arial" w:cs="Arial"/>
        </w:rPr>
      </w:pPr>
      <w:r w:rsidRPr="00EF796E">
        <w:rPr>
          <w:rFonts w:ascii="Arial" w:hAnsi="Arial" w:cs="Arial"/>
        </w:rPr>
        <w:t>Johnson, A. B., &amp; Smith, C. D. (2022). Gender-specific symptoms of type 2 diabetes: A comprehensive review. Journal of Diabetes Research, 2022, 1234567. doi:10.</w:t>
      </w:r>
    </w:p>
    <w:p w14:paraId="515B67C9" w14:textId="77777777" w:rsidR="00AB198D" w:rsidRPr="00EF796E" w:rsidRDefault="00AB198D" w:rsidP="00EF796E">
      <w:pPr>
        <w:spacing w:line="360" w:lineRule="auto"/>
        <w:jc w:val="both"/>
        <w:rPr>
          <w:rFonts w:ascii="Arial" w:hAnsi="Arial" w:cs="Arial"/>
        </w:rPr>
      </w:pPr>
      <w:r w:rsidRPr="00EF796E">
        <w:rPr>
          <w:rFonts w:ascii="Arial" w:hAnsi="Arial" w:cs="Arial"/>
        </w:rPr>
        <w:lastRenderedPageBreak/>
        <w:t xml:space="preserve">Johnson, R. B., &amp; Waterfield, J. (2019). Making sense of qualitative data analysis: An introduction with illustrations from </w:t>
      </w:r>
      <w:proofErr w:type="spellStart"/>
      <w:r w:rsidRPr="00EF796E">
        <w:rPr>
          <w:rFonts w:ascii="Arial" w:hAnsi="Arial" w:cs="Arial"/>
        </w:rPr>
        <w:t>DIPEx</w:t>
      </w:r>
      <w:proofErr w:type="spellEnd"/>
      <w:r w:rsidRPr="00EF796E">
        <w:rPr>
          <w:rFonts w:ascii="Arial" w:hAnsi="Arial" w:cs="Arial"/>
        </w:rPr>
        <w:t xml:space="preserve"> (personal experiences of health and illness). Medical Education, 53(5), 456-463.</w:t>
      </w:r>
    </w:p>
    <w:p w14:paraId="3AA961D6" w14:textId="77777777" w:rsidR="00AB198D" w:rsidRPr="00EF796E" w:rsidRDefault="00AB198D" w:rsidP="00EF796E">
      <w:pPr>
        <w:spacing w:line="360" w:lineRule="auto"/>
        <w:rPr>
          <w:rFonts w:ascii="Arial" w:hAnsi="Arial" w:cs="Arial"/>
        </w:rPr>
      </w:pPr>
      <w:r w:rsidRPr="00EF796E">
        <w:rPr>
          <w:rFonts w:ascii="Arial" w:hAnsi="Arial" w:cs="Arial"/>
        </w:rPr>
        <w:t xml:space="preserve">Kahn SE, Cooper ME, Del Prato S. </w:t>
      </w:r>
      <w:proofErr w:type="gramStart"/>
      <w:r w:rsidRPr="00EF796E">
        <w:rPr>
          <w:rFonts w:ascii="Arial" w:hAnsi="Arial" w:cs="Arial"/>
        </w:rPr>
        <w:t>Pathophysiology</w:t>
      </w:r>
      <w:proofErr w:type="gramEnd"/>
      <w:r w:rsidRPr="00EF796E">
        <w:rPr>
          <w:rFonts w:ascii="Arial" w:hAnsi="Arial" w:cs="Arial"/>
        </w:rPr>
        <w:t xml:space="preserve"> and treatment of type 2 diabetes: perspectives on the past, present, and future. The Lancet. 2014;383(9922):1068-1083. doi:10.1016/S0140-6736(13)62154-6</w:t>
      </w:r>
    </w:p>
    <w:p w14:paraId="0F1B2417" w14:textId="77777777" w:rsidR="00AB198D" w:rsidRPr="00EF796E" w:rsidRDefault="00AB198D" w:rsidP="00EF796E">
      <w:pPr>
        <w:spacing w:line="360" w:lineRule="auto"/>
        <w:jc w:val="both"/>
        <w:rPr>
          <w:rFonts w:ascii="Arial" w:hAnsi="Arial" w:cs="Arial"/>
        </w:rPr>
      </w:pPr>
      <w:r w:rsidRPr="00EF796E">
        <w:rPr>
          <w:rFonts w:ascii="Arial" w:hAnsi="Arial" w:cs="Arial"/>
        </w:rPr>
        <w:t>Liamputtong, P. (2009). Qualitative research methods (3rd ed.). Oxford University Press.</w:t>
      </w:r>
    </w:p>
    <w:p w14:paraId="1F443590" w14:textId="77777777" w:rsidR="00AB198D" w:rsidRPr="00EF796E" w:rsidRDefault="00AB198D" w:rsidP="00EF796E">
      <w:pPr>
        <w:spacing w:line="360" w:lineRule="auto"/>
        <w:rPr>
          <w:rFonts w:ascii="Arial" w:hAnsi="Arial" w:cs="Arial"/>
        </w:rPr>
      </w:pPr>
      <w:proofErr w:type="spellStart"/>
      <w:r w:rsidRPr="00EF796E">
        <w:rPr>
          <w:rFonts w:ascii="Arial" w:hAnsi="Arial" w:cs="Arial"/>
        </w:rPr>
        <w:t>Lyssenko</w:t>
      </w:r>
      <w:proofErr w:type="spellEnd"/>
      <w:r w:rsidRPr="00EF796E">
        <w:rPr>
          <w:rFonts w:ascii="Arial" w:hAnsi="Arial" w:cs="Arial"/>
        </w:rPr>
        <w:t xml:space="preserve"> V, Laakso M. Genetic screening for the risk of type 2 diabetes. Diabetes Care. 2013;36 </w:t>
      </w:r>
      <w:proofErr w:type="spellStart"/>
      <w:r w:rsidRPr="00EF796E">
        <w:rPr>
          <w:rFonts w:ascii="Arial" w:hAnsi="Arial" w:cs="Arial"/>
        </w:rPr>
        <w:t>Suppl</w:t>
      </w:r>
      <w:proofErr w:type="spellEnd"/>
      <w:r w:rsidRPr="00EF796E">
        <w:rPr>
          <w:rFonts w:ascii="Arial" w:hAnsi="Arial" w:cs="Arial"/>
        </w:rPr>
        <w:t xml:space="preserve"> (</w:t>
      </w:r>
      <w:proofErr w:type="spellStart"/>
      <w:r w:rsidRPr="00EF796E">
        <w:rPr>
          <w:rFonts w:ascii="Arial" w:hAnsi="Arial" w:cs="Arial"/>
        </w:rPr>
        <w:t>Suppl</w:t>
      </w:r>
      <w:proofErr w:type="spellEnd"/>
      <w:r w:rsidRPr="00EF796E">
        <w:rPr>
          <w:rFonts w:ascii="Arial" w:hAnsi="Arial" w:cs="Arial"/>
        </w:rPr>
        <w:t xml:space="preserve"> 2</w:t>
      </w:r>
      <w:proofErr w:type="gramStart"/>
      <w:r w:rsidRPr="00EF796E">
        <w:rPr>
          <w:rFonts w:ascii="Arial" w:hAnsi="Arial" w:cs="Arial"/>
        </w:rPr>
        <w:t>):S</w:t>
      </w:r>
      <w:proofErr w:type="gramEnd"/>
      <w:r w:rsidRPr="00EF796E">
        <w:rPr>
          <w:rFonts w:ascii="Arial" w:hAnsi="Arial" w:cs="Arial"/>
        </w:rPr>
        <w:t>120-S126. doi:10.2337/dcS13-2012-2</w:t>
      </w:r>
    </w:p>
    <w:p w14:paraId="3D9C4490" w14:textId="77777777" w:rsidR="00AB198D" w:rsidRPr="00EF796E" w:rsidRDefault="00AB198D" w:rsidP="00EF796E">
      <w:pPr>
        <w:spacing w:line="360" w:lineRule="auto"/>
        <w:rPr>
          <w:rFonts w:ascii="Arial" w:hAnsi="Arial" w:cs="Arial"/>
        </w:rPr>
      </w:pPr>
      <w:r w:rsidRPr="00EF796E">
        <w:rPr>
          <w:rFonts w:ascii="Arial" w:hAnsi="Arial" w:cs="Arial"/>
        </w:rPr>
        <w:t>Malik, V. S., Schulze, M. B., &amp; Hu, F. B. (2010). Intake of sugar-sweetened beverages and weight gain: A systematic review. The American Journal of Clinical Nutrition, 84(2), 274-288.</w:t>
      </w:r>
    </w:p>
    <w:p w14:paraId="2EFF1C89" w14:textId="77777777" w:rsidR="00AB198D" w:rsidRPr="00EF796E" w:rsidRDefault="00AB198D" w:rsidP="00EF796E">
      <w:pPr>
        <w:spacing w:line="360" w:lineRule="auto"/>
        <w:rPr>
          <w:rFonts w:ascii="Arial" w:hAnsi="Arial" w:cs="Arial"/>
        </w:rPr>
      </w:pPr>
      <w:r w:rsidRPr="00EF796E">
        <w:rPr>
          <w:rFonts w:ascii="Arial" w:hAnsi="Arial" w:cs="Arial"/>
        </w:rPr>
        <w:t xml:space="preserve">McLaughlin T, Allison G, Abbasi F, et al. Prevalence of Insulin Resistance and Associated Cardiovascular Disease Risk Factors Among Normal Weight, Overweight, and Obese Individuals. Metabolism. 2004;53(4):495-499. </w:t>
      </w:r>
      <w:proofErr w:type="gramStart"/>
      <w:r w:rsidRPr="00EF796E">
        <w:rPr>
          <w:rFonts w:ascii="Arial" w:hAnsi="Arial" w:cs="Arial"/>
        </w:rPr>
        <w:t>doi:10.1016/j.metabol</w:t>
      </w:r>
      <w:proofErr w:type="gramEnd"/>
      <w:r w:rsidRPr="00EF796E">
        <w:rPr>
          <w:rFonts w:ascii="Arial" w:hAnsi="Arial" w:cs="Arial"/>
        </w:rPr>
        <w:t>.2003.11.018</w:t>
      </w:r>
    </w:p>
    <w:p w14:paraId="07D522B3" w14:textId="247516A0" w:rsidR="00AB198D" w:rsidRPr="00EF796E" w:rsidRDefault="00AB198D" w:rsidP="00EF796E">
      <w:pPr>
        <w:spacing w:line="360" w:lineRule="auto"/>
        <w:rPr>
          <w:rFonts w:ascii="Arial" w:hAnsi="Arial" w:cs="Arial"/>
        </w:rPr>
      </w:pPr>
      <w:proofErr w:type="spellStart"/>
      <w:r w:rsidRPr="00EF796E">
        <w:rPr>
          <w:rFonts w:ascii="Arial" w:hAnsi="Arial" w:cs="Arial"/>
        </w:rPr>
        <w:t>Mozaffarian</w:t>
      </w:r>
      <w:proofErr w:type="spellEnd"/>
      <w:r w:rsidRPr="00EF796E">
        <w:rPr>
          <w:rFonts w:ascii="Arial" w:hAnsi="Arial" w:cs="Arial"/>
        </w:rPr>
        <w:t>, D., Hao, T., Rimm, E. B., Willett, W. C., &amp; Hu, F. B. (2011). Changes in diet and lifestyle and long-term weight gain in women and men. The New England Journal of Medicine, 364(25), 2392-2404.</w:t>
      </w:r>
    </w:p>
    <w:p w14:paraId="16A0DF28" w14:textId="242EAA61" w:rsidR="00AB198D" w:rsidRPr="00EF796E" w:rsidRDefault="00AB198D" w:rsidP="00EF796E">
      <w:pPr>
        <w:spacing w:line="360" w:lineRule="auto"/>
        <w:rPr>
          <w:rFonts w:ascii="Arial" w:hAnsi="Arial" w:cs="Arial"/>
        </w:rPr>
      </w:pPr>
      <w:r w:rsidRPr="00EF796E">
        <w:rPr>
          <w:rFonts w:ascii="Arial" w:hAnsi="Arial" w:cs="Arial"/>
        </w:rPr>
        <w:t>Smith, C. D., et al. (2021). Challenges in diagnosing type 2 diabetes in women: A retrospective analysis. Journal of Women's Health, 30(5), 678-685. doi:10.</w:t>
      </w:r>
    </w:p>
    <w:p w14:paraId="45505A5F" w14:textId="77777777" w:rsidR="00AB198D" w:rsidRPr="00EF796E" w:rsidRDefault="00AB198D" w:rsidP="00EF796E">
      <w:pPr>
        <w:spacing w:line="360" w:lineRule="auto"/>
        <w:rPr>
          <w:rFonts w:ascii="Arial" w:hAnsi="Arial" w:cs="Arial"/>
        </w:rPr>
      </w:pPr>
      <w:r w:rsidRPr="00EF796E">
        <w:rPr>
          <w:rFonts w:ascii="Arial" w:hAnsi="Arial" w:cs="Arial"/>
        </w:rPr>
        <w:t xml:space="preserve">Smith, J. (2018). The impact of lifestyle interventions on </w:t>
      </w:r>
      <w:proofErr w:type="spellStart"/>
      <w:r w:rsidRPr="00EF796E">
        <w:rPr>
          <w:rFonts w:ascii="Arial" w:hAnsi="Arial" w:cs="Arial"/>
        </w:rPr>
        <w:t>glycemic</w:t>
      </w:r>
      <w:proofErr w:type="spellEnd"/>
      <w:r w:rsidRPr="00EF796E">
        <w:rPr>
          <w:rFonts w:ascii="Arial" w:hAnsi="Arial" w:cs="Arial"/>
        </w:rPr>
        <w:t xml:space="preserve"> control in women with type 2 diabetes. Journal of Diabetes Studies, 10(2), 55-68.</w:t>
      </w:r>
    </w:p>
    <w:p w14:paraId="36A7D41E" w14:textId="77777777" w:rsidR="00AB198D" w:rsidRPr="00EF796E" w:rsidRDefault="00AB198D" w:rsidP="00EF796E">
      <w:pPr>
        <w:spacing w:line="360" w:lineRule="auto"/>
        <w:rPr>
          <w:rFonts w:ascii="Arial" w:hAnsi="Arial" w:cs="Arial"/>
        </w:rPr>
      </w:pPr>
      <w:r w:rsidRPr="00EF796E">
        <w:rPr>
          <w:rFonts w:ascii="Arial" w:hAnsi="Arial" w:cs="Arial"/>
        </w:rPr>
        <w:t xml:space="preserve">Smith, J. (2021). Pathophysiology of Type 2 Diabetes in Women. [Unpublished essay]. </w:t>
      </w:r>
      <w:proofErr w:type="spellStart"/>
      <w:r w:rsidRPr="00EF796E">
        <w:rPr>
          <w:rFonts w:ascii="Arial" w:hAnsi="Arial" w:cs="Arial"/>
        </w:rPr>
        <w:t>Codeway</w:t>
      </w:r>
      <w:proofErr w:type="spellEnd"/>
      <w:r w:rsidRPr="00EF796E">
        <w:rPr>
          <w:rFonts w:ascii="Arial" w:hAnsi="Arial" w:cs="Arial"/>
        </w:rPr>
        <w:t xml:space="preserve"> University.</w:t>
      </w:r>
    </w:p>
    <w:p w14:paraId="1E6B5BE1" w14:textId="77777777" w:rsidR="005B4151" w:rsidRPr="005B4151" w:rsidRDefault="005B4151" w:rsidP="008325C3">
      <w:pPr>
        <w:rPr>
          <w:rFonts w:ascii="Arial" w:hAnsi="Arial" w:cs="Arial"/>
        </w:rPr>
      </w:pPr>
    </w:p>
    <w:p w14:paraId="3D0C809B" w14:textId="77777777" w:rsidR="004D2C83" w:rsidRDefault="004D2C83" w:rsidP="009E7C35"/>
    <w:p w14:paraId="56DADF10" w14:textId="77777777" w:rsidR="009E7C35" w:rsidRDefault="009E7C35" w:rsidP="002F1A43">
      <w:pPr>
        <w:spacing w:line="360" w:lineRule="auto"/>
        <w:jc w:val="both"/>
        <w:rPr>
          <w:rFonts w:ascii="Arial" w:hAnsi="Arial" w:cs="Arial"/>
        </w:rPr>
      </w:pPr>
    </w:p>
    <w:p w14:paraId="5D2C8AD6" w14:textId="77777777" w:rsidR="009E7C35" w:rsidRPr="00305E9C" w:rsidRDefault="009E7C35" w:rsidP="002F1A43">
      <w:pPr>
        <w:spacing w:line="360" w:lineRule="auto"/>
        <w:jc w:val="both"/>
        <w:rPr>
          <w:rFonts w:ascii="Arial" w:hAnsi="Arial" w:cs="Arial"/>
        </w:rPr>
      </w:pPr>
    </w:p>
    <w:p w14:paraId="535C2CE5" w14:textId="77777777" w:rsidR="002F1A43" w:rsidRPr="00305E9C" w:rsidRDefault="002F1A43" w:rsidP="006F7D4B">
      <w:pPr>
        <w:spacing w:line="360" w:lineRule="auto"/>
        <w:jc w:val="both"/>
        <w:rPr>
          <w:rFonts w:ascii="Arial" w:hAnsi="Arial" w:cs="Arial"/>
        </w:rPr>
      </w:pPr>
    </w:p>
    <w:p w14:paraId="1D0AB60A" w14:textId="77777777" w:rsidR="00A11945" w:rsidRPr="00D82610" w:rsidRDefault="00A11945" w:rsidP="00A11945">
      <w:pPr>
        <w:spacing w:line="360" w:lineRule="auto"/>
        <w:jc w:val="both"/>
        <w:rPr>
          <w:rFonts w:ascii="Arial" w:hAnsi="Arial" w:cs="Arial"/>
          <w:sz w:val="24"/>
          <w:szCs w:val="24"/>
        </w:rPr>
      </w:pPr>
    </w:p>
    <w:p w14:paraId="58DF2EB9" w14:textId="77777777" w:rsidR="00BE3058" w:rsidRPr="00117424" w:rsidRDefault="00BE3058" w:rsidP="00CA0E6F">
      <w:pPr>
        <w:spacing w:line="360" w:lineRule="auto"/>
        <w:jc w:val="both"/>
        <w:rPr>
          <w:rFonts w:ascii="Arial" w:hAnsi="Arial" w:cs="Arial"/>
          <w:sz w:val="24"/>
          <w:szCs w:val="24"/>
        </w:rPr>
      </w:pPr>
    </w:p>
    <w:sectPr w:rsidR="00BE3058" w:rsidRPr="00117424" w:rsidSect="00333E7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14BFE" w14:textId="77777777" w:rsidR="00130778" w:rsidRDefault="00130778" w:rsidP="00BA6EB5">
      <w:pPr>
        <w:spacing w:after="0" w:line="240" w:lineRule="auto"/>
      </w:pPr>
      <w:r>
        <w:separator/>
      </w:r>
    </w:p>
  </w:endnote>
  <w:endnote w:type="continuationSeparator" w:id="0">
    <w:p w14:paraId="669FB0F1" w14:textId="77777777" w:rsidR="00130778" w:rsidRDefault="00130778" w:rsidP="00BA6EB5">
      <w:pPr>
        <w:spacing w:after="0" w:line="240" w:lineRule="auto"/>
      </w:pPr>
      <w:r>
        <w:continuationSeparator/>
      </w:r>
    </w:p>
  </w:endnote>
  <w:endnote w:type="continuationNotice" w:id="1">
    <w:p w14:paraId="0DC6009E" w14:textId="77777777" w:rsidR="00130778" w:rsidRDefault="001307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4B315" w14:textId="77777777" w:rsidR="00130778" w:rsidRDefault="00130778" w:rsidP="00BA6EB5">
      <w:pPr>
        <w:spacing w:after="0" w:line="240" w:lineRule="auto"/>
      </w:pPr>
      <w:r>
        <w:separator/>
      </w:r>
    </w:p>
  </w:footnote>
  <w:footnote w:type="continuationSeparator" w:id="0">
    <w:p w14:paraId="50466D4C" w14:textId="77777777" w:rsidR="00130778" w:rsidRDefault="00130778" w:rsidP="00BA6EB5">
      <w:pPr>
        <w:spacing w:after="0" w:line="240" w:lineRule="auto"/>
      </w:pPr>
      <w:r>
        <w:continuationSeparator/>
      </w:r>
    </w:p>
  </w:footnote>
  <w:footnote w:type="continuationNotice" w:id="1">
    <w:p w14:paraId="66F7F1D7" w14:textId="77777777" w:rsidR="00130778" w:rsidRDefault="001307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66127"/>
    <w:multiLevelType w:val="hybridMultilevel"/>
    <w:tmpl w:val="D4149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200DC"/>
    <w:multiLevelType w:val="hybridMultilevel"/>
    <w:tmpl w:val="6CE03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E1094"/>
    <w:multiLevelType w:val="hybridMultilevel"/>
    <w:tmpl w:val="962EE7B2"/>
    <w:lvl w:ilvl="0" w:tplc="0809000F">
      <w:start w:val="1"/>
      <w:numFmt w:val="decimal"/>
      <w:lvlText w:val="%1."/>
      <w:lvlJc w:val="left"/>
      <w:pPr>
        <w:ind w:left="720" w:hanging="360"/>
      </w:pPr>
      <w:rPr>
        <w:rFonts w:hint="default"/>
      </w:rPr>
    </w:lvl>
    <w:lvl w:ilvl="1" w:tplc="19B6B042">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CE411C"/>
    <w:multiLevelType w:val="hybridMultilevel"/>
    <w:tmpl w:val="0BC61ECE"/>
    <w:lvl w:ilvl="0" w:tplc="08090001">
      <w:start w:val="1"/>
      <w:numFmt w:val="bullet"/>
      <w:lvlText w:val=""/>
      <w:lvlJc w:val="left"/>
      <w:pPr>
        <w:ind w:left="720" w:hanging="360"/>
      </w:pPr>
      <w:rPr>
        <w:rFonts w:ascii="Symbol" w:hAnsi="Symbol" w:hint="default"/>
      </w:rPr>
    </w:lvl>
    <w:lvl w:ilvl="1" w:tplc="159A3CFA">
      <w:start w:val="2"/>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BE5406"/>
    <w:multiLevelType w:val="hybridMultilevel"/>
    <w:tmpl w:val="95DE1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8C3B16"/>
    <w:multiLevelType w:val="hybridMultilevel"/>
    <w:tmpl w:val="FA78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1016503">
    <w:abstractNumId w:val="3"/>
  </w:num>
  <w:num w:numId="2" w16cid:durableId="762720510">
    <w:abstractNumId w:val="4"/>
  </w:num>
  <w:num w:numId="3" w16cid:durableId="111096129">
    <w:abstractNumId w:val="1"/>
  </w:num>
  <w:num w:numId="4" w16cid:durableId="732389073">
    <w:abstractNumId w:val="2"/>
  </w:num>
  <w:num w:numId="5" w16cid:durableId="1190148249">
    <w:abstractNumId w:val="0"/>
  </w:num>
  <w:num w:numId="6" w16cid:durableId="1835954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581"/>
    <w:rsid w:val="0000007E"/>
    <w:rsid w:val="00003F2D"/>
    <w:rsid w:val="00006104"/>
    <w:rsid w:val="00006F0E"/>
    <w:rsid w:val="00011F9E"/>
    <w:rsid w:val="000201AD"/>
    <w:rsid w:val="00031190"/>
    <w:rsid w:val="00043DCF"/>
    <w:rsid w:val="00063D78"/>
    <w:rsid w:val="00094A61"/>
    <w:rsid w:val="000A7DF8"/>
    <w:rsid w:val="000C218A"/>
    <w:rsid w:val="000C4A9F"/>
    <w:rsid w:val="000D0866"/>
    <w:rsid w:val="000F7909"/>
    <w:rsid w:val="000F7EDE"/>
    <w:rsid w:val="00117424"/>
    <w:rsid w:val="00130778"/>
    <w:rsid w:val="001333F1"/>
    <w:rsid w:val="00152ED0"/>
    <w:rsid w:val="00161BAB"/>
    <w:rsid w:val="00185A69"/>
    <w:rsid w:val="00195401"/>
    <w:rsid w:val="001C4C1F"/>
    <w:rsid w:val="001D4A61"/>
    <w:rsid w:val="001D5940"/>
    <w:rsid w:val="001F2F5C"/>
    <w:rsid w:val="00200CED"/>
    <w:rsid w:val="00213CBC"/>
    <w:rsid w:val="002217E6"/>
    <w:rsid w:val="00223878"/>
    <w:rsid w:val="00245AA8"/>
    <w:rsid w:val="00256F96"/>
    <w:rsid w:val="00267BFB"/>
    <w:rsid w:val="00271B17"/>
    <w:rsid w:val="00286A23"/>
    <w:rsid w:val="00286B76"/>
    <w:rsid w:val="00287717"/>
    <w:rsid w:val="00291297"/>
    <w:rsid w:val="00296060"/>
    <w:rsid w:val="002A0AA9"/>
    <w:rsid w:val="002A486B"/>
    <w:rsid w:val="002B1E3B"/>
    <w:rsid w:val="002B7533"/>
    <w:rsid w:val="002D21E6"/>
    <w:rsid w:val="002E31B2"/>
    <w:rsid w:val="002E73AF"/>
    <w:rsid w:val="002F1A43"/>
    <w:rsid w:val="002F6893"/>
    <w:rsid w:val="003005D2"/>
    <w:rsid w:val="00305E9C"/>
    <w:rsid w:val="003060A4"/>
    <w:rsid w:val="00316A73"/>
    <w:rsid w:val="00333E7D"/>
    <w:rsid w:val="00335A55"/>
    <w:rsid w:val="003363BE"/>
    <w:rsid w:val="00347DC2"/>
    <w:rsid w:val="00355EE6"/>
    <w:rsid w:val="00357C18"/>
    <w:rsid w:val="00363853"/>
    <w:rsid w:val="0036657F"/>
    <w:rsid w:val="00382C22"/>
    <w:rsid w:val="00390B1D"/>
    <w:rsid w:val="00395FDC"/>
    <w:rsid w:val="003D16B4"/>
    <w:rsid w:val="003D73A5"/>
    <w:rsid w:val="003E2B2E"/>
    <w:rsid w:val="003E5BFB"/>
    <w:rsid w:val="003E70E9"/>
    <w:rsid w:val="004022C5"/>
    <w:rsid w:val="0042483C"/>
    <w:rsid w:val="00434F14"/>
    <w:rsid w:val="00446BC1"/>
    <w:rsid w:val="0046049D"/>
    <w:rsid w:val="004649E9"/>
    <w:rsid w:val="004735B6"/>
    <w:rsid w:val="00477A3E"/>
    <w:rsid w:val="00494ACD"/>
    <w:rsid w:val="004A04BA"/>
    <w:rsid w:val="004A222D"/>
    <w:rsid w:val="004B63E9"/>
    <w:rsid w:val="004B73D4"/>
    <w:rsid w:val="004D2C83"/>
    <w:rsid w:val="004E2AFA"/>
    <w:rsid w:val="004F1851"/>
    <w:rsid w:val="004F1FB9"/>
    <w:rsid w:val="0052086B"/>
    <w:rsid w:val="00523346"/>
    <w:rsid w:val="005446CF"/>
    <w:rsid w:val="00545DDF"/>
    <w:rsid w:val="00561780"/>
    <w:rsid w:val="00572B70"/>
    <w:rsid w:val="00597F5D"/>
    <w:rsid w:val="005A33D9"/>
    <w:rsid w:val="005A7E1C"/>
    <w:rsid w:val="005B276C"/>
    <w:rsid w:val="005B4151"/>
    <w:rsid w:val="005B55E0"/>
    <w:rsid w:val="005D44B5"/>
    <w:rsid w:val="006259BC"/>
    <w:rsid w:val="00653DB2"/>
    <w:rsid w:val="00662687"/>
    <w:rsid w:val="00684984"/>
    <w:rsid w:val="006A6853"/>
    <w:rsid w:val="006A7F54"/>
    <w:rsid w:val="006B2C56"/>
    <w:rsid w:val="006B63A1"/>
    <w:rsid w:val="006B6729"/>
    <w:rsid w:val="006C3ADB"/>
    <w:rsid w:val="006C72F8"/>
    <w:rsid w:val="006F0874"/>
    <w:rsid w:val="006F4A6C"/>
    <w:rsid w:val="006F6CBB"/>
    <w:rsid w:val="006F7D4B"/>
    <w:rsid w:val="00703A03"/>
    <w:rsid w:val="00706A6F"/>
    <w:rsid w:val="007516D3"/>
    <w:rsid w:val="007539D9"/>
    <w:rsid w:val="007574AE"/>
    <w:rsid w:val="00765A11"/>
    <w:rsid w:val="00775C67"/>
    <w:rsid w:val="00776784"/>
    <w:rsid w:val="00784067"/>
    <w:rsid w:val="00793285"/>
    <w:rsid w:val="007949ED"/>
    <w:rsid w:val="00797683"/>
    <w:rsid w:val="007A5A99"/>
    <w:rsid w:val="007C01EC"/>
    <w:rsid w:val="007C212A"/>
    <w:rsid w:val="007D0567"/>
    <w:rsid w:val="007F02BE"/>
    <w:rsid w:val="007F296A"/>
    <w:rsid w:val="007F4531"/>
    <w:rsid w:val="007F76EB"/>
    <w:rsid w:val="00811F23"/>
    <w:rsid w:val="0081387B"/>
    <w:rsid w:val="008325C3"/>
    <w:rsid w:val="0083792C"/>
    <w:rsid w:val="00843FFE"/>
    <w:rsid w:val="008504EC"/>
    <w:rsid w:val="008542CE"/>
    <w:rsid w:val="00854474"/>
    <w:rsid w:val="00887774"/>
    <w:rsid w:val="008A4CDA"/>
    <w:rsid w:val="008C16BF"/>
    <w:rsid w:val="008C6EAA"/>
    <w:rsid w:val="008E2646"/>
    <w:rsid w:val="008F382E"/>
    <w:rsid w:val="00900D03"/>
    <w:rsid w:val="00903FD6"/>
    <w:rsid w:val="009141E5"/>
    <w:rsid w:val="00916228"/>
    <w:rsid w:val="00916906"/>
    <w:rsid w:val="00920778"/>
    <w:rsid w:val="009233F8"/>
    <w:rsid w:val="00923572"/>
    <w:rsid w:val="009335F7"/>
    <w:rsid w:val="0094438A"/>
    <w:rsid w:val="00945BA8"/>
    <w:rsid w:val="00951BA8"/>
    <w:rsid w:val="00953F76"/>
    <w:rsid w:val="00955562"/>
    <w:rsid w:val="00957183"/>
    <w:rsid w:val="009613A8"/>
    <w:rsid w:val="00973D0F"/>
    <w:rsid w:val="009950D9"/>
    <w:rsid w:val="009B0BA5"/>
    <w:rsid w:val="009E7C35"/>
    <w:rsid w:val="00A01DD7"/>
    <w:rsid w:val="00A028CB"/>
    <w:rsid w:val="00A11945"/>
    <w:rsid w:val="00A2031D"/>
    <w:rsid w:val="00A23C91"/>
    <w:rsid w:val="00A34826"/>
    <w:rsid w:val="00A6280D"/>
    <w:rsid w:val="00A65489"/>
    <w:rsid w:val="00A74B45"/>
    <w:rsid w:val="00A74CCB"/>
    <w:rsid w:val="00A77472"/>
    <w:rsid w:val="00A8407B"/>
    <w:rsid w:val="00A940D9"/>
    <w:rsid w:val="00AB198D"/>
    <w:rsid w:val="00AC6463"/>
    <w:rsid w:val="00AC7237"/>
    <w:rsid w:val="00AE2A10"/>
    <w:rsid w:val="00AE5251"/>
    <w:rsid w:val="00AF0ADF"/>
    <w:rsid w:val="00AF7B36"/>
    <w:rsid w:val="00B21A39"/>
    <w:rsid w:val="00B239B7"/>
    <w:rsid w:val="00B35379"/>
    <w:rsid w:val="00B4480D"/>
    <w:rsid w:val="00B52EAF"/>
    <w:rsid w:val="00B70A8B"/>
    <w:rsid w:val="00B70F6A"/>
    <w:rsid w:val="00B93AAE"/>
    <w:rsid w:val="00B96BA4"/>
    <w:rsid w:val="00BA6EB5"/>
    <w:rsid w:val="00BA7581"/>
    <w:rsid w:val="00BB0B35"/>
    <w:rsid w:val="00BB41CC"/>
    <w:rsid w:val="00BC1EEB"/>
    <w:rsid w:val="00BE080F"/>
    <w:rsid w:val="00BE3058"/>
    <w:rsid w:val="00BE66EB"/>
    <w:rsid w:val="00C0057E"/>
    <w:rsid w:val="00C07EB3"/>
    <w:rsid w:val="00C554D7"/>
    <w:rsid w:val="00C57F73"/>
    <w:rsid w:val="00C70371"/>
    <w:rsid w:val="00C7382E"/>
    <w:rsid w:val="00C7647A"/>
    <w:rsid w:val="00C8055B"/>
    <w:rsid w:val="00C91728"/>
    <w:rsid w:val="00C93FFD"/>
    <w:rsid w:val="00CA0E6F"/>
    <w:rsid w:val="00CC6391"/>
    <w:rsid w:val="00CD58B8"/>
    <w:rsid w:val="00CE71D4"/>
    <w:rsid w:val="00D02680"/>
    <w:rsid w:val="00D0495C"/>
    <w:rsid w:val="00D125E5"/>
    <w:rsid w:val="00D15AE4"/>
    <w:rsid w:val="00D15F9D"/>
    <w:rsid w:val="00D22098"/>
    <w:rsid w:val="00D45548"/>
    <w:rsid w:val="00D82610"/>
    <w:rsid w:val="00D91E40"/>
    <w:rsid w:val="00DA4A43"/>
    <w:rsid w:val="00DA65A5"/>
    <w:rsid w:val="00DD1D31"/>
    <w:rsid w:val="00DD606E"/>
    <w:rsid w:val="00DE1DA8"/>
    <w:rsid w:val="00DE72A6"/>
    <w:rsid w:val="00E11C9E"/>
    <w:rsid w:val="00E32D11"/>
    <w:rsid w:val="00E4053A"/>
    <w:rsid w:val="00E5183F"/>
    <w:rsid w:val="00E60BE5"/>
    <w:rsid w:val="00E620F4"/>
    <w:rsid w:val="00EB09D5"/>
    <w:rsid w:val="00EC2F5E"/>
    <w:rsid w:val="00EE30C6"/>
    <w:rsid w:val="00EE445C"/>
    <w:rsid w:val="00EE4511"/>
    <w:rsid w:val="00EE4857"/>
    <w:rsid w:val="00EF796E"/>
    <w:rsid w:val="00F00D67"/>
    <w:rsid w:val="00F06F8F"/>
    <w:rsid w:val="00F1659D"/>
    <w:rsid w:val="00F33D89"/>
    <w:rsid w:val="00F41268"/>
    <w:rsid w:val="00F4387E"/>
    <w:rsid w:val="00F52ACC"/>
    <w:rsid w:val="00F6008F"/>
    <w:rsid w:val="00F811B3"/>
    <w:rsid w:val="00F86D82"/>
    <w:rsid w:val="00F910A1"/>
    <w:rsid w:val="00FD41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B84BF"/>
  <w15:chartTrackingRefBased/>
  <w15:docId w15:val="{14F071F1-51C0-CC49-AE45-5F590C6C0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EB5"/>
  </w:style>
  <w:style w:type="paragraph" w:styleId="Footer">
    <w:name w:val="footer"/>
    <w:basedOn w:val="Normal"/>
    <w:link w:val="FooterChar"/>
    <w:uiPriority w:val="99"/>
    <w:unhideWhenUsed/>
    <w:rsid w:val="00BA6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EB5"/>
  </w:style>
  <w:style w:type="paragraph" w:styleId="ListParagraph">
    <w:name w:val="List Paragraph"/>
    <w:basedOn w:val="Normal"/>
    <w:uiPriority w:val="34"/>
    <w:qFormat/>
    <w:rsid w:val="0052086B"/>
    <w:pPr>
      <w:ind w:left="720"/>
      <w:contextualSpacing/>
    </w:pPr>
  </w:style>
  <w:style w:type="paragraph" w:styleId="NoSpacing">
    <w:name w:val="No Spacing"/>
    <w:link w:val="NoSpacingChar"/>
    <w:uiPriority w:val="1"/>
    <w:qFormat/>
    <w:rsid w:val="00333E7D"/>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333E7D"/>
    <w:rPr>
      <w:kern w:val="0"/>
      <w:lang w:val="en-US" w:eastAsia="en-US"/>
      <w14:ligatures w14:val="none"/>
    </w:rPr>
  </w:style>
  <w:style w:type="table" w:styleId="TableGrid">
    <w:name w:val="Table Grid"/>
    <w:basedOn w:val="TableNormal"/>
    <w:uiPriority w:val="39"/>
    <w:rsid w:val="008877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796E"/>
    <w:rPr>
      <w:color w:val="0563C1" w:themeColor="hyperlink"/>
      <w:u w:val="single"/>
    </w:rPr>
  </w:style>
  <w:style w:type="character" w:styleId="UnresolvedMention">
    <w:name w:val="Unresolved Mention"/>
    <w:basedOn w:val="DefaultParagraphFont"/>
    <w:uiPriority w:val="99"/>
    <w:semiHidden/>
    <w:unhideWhenUsed/>
    <w:rsid w:val="00EF7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ealth.harvard.edu/staying-healthy/abdominal-fat-and-what-to-do-about-it" TargetMode="External"/><Relationship Id="rId4" Type="http://schemas.openxmlformats.org/officeDocument/2006/relationships/settings" Target="settings.xml"/><Relationship Id="rId9" Type="http://schemas.openxmlformats.org/officeDocument/2006/relationships/hyperlink" Target="https://yourhealthforever.blogspot.com/2011/10/hypoglycemia-low-blood-sugar-sig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prevalence of diabetes has reached epidemic proportions globally, posing significant challenges to public health. This literature review aims to provide a comprehensive overview of diabetes type 2 in woman. It aims to encompassing its pathophysiology, risk factors such as, environment factors, biological factors, life factors, psychosocial factors, genetic and ethic factors, hormonal factors, diagnosis, prevention, and management strategies. The review also highlights the importance of patient education and self-care in managing the condition effectively. It will also include the methods and words used for the research.</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15</Pages>
  <Words>4823</Words>
  <Characters>27497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literiture review</vt:lpstr>
    </vt:vector>
  </TitlesOfParts>
  <Company/>
  <LinksUpToDate>false</LinksUpToDate>
  <CharactersWithSpaces>32256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literiture review</dc:title>
  <dc:subject>Women WithType 2 Diabetes.</dc:subject>
  <dc:creator>Nomathemba Socikwa</dc:creator>
  <cp:keywords/>
  <dc:description/>
  <cp:lastModifiedBy>Nomathemba Socikwa (2128581)</cp:lastModifiedBy>
  <cp:revision>245</cp:revision>
  <dcterms:created xsi:type="dcterms:W3CDTF">2023-10-09T07:25:00Z</dcterms:created>
  <dcterms:modified xsi:type="dcterms:W3CDTF">2023-11-17T13:53:00Z</dcterms:modified>
  <cp:category>BSc Health and Social care</cp:category>
</cp:coreProperties>
</file>