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04DCA" w:rsidP="006570B8" w:rsidRDefault="00C04DCA" w14:paraId="53F3C5DB" w14:textId="24B8E5AF">
      <w:pPr>
        <w:spacing w:line="360" w:lineRule="auto"/>
        <w:jc w:val="center"/>
        <w:rPr>
          <w:rFonts w:ascii="Arial" w:hAnsi="Arial" w:eastAsia="Arial" w:cs="Arial"/>
          <w:sz w:val="28"/>
          <w:szCs w:val="28"/>
          <w:u w:val="single"/>
          <w:lang w:val="en-US"/>
        </w:rPr>
      </w:pPr>
      <w:r w:rsidRPr="00070028">
        <w:rPr>
          <w:rFonts w:ascii="Arial" w:hAnsi="Arial" w:eastAsia="Arial" w:cs="Arial"/>
          <w:sz w:val="28"/>
          <w:szCs w:val="28"/>
          <w:u w:val="single"/>
          <w:lang w:val="en-US"/>
        </w:rPr>
        <w:t>Student</w:t>
      </w:r>
      <w:r w:rsidR="008615A7">
        <w:rPr>
          <w:rFonts w:ascii="Arial" w:hAnsi="Arial" w:eastAsia="Arial" w:cs="Arial"/>
          <w:sz w:val="28"/>
          <w:szCs w:val="28"/>
          <w:lang w:val="en-US"/>
        </w:rPr>
        <w:t xml:space="preserve"> </w:t>
      </w:r>
      <w:r w:rsidRPr="58FB82DA">
        <w:rPr>
          <w:rFonts w:ascii="Arial" w:hAnsi="Arial" w:eastAsia="Arial" w:cs="Arial"/>
          <w:sz w:val="28"/>
          <w:szCs w:val="28"/>
          <w:u w:val="single"/>
          <w:lang w:val="en-US"/>
        </w:rPr>
        <w:t xml:space="preserve">name: Rosiane Hatchodji  Tchoumte Ep Tchounkeu </w:t>
      </w:r>
    </w:p>
    <w:p w:rsidR="00C04DCA" w:rsidP="006570B8" w:rsidRDefault="00C04DCA" w14:paraId="49FA52BA" w14:textId="77777777">
      <w:pPr>
        <w:spacing w:line="360" w:lineRule="auto"/>
        <w:jc w:val="center"/>
        <w:rPr>
          <w:rFonts w:ascii="Arial" w:hAnsi="Arial" w:eastAsia="Arial" w:cs="Arial"/>
          <w:sz w:val="28"/>
          <w:szCs w:val="28"/>
          <w:u w:val="single"/>
        </w:rPr>
      </w:pPr>
      <w:r w:rsidRPr="58FB82DA">
        <w:rPr>
          <w:rFonts w:ascii="Arial" w:hAnsi="Arial" w:eastAsia="Arial" w:cs="Arial"/>
          <w:sz w:val="28"/>
          <w:szCs w:val="28"/>
          <w:u w:val="single"/>
        </w:rPr>
        <w:t xml:space="preserve">Student number: 2439419 </w:t>
      </w:r>
    </w:p>
    <w:p w:rsidR="00C04DCA" w:rsidP="006570B8" w:rsidRDefault="00C04DCA" w14:paraId="23448031" w14:textId="62CF96B6">
      <w:pPr>
        <w:spacing w:line="360" w:lineRule="auto"/>
        <w:jc w:val="center"/>
        <w:rPr>
          <w:rFonts w:ascii="Arial" w:hAnsi="Arial" w:eastAsia="Arial" w:cs="Arial"/>
          <w:sz w:val="28"/>
          <w:szCs w:val="28"/>
          <w:u w:val="single"/>
        </w:rPr>
      </w:pPr>
      <w:r w:rsidRPr="58FB82DA">
        <w:rPr>
          <w:rFonts w:ascii="Arial" w:hAnsi="Arial" w:eastAsia="Arial" w:cs="Arial"/>
          <w:sz w:val="28"/>
          <w:szCs w:val="28"/>
          <w:u w:val="single"/>
        </w:rPr>
        <w:t>Module code: LCHS40</w:t>
      </w:r>
      <w:r w:rsidR="0005223D">
        <w:rPr>
          <w:rFonts w:ascii="Arial" w:hAnsi="Arial" w:eastAsia="Arial" w:cs="Arial"/>
          <w:sz w:val="28"/>
          <w:szCs w:val="28"/>
          <w:u w:val="single"/>
        </w:rPr>
        <w:t>10</w:t>
      </w:r>
      <w:r w:rsidRPr="58FB82DA">
        <w:rPr>
          <w:rFonts w:ascii="Arial" w:hAnsi="Arial" w:eastAsia="Arial" w:cs="Arial"/>
          <w:sz w:val="28"/>
          <w:szCs w:val="28"/>
          <w:u w:val="single"/>
        </w:rPr>
        <w:t xml:space="preserve">_BIRM </w:t>
      </w:r>
    </w:p>
    <w:p w:rsidR="00C04DCA" w:rsidP="006570B8" w:rsidRDefault="00C04DCA" w14:paraId="15F68A61" w14:textId="6AED1A8C">
      <w:pPr>
        <w:spacing w:line="360" w:lineRule="auto"/>
        <w:jc w:val="center"/>
        <w:rPr>
          <w:rFonts w:ascii="Arial" w:hAnsi="Arial" w:eastAsia="Arial" w:cs="Arial"/>
          <w:sz w:val="28"/>
          <w:szCs w:val="28"/>
          <w:u w:val="single"/>
        </w:rPr>
      </w:pPr>
      <w:r w:rsidRPr="58FB82DA">
        <w:rPr>
          <w:rFonts w:ascii="Arial" w:hAnsi="Arial" w:eastAsia="Arial" w:cs="Arial"/>
          <w:sz w:val="28"/>
          <w:szCs w:val="28"/>
          <w:u w:val="single"/>
        </w:rPr>
        <w:t xml:space="preserve">Module name:  </w:t>
      </w:r>
      <w:r w:rsidR="00642C6D">
        <w:rPr>
          <w:rFonts w:ascii="Arial" w:hAnsi="Arial" w:eastAsia="Arial" w:cs="Arial"/>
          <w:sz w:val="28"/>
          <w:szCs w:val="28"/>
          <w:u w:val="single"/>
        </w:rPr>
        <w:t xml:space="preserve">Psychology in </w:t>
      </w:r>
      <w:r w:rsidRPr="58FB82DA">
        <w:rPr>
          <w:rFonts w:ascii="Arial" w:hAnsi="Arial" w:eastAsia="Arial" w:cs="Arial"/>
          <w:sz w:val="28"/>
          <w:szCs w:val="28"/>
          <w:u w:val="single"/>
        </w:rPr>
        <w:t>Health and Social Care</w:t>
      </w:r>
    </w:p>
    <w:p w:rsidR="00C04DCA" w:rsidP="006570B8" w:rsidRDefault="00C04DCA" w14:paraId="2E277605" w14:textId="42102B98">
      <w:pPr>
        <w:spacing w:line="360" w:lineRule="auto"/>
        <w:jc w:val="center"/>
        <w:rPr>
          <w:rFonts w:ascii="Arial" w:hAnsi="Arial" w:eastAsia="Arial" w:cs="Arial"/>
          <w:sz w:val="28"/>
          <w:szCs w:val="28"/>
          <w:u w:val="single"/>
        </w:rPr>
      </w:pPr>
      <w:r w:rsidRPr="58FB82DA">
        <w:rPr>
          <w:rFonts w:ascii="Arial" w:hAnsi="Arial" w:eastAsia="Arial" w:cs="Arial"/>
          <w:sz w:val="28"/>
          <w:szCs w:val="28"/>
          <w:u w:val="single"/>
        </w:rPr>
        <w:t xml:space="preserve">Lecturer name: </w:t>
      </w:r>
      <w:r w:rsidR="00642C6D">
        <w:rPr>
          <w:rFonts w:ascii="Arial" w:hAnsi="Arial" w:eastAsia="Arial" w:cs="Arial"/>
          <w:sz w:val="28"/>
          <w:szCs w:val="28"/>
          <w:u w:val="single"/>
        </w:rPr>
        <w:t>Alice Clayton</w:t>
      </w:r>
    </w:p>
    <w:p w:rsidR="00642C6D" w:rsidP="006570B8" w:rsidRDefault="00C04DCA" w14:paraId="5528AFFA" w14:textId="3D97150B">
      <w:pPr>
        <w:spacing w:line="360" w:lineRule="auto"/>
        <w:jc w:val="center"/>
        <w:rPr>
          <w:rFonts w:ascii="Arial" w:hAnsi="Arial" w:eastAsia="Arial" w:cs="Arial"/>
          <w:sz w:val="28"/>
          <w:szCs w:val="28"/>
          <w:u w:val="single"/>
        </w:rPr>
      </w:pPr>
      <w:r w:rsidRPr="58FB82DA">
        <w:rPr>
          <w:rFonts w:ascii="Arial" w:hAnsi="Arial" w:eastAsia="Arial" w:cs="Arial"/>
          <w:sz w:val="28"/>
          <w:szCs w:val="28"/>
          <w:u w:val="single"/>
        </w:rPr>
        <w:t xml:space="preserve">Assignment title: Component 2: </w:t>
      </w:r>
      <w:r w:rsidR="006A6A4C">
        <w:rPr>
          <w:rFonts w:ascii="Arial" w:hAnsi="Arial" w:eastAsia="Arial" w:cs="Arial"/>
          <w:sz w:val="28"/>
          <w:szCs w:val="28"/>
          <w:u w:val="single"/>
        </w:rPr>
        <w:t xml:space="preserve">Bibliography </w:t>
      </w:r>
      <w:r w:rsidRPr="72EF490F" w:rsidR="6A16A611">
        <w:rPr>
          <w:rFonts w:ascii="Arial" w:hAnsi="Arial" w:eastAsia="Arial" w:cs="Arial"/>
          <w:sz w:val="28"/>
          <w:szCs w:val="28"/>
          <w:u w:val="single"/>
        </w:rPr>
        <w:t>and Report</w:t>
      </w:r>
    </w:p>
    <w:p w:rsidR="72EF490F" w:rsidP="72EF490F" w:rsidRDefault="72EF490F" w14:paraId="47EDE59A" w14:textId="0F18627E">
      <w:pPr>
        <w:spacing w:line="360" w:lineRule="auto"/>
        <w:jc w:val="center"/>
        <w:rPr>
          <w:rFonts w:ascii="Arial" w:hAnsi="Arial" w:eastAsia="Arial" w:cs="Arial"/>
          <w:sz w:val="28"/>
          <w:szCs w:val="28"/>
          <w:u w:val="single"/>
        </w:rPr>
      </w:pPr>
    </w:p>
    <w:p w:rsidR="00C04DCA" w:rsidP="006570B8" w:rsidRDefault="00C04DCA" w14:paraId="58BEA98D" w14:textId="783FC91A">
      <w:pPr>
        <w:spacing w:line="360" w:lineRule="auto"/>
        <w:jc w:val="center"/>
        <w:rPr>
          <w:rFonts w:ascii="Arial" w:hAnsi="Arial" w:eastAsia="Arial" w:cs="Arial"/>
          <w:sz w:val="28"/>
          <w:szCs w:val="28"/>
          <w:u w:val="single"/>
        </w:rPr>
      </w:pPr>
      <w:r w:rsidRPr="58FB82DA">
        <w:rPr>
          <w:rFonts w:ascii="Arial" w:hAnsi="Arial" w:eastAsia="Arial" w:cs="Arial"/>
          <w:sz w:val="28"/>
          <w:szCs w:val="28"/>
          <w:u w:val="single"/>
        </w:rPr>
        <w:t xml:space="preserve">Date:  </w:t>
      </w:r>
      <w:r w:rsidR="006A6A4C">
        <w:rPr>
          <w:rFonts w:ascii="Arial" w:hAnsi="Arial" w:eastAsia="Arial" w:cs="Arial"/>
          <w:sz w:val="28"/>
          <w:szCs w:val="28"/>
          <w:u w:val="single"/>
        </w:rPr>
        <w:t xml:space="preserve">Tuesday </w:t>
      </w:r>
      <w:r w:rsidRPr="58FB82DA">
        <w:rPr>
          <w:rFonts w:ascii="Arial" w:hAnsi="Arial" w:eastAsia="Arial" w:cs="Arial"/>
          <w:sz w:val="28"/>
          <w:szCs w:val="28"/>
          <w:u w:val="single"/>
        </w:rPr>
        <w:t>2</w:t>
      </w:r>
      <w:r w:rsidR="006A6A4C">
        <w:rPr>
          <w:rFonts w:ascii="Arial" w:hAnsi="Arial" w:eastAsia="Arial" w:cs="Arial"/>
          <w:sz w:val="28"/>
          <w:szCs w:val="28"/>
          <w:u w:val="single"/>
        </w:rPr>
        <w:t xml:space="preserve">4 March </w:t>
      </w:r>
      <w:r w:rsidRPr="58FB82DA">
        <w:rPr>
          <w:rFonts w:ascii="Arial" w:hAnsi="Arial" w:eastAsia="Arial" w:cs="Arial"/>
          <w:sz w:val="28"/>
          <w:szCs w:val="28"/>
          <w:u w:val="single"/>
        </w:rPr>
        <w:t>202</w:t>
      </w:r>
      <w:r w:rsidR="006A6A4C">
        <w:rPr>
          <w:rFonts w:ascii="Arial" w:hAnsi="Arial" w:eastAsia="Arial" w:cs="Arial"/>
          <w:sz w:val="28"/>
          <w:szCs w:val="28"/>
          <w:u w:val="single"/>
        </w:rPr>
        <w:t>6</w:t>
      </w:r>
    </w:p>
    <w:p w:rsidR="72EF490F" w:rsidP="72EF490F" w:rsidRDefault="72EF490F" w14:paraId="163187AB" w14:textId="07296690">
      <w:pPr>
        <w:spacing w:line="360" w:lineRule="auto"/>
        <w:jc w:val="center"/>
        <w:rPr>
          <w:rFonts w:ascii="Arial" w:hAnsi="Arial" w:eastAsia="Arial" w:cs="Arial"/>
          <w:sz w:val="28"/>
          <w:szCs w:val="28"/>
          <w:u w:val="single"/>
        </w:rPr>
      </w:pPr>
    </w:p>
    <w:p w:rsidR="72EF490F" w:rsidP="72EF490F" w:rsidRDefault="72EF490F" w14:paraId="22F1DE30" w14:textId="1F4E2705">
      <w:pPr>
        <w:spacing w:line="360" w:lineRule="auto"/>
        <w:jc w:val="center"/>
        <w:rPr>
          <w:rFonts w:ascii="Arial" w:hAnsi="Arial" w:eastAsia="Arial" w:cs="Arial"/>
          <w:sz w:val="28"/>
          <w:szCs w:val="28"/>
          <w:u w:val="single"/>
        </w:rPr>
      </w:pPr>
    </w:p>
    <w:p w:rsidR="72EF490F" w:rsidP="72EF490F" w:rsidRDefault="72EF490F" w14:paraId="7F6307A5" w14:textId="2A6384DB">
      <w:pPr>
        <w:spacing w:line="360" w:lineRule="auto"/>
        <w:jc w:val="center"/>
        <w:rPr>
          <w:rFonts w:ascii="Arial" w:hAnsi="Arial" w:eastAsia="Arial" w:cs="Arial"/>
          <w:sz w:val="28"/>
          <w:szCs w:val="28"/>
          <w:u w:val="single"/>
        </w:rPr>
      </w:pPr>
    </w:p>
    <w:p w:rsidR="72EF490F" w:rsidP="72EF490F" w:rsidRDefault="72EF490F" w14:paraId="59E7BD63" w14:textId="78BA5F73">
      <w:pPr>
        <w:spacing w:line="360" w:lineRule="auto"/>
        <w:jc w:val="center"/>
        <w:rPr>
          <w:rFonts w:ascii="Arial" w:hAnsi="Arial" w:eastAsia="Arial" w:cs="Arial"/>
          <w:sz w:val="28"/>
          <w:szCs w:val="28"/>
          <w:u w:val="single"/>
        </w:rPr>
      </w:pPr>
    </w:p>
    <w:p w:rsidR="72EF490F" w:rsidP="72EF490F" w:rsidRDefault="72EF490F" w14:paraId="107E0E68" w14:textId="16C39A29">
      <w:pPr>
        <w:spacing w:line="360" w:lineRule="auto"/>
        <w:jc w:val="center"/>
        <w:rPr>
          <w:rFonts w:ascii="Arial" w:hAnsi="Arial" w:eastAsia="Arial" w:cs="Arial"/>
          <w:sz w:val="28"/>
          <w:szCs w:val="28"/>
          <w:u w:val="single"/>
        </w:rPr>
      </w:pPr>
    </w:p>
    <w:p w:rsidR="72EF490F" w:rsidP="72EF490F" w:rsidRDefault="72EF490F" w14:paraId="18976CF9" w14:textId="188997E3">
      <w:pPr>
        <w:spacing w:line="360" w:lineRule="auto"/>
        <w:jc w:val="center"/>
        <w:rPr>
          <w:rFonts w:ascii="Arial" w:hAnsi="Arial" w:eastAsia="Arial" w:cs="Arial"/>
          <w:sz w:val="28"/>
          <w:szCs w:val="28"/>
          <w:u w:val="single"/>
        </w:rPr>
      </w:pPr>
    </w:p>
    <w:p w:rsidR="72EF490F" w:rsidP="72EF490F" w:rsidRDefault="72EF490F" w14:paraId="3A276A31" w14:textId="1FC3A4B4">
      <w:pPr>
        <w:spacing w:line="360" w:lineRule="auto"/>
        <w:jc w:val="center"/>
        <w:rPr>
          <w:rFonts w:ascii="Arial" w:hAnsi="Arial" w:eastAsia="Arial" w:cs="Arial"/>
          <w:sz w:val="28"/>
          <w:szCs w:val="28"/>
          <w:u w:val="single"/>
        </w:rPr>
      </w:pPr>
    </w:p>
    <w:p w:rsidR="72EF490F" w:rsidP="72EF490F" w:rsidRDefault="72EF490F" w14:paraId="3AFD28ED" w14:textId="05ECF2F5">
      <w:pPr>
        <w:spacing w:line="360" w:lineRule="auto"/>
        <w:jc w:val="center"/>
        <w:rPr>
          <w:rFonts w:ascii="Arial" w:hAnsi="Arial" w:eastAsia="Arial" w:cs="Arial"/>
          <w:sz w:val="28"/>
          <w:szCs w:val="28"/>
          <w:u w:val="single"/>
        </w:rPr>
      </w:pPr>
    </w:p>
    <w:p w:rsidR="72EF490F" w:rsidP="72EF490F" w:rsidRDefault="72EF490F" w14:paraId="07529CFF" w14:textId="1B1748B6">
      <w:pPr>
        <w:spacing w:line="360" w:lineRule="auto"/>
        <w:jc w:val="center"/>
        <w:rPr>
          <w:rFonts w:ascii="Arial" w:hAnsi="Arial" w:eastAsia="Arial" w:cs="Arial"/>
          <w:sz w:val="28"/>
          <w:szCs w:val="28"/>
          <w:u w:val="single"/>
        </w:rPr>
      </w:pPr>
    </w:p>
    <w:p w:rsidR="72EF490F" w:rsidP="72EF490F" w:rsidRDefault="72EF490F" w14:paraId="70844918" w14:textId="0013FA67">
      <w:pPr>
        <w:spacing w:line="360" w:lineRule="auto"/>
        <w:jc w:val="center"/>
        <w:rPr>
          <w:rFonts w:ascii="Arial" w:hAnsi="Arial" w:eastAsia="Arial" w:cs="Arial"/>
          <w:sz w:val="28"/>
          <w:szCs w:val="28"/>
          <w:u w:val="single"/>
        </w:rPr>
      </w:pPr>
    </w:p>
    <w:p w:rsidR="72EF490F" w:rsidP="72EF490F" w:rsidRDefault="72EF490F" w14:paraId="2A4ECD5A" w14:textId="157F5301">
      <w:pPr>
        <w:spacing w:line="360" w:lineRule="auto"/>
        <w:jc w:val="center"/>
        <w:rPr>
          <w:rFonts w:ascii="Arial" w:hAnsi="Arial" w:eastAsia="Arial" w:cs="Arial"/>
          <w:sz w:val="28"/>
          <w:szCs w:val="28"/>
          <w:u w:val="single"/>
        </w:rPr>
      </w:pPr>
    </w:p>
    <w:p w:rsidR="72EF490F" w:rsidP="72EF490F" w:rsidRDefault="72EF490F" w14:paraId="05EABB31" w14:textId="6CB23195">
      <w:pPr>
        <w:spacing w:line="360" w:lineRule="auto"/>
        <w:rPr>
          <w:rFonts w:ascii="Arial" w:hAnsi="Arial" w:eastAsia="Arial" w:cs="Arial"/>
          <w:color w:val="FFFFFF" w:themeColor="background1"/>
          <w:sz w:val="22"/>
          <w:szCs w:val="22"/>
        </w:rPr>
      </w:pPr>
    </w:p>
    <w:p w:rsidRPr="0034591F" w:rsidR="00054A17" w:rsidP="1E3BD8B7" w:rsidRDefault="14003DF3" w14:paraId="5E5787A5" w14:textId="0A0C1188">
      <w:pPr>
        <w:spacing w:line="360" w:lineRule="auto"/>
        <w:rPr>
          <w:rFonts w:ascii="Arial" w:hAnsi="Arial" w:eastAsia="Arial" w:cs="Arial"/>
          <w:color w:val="FFFFFF" w:themeColor="background1"/>
          <w:sz w:val="22"/>
          <w:szCs w:val="22"/>
        </w:rPr>
      </w:pPr>
      <w:r w:rsidRPr="0034591F">
        <w:rPr>
          <w:rFonts w:ascii="Arial" w:hAnsi="Arial" w:eastAsia="Arial" w:cs="Arial"/>
          <w:color w:val="FFFFFF" w:themeColor="background1"/>
          <w:sz w:val="22"/>
          <w:szCs w:val="22"/>
        </w:rPr>
        <w:t>Annotated Bibliography</w:t>
      </w:r>
    </w:p>
    <w:p w:rsidR="72EF490F" w:rsidP="72EF490F" w:rsidRDefault="72EF490F" w14:paraId="4309156E" w14:textId="3FE739DD">
      <w:pPr>
        <w:rPr>
          <w:rFonts w:ascii="Arial" w:hAnsi="Arial" w:eastAsia="Arial" w:cs="Arial"/>
          <w:color w:val="FF0000"/>
          <w:sz w:val="22"/>
          <w:szCs w:val="22"/>
        </w:rPr>
      </w:pPr>
    </w:p>
    <w:p w:rsidRPr="0034591F" w:rsidR="17E15402" w:rsidP="72EF490F" w:rsidRDefault="7E3111B3" w14:paraId="10AFC6BD" w14:textId="0674CAAE">
      <w:pPr>
        <w:rPr>
          <w:rFonts w:ascii="Arial" w:hAnsi="Arial" w:eastAsia="Arial" w:cs="Arial"/>
          <w:sz w:val="22"/>
          <w:szCs w:val="22"/>
          <w:u w:val="single"/>
        </w:rPr>
      </w:pPr>
      <w:r w:rsidRPr="72EF490F">
        <w:rPr>
          <w:rFonts w:ascii="Arial" w:hAnsi="Arial" w:eastAsia="Arial" w:cs="Arial"/>
          <w:sz w:val="22"/>
          <w:szCs w:val="22"/>
          <w:u w:val="single"/>
        </w:rPr>
        <w:t xml:space="preserve">Part A: Annotated </w:t>
      </w:r>
      <w:r w:rsidRPr="72EF490F" w:rsidR="40DB36D0">
        <w:rPr>
          <w:rFonts w:ascii="Arial" w:hAnsi="Arial" w:eastAsia="Arial" w:cs="Arial"/>
          <w:sz w:val="22"/>
          <w:szCs w:val="22"/>
          <w:u w:val="single"/>
        </w:rPr>
        <w:t>Bibliography</w:t>
      </w:r>
    </w:p>
    <w:p w:rsidRPr="0034591F" w:rsidR="17E15402" w:rsidP="72EF490F" w:rsidRDefault="40DB36D0" w14:paraId="51DCE78A" w14:textId="663267C6">
      <w:pPr>
        <w:jc w:val="both"/>
        <w:rPr>
          <w:rFonts w:ascii="Arial" w:hAnsi="Arial" w:eastAsia="Arial" w:cs="Arial"/>
          <w:sz w:val="22"/>
          <w:szCs w:val="22"/>
          <w:u w:val="single"/>
        </w:rPr>
      </w:pPr>
      <w:r w:rsidRPr="72EF490F">
        <w:rPr>
          <w:rFonts w:ascii="Arial" w:hAnsi="Arial" w:eastAsia="Arial" w:cs="Arial"/>
          <w:sz w:val="22"/>
          <w:szCs w:val="22"/>
          <w:u w:val="single"/>
        </w:rPr>
        <w:t xml:space="preserve">Source 1: </w:t>
      </w:r>
    </w:p>
    <w:p w:rsidRPr="0034591F" w:rsidR="17E15402" w:rsidP="72EF490F" w:rsidRDefault="36C916B6" w14:paraId="78537D5A" w14:textId="02C79A18">
      <w:pPr>
        <w:spacing w:after="0" w:line="360" w:lineRule="auto"/>
        <w:jc w:val="both"/>
        <w:rPr>
          <w:color w:val="000000" w:themeColor="text1"/>
          <w:sz w:val="22"/>
          <w:szCs w:val="22"/>
        </w:rPr>
      </w:pPr>
      <w:r w:rsidRPr="72EF490F">
        <w:rPr>
          <w:color w:val="000000" w:themeColor="text1"/>
          <w:sz w:val="22"/>
          <w:szCs w:val="22"/>
        </w:rPr>
        <w:t>Bowlby, J. (1979)</w:t>
      </w:r>
      <w:r w:rsidRPr="72EF490F" w:rsidR="758341DC">
        <w:rPr>
          <w:color w:val="000000" w:themeColor="text1"/>
          <w:sz w:val="22"/>
          <w:szCs w:val="22"/>
        </w:rPr>
        <w:t xml:space="preserve"> ‘</w:t>
      </w:r>
      <w:r w:rsidRPr="72EF490F">
        <w:rPr>
          <w:color w:val="000000" w:themeColor="text1"/>
          <w:sz w:val="22"/>
          <w:szCs w:val="22"/>
        </w:rPr>
        <w:t>The Bowlby-Ainsworth attachment theory</w:t>
      </w:r>
      <w:r w:rsidRPr="72EF490F" w:rsidR="31B1DD26">
        <w:rPr>
          <w:color w:val="000000" w:themeColor="text1"/>
          <w:sz w:val="22"/>
          <w:szCs w:val="22"/>
        </w:rPr>
        <w:t>’,</w:t>
      </w:r>
      <w:r w:rsidRPr="72EF490F">
        <w:rPr>
          <w:color w:val="000000" w:themeColor="text1"/>
          <w:sz w:val="22"/>
          <w:szCs w:val="22"/>
        </w:rPr>
        <w:t xml:space="preserve"> </w:t>
      </w:r>
      <w:r w:rsidRPr="72EF490F">
        <w:rPr>
          <w:i/>
          <w:iCs/>
          <w:color w:val="000000" w:themeColor="text1"/>
          <w:sz w:val="22"/>
          <w:szCs w:val="22"/>
        </w:rPr>
        <w:t>Behavioral and Brain Sciences</w:t>
      </w:r>
      <w:r w:rsidRPr="72EF490F">
        <w:rPr>
          <w:color w:val="000000" w:themeColor="text1"/>
          <w:sz w:val="22"/>
          <w:szCs w:val="22"/>
        </w:rPr>
        <w:t>, [online] 2(4), pp.637–638. doi:https://doi.org/10.1017/S0140525X00064955.</w:t>
      </w:r>
    </w:p>
    <w:p w:rsidRPr="0034591F" w:rsidR="17E15402" w:rsidP="72EF490F" w:rsidRDefault="36C916B6" w14:paraId="02D4217E" w14:textId="17C6BB11">
      <w:pPr>
        <w:spacing w:before="240" w:after="240" w:line="360" w:lineRule="auto"/>
        <w:jc w:val="both"/>
        <w:rPr>
          <w:sz w:val="22"/>
          <w:szCs w:val="22"/>
        </w:rPr>
      </w:pPr>
      <w:r w:rsidRPr="72EF490F">
        <w:rPr>
          <w:color w:val="000000" w:themeColor="text1"/>
          <w:sz w:val="22"/>
          <w:szCs w:val="22"/>
        </w:rPr>
        <w:t>‌</w:t>
      </w:r>
      <w:r w:rsidRPr="72EF490F" w:rsidR="7560A29C">
        <w:rPr>
          <w:color w:val="000000" w:themeColor="text1"/>
          <w:sz w:val="22"/>
          <w:szCs w:val="22"/>
        </w:rPr>
        <w:t>T</w:t>
      </w:r>
      <w:r w:rsidRPr="72EF490F">
        <w:rPr>
          <w:color w:val="000000" w:themeColor="text1"/>
          <w:sz w:val="22"/>
          <w:szCs w:val="22"/>
        </w:rPr>
        <w:t>his article examines o</w:t>
      </w:r>
      <w:r w:rsidRPr="72EF490F" w:rsidR="16AAD087">
        <w:rPr>
          <w:sz w:val="22"/>
          <w:szCs w:val="22"/>
        </w:rPr>
        <w:t>verview attachment Theory</w:t>
      </w:r>
      <w:r w:rsidRPr="72EF490F" w:rsidR="0916B3EB">
        <w:rPr>
          <w:sz w:val="22"/>
          <w:szCs w:val="22"/>
        </w:rPr>
        <w:t xml:space="preserve">. </w:t>
      </w:r>
      <w:r w:rsidRPr="72EF490F" w:rsidR="4511ED20">
        <w:rPr>
          <w:sz w:val="22"/>
          <w:szCs w:val="22"/>
        </w:rPr>
        <w:t xml:space="preserve">It </w:t>
      </w:r>
      <w:r w:rsidRPr="72EF490F" w:rsidR="16AAD087">
        <w:rPr>
          <w:sz w:val="22"/>
          <w:szCs w:val="22"/>
        </w:rPr>
        <w:t>explains how people develop emotional bonds with others and how these bonds affect behaviour and emotional regulation. According to Bowlby, early relationships with caregivers influence how individuals understand trust, safety, and relationships throughout their lives. These early experiences form what Bowlby described as “internal working models,” which shape expectations of how others will respond to their needs.</w:t>
      </w:r>
      <w:r w:rsidRPr="72EF490F" w:rsidR="743EBD40">
        <w:rPr>
          <w:sz w:val="22"/>
          <w:szCs w:val="22"/>
        </w:rPr>
        <w:t xml:space="preserve"> </w:t>
      </w:r>
      <w:r w:rsidRPr="72EF490F" w:rsidR="3A3E59A7">
        <w:rPr>
          <w:sz w:val="22"/>
          <w:szCs w:val="22"/>
        </w:rPr>
        <w:t>When a person experiences consistent care and emotional support, they are more likely to develop a secure attachment. Individuals with secure attachment typically feel comfortable relying on others and can manage stress effectively. In contrast, inconsistent or neglectful caregiving may lead to insecure attachment patterns.</w:t>
      </w:r>
    </w:p>
    <w:p w:rsidRPr="0034591F" w:rsidR="17E15402" w:rsidP="72EF490F" w:rsidRDefault="3C8D3324" w14:paraId="63E791E0" w14:textId="076A69DD">
      <w:pPr>
        <w:spacing w:before="240" w:after="240" w:line="360" w:lineRule="auto"/>
        <w:jc w:val="both"/>
        <w:rPr>
          <w:sz w:val="22"/>
          <w:szCs w:val="22"/>
        </w:rPr>
      </w:pPr>
      <w:r w:rsidRPr="72EF490F">
        <w:rPr>
          <w:sz w:val="22"/>
          <w:szCs w:val="22"/>
        </w:rPr>
        <w:t xml:space="preserve">This information is valuable when supporting someone because it </w:t>
      </w:r>
      <w:r w:rsidRPr="72EF490F" w:rsidR="0631DBF7">
        <w:rPr>
          <w:sz w:val="22"/>
          <w:szCs w:val="22"/>
        </w:rPr>
        <w:t>shows the importance of kept conne</w:t>
      </w:r>
      <w:r w:rsidRPr="72EF490F" w:rsidR="05F9FFF6">
        <w:rPr>
          <w:sz w:val="22"/>
          <w:szCs w:val="22"/>
        </w:rPr>
        <w:t>cti</w:t>
      </w:r>
      <w:r w:rsidRPr="72EF490F" w:rsidR="0631DBF7">
        <w:rPr>
          <w:sz w:val="22"/>
          <w:szCs w:val="22"/>
        </w:rPr>
        <w:t xml:space="preserve">on </w:t>
      </w:r>
      <w:r w:rsidRPr="72EF490F" w:rsidR="60EB64BF">
        <w:rPr>
          <w:sz w:val="22"/>
          <w:szCs w:val="22"/>
        </w:rPr>
        <w:t xml:space="preserve">or build attachment. A key worker </w:t>
      </w:r>
      <w:r w:rsidRPr="72EF490F" w:rsidR="5236E6C2">
        <w:rPr>
          <w:sz w:val="22"/>
          <w:szCs w:val="22"/>
        </w:rPr>
        <w:t xml:space="preserve">for </w:t>
      </w:r>
      <w:r w:rsidRPr="72EF490F" w:rsidR="60EB64BF">
        <w:rPr>
          <w:sz w:val="22"/>
          <w:szCs w:val="22"/>
        </w:rPr>
        <w:t xml:space="preserve">example will be the one who speaks about </w:t>
      </w:r>
      <w:r w:rsidRPr="72EF490F" w:rsidR="5A379C40">
        <w:rPr>
          <w:sz w:val="22"/>
          <w:szCs w:val="22"/>
        </w:rPr>
        <w:t>client's</w:t>
      </w:r>
      <w:r w:rsidRPr="72EF490F" w:rsidR="60EB64BF">
        <w:rPr>
          <w:sz w:val="22"/>
          <w:szCs w:val="22"/>
        </w:rPr>
        <w:t xml:space="preserve"> </w:t>
      </w:r>
      <w:r w:rsidRPr="72EF490F" w:rsidR="77604AF1">
        <w:rPr>
          <w:sz w:val="22"/>
          <w:szCs w:val="22"/>
        </w:rPr>
        <w:t xml:space="preserve">photos, </w:t>
      </w:r>
      <w:r w:rsidRPr="72EF490F" w:rsidR="00EA0192">
        <w:rPr>
          <w:sz w:val="22"/>
          <w:szCs w:val="22"/>
        </w:rPr>
        <w:t>family,</w:t>
      </w:r>
      <w:r w:rsidRPr="72EF490F" w:rsidR="77604AF1">
        <w:rPr>
          <w:sz w:val="22"/>
          <w:szCs w:val="22"/>
        </w:rPr>
        <w:t xml:space="preserve"> </w:t>
      </w:r>
      <w:r w:rsidRPr="72EF490F" w:rsidR="6F4C512F">
        <w:rPr>
          <w:sz w:val="22"/>
          <w:szCs w:val="22"/>
        </w:rPr>
        <w:t>and memories. The consistency will be encouraging services users to engage into activities that b</w:t>
      </w:r>
      <w:r w:rsidRPr="72EF490F" w:rsidR="7330B05D">
        <w:rPr>
          <w:sz w:val="22"/>
          <w:szCs w:val="22"/>
        </w:rPr>
        <w:t xml:space="preserve">ring those memories and satisfaction together. </w:t>
      </w:r>
      <w:r w:rsidRPr="72EF490F" w:rsidR="00EA0192">
        <w:rPr>
          <w:sz w:val="22"/>
          <w:szCs w:val="22"/>
        </w:rPr>
        <w:t>More</w:t>
      </w:r>
      <w:r w:rsidRPr="72EF490F" w:rsidR="02E59209">
        <w:rPr>
          <w:sz w:val="22"/>
          <w:szCs w:val="22"/>
        </w:rPr>
        <w:t xml:space="preserve"> factors i</w:t>
      </w:r>
      <w:r w:rsidRPr="72EF490F" w:rsidR="7330B05D">
        <w:rPr>
          <w:sz w:val="22"/>
          <w:szCs w:val="22"/>
        </w:rPr>
        <w:t>n positive psychology</w:t>
      </w:r>
      <w:r w:rsidRPr="72EF490F" w:rsidR="4C8769E9">
        <w:rPr>
          <w:sz w:val="22"/>
          <w:szCs w:val="22"/>
        </w:rPr>
        <w:t xml:space="preserve"> are to bring satisfaction, hope and gratitude. All this boost </w:t>
      </w:r>
      <w:r w:rsidRPr="72EF490F" w:rsidR="607F1782">
        <w:rPr>
          <w:sz w:val="22"/>
          <w:szCs w:val="22"/>
        </w:rPr>
        <w:t>positive emotions and improve mental health.</w:t>
      </w:r>
    </w:p>
    <w:p w:rsidRPr="0034591F" w:rsidR="17E15402" w:rsidP="72EF490F" w:rsidRDefault="16AAD087" w14:paraId="7C521EF8" w14:textId="7CA1DE17">
      <w:pPr>
        <w:rPr>
          <w:rFonts w:ascii="Arial" w:hAnsi="Arial" w:eastAsia="Arial" w:cs="Arial"/>
          <w:sz w:val="22"/>
          <w:szCs w:val="22"/>
          <w:u w:val="single"/>
        </w:rPr>
      </w:pPr>
      <w:r w:rsidRPr="72EF490F">
        <w:rPr>
          <w:rFonts w:ascii="Arial" w:hAnsi="Arial" w:eastAsia="Arial" w:cs="Arial"/>
          <w:sz w:val="22"/>
          <w:szCs w:val="22"/>
          <w:u w:val="single"/>
        </w:rPr>
        <w:t>Source 2:</w:t>
      </w:r>
    </w:p>
    <w:p w:rsidRPr="0034591F" w:rsidR="17E15402" w:rsidP="72EF490F" w:rsidRDefault="5A931892" w14:paraId="20FB9318" w14:textId="5282471D">
      <w:pPr>
        <w:jc w:val="both"/>
        <w:rPr>
          <w:sz w:val="22"/>
          <w:szCs w:val="22"/>
        </w:rPr>
      </w:pPr>
      <w:r w:rsidRPr="72EF490F">
        <w:rPr>
          <w:sz w:val="22"/>
          <w:szCs w:val="22"/>
        </w:rPr>
        <w:t>Winnie (2024). Positive Psychology: How to Live the Good Life. Routledge eBooks, pp.515–535. doi:https://doi.org/10.4324/9781032622903-15.</w:t>
      </w:r>
    </w:p>
    <w:p w:rsidRPr="0034591F" w:rsidR="17E15402" w:rsidP="72EF490F" w:rsidRDefault="6AFBCB17" w14:paraId="6B26328F" w14:textId="30639328">
      <w:pPr>
        <w:jc w:val="both"/>
        <w:rPr>
          <w:rFonts w:ascii="Arial" w:hAnsi="Arial" w:eastAsia="Arial" w:cs="Arial"/>
          <w:sz w:val="22"/>
          <w:szCs w:val="22"/>
        </w:rPr>
      </w:pPr>
      <w:r w:rsidRPr="72EF490F">
        <w:rPr>
          <w:rFonts w:ascii="Arial" w:hAnsi="Arial" w:eastAsia="Arial" w:cs="Arial"/>
          <w:sz w:val="22"/>
          <w:szCs w:val="22"/>
        </w:rPr>
        <w:t>Th</w:t>
      </w:r>
      <w:r w:rsidRPr="72EF490F" w:rsidR="56860EFA">
        <w:rPr>
          <w:rFonts w:ascii="Arial" w:hAnsi="Arial" w:eastAsia="Arial" w:cs="Arial"/>
          <w:sz w:val="22"/>
          <w:szCs w:val="22"/>
        </w:rPr>
        <w:t>e information in this chapter examines</w:t>
      </w:r>
      <w:r w:rsidRPr="72EF490F">
        <w:rPr>
          <w:rFonts w:ascii="Arial" w:hAnsi="Arial" w:eastAsia="Arial" w:cs="Arial"/>
          <w:sz w:val="22"/>
          <w:szCs w:val="22"/>
        </w:rPr>
        <w:t xml:space="preserve"> the</w:t>
      </w:r>
      <w:r w:rsidRPr="72EF490F" w:rsidR="4CAE4E32">
        <w:rPr>
          <w:rFonts w:ascii="Arial" w:hAnsi="Arial" w:eastAsia="Arial" w:cs="Arial"/>
          <w:sz w:val="22"/>
          <w:szCs w:val="22"/>
        </w:rPr>
        <w:t xml:space="preserve"> </w:t>
      </w:r>
      <w:r w:rsidRPr="72EF490F" w:rsidR="10CAEB18">
        <w:rPr>
          <w:rFonts w:ascii="Arial" w:hAnsi="Arial" w:eastAsia="Arial" w:cs="Arial"/>
          <w:sz w:val="22"/>
          <w:szCs w:val="22"/>
        </w:rPr>
        <w:t xml:space="preserve">effects of </w:t>
      </w:r>
      <w:r w:rsidRPr="72EF490F" w:rsidR="4CAE4E32">
        <w:rPr>
          <w:rFonts w:ascii="Arial" w:hAnsi="Arial" w:eastAsia="Arial" w:cs="Arial"/>
          <w:sz w:val="22"/>
          <w:szCs w:val="22"/>
        </w:rPr>
        <w:t>Positive psychology</w:t>
      </w:r>
      <w:r w:rsidRPr="72EF490F" w:rsidR="1E89A9A3">
        <w:rPr>
          <w:rFonts w:ascii="Arial" w:hAnsi="Arial" w:eastAsia="Arial" w:cs="Arial"/>
          <w:sz w:val="22"/>
          <w:szCs w:val="22"/>
        </w:rPr>
        <w:t>. It</w:t>
      </w:r>
      <w:r w:rsidRPr="72EF490F" w:rsidR="4CAE4E32">
        <w:rPr>
          <w:rFonts w:ascii="Arial" w:hAnsi="Arial" w:eastAsia="Arial" w:cs="Arial"/>
          <w:sz w:val="22"/>
          <w:szCs w:val="22"/>
        </w:rPr>
        <w:t xml:space="preserve"> explores how individuals can enhance wellbeing by focusing on strengths, positive emotions, and meaningful engagement. This section highlights key concepts such as resilience, gratitude, and optimism, showing how they contribute to improved mental health and life satisfaction. It emphasizes practical strategies, including mindfulness and </w:t>
      </w:r>
      <w:r w:rsidRPr="72EF490F" w:rsidR="62CB1D5A">
        <w:rPr>
          <w:rFonts w:ascii="Arial" w:hAnsi="Arial" w:eastAsia="Arial" w:cs="Arial"/>
          <w:sz w:val="22"/>
          <w:szCs w:val="22"/>
        </w:rPr>
        <w:t>goal setting</w:t>
      </w:r>
      <w:r w:rsidRPr="72EF490F" w:rsidR="4CAE4E32">
        <w:rPr>
          <w:rFonts w:ascii="Arial" w:hAnsi="Arial" w:eastAsia="Arial" w:cs="Arial"/>
          <w:sz w:val="22"/>
          <w:szCs w:val="22"/>
        </w:rPr>
        <w:t>, to build long-term happiness. The role of social connections and supportive environments is also discussed as essential for flourishing. Overall, the pages underline that wellbeing is not just the absence of illness but the presence of positive functioning, encouraging individuals to actively cultivate habits that promote a fulfilling and balanced life.</w:t>
      </w:r>
    </w:p>
    <w:p w:rsidRPr="0034591F" w:rsidR="17E15402" w:rsidP="72EF490F" w:rsidRDefault="56879A71" w14:paraId="646D1A51" w14:textId="78AF80C8">
      <w:pPr>
        <w:jc w:val="both"/>
        <w:rPr>
          <w:sz w:val="22"/>
          <w:szCs w:val="22"/>
        </w:rPr>
      </w:pPr>
      <w:r w:rsidRPr="72EF490F">
        <w:rPr>
          <w:sz w:val="22"/>
          <w:szCs w:val="22"/>
        </w:rPr>
        <w:t xml:space="preserve"> The PERMA </w:t>
      </w:r>
      <w:r w:rsidRPr="72EF490F" w:rsidR="610805B0">
        <w:rPr>
          <w:sz w:val="22"/>
          <w:szCs w:val="22"/>
        </w:rPr>
        <w:t>Model</w:t>
      </w:r>
      <w:r w:rsidRPr="72EF490F" w:rsidR="75DE1421">
        <w:rPr>
          <w:sz w:val="22"/>
          <w:szCs w:val="22"/>
        </w:rPr>
        <w:t xml:space="preserve"> developed by Martin Seligman,</w:t>
      </w:r>
      <w:r w:rsidRPr="72EF490F" w:rsidR="2A8DA315">
        <w:rPr>
          <w:sz w:val="22"/>
          <w:szCs w:val="22"/>
        </w:rPr>
        <w:t xml:space="preserve"> </w:t>
      </w:r>
      <w:r w:rsidRPr="72EF490F" w:rsidR="75DE1421">
        <w:rPr>
          <w:sz w:val="22"/>
          <w:szCs w:val="22"/>
        </w:rPr>
        <w:t>provides a framework for wellbeing that is highly applicable to older adults. This</w:t>
      </w:r>
      <w:r w:rsidRPr="72EF490F" w:rsidR="610805B0">
        <w:rPr>
          <w:sz w:val="22"/>
          <w:szCs w:val="22"/>
        </w:rPr>
        <w:t xml:space="preserve"> is</w:t>
      </w:r>
      <w:r w:rsidRPr="72EF490F" w:rsidR="49ED890E">
        <w:rPr>
          <w:sz w:val="22"/>
          <w:szCs w:val="22"/>
        </w:rPr>
        <w:t xml:space="preserve"> useful when supporting older adults </w:t>
      </w:r>
      <w:r w:rsidRPr="72EF490F">
        <w:rPr>
          <w:sz w:val="22"/>
          <w:szCs w:val="22"/>
        </w:rPr>
        <w:t>in Residential Care</w:t>
      </w:r>
      <w:r w:rsidRPr="72EF490F" w:rsidR="39832A20">
        <w:rPr>
          <w:sz w:val="22"/>
          <w:szCs w:val="22"/>
        </w:rPr>
        <w:t xml:space="preserve"> because it shows how to encourage </w:t>
      </w:r>
      <w:r w:rsidRPr="72EF490F" w:rsidR="2CC9AEEF">
        <w:rPr>
          <w:sz w:val="22"/>
          <w:szCs w:val="22"/>
        </w:rPr>
        <w:t>services users</w:t>
      </w:r>
      <w:r w:rsidRPr="72EF490F" w:rsidR="39832A20">
        <w:rPr>
          <w:sz w:val="22"/>
          <w:szCs w:val="22"/>
        </w:rPr>
        <w:t xml:space="preserve"> to </w:t>
      </w:r>
      <w:r w:rsidRPr="72EF490F" w:rsidR="39D493A1">
        <w:rPr>
          <w:sz w:val="22"/>
          <w:szCs w:val="22"/>
        </w:rPr>
        <w:t>engage into</w:t>
      </w:r>
      <w:r w:rsidRPr="72EF490F" w:rsidR="39832A20">
        <w:rPr>
          <w:sz w:val="22"/>
          <w:szCs w:val="22"/>
        </w:rPr>
        <w:t xml:space="preserve"> activities</w:t>
      </w:r>
      <w:r w:rsidRPr="72EF490F" w:rsidR="2C589EE5">
        <w:rPr>
          <w:sz w:val="22"/>
          <w:szCs w:val="22"/>
        </w:rPr>
        <w:t xml:space="preserve"> that bring satisfaction, hope and gratitude. </w:t>
      </w:r>
      <w:r w:rsidRPr="72EF490F" w:rsidR="3C3AF4E2">
        <w:rPr>
          <w:sz w:val="22"/>
          <w:szCs w:val="22"/>
        </w:rPr>
        <w:t>This achievement allows</w:t>
      </w:r>
      <w:r w:rsidRPr="72EF490F" w:rsidR="3999CD08">
        <w:rPr>
          <w:sz w:val="22"/>
          <w:szCs w:val="22"/>
        </w:rPr>
        <w:t xml:space="preserve"> services users</w:t>
      </w:r>
      <w:r w:rsidRPr="72EF490F" w:rsidR="3C3AF4E2">
        <w:rPr>
          <w:sz w:val="22"/>
          <w:szCs w:val="22"/>
        </w:rPr>
        <w:t xml:space="preserve"> to feel good</w:t>
      </w:r>
      <w:r w:rsidRPr="72EF490F" w:rsidR="697CBDA2">
        <w:rPr>
          <w:sz w:val="22"/>
          <w:szCs w:val="22"/>
        </w:rPr>
        <w:t xml:space="preserve"> </w:t>
      </w:r>
      <w:r w:rsidRPr="72EF490F" w:rsidR="3C3AF4E2">
        <w:rPr>
          <w:sz w:val="22"/>
          <w:szCs w:val="22"/>
        </w:rPr>
        <w:t>and have positive emotions.</w:t>
      </w:r>
      <w:r w:rsidRPr="72EF490F" w:rsidR="7FFA891D">
        <w:rPr>
          <w:sz w:val="22"/>
          <w:szCs w:val="22"/>
        </w:rPr>
        <w:t xml:space="preserve"> In additional, more positive emotions you have, more you feel confident.</w:t>
      </w:r>
    </w:p>
    <w:tbl>
      <w:tblPr>
        <w:tblStyle w:val="TableGrid"/>
        <w:tblW w:w="0" w:type="auto"/>
        <w:tblLook w:val="06A0" w:firstRow="1" w:lastRow="0" w:firstColumn="1" w:lastColumn="0" w:noHBand="1" w:noVBand="1"/>
      </w:tblPr>
      <w:tblGrid>
        <w:gridCol w:w="3675"/>
        <w:gridCol w:w="5340"/>
      </w:tblGrid>
      <w:tr w:rsidR="72EF490F" w:rsidTr="72EF490F" w14:paraId="3323D623" w14:textId="77777777">
        <w:trPr>
          <w:trHeight w:val="300"/>
        </w:trPr>
        <w:tc>
          <w:tcPr>
            <w:tcW w:w="3675" w:type="dxa"/>
          </w:tcPr>
          <w:p w:rsidR="7A374208" w:rsidP="72EF490F" w:rsidRDefault="7A374208" w14:paraId="0A08003B" w14:textId="3DEA6E9C">
            <w:pPr>
              <w:rPr>
                <w:b/>
                <w:bCs/>
                <w:sz w:val="22"/>
                <w:szCs w:val="22"/>
              </w:rPr>
            </w:pPr>
            <w:r w:rsidRPr="72EF490F">
              <w:rPr>
                <w:b/>
                <w:bCs/>
                <w:sz w:val="22"/>
                <w:szCs w:val="22"/>
              </w:rPr>
              <w:t>Positive Emotion</w:t>
            </w:r>
          </w:p>
        </w:tc>
        <w:tc>
          <w:tcPr>
            <w:tcW w:w="5340" w:type="dxa"/>
          </w:tcPr>
          <w:p w:rsidR="7A374208" w:rsidP="72EF490F" w:rsidRDefault="7A374208" w14:paraId="159B3B3C" w14:textId="234D807A">
            <w:pPr>
              <w:rPr>
                <w:sz w:val="22"/>
                <w:szCs w:val="22"/>
              </w:rPr>
            </w:pPr>
            <w:r w:rsidRPr="72EF490F">
              <w:rPr>
                <w:sz w:val="22"/>
                <w:szCs w:val="22"/>
              </w:rPr>
              <w:t>Encouraging activities that spark joy, such as music therapy or animal-assisted interventions. Research shows these reduce cortisol and improve mood in dementia patients.</w:t>
            </w:r>
          </w:p>
        </w:tc>
      </w:tr>
      <w:tr w:rsidR="72EF490F" w:rsidTr="72EF490F" w14:paraId="3137474E" w14:textId="77777777">
        <w:trPr>
          <w:trHeight w:val="300"/>
        </w:trPr>
        <w:tc>
          <w:tcPr>
            <w:tcW w:w="3675" w:type="dxa"/>
          </w:tcPr>
          <w:p w:rsidR="7A374208" w:rsidP="72EF490F" w:rsidRDefault="7A374208" w14:paraId="13D04513" w14:textId="60467D6D">
            <w:pPr>
              <w:rPr>
                <w:sz w:val="22"/>
                <w:szCs w:val="22"/>
              </w:rPr>
            </w:pPr>
            <w:r w:rsidRPr="72EF490F">
              <w:rPr>
                <w:sz w:val="22"/>
                <w:szCs w:val="22"/>
              </w:rPr>
              <w:t>Engagement</w:t>
            </w:r>
          </w:p>
        </w:tc>
        <w:tc>
          <w:tcPr>
            <w:tcW w:w="5340" w:type="dxa"/>
          </w:tcPr>
          <w:p w:rsidR="525B779E" w:rsidP="72EF490F" w:rsidRDefault="525B779E" w14:paraId="0B8D754A" w14:textId="61AF3451">
            <w:pPr>
              <w:rPr>
                <w:sz w:val="22"/>
                <w:szCs w:val="22"/>
              </w:rPr>
            </w:pPr>
            <w:r w:rsidRPr="72EF490F">
              <w:rPr>
                <w:sz w:val="22"/>
                <w:szCs w:val="22"/>
              </w:rPr>
              <w:t>Finding "flow" through hobbies like gardening, painting, or knitting. Tailoring activities to a resident's past skills ensures they remain "lost" in a meaningful task.</w:t>
            </w:r>
          </w:p>
        </w:tc>
      </w:tr>
      <w:tr w:rsidR="72EF490F" w:rsidTr="72EF490F" w14:paraId="337C7638" w14:textId="77777777">
        <w:trPr>
          <w:trHeight w:val="300"/>
        </w:trPr>
        <w:tc>
          <w:tcPr>
            <w:tcW w:w="3675" w:type="dxa"/>
          </w:tcPr>
          <w:p w:rsidR="525B779E" w:rsidP="72EF490F" w:rsidRDefault="525B779E" w14:paraId="72D96019" w14:textId="250FA4D2">
            <w:pPr>
              <w:rPr>
                <w:b/>
                <w:bCs/>
                <w:sz w:val="22"/>
                <w:szCs w:val="22"/>
              </w:rPr>
            </w:pPr>
            <w:r w:rsidRPr="72EF490F">
              <w:rPr>
                <w:b/>
                <w:bCs/>
                <w:sz w:val="22"/>
                <w:szCs w:val="22"/>
              </w:rPr>
              <w:t>Relationships</w:t>
            </w:r>
          </w:p>
        </w:tc>
        <w:tc>
          <w:tcPr>
            <w:tcW w:w="5340" w:type="dxa"/>
          </w:tcPr>
          <w:p w:rsidR="525B779E" w:rsidP="72EF490F" w:rsidRDefault="525B779E" w14:paraId="66041855" w14:textId="6C6EAC85">
            <w:pPr>
              <w:jc w:val="both"/>
              <w:rPr>
                <w:sz w:val="22"/>
                <w:szCs w:val="22"/>
              </w:rPr>
            </w:pPr>
            <w:r w:rsidRPr="72EF490F">
              <w:rPr>
                <w:sz w:val="22"/>
                <w:szCs w:val="22"/>
              </w:rPr>
              <w:t>Facilitating high-quality social connections. Intergenerational programs (e.g., visits from local nurseries) significantly reduce feelings of loneliness.</w:t>
            </w:r>
          </w:p>
          <w:p w:rsidR="72EF490F" w:rsidP="72EF490F" w:rsidRDefault="72EF490F" w14:paraId="343F45B3" w14:textId="0A7D7299">
            <w:pPr>
              <w:rPr>
                <w:sz w:val="22"/>
                <w:szCs w:val="22"/>
              </w:rPr>
            </w:pPr>
          </w:p>
        </w:tc>
      </w:tr>
      <w:tr w:rsidR="72EF490F" w:rsidTr="72EF490F" w14:paraId="5E80BFB4" w14:textId="77777777">
        <w:trPr>
          <w:trHeight w:val="300"/>
        </w:trPr>
        <w:tc>
          <w:tcPr>
            <w:tcW w:w="3675" w:type="dxa"/>
          </w:tcPr>
          <w:p w:rsidR="525B779E" w:rsidP="72EF490F" w:rsidRDefault="525B779E" w14:paraId="70984F93" w14:textId="1DFFEFCC">
            <w:pPr>
              <w:rPr>
                <w:b/>
                <w:bCs/>
                <w:sz w:val="22"/>
                <w:szCs w:val="22"/>
              </w:rPr>
            </w:pPr>
            <w:r w:rsidRPr="72EF490F">
              <w:rPr>
                <w:b/>
                <w:bCs/>
                <w:sz w:val="22"/>
                <w:szCs w:val="22"/>
              </w:rPr>
              <w:t>Meaning</w:t>
            </w:r>
          </w:p>
        </w:tc>
        <w:tc>
          <w:tcPr>
            <w:tcW w:w="5340" w:type="dxa"/>
          </w:tcPr>
          <w:p w:rsidR="525B779E" w:rsidP="72EF490F" w:rsidRDefault="525B779E" w14:paraId="32FDCE61" w14:textId="7448C263">
            <w:pPr>
              <w:rPr>
                <w:sz w:val="22"/>
                <w:szCs w:val="22"/>
              </w:rPr>
            </w:pPr>
            <w:r w:rsidRPr="72EF490F">
              <w:rPr>
                <w:sz w:val="22"/>
                <w:szCs w:val="22"/>
              </w:rPr>
              <w:t>Helping residents feel their life still has a purpose. This can be achieved through "Legacy Projects" (storytelling or scrapbooking) that validate their life's journey.</w:t>
            </w:r>
          </w:p>
        </w:tc>
      </w:tr>
      <w:tr w:rsidR="72EF490F" w:rsidTr="72EF490F" w14:paraId="6C0E811B" w14:textId="77777777">
        <w:trPr>
          <w:trHeight w:val="300"/>
        </w:trPr>
        <w:tc>
          <w:tcPr>
            <w:tcW w:w="3675" w:type="dxa"/>
          </w:tcPr>
          <w:p w:rsidR="17EEFE99" w:rsidP="72EF490F" w:rsidRDefault="17EEFE99" w14:paraId="702E8C83" w14:textId="315416BB">
            <w:pPr>
              <w:rPr>
                <w:b/>
                <w:bCs/>
                <w:sz w:val="22"/>
                <w:szCs w:val="22"/>
              </w:rPr>
            </w:pPr>
            <w:r w:rsidRPr="72EF490F">
              <w:rPr>
                <w:b/>
                <w:bCs/>
                <w:sz w:val="22"/>
                <w:szCs w:val="22"/>
              </w:rPr>
              <w:t>Accomplishment</w:t>
            </w:r>
          </w:p>
        </w:tc>
        <w:tc>
          <w:tcPr>
            <w:tcW w:w="5340" w:type="dxa"/>
          </w:tcPr>
          <w:p w:rsidR="17EEFE99" w:rsidP="72EF490F" w:rsidRDefault="17EEFE99" w14:paraId="69EAC847" w14:textId="1C95C224">
            <w:pPr>
              <w:jc w:val="both"/>
            </w:pPr>
            <w:r w:rsidRPr="72EF490F">
              <w:rPr>
                <w:sz w:val="22"/>
                <w:szCs w:val="22"/>
              </w:rPr>
              <w:t>Setting small, achievable goals, such as mastering a new digital tool or finishing a craft project, to maintain a sense of agency.</w:t>
            </w:r>
          </w:p>
          <w:p w:rsidR="72EF490F" w:rsidP="72EF490F" w:rsidRDefault="72EF490F" w14:paraId="538FF51F" w14:textId="3F514F0A">
            <w:pPr>
              <w:rPr>
                <w:sz w:val="22"/>
                <w:szCs w:val="22"/>
              </w:rPr>
            </w:pPr>
          </w:p>
        </w:tc>
      </w:tr>
    </w:tbl>
    <w:p w:rsidRPr="0034591F" w:rsidR="17E15402" w:rsidP="72EF490F" w:rsidRDefault="17E15402" w14:paraId="3521D6A7" w14:textId="2478FA57">
      <w:pPr>
        <w:rPr>
          <w:rFonts w:ascii="Arial" w:hAnsi="Arial" w:eastAsia="Arial" w:cs="Arial"/>
          <w:sz w:val="22"/>
          <w:szCs w:val="22"/>
          <w:u w:val="single"/>
        </w:rPr>
      </w:pPr>
    </w:p>
    <w:p w:rsidRPr="0034591F" w:rsidR="17E15402" w:rsidP="72EF490F" w:rsidRDefault="19D8EB64" w14:paraId="598EDC3D" w14:textId="67BF3FC4">
      <w:pPr>
        <w:rPr>
          <w:rFonts w:ascii="Arial" w:hAnsi="Arial" w:eastAsia="Arial" w:cs="Arial"/>
          <w:sz w:val="22"/>
          <w:szCs w:val="22"/>
          <w:u w:val="single"/>
        </w:rPr>
      </w:pPr>
      <w:r w:rsidRPr="72EF490F">
        <w:rPr>
          <w:rFonts w:ascii="Arial" w:hAnsi="Arial" w:eastAsia="Arial" w:cs="Arial"/>
          <w:sz w:val="22"/>
          <w:szCs w:val="22"/>
          <w:u w:val="single"/>
        </w:rPr>
        <w:t>Source 3:</w:t>
      </w:r>
    </w:p>
    <w:p w:rsidRPr="0034591F" w:rsidR="17E15402" w:rsidP="72EF490F" w:rsidRDefault="40DB36D0" w14:paraId="2B784C7F" w14:textId="7817192E">
      <w:pPr>
        <w:jc w:val="both"/>
        <w:rPr>
          <w:rFonts w:ascii="Arial" w:hAnsi="Arial" w:eastAsia="Arial" w:cs="Arial"/>
          <w:sz w:val="22"/>
          <w:szCs w:val="22"/>
        </w:rPr>
      </w:pPr>
      <w:r w:rsidRPr="72EF490F">
        <w:rPr>
          <w:rFonts w:ascii="Arial" w:hAnsi="Arial" w:eastAsia="Arial" w:cs="Arial"/>
          <w:sz w:val="22"/>
          <w:szCs w:val="22"/>
        </w:rPr>
        <w:t>Levenson, M. and Crumpler, C.A. (1996). Three Models of Adult Development. Human Development, 39(3), pp.135–149. doi:https://doi.org/10.1159/000278429.</w:t>
      </w:r>
    </w:p>
    <w:p w:rsidRPr="0034591F" w:rsidR="17E15402" w:rsidP="72EF490F" w:rsidRDefault="37479152" w14:paraId="5906C726" w14:textId="5593CA59">
      <w:pPr>
        <w:jc w:val="both"/>
        <w:rPr>
          <w:rFonts w:ascii="Arial" w:hAnsi="Arial" w:eastAsia="Arial" w:cs="Arial"/>
          <w:sz w:val="22"/>
          <w:szCs w:val="22"/>
        </w:rPr>
      </w:pPr>
      <w:r w:rsidRPr="72EF490F">
        <w:rPr>
          <w:rFonts w:ascii="Arial" w:hAnsi="Arial" w:eastAsia="Arial" w:cs="Arial"/>
          <w:sz w:val="22"/>
          <w:szCs w:val="22"/>
        </w:rPr>
        <w:t xml:space="preserve">Author </w:t>
      </w:r>
      <w:r w:rsidRPr="72EF490F" w:rsidR="30B30F8D">
        <w:rPr>
          <w:rFonts w:ascii="Arial" w:hAnsi="Arial" w:eastAsia="Arial" w:cs="Arial"/>
          <w:sz w:val="22"/>
          <w:szCs w:val="22"/>
        </w:rPr>
        <w:t>proposed three key models to explain adult development, emphasizing that adulthood is a dynamic and structured process rather than a static stage.</w:t>
      </w:r>
      <w:r w:rsidRPr="72EF490F" w:rsidR="5A207E06">
        <w:rPr>
          <w:rFonts w:ascii="Arial" w:hAnsi="Arial" w:eastAsia="Arial" w:cs="Arial"/>
          <w:sz w:val="22"/>
          <w:szCs w:val="22"/>
        </w:rPr>
        <w:t xml:space="preserve"> </w:t>
      </w:r>
      <w:r w:rsidRPr="72EF490F" w:rsidR="30B30F8D">
        <w:rPr>
          <w:rFonts w:ascii="Arial" w:hAnsi="Arial" w:eastAsia="Arial" w:cs="Arial"/>
          <w:sz w:val="22"/>
          <w:szCs w:val="22"/>
        </w:rPr>
        <w:t xml:space="preserve">Overall, Levinson’s models highlight that adult development is continuous, structured, and influenced by both stability and change, providing a comprehensive framework for understanding personal growth across the lifespan. </w:t>
      </w:r>
      <w:r w:rsidRPr="72EF490F" w:rsidR="58522F23">
        <w:rPr>
          <w:rFonts w:ascii="Arial" w:hAnsi="Arial" w:eastAsia="Arial" w:cs="Arial"/>
          <w:sz w:val="22"/>
          <w:szCs w:val="22"/>
        </w:rPr>
        <w:t>However, it</w:t>
      </w:r>
      <w:r w:rsidRPr="72EF490F" w:rsidR="7CFECD35">
        <w:rPr>
          <w:rFonts w:ascii="Arial" w:hAnsi="Arial" w:eastAsia="Arial" w:cs="Arial"/>
          <w:sz w:val="22"/>
          <w:szCs w:val="22"/>
        </w:rPr>
        <w:t xml:space="preserve"> may not reflect the varied experiences of older adults in care homes. It overlooks individual differences, health conditions, and cultural factors, making it less flexible. Therefore, it has limited use in supporting personalised, person-centred care approaches.</w:t>
      </w:r>
    </w:p>
    <w:p w:rsidR="72EF490F" w:rsidP="72EF490F" w:rsidRDefault="72EF490F" w14:paraId="7E712AA1" w14:textId="26C23A5A">
      <w:pPr>
        <w:jc w:val="both"/>
        <w:rPr>
          <w:rFonts w:ascii="Arial" w:hAnsi="Arial" w:eastAsia="Arial" w:cs="Arial"/>
          <w:sz w:val="22"/>
          <w:szCs w:val="22"/>
        </w:rPr>
      </w:pPr>
      <w:r w:rsidRPr="54A4A25B" w:rsidR="7339B13A">
        <w:rPr>
          <w:rFonts w:ascii="Arial" w:hAnsi="Arial" w:eastAsia="Arial" w:cs="Arial"/>
          <w:sz w:val="22"/>
          <w:szCs w:val="22"/>
        </w:rPr>
        <w:t xml:space="preserve">This is </w:t>
      </w:r>
      <w:r w:rsidRPr="54A4A25B" w:rsidR="509BEB27">
        <w:rPr>
          <w:rFonts w:ascii="Arial" w:hAnsi="Arial" w:eastAsia="Arial" w:cs="Arial"/>
          <w:sz w:val="22"/>
          <w:szCs w:val="22"/>
        </w:rPr>
        <w:t xml:space="preserve">relevant </w:t>
      </w:r>
      <w:r w:rsidRPr="54A4A25B" w:rsidR="7339B13A">
        <w:rPr>
          <w:rFonts w:ascii="Arial" w:hAnsi="Arial" w:eastAsia="Arial" w:cs="Arial"/>
          <w:sz w:val="22"/>
          <w:szCs w:val="22"/>
        </w:rPr>
        <w:t xml:space="preserve">for health and social </w:t>
      </w:r>
      <w:r w:rsidRPr="54A4A25B" w:rsidR="1026719A">
        <w:rPr>
          <w:rFonts w:ascii="Arial" w:hAnsi="Arial" w:eastAsia="Arial" w:cs="Arial"/>
          <w:sz w:val="22"/>
          <w:szCs w:val="22"/>
        </w:rPr>
        <w:t>professionals because w</w:t>
      </w:r>
      <w:r w:rsidRPr="54A4A25B" w:rsidR="07A7B452">
        <w:rPr>
          <w:rFonts w:ascii="Arial" w:hAnsi="Arial" w:eastAsia="Arial" w:cs="Arial"/>
          <w:sz w:val="22"/>
          <w:szCs w:val="22"/>
        </w:rPr>
        <w:t xml:space="preserve">hen staff focus on </w:t>
      </w:r>
      <w:r w:rsidRPr="54A4A25B" w:rsidR="00EA0192">
        <w:rPr>
          <w:rFonts w:ascii="Arial" w:hAnsi="Arial" w:eastAsia="Arial" w:cs="Arial"/>
          <w:sz w:val="22"/>
          <w:szCs w:val="22"/>
        </w:rPr>
        <w:t>resident's</w:t>
      </w:r>
      <w:r w:rsidRPr="54A4A25B" w:rsidR="07A7B452">
        <w:rPr>
          <w:rFonts w:ascii="Arial" w:hAnsi="Arial" w:eastAsia="Arial" w:cs="Arial"/>
          <w:sz w:val="22"/>
          <w:szCs w:val="22"/>
        </w:rPr>
        <w:t xml:space="preserve"> strengths rather than just their care tasks, job satisfaction increases, and the "burden of care" feels lighte</w:t>
      </w:r>
      <w:r w:rsidRPr="54A4A25B" w:rsidR="028ABC27">
        <w:rPr>
          <w:rFonts w:ascii="Arial" w:hAnsi="Arial" w:eastAsia="Arial" w:cs="Arial"/>
          <w:sz w:val="22"/>
          <w:szCs w:val="22"/>
        </w:rPr>
        <w:t>r.</w:t>
      </w:r>
      <w:r w:rsidRPr="54A4A25B" w:rsidR="18296A1A">
        <w:rPr>
          <w:rFonts w:ascii="Arial" w:hAnsi="Arial" w:eastAsia="Arial" w:cs="Arial"/>
          <w:sz w:val="22"/>
          <w:szCs w:val="22"/>
        </w:rPr>
        <w:t xml:space="preserve"> A care worker could use reminiscenc</w:t>
      </w:r>
      <w:r w:rsidRPr="54A4A25B" w:rsidR="4F59EF42">
        <w:rPr>
          <w:rFonts w:ascii="Arial" w:hAnsi="Arial" w:eastAsia="Arial" w:cs="Arial"/>
          <w:sz w:val="22"/>
          <w:szCs w:val="22"/>
        </w:rPr>
        <w:t xml:space="preserve">e </w:t>
      </w:r>
      <w:r w:rsidRPr="54A4A25B" w:rsidR="43E584CE">
        <w:rPr>
          <w:rFonts w:ascii="Arial" w:hAnsi="Arial" w:eastAsia="Arial" w:cs="Arial"/>
          <w:sz w:val="22"/>
          <w:szCs w:val="22"/>
        </w:rPr>
        <w:t xml:space="preserve">therapy such as </w:t>
      </w:r>
      <w:r w:rsidRPr="54A4A25B" w:rsidR="4F59EF42">
        <w:rPr>
          <w:rFonts w:ascii="Arial" w:hAnsi="Arial" w:eastAsia="Arial" w:cs="Arial"/>
          <w:sz w:val="22"/>
          <w:szCs w:val="22"/>
        </w:rPr>
        <w:t>playing music from their young adulthood</w:t>
      </w:r>
      <w:r w:rsidRPr="54A4A25B" w:rsidR="7E133C02">
        <w:rPr>
          <w:rFonts w:ascii="Arial" w:hAnsi="Arial" w:eastAsia="Arial" w:cs="Arial"/>
          <w:sz w:val="22"/>
          <w:szCs w:val="22"/>
        </w:rPr>
        <w:t>, this helps reduce anxiety and improve mood.</w:t>
      </w:r>
      <w:r w:rsidRPr="54A4A25B" w:rsidR="60876E16">
        <w:rPr>
          <w:rFonts w:ascii="Arial" w:hAnsi="Arial" w:eastAsia="Arial" w:cs="Arial"/>
          <w:sz w:val="22"/>
          <w:szCs w:val="22"/>
        </w:rPr>
        <w:t xml:space="preserve"> A resident with a past of teaching may be encou</w:t>
      </w:r>
      <w:r w:rsidRPr="54A4A25B" w:rsidR="603240E0">
        <w:rPr>
          <w:rFonts w:ascii="Arial" w:hAnsi="Arial" w:eastAsia="Arial" w:cs="Arial"/>
          <w:sz w:val="22"/>
          <w:szCs w:val="22"/>
        </w:rPr>
        <w:t xml:space="preserve">raged to read or </w:t>
      </w:r>
      <w:r w:rsidRPr="54A4A25B" w:rsidR="008065D0">
        <w:rPr>
          <w:rFonts w:ascii="Arial" w:hAnsi="Arial" w:eastAsia="Arial" w:cs="Arial"/>
          <w:sz w:val="22"/>
          <w:szCs w:val="22"/>
        </w:rPr>
        <w:t>help</w:t>
      </w:r>
      <w:r w:rsidRPr="54A4A25B" w:rsidR="603240E0">
        <w:rPr>
          <w:rFonts w:ascii="Arial" w:hAnsi="Arial" w:eastAsia="Arial" w:cs="Arial"/>
          <w:sz w:val="22"/>
          <w:szCs w:val="22"/>
        </w:rPr>
        <w:t xml:space="preserve"> others, this reinforcing a sense of </w:t>
      </w:r>
      <w:r w:rsidRPr="54A4A25B" w:rsidR="5CD75050">
        <w:rPr>
          <w:rFonts w:ascii="Arial" w:hAnsi="Arial" w:eastAsia="Arial" w:cs="Arial"/>
          <w:sz w:val="22"/>
          <w:szCs w:val="22"/>
        </w:rPr>
        <w:t>purpose</w:t>
      </w:r>
      <w:r w:rsidRPr="54A4A25B" w:rsidR="603240E0">
        <w:rPr>
          <w:rFonts w:ascii="Arial" w:hAnsi="Arial" w:eastAsia="Arial" w:cs="Arial"/>
          <w:sz w:val="22"/>
          <w:szCs w:val="22"/>
        </w:rPr>
        <w:t>.</w:t>
      </w:r>
      <w:r w:rsidRPr="54A4A25B" w:rsidR="60876E16">
        <w:rPr>
          <w:rFonts w:ascii="Arial" w:hAnsi="Arial" w:eastAsia="Arial" w:cs="Arial"/>
          <w:sz w:val="22"/>
          <w:szCs w:val="22"/>
        </w:rPr>
        <w:t xml:space="preserve"> </w:t>
      </w:r>
      <w:r w:rsidRPr="54A4A25B" w:rsidR="3F0B5E4A">
        <w:rPr>
          <w:rFonts w:ascii="Arial" w:hAnsi="Arial" w:eastAsia="Arial" w:cs="Arial"/>
          <w:sz w:val="22"/>
          <w:szCs w:val="22"/>
        </w:rPr>
        <w:t xml:space="preserve">This person-centred approach helps preserve dignity, </w:t>
      </w:r>
      <w:r w:rsidRPr="54A4A25B" w:rsidR="008065D0">
        <w:rPr>
          <w:rFonts w:ascii="Arial" w:hAnsi="Arial" w:eastAsia="Arial" w:cs="Arial"/>
          <w:sz w:val="22"/>
          <w:szCs w:val="22"/>
        </w:rPr>
        <w:t>self-esteem,</w:t>
      </w:r>
      <w:r w:rsidRPr="54A4A25B" w:rsidR="3F0B5E4A">
        <w:rPr>
          <w:rFonts w:ascii="Arial" w:hAnsi="Arial" w:eastAsia="Arial" w:cs="Arial"/>
          <w:sz w:val="22"/>
          <w:szCs w:val="22"/>
        </w:rPr>
        <w:t xml:space="preserve"> and </w:t>
      </w:r>
      <w:r w:rsidRPr="54A4A25B" w:rsidR="29115DD8">
        <w:rPr>
          <w:rFonts w:ascii="Arial" w:hAnsi="Arial" w:eastAsia="Arial" w:cs="Arial"/>
          <w:sz w:val="22"/>
          <w:szCs w:val="22"/>
        </w:rPr>
        <w:t>wellbeing of services users.</w:t>
      </w:r>
    </w:p>
    <w:p w:rsidR="7291C055" w:rsidP="54A4A25B" w:rsidRDefault="7291C055" w14:paraId="237D0C73" w14:textId="15ADAC50">
      <w:pPr>
        <w:jc w:val="both"/>
        <w:rPr>
          <w:rFonts w:ascii="Arial" w:hAnsi="Arial" w:eastAsia="Arial" w:cs="Arial"/>
          <w:sz w:val="22"/>
          <w:szCs w:val="22"/>
          <w:u w:val="single"/>
        </w:rPr>
      </w:pPr>
      <w:r w:rsidRPr="54A4A25B" w:rsidR="7291C055">
        <w:rPr>
          <w:rFonts w:ascii="Arial" w:hAnsi="Arial" w:eastAsia="Arial" w:cs="Arial"/>
          <w:sz w:val="22"/>
          <w:szCs w:val="22"/>
          <w:u w:val="single"/>
        </w:rPr>
        <w:t xml:space="preserve">Source 4: </w:t>
      </w:r>
    </w:p>
    <w:p w:rsidR="7291C055" w:rsidP="54A4A25B" w:rsidRDefault="7291C055" w14:paraId="15AEEEF4" w14:textId="6B25667C">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4A4A25B" w:rsidR="7291C0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Sharma, K. (2016). Flourish: A Visionary New Understanding of Happiness and well-being by Martin E.P. Seligman - A Book Review. </w:t>
      </w:r>
      <w:r w:rsidRPr="54A4A25B" w:rsidR="7291C055">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NHRD Network Journal</w:t>
      </w:r>
      <w:r w:rsidRPr="54A4A25B" w:rsidR="7291C0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9(4), pp.106–109. </w:t>
      </w:r>
      <w:r w:rsidRPr="54A4A25B" w:rsidR="7291C0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doi:https</w:t>
      </w:r>
      <w:r w:rsidRPr="54A4A25B" w:rsidR="7291C0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://doi.org/10.1177/0974173920160420.</w:t>
      </w:r>
    </w:p>
    <w:p w:rsidR="54A4A25B" w:rsidP="54A4A25B" w:rsidRDefault="54A4A25B" w14:paraId="46A72597" w14:textId="0DD991D9">
      <w:pPr>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005CFF3" w:rsidP="54A4A25B" w:rsidRDefault="1005CFF3" w14:paraId="18719E09" w14:textId="0F768129">
      <w:pPr>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4A4A25B" w:rsidR="1005CF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book review </w:t>
      </w:r>
      <w:r w:rsidRPr="54A4A25B" w:rsidR="1005CF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demonstrated</w:t>
      </w:r>
      <w:r w:rsidRPr="54A4A25B" w:rsidR="1005CF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w:t>
      </w:r>
      <w:r w:rsidRPr="54A4A25B" w:rsidR="67D03D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Positive</w:t>
      </w:r>
      <w:r w:rsidRPr="54A4A25B" w:rsidR="1005CF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Psychology offers a transfo</w:t>
      </w:r>
      <w:r w:rsidRPr="54A4A25B" w:rsidR="26AAAD9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rmative lens for social care. T</w:t>
      </w:r>
      <w:r w:rsidRPr="54A4A25B" w:rsidR="1005CF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his approach aligns with theories of happiness and well-being in that if entrepreneurs emphasise human impact, their ventures can help build a more meaningful and emotionally enriching consumer experience with the product or service (Sharma, 2016).</w:t>
      </w:r>
      <w:r w:rsidRPr="54A4A25B" w:rsidR="1A6D80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a care home, where Magaret, who recently moved into that care home, became w</w:t>
      </w:r>
      <w:r w:rsidRPr="54A4A25B" w:rsidR="3E988F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ithdrawn, refusing to </w:t>
      </w:r>
      <w:r w:rsidRPr="54A4A25B" w:rsidR="3E988F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participate</w:t>
      </w:r>
      <w:r w:rsidRPr="54A4A25B" w:rsidR="3E988F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group bingo sessions. Using Positive Psychology, sta</w:t>
      </w:r>
      <w:r w:rsidRPr="54A4A25B" w:rsidR="02EB1B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ff moved away from forcing participation and instead conducted a</w:t>
      </w:r>
      <w:r w:rsidRPr="54A4A25B" w:rsidR="398DB9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strengths </w:t>
      </w:r>
      <w:r w:rsidRPr="54A4A25B" w:rsidR="02EB1B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assessment</w:t>
      </w:r>
      <w:r w:rsidRPr="54A4A25B" w:rsidR="089BD7A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discovered Magaret had been a primary school teacher with a passion for </w:t>
      </w:r>
      <w:r w:rsidRPr="54A4A25B" w:rsidR="1367BC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literature</w:t>
      </w:r>
      <w:r w:rsidRPr="54A4A25B" w:rsidR="089BD7A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4A4A25B" w:rsidR="017E4A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Staff applied</w:t>
      </w:r>
      <w:r w:rsidRPr="54A4A25B" w:rsidR="089BD7A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4A4A25B" w:rsidR="3CF29F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meaning and engagement pillars by asking her to help curate a small library cor</w:t>
      </w:r>
      <w:r w:rsidRPr="54A4A25B" w:rsidR="213280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ner for the home and read to other residents with visual impairments. Her mood </w:t>
      </w:r>
      <w:r w:rsidRPr="54A4A25B" w:rsidR="4CBD20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improved, her social interaction </w:t>
      </w:r>
      <w:r w:rsidRPr="54A4A25B" w:rsidR="213280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increase</w:t>
      </w:r>
      <w:r w:rsidRPr="54A4A25B" w:rsidR="4A9475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 she feels valued and recognised.</w:t>
      </w:r>
    </w:p>
    <w:p w:rsidR="02A5127B" w:rsidP="54A4A25B" w:rsidRDefault="02A5127B" w14:paraId="528CA185" w14:textId="7871D3B5">
      <w:pPr>
        <w:pStyle w:val="Normal"/>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4A4A25B" w:rsidR="02A512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is relevant when supporting older adults in health and social care settings because</w:t>
      </w:r>
      <w:r w:rsidRPr="54A4A25B" w:rsidR="47EECA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‘E</w:t>
      </w:r>
      <w:r w:rsidRPr="54A4A25B" w:rsidR="1A917C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motions that comes from being needed and respected, rather </w:t>
      </w:r>
      <w:r w:rsidRPr="54A4A25B" w:rsidR="72412D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than</w:t>
      </w:r>
      <w:r w:rsidRPr="54A4A25B" w:rsidR="1A917C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just being a recipient of care</w:t>
      </w:r>
      <w:r w:rsidRPr="54A4A25B" w:rsidR="36DF90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4A4A25B" w:rsidR="36DF90EF">
        <w:rPr>
          <w:rFonts w:ascii="Roboto" w:hAnsi="Roboto" w:eastAsia="Roboto" w:cs="Roboto"/>
          <w:b w:val="0"/>
          <w:bCs w:val="0"/>
          <w:i w:val="0"/>
          <w:iCs w:val="0"/>
          <w:caps w:val="0"/>
          <w:smallCaps w:val="0"/>
          <w:noProof w:val="0"/>
          <w:color w:val="2C3E50"/>
          <w:sz w:val="22"/>
          <w:szCs w:val="22"/>
          <w:lang w:val="en-GB"/>
        </w:rPr>
        <w:t xml:space="preserve"> (</w:t>
      </w:r>
      <w:r w:rsidRPr="54A4A25B" w:rsidR="36DF90EF">
        <w:rPr>
          <w:rFonts w:ascii="Roboto" w:hAnsi="Roboto" w:eastAsia="Roboto" w:cs="Roboto"/>
          <w:b w:val="0"/>
          <w:bCs w:val="0"/>
          <w:i w:val="0"/>
          <w:iCs w:val="0"/>
          <w:caps w:val="0"/>
          <w:smallCaps w:val="0"/>
          <w:noProof w:val="0"/>
          <w:color w:val="2C3E50"/>
          <w:sz w:val="22"/>
          <w:szCs w:val="22"/>
          <w:lang w:val="en-GB"/>
        </w:rPr>
        <w:t>Weilenmann</w:t>
      </w:r>
      <w:r w:rsidRPr="54A4A25B" w:rsidR="36DF90EF">
        <w:rPr>
          <w:rFonts w:ascii="Roboto" w:hAnsi="Roboto" w:eastAsia="Roboto" w:cs="Roboto"/>
          <w:b w:val="0"/>
          <w:bCs w:val="0"/>
          <w:i w:val="0"/>
          <w:iCs w:val="0"/>
          <w:caps w:val="0"/>
          <w:smallCaps w:val="0"/>
          <w:noProof w:val="0"/>
          <w:color w:val="2C3E50"/>
          <w:sz w:val="22"/>
          <w:szCs w:val="22"/>
          <w:lang w:val="en-GB"/>
        </w:rPr>
        <w:t xml:space="preserve"> et al., 2021).</w:t>
      </w:r>
    </w:p>
    <w:p w:rsidR="54A4A25B" w:rsidP="54A4A25B" w:rsidRDefault="54A4A25B" w14:paraId="17157164" w14:textId="5935D554">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4A4A25B" w:rsidP="54A4A25B" w:rsidRDefault="54A4A25B" w14:paraId="0E0386E6" w14:textId="5B9550F5">
      <w:pPr>
        <w:jc w:val="both"/>
        <w:rPr>
          <w:rFonts w:ascii="Arial" w:hAnsi="Arial" w:eastAsia="Arial" w:cs="Arial"/>
          <w:sz w:val="22"/>
          <w:szCs w:val="22"/>
        </w:rPr>
      </w:pPr>
    </w:p>
    <w:p w:rsidRPr="0034591F" w:rsidR="4F2BFC41" w:rsidP="72EF490F" w:rsidRDefault="78CB8459" w14:paraId="6013172D" w14:textId="73A231E5">
      <w:pPr>
        <w:rPr>
          <w:rFonts w:ascii="Arial" w:hAnsi="Arial" w:eastAsia="Arial" w:cs="Arial"/>
          <w:sz w:val="22"/>
          <w:szCs w:val="22"/>
          <w:u w:val="single"/>
        </w:rPr>
      </w:pPr>
      <w:r w:rsidRPr="54A4A25B" w:rsidR="311531B5">
        <w:rPr>
          <w:rFonts w:ascii="Arial" w:hAnsi="Arial" w:eastAsia="Arial" w:cs="Arial"/>
          <w:color w:val="FFFFFF" w:themeColor="background1" w:themeTint="FF" w:themeShade="FF"/>
          <w:sz w:val="22"/>
          <w:szCs w:val="22"/>
        </w:rPr>
        <w:t xml:space="preserve">John Bowlby’s attachment theory, while foundational, faces significant criticism for being </w:t>
      </w:r>
      <w:r w:rsidRPr="54A4A25B" w:rsidR="78CB8459">
        <w:rPr>
          <w:rFonts w:ascii="Arial" w:hAnsi="Arial" w:eastAsia="Arial" w:cs="Arial"/>
          <w:sz w:val="22"/>
          <w:szCs w:val="22"/>
          <w:u w:val="single"/>
        </w:rPr>
        <w:t>Part B: Report</w:t>
      </w:r>
    </w:p>
    <w:p w:rsidRPr="0034591F" w:rsidR="1E3BD8B7" w:rsidP="72EF490F" w:rsidRDefault="78CB8459" w14:paraId="27ABF7F7" w14:textId="7FAE9D4D">
      <w:pPr>
        <w:jc w:val="both"/>
        <w:rPr>
          <w:sz w:val="22"/>
          <w:szCs w:val="22"/>
        </w:rPr>
      </w:pPr>
      <w:r w:rsidRPr="72EF490F">
        <w:rPr>
          <w:sz w:val="22"/>
          <w:szCs w:val="22"/>
        </w:rPr>
        <w:t>This report explores the key ideas of attachment theory and discusses how carers can apply them in everyday practice within an adult care home.</w:t>
      </w:r>
      <w:r w:rsidRPr="72EF490F" w:rsidR="3C35AF6D">
        <w:rPr>
          <w:sz w:val="22"/>
          <w:szCs w:val="22"/>
        </w:rPr>
        <w:t xml:space="preserve"> </w:t>
      </w:r>
    </w:p>
    <w:p w:rsidRPr="0034591F" w:rsidR="4F2BFC41" w:rsidP="72EF490F" w:rsidRDefault="4F2BFC41" w14:paraId="34FC112B" w14:textId="4DC2A755">
      <w:pPr>
        <w:jc w:val="both"/>
        <w:rPr>
          <w:sz w:val="22"/>
          <w:szCs w:val="22"/>
        </w:rPr>
      </w:pPr>
      <w:r w:rsidRPr="72EF490F">
        <w:rPr>
          <w:sz w:val="22"/>
          <w:szCs w:val="22"/>
        </w:rPr>
        <w:t>Attachment Theory, first developed by John Bowlby, provides an important framework for understanding how relationships influence emotional wellbeing. Bowlby proposed that humans have an innate need to form close emotional bonds with others to feel safe, secure, and supported. Although the theory originally focused on relationships between infants and caregivers, it has since been applied to many other settings, including healthcare and social care environments.</w:t>
      </w:r>
    </w:p>
    <w:p w:rsidRPr="0034591F" w:rsidR="4F2BFC41" w:rsidP="72EF490F" w:rsidRDefault="4F2BFC41" w14:paraId="0D3D0962" w14:textId="2B7D814B">
      <w:pPr>
        <w:jc w:val="both"/>
        <w:rPr>
          <w:sz w:val="22"/>
          <w:szCs w:val="22"/>
        </w:rPr>
      </w:pPr>
      <w:r w:rsidRPr="72EF490F">
        <w:rPr>
          <w:sz w:val="22"/>
          <w:szCs w:val="22"/>
        </w:rPr>
        <w:t>In adult care homes, residents may experience major life changes such as loss of independence, declining health, separation from family members, and unfamiliar surroundings. These changes can create anxiety, insecurity, and emotional distress. Understanding attachment theory can help carers recognise how residents respond to these challenges and support them in ways that promote trust, emotional stability, and wellbeing</w:t>
      </w:r>
      <w:r w:rsidRPr="72EF490F" w:rsidR="7EAB7D34">
        <w:rPr>
          <w:sz w:val="22"/>
          <w:szCs w:val="22"/>
        </w:rPr>
        <w:t xml:space="preserve"> and prevent loneliness (World Health Organisation, 2025).</w:t>
      </w:r>
    </w:p>
    <w:p w:rsidRPr="0034591F" w:rsidR="1E3BD8B7" w:rsidP="72EF490F" w:rsidRDefault="1E3BD8B7" w14:paraId="347D05E2" w14:textId="21465F97">
      <w:pPr>
        <w:rPr>
          <w:sz w:val="22"/>
          <w:szCs w:val="22"/>
        </w:rPr>
      </w:pPr>
    </w:p>
    <w:p w:rsidRPr="0034591F" w:rsidR="1E3BD8B7" w:rsidP="72EF490F" w:rsidRDefault="4F2BFC41" w14:paraId="10544EA2" w14:textId="33C3DBCF">
      <w:pPr>
        <w:rPr>
          <w:sz w:val="22"/>
          <w:szCs w:val="22"/>
        </w:rPr>
      </w:pPr>
      <w:r w:rsidRPr="72EF490F">
        <w:rPr>
          <w:sz w:val="22"/>
          <w:szCs w:val="22"/>
        </w:rPr>
        <w:t>Psychologists often describe four main attachment styles:</w:t>
      </w:r>
      <w:r w:rsidRPr="72EF490F" w:rsidR="4ABCC9F8">
        <w:rPr>
          <w:sz w:val="22"/>
          <w:szCs w:val="22"/>
        </w:rPr>
        <w:t xml:space="preserve"> </w:t>
      </w:r>
    </w:p>
    <w:tbl>
      <w:tblPr>
        <w:tblStyle w:val="TableGrid"/>
        <w:tblW w:w="0" w:type="auto"/>
        <w:tblLook w:val="06A0" w:firstRow="1" w:lastRow="0" w:firstColumn="1" w:lastColumn="0" w:noHBand="1" w:noVBand="1"/>
      </w:tblPr>
      <w:tblGrid>
        <w:gridCol w:w="3675"/>
        <w:gridCol w:w="5340"/>
      </w:tblGrid>
      <w:tr w:rsidR="72EF490F" w:rsidTr="72EF490F" w14:paraId="4A66158D" w14:textId="77777777">
        <w:trPr>
          <w:trHeight w:val="300"/>
        </w:trPr>
        <w:tc>
          <w:tcPr>
            <w:tcW w:w="3675" w:type="dxa"/>
          </w:tcPr>
          <w:p w:rsidR="1A146A3F" w:rsidP="72EF490F" w:rsidRDefault="1A146A3F" w14:paraId="057D543D" w14:textId="4D9E6C9F">
            <w:pPr>
              <w:rPr>
                <w:b/>
                <w:bCs/>
                <w:sz w:val="22"/>
                <w:szCs w:val="22"/>
              </w:rPr>
            </w:pPr>
            <w:r w:rsidRPr="72EF490F">
              <w:rPr>
                <w:b/>
                <w:bCs/>
                <w:sz w:val="22"/>
                <w:szCs w:val="22"/>
              </w:rPr>
              <w:t>Secure attachment</w:t>
            </w:r>
          </w:p>
        </w:tc>
        <w:tc>
          <w:tcPr>
            <w:tcW w:w="5340" w:type="dxa"/>
          </w:tcPr>
          <w:p w:rsidR="1A146A3F" w:rsidP="72EF490F" w:rsidRDefault="1A146A3F" w14:paraId="50069147" w14:textId="473FC628">
            <w:pPr>
              <w:rPr>
                <w:sz w:val="22"/>
                <w:szCs w:val="22"/>
              </w:rPr>
            </w:pPr>
            <w:r w:rsidRPr="72EF490F">
              <w:rPr>
                <w:sz w:val="22"/>
                <w:szCs w:val="22"/>
              </w:rPr>
              <w:t>Individuals feel comfortable seeking support from others and trusting caregivers.</w:t>
            </w:r>
          </w:p>
          <w:p w:rsidR="72EF490F" w:rsidP="72EF490F" w:rsidRDefault="72EF490F" w14:paraId="163CB2EE" w14:textId="0BD18614">
            <w:pPr>
              <w:rPr>
                <w:sz w:val="22"/>
                <w:szCs w:val="22"/>
              </w:rPr>
            </w:pPr>
          </w:p>
        </w:tc>
      </w:tr>
      <w:tr w:rsidR="72EF490F" w:rsidTr="72EF490F" w14:paraId="71BA2054" w14:textId="77777777">
        <w:trPr>
          <w:trHeight w:val="300"/>
        </w:trPr>
        <w:tc>
          <w:tcPr>
            <w:tcW w:w="3675" w:type="dxa"/>
          </w:tcPr>
          <w:p w:rsidR="1A146A3F" w:rsidP="72EF490F" w:rsidRDefault="1A146A3F" w14:paraId="16834DE5" w14:textId="58B206C6">
            <w:pPr>
              <w:rPr>
                <w:b/>
                <w:bCs/>
                <w:sz w:val="22"/>
                <w:szCs w:val="22"/>
              </w:rPr>
            </w:pPr>
            <w:r w:rsidRPr="72EF490F">
              <w:rPr>
                <w:b/>
                <w:bCs/>
                <w:sz w:val="22"/>
                <w:szCs w:val="22"/>
              </w:rPr>
              <w:t>Insecure Anxious attachment</w:t>
            </w:r>
          </w:p>
        </w:tc>
        <w:tc>
          <w:tcPr>
            <w:tcW w:w="5340" w:type="dxa"/>
          </w:tcPr>
          <w:p w:rsidR="1A146A3F" w:rsidP="72EF490F" w:rsidRDefault="1A146A3F" w14:paraId="1D9C3C79" w14:textId="1F66885F">
            <w:pPr>
              <w:rPr>
                <w:sz w:val="22"/>
                <w:szCs w:val="22"/>
              </w:rPr>
            </w:pPr>
            <w:r w:rsidRPr="72EF490F">
              <w:rPr>
                <w:sz w:val="22"/>
                <w:szCs w:val="22"/>
              </w:rPr>
              <w:t>Individuals may worry about being abandoned and may seek reassurance frequently.</w:t>
            </w:r>
          </w:p>
          <w:p w:rsidR="72EF490F" w:rsidP="72EF490F" w:rsidRDefault="72EF490F" w14:paraId="4FC5FCFD" w14:textId="7A81412B">
            <w:pPr>
              <w:rPr>
                <w:sz w:val="22"/>
                <w:szCs w:val="22"/>
              </w:rPr>
            </w:pPr>
          </w:p>
        </w:tc>
      </w:tr>
      <w:tr w:rsidR="72EF490F" w:rsidTr="72EF490F" w14:paraId="03EDAB83" w14:textId="77777777">
        <w:trPr>
          <w:trHeight w:val="300"/>
        </w:trPr>
        <w:tc>
          <w:tcPr>
            <w:tcW w:w="3675" w:type="dxa"/>
          </w:tcPr>
          <w:p w:rsidR="1A146A3F" w:rsidP="72EF490F" w:rsidRDefault="1A146A3F" w14:paraId="0A8C0798" w14:textId="6B8BA15A">
            <w:pPr>
              <w:rPr>
                <w:b/>
                <w:bCs/>
                <w:sz w:val="22"/>
                <w:szCs w:val="22"/>
              </w:rPr>
            </w:pPr>
            <w:r w:rsidRPr="72EF490F">
              <w:rPr>
                <w:b/>
                <w:bCs/>
                <w:sz w:val="22"/>
                <w:szCs w:val="22"/>
              </w:rPr>
              <w:t>Insecure Avoidant attachment</w:t>
            </w:r>
          </w:p>
        </w:tc>
        <w:tc>
          <w:tcPr>
            <w:tcW w:w="5340" w:type="dxa"/>
          </w:tcPr>
          <w:p w:rsidR="1A146A3F" w:rsidP="72EF490F" w:rsidRDefault="1A146A3F" w14:paraId="1A2A8700" w14:textId="4FFEE757">
            <w:pPr>
              <w:rPr>
                <w:sz w:val="22"/>
                <w:szCs w:val="22"/>
              </w:rPr>
            </w:pPr>
            <w:r w:rsidRPr="72EF490F">
              <w:rPr>
                <w:sz w:val="22"/>
                <w:szCs w:val="22"/>
              </w:rPr>
              <w:t>Individuals may appear emotionally distant and may avoid relying on others.</w:t>
            </w:r>
          </w:p>
          <w:p w:rsidR="72EF490F" w:rsidP="72EF490F" w:rsidRDefault="72EF490F" w14:paraId="7CBA11DE" w14:textId="57678FF8">
            <w:pPr>
              <w:rPr>
                <w:sz w:val="22"/>
                <w:szCs w:val="22"/>
              </w:rPr>
            </w:pPr>
          </w:p>
        </w:tc>
      </w:tr>
      <w:tr w:rsidR="72EF490F" w:rsidTr="72EF490F" w14:paraId="6476EFF5" w14:textId="77777777">
        <w:trPr>
          <w:trHeight w:val="300"/>
        </w:trPr>
        <w:tc>
          <w:tcPr>
            <w:tcW w:w="3675" w:type="dxa"/>
          </w:tcPr>
          <w:p w:rsidR="1A146A3F" w:rsidP="72EF490F" w:rsidRDefault="1A146A3F" w14:paraId="12F911E3" w14:textId="0ABC5987">
            <w:pPr>
              <w:rPr>
                <w:b/>
                <w:bCs/>
                <w:sz w:val="22"/>
                <w:szCs w:val="22"/>
              </w:rPr>
            </w:pPr>
            <w:r w:rsidRPr="72EF490F">
              <w:rPr>
                <w:b/>
                <w:bCs/>
                <w:sz w:val="22"/>
                <w:szCs w:val="22"/>
              </w:rPr>
              <w:t>Disorganised attachment</w:t>
            </w:r>
          </w:p>
        </w:tc>
        <w:tc>
          <w:tcPr>
            <w:tcW w:w="5340" w:type="dxa"/>
          </w:tcPr>
          <w:p w:rsidR="1A146A3F" w:rsidP="72EF490F" w:rsidRDefault="1A146A3F" w14:paraId="7076B390" w14:textId="73AE634B">
            <w:pPr>
              <w:rPr>
                <w:sz w:val="22"/>
                <w:szCs w:val="22"/>
              </w:rPr>
            </w:pPr>
            <w:r w:rsidRPr="72EF490F">
              <w:rPr>
                <w:sz w:val="22"/>
                <w:szCs w:val="22"/>
              </w:rPr>
              <w:t>Individuals may show inconsistent or confused behaviour, often due to traumatic experiences.</w:t>
            </w:r>
          </w:p>
          <w:p w:rsidR="72EF490F" w:rsidP="72EF490F" w:rsidRDefault="72EF490F" w14:paraId="2BDEFFE9" w14:textId="02B4818E">
            <w:pPr>
              <w:rPr>
                <w:sz w:val="22"/>
                <w:szCs w:val="22"/>
              </w:rPr>
            </w:pPr>
          </w:p>
        </w:tc>
      </w:tr>
    </w:tbl>
    <w:p w:rsidRPr="0034591F" w:rsidR="1E3BD8B7" w:rsidP="72EF490F" w:rsidRDefault="1E3BD8B7" w14:paraId="2611BDAE" w14:textId="11E4CB07">
      <w:pPr>
        <w:rPr>
          <w:sz w:val="22"/>
          <w:szCs w:val="22"/>
        </w:rPr>
      </w:pPr>
    </w:p>
    <w:p w:rsidRPr="0034591F" w:rsidR="4F2BFC41" w:rsidP="72EF490F" w:rsidRDefault="4F2BFC41" w14:paraId="08E7CB7E" w14:textId="5D1D6AE3">
      <w:pPr>
        <w:rPr>
          <w:rFonts w:ascii="Arial" w:hAnsi="Arial" w:eastAsia="Arial" w:cs="Arial"/>
          <w:color w:val="FFFFFF" w:themeColor="background1"/>
          <w:sz w:val="22"/>
          <w:szCs w:val="22"/>
        </w:rPr>
      </w:pPr>
      <w:r w:rsidRPr="72EF490F">
        <w:rPr>
          <w:sz w:val="22"/>
          <w:szCs w:val="22"/>
          <w:u w:val="single"/>
        </w:rPr>
        <w:t>Relevance of Attachment Theory in Adult Care Homes</w:t>
      </w:r>
    </w:p>
    <w:p w:rsidRPr="0034591F" w:rsidR="4F2BFC41" w:rsidP="72EF490F" w:rsidRDefault="4F2BFC41" w14:paraId="28F26298" w14:textId="21DA3907">
      <w:pPr>
        <w:jc w:val="both"/>
        <w:rPr>
          <w:sz w:val="22"/>
          <w:szCs w:val="22"/>
        </w:rPr>
      </w:pPr>
      <w:r w:rsidRPr="72EF490F">
        <w:rPr>
          <w:sz w:val="22"/>
          <w:szCs w:val="22"/>
        </w:rPr>
        <w:t>Moving into a care home is often a significant transition for older adults. Residents may leave behind their homes, routines, possessions, and sometimes their partners or close family members. This change can create feelings of loss, loneliness, and uncertainty. From the perspective of attachment theory, these emotions may reflect a disruption of the individual’s sense of security and connection.</w:t>
      </w:r>
    </w:p>
    <w:p w:rsidRPr="0034591F" w:rsidR="4F2BFC41" w:rsidP="72EF490F" w:rsidRDefault="4F2BFC41" w14:paraId="47439D8A" w14:textId="1683EB08">
      <w:pPr>
        <w:jc w:val="both"/>
        <w:rPr>
          <w:sz w:val="22"/>
          <w:szCs w:val="22"/>
        </w:rPr>
      </w:pPr>
      <w:r w:rsidRPr="72EF490F">
        <w:rPr>
          <w:sz w:val="22"/>
          <w:szCs w:val="22"/>
        </w:rPr>
        <w:t>For many residents, carers become important attachment figures who provide reassurance and support. When carers respond consistently and sensitively to residents’ needs, they help create a sense of safety and stability. However, if residents feel ignored, rushed, or misunderstood, their distress may increase.</w:t>
      </w:r>
      <w:r w:rsidRPr="72EF490F" w:rsidR="201FCD5E">
        <w:rPr>
          <w:sz w:val="22"/>
          <w:szCs w:val="22"/>
        </w:rPr>
        <w:t xml:space="preserve"> </w:t>
      </w:r>
      <w:r w:rsidRPr="72EF490F">
        <w:rPr>
          <w:sz w:val="22"/>
          <w:szCs w:val="22"/>
        </w:rPr>
        <w:t>Attachment-related behaviours can appear in several ways within care homes. For example, some residents may frequently ask for reassurance or attention from staff, while others may withdraw and avoid interaction. Residents living with dementia may become distressed when separated from familiar carers or when routines change unexpectedly. Understanding these behaviours through the lens of attachment theory allows carers to respond with empathy rather than interpreting them as difficult or challenging behaviour.</w:t>
      </w:r>
      <w:r w:rsidRPr="72EF490F" w:rsidR="0B90158F">
        <w:rPr>
          <w:sz w:val="22"/>
          <w:szCs w:val="22"/>
        </w:rPr>
        <w:t xml:space="preserve"> </w:t>
      </w:r>
      <w:r w:rsidRPr="72EF490F">
        <w:rPr>
          <w:sz w:val="22"/>
          <w:szCs w:val="22"/>
        </w:rPr>
        <w:t>A key concept in attachment theory is the idea of a secure base. This refers to a reliable person who provides safety and comfort, allowing individuals to explore their environment with confidence. In childhood, this role is usually filled by parents or primary caregivers. In adult care settings, carers can provide a similar form of emotional support. Simple actions such as greeting residents warmly, explaining care procedures, and listening attentively can strengthen trust. When residents feel emotionally supported, they are more likely to feel comfortable participating in daily activities and interacting with others.</w:t>
      </w:r>
      <w:r w:rsidRPr="72EF490F" w:rsidR="490F5B3D">
        <w:rPr>
          <w:sz w:val="22"/>
          <w:szCs w:val="22"/>
        </w:rPr>
        <w:t xml:space="preserve"> Keys workers of each resident will develop this close relation to support him.</w:t>
      </w:r>
      <w:r w:rsidRPr="72EF490F" w:rsidR="06EEA90E">
        <w:rPr>
          <w:sz w:val="22"/>
          <w:szCs w:val="22"/>
        </w:rPr>
        <w:t xml:space="preserve"> </w:t>
      </w:r>
      <w:r w:rsidRPr="72EF490F">
        <w:rPr>
          <w:sz w:val="22"/>
          <w:szCs w:val="22"/>
        </w:rPr>
        <w:t>Consistency in caregiving is particularly important. When residents are regularly supported by familiar staff members, they are more likely to develop trusting relationships.</w:t>
      </w:r>
    </w:p>
    <w:p w:rsidRPr="0034591F" w:rsidR="1E3BD8B7" w:rsidP="72EF490F" w:rsidRDefault="1E3BD8B7" w14:paraId="5FF52C17" w14:textId="2AC94F12">
      <w:pPr>
        <w:rPr>
          <w:sz w:val="22"/>
          <w:szCs w:val="22"/>
        </w:rPr>
      </w:pPr>
    </w:p>
    <w:p w:rsidRPr="0034591F" w:rsidR="4F2BFC41" w:rsidP="72EF490F" w:rsidRDefault="4F2BFC41" w14:paraId="09E6663A" w14:textId="0E94A9EB">
      <w:pPr>
        <w:rPr>
          <w:rFonts w:ascii="Arial" w:hAnsi="Arial" w:eastAsia="Arial" w:cs="Arial"/>
          <w:color w:val="FFFFFF" w:themeColor="background1"/>
          <w:sz w:val="22"/>
          <w:szCs w:val="22"/>
        </w:rPr>
      </w:pPr>
      <w:r w:rsidRPr="72EF490F">
        <w:rPr>
          <w:sz w:val="22"/>
          <w:szCs w:val="22"/>
          <w:u w:val="single"/>
        </w:rPr>
        <w:t>Communication and Emotional Support</w:t>
      </w:r>
    </w:p>
    <w:p w:rsidRPr="0034591F" w:rsidR="4F2BFC41" w:rsidP="72EF490F" w:rsidRDefault="4F2BFC41" w14:paraId="7F81F532" w14:textId="72F34E82">
      <w:pPr>
        <w:jc w:val="both"/>
        <w:rPr>
          <w:sz w:val="22"/>
          <w:szCs w:val="22"/>
        </w:rPr>
      </w:pPr>
      <w:r w:rsidRPr="72EF490F">
        <w:rPr>
          <w:sz w:val="22"/>
          <w:szCs w:val="22"/>
        </w:rPr>
        <w:t>Effective communication plays a central role in meeting residents’ attachment needs. Carers should aim to communicate in ways that are respectful, reassuring, and empathetic. This includes maintaining eye contact, using calm tones of voice, and giving residents time to express themselves.</w:t>
      </w:r>
      <w:r w:rsidRPr="72EF490F" w:rsidR="4A803911">
        <w:rPr>
          <w:sz w:val="22"/>
          <w:szCs w:val="22"/>
        </w:rPr>
        <w:t xml:space="preserve"> </w:t>
      </w:r>
      <w:r w:rsidRPr="72EF490F">
        <w:rPr>
          <w:sz w:val="22"/>
          <w:szCs w:val="22"/>
        </w:rPr>
        <w:t>For example, a resident who repeatedly presses the call bell may not simply require practical help but may also be seeking social contact or reassurance. Responding with patience and understanding can help reduce anxiety and strengthen the relationship between carer and resident.</w:t>
      </w:r>
    </w:p>
    <w:p w:rsidRPr="0034591F" w:rsidR="4F2BFC41" w:rsidP="72EF490F" w:rsidRDefault="4F2BFC41" w14:paraId="3528DEF3" w14:textId="5CDA966A">
      <w:pPr>
        <w:jc w:val="both"/>
        <w:rPr>
          <w:sz w:val="22"/>
          <w:szCs w:val="22"/>
        </w:rPr>
      </w:pPr>
      <w:r w:rsidRPr="54A4A25B" w:rsidR="4F2BFC41">
        <w:rPr>
          <w:sz w:val="22"/>
          <w:szCs w:val="22"/>
        </w:rPr>
        <w:t xml:space="preserve">Attachment theory aligns closely with the principles of person-centred care, which emphasise respect for </w:t>
      </w:r>
      <w:r w:rsidRPr="54A4A25B" w:rsidR="760CD145">
        <w:rPr>
          <w:sz w:val="22"/>
          <w:szCs w:val="22"/>
        </w:rPr>
        <w:t>everyone's</w:t>
      </w:r>
      <w:r w:rsidRPr="54A4A25B" w:rsidR="4F2BFC41">
        <w:rPr>
          <w:sz w:val="22"/>
          <w:szCs w:val="22"/>
        </w:rPr>
        <w:t xml:space="preserve"> personal history, preferences, and emotional needs. By understanding a resident’s background, carers can better recognise how past experiences may influence their responses to care.</w:t>
      </w:r>
      <w:r w:rsidRPr="54A4A25B" w:rsidR="4EB77553">
        <w:rPr>
          <w:sz w:val="22"/>
          <w:szCs w:val="22"/>
        </w:rPr>
        <w:t xml:space="preserve"> </w:t>
      </w:r>
      <w:r w:rsidRPr="54A4A25B" w:rsidR="651DDA7D">
        <w:rPr>
          <w:sz w:val="22"/>
          <w:szCs w:val="22"/>
        </w:rPr>
        <w:t>A</w:t>
      </w:r>
      <w:r w:rsidRPr="54A4A25B" w:rsidR="4F2BFC41">
        <w:rPr>
          <w:sz w:val="22"/>
          <w:szCs w:val="22"/>
        </w:rPr>
        <w:t xml:space="preserve"> resident who previously lived independently may find it difficult to accept </w:t>
      </w:r>
      <w:r w:rsidRPr="54A4A25B" w:rsidR="007D4C39">
        <w:rPr>
          <w:sz w:val="22"/>
          <w:szCs w:val="22"/>
        </w:rPr>
        <w:t>help</w:t>
      </w:r>
      <w:r w:rsidRPr="54A4A25B" w:rsidR="4F2BFC41">
        <w:rPr>
          <w:sz w:val="22"/>
          <w:szCs w:val="22"/>
        </w:rPr>
        <w:t xml:space="preserve"> with personal care. Recognising this emotional adjustment allows carers to approach care tasks with sensitivity and respect for the resident’s dignity.</w:t>
      </w:r>
      <w:r w:rsidRPr="54A4A25B" w:rsidR="68BEA8E1">
        <w:rPr>
          <w:sz w:val="22"/>
          <w:szCs w:val="22"/>
        </w:rPr>
        <w:t xml:space="preserve"> </w:t>
      </w:r>
      <w:r w:rsidRPr="54A4A25B" w:rsidR="4F2BFC41">
        <w:rPr>
          <w:sz w:val="22"/>
          <w:szCs w:val="22"/>
        </w:rPr>
        <w:t xml:space="preserve">Encouraging family involvement can also strengthen attachment and emotional wellbeing. Regular visits, phone calls, or video communication with loved ones can help residents </w:t>
      </w:r>
      <w:r w:rsidRPr="54A4A25B" w:rsidR="00D15D8F">
        <w:rPr>
          <w:sz w:val="22"/>
          <w:szCs w:val="22"/>
        </w:rPr>
        <w:t>keep</w:t>
      </w:r>
      <w:r w:rsidRPr="54A4A25B" w:rsidR="4F2BFC41">
        <w:rPr>
          <w:sz w:val="22"/>
          <w:szCs w:val="22"/>
        </w:rPr>
        <w:t xml:space="preserve"> important relationships and feel connected to their support networks.</w:t>
      </w:r>
      <w:r w:rsidRPr="54A4A25B" w:rsidR="299CC00C">
        <w:rPr>
          <w:sz w:val="22"/>
          <w:szCs w:val="22"/>
        </w:rPr>
        <w:t xml:space="preserve"> </w:t>
      </w:r>
      <w:r w:rsidRPr="54A4A25B" w:rsidR="4F2BFC41">
        <w:rPr>
          <w:sz w:val="22"/>
          <w:szCs w:val="22"/>
        </w:rPr>
        <w:t xml:space="preserve">Applying attachment theory in care homes offers several benefits for both residents and staff. Residents who feel secure and supported are less likely to experience </w:t>
      </w:r>
      <w:r w:rsidRPr="54A4A25B" w:rsidR="4F2BFC41">
        <w:rPr>
          <w:sz w:val="22"/>
          <w:szCs w:val="22"/>
        </w:rPr>
        <w:t>h</w:t>
      </w:r>
      <w:r w:rsidRPr="54A4A25B" w:rsidR="4F2BFC41">
        <w:rPr>
          <w:sz w:val="22"/>
          <w:szCs w:val="22"/>
        </w:rPr>
        <w:t>igh levels</w:t>
      </w:r>
      <w:r w:rsidRPr="54A4A25B" w:rsidR="4F2BFC41">
        <w:rPr>
          <w:sz w:val="22"/>
          <w:szCs w:val="22"/>
        </w:rPr>
        <w:t xml:space="preserve"> </w:t>
      </w:r>
      <w:r w:rsidRPr="54A4A25B" w:rsidR="4F2BFC41">
        <w:rPr>
          <w:sz w:val="22"/>
          <w:szCs w:val="22"/>
        </w:rPr>
        <w:t>of anxiety or distress. This can improve cooperation during care tasks and enhance overall quality of life.</w:t>
      </w:r>
      <w:r w:rsidRPr="54A4A25B" w:rsidR="6382176E">
        <w:rPr>
          <w:sz w:val="22"/>
          <w:szCs w:val="22"/>
        </w:rPr>
        <w:t xml:space="preserve"> </w:t>
      </w:r>
      <w:r w:rsidRPr="54A4A25B" w:rsidR="4F2BFC41">
        <w:rPr>
          <w:sz w:val="22"/>
          <w:szCs w:val="22"/>
        </w:rPr>
        <w:t>For carers, understanding attachment theory can improve communication and reduce frustration when responding to challenging behaviours. Instead of viewing behaviours as problematic, carers can interpret them as expressions of emotional needs.</w:t>
      </w:r>
      <w:r w:rsidRPr="54A4A25B" w:rsidR="2E4E0A7F">
        <w:rPr>
          <w:sz w:val="22"/>
          <w:szCs w:val="22"/>
        </w:rPr>
        <w:t xml:space="preserve"> </w:t>
      </w:r>
      <w:r w:rsidRPr="54A4A25B" w:rsidR="4F2BFC41">
        <w:rPr>
          <w:sz w:val="22"/>
          <w:szCs w:val="22"/>
        </w:rPr>
        <w:t>Furthermore, creating supportive relationships can contribute to a more positive care environment, where residents feel valued and respected.</w:t>
      </w:r>
    </w:p>
    <w:p w:rsidRPr="0034591F" w:rsidR="1E3BD8B7" w:rsidP="72EF490F" w:rsidRDefault="1E3BD8B7" w14:paraId="03C1046A" w14:textId="50A5F6E4">
      <w:pPr>
        <w:jc w:val="both"/>
        <w:rPr>
          <w:sz w:val="22"/>
          <w:szCs w:val="22"/>
        </w:rPr>
      </w:pPr>
    </w:p>
    <w:p w:rsidRPr="0034591F" w:rsidR="4F2BFC41" w:rsidP="72EF490F" w:rsidRDefault="4F2BFC41" w14:paraId="55311B0C" w14:textId="4DCE4DFB">
      <w:pPr>
        <w:rPr>
          <w:rFonts w:ascii="Arial" w:hAnsi="Arial" w:eastAsia="Arial" w:cs="Arial"/>
          <w:color w:val="FFFFFF" w:themeColor="background1"/>
          <w:sz w:val="22"/>
          <w:szCs w:val="22"/>
        </w:rPr>
      </w:pPr>
      <w:r w:rsidRPr="72EF490F">
        <w:rPr>
          <w:sz w:val="22"/>
          <w:szCs w:val="22"/>
          <w:u w:val="single"/>
        </w:rPr>
        <w:t>Conclusion</w:t>
      </w:r>
    </w:p>
    <w:p w:rsidRPr="0034591F" w:rsidR="4F2BFC41" w:rsidP="72EF490F" w:rsidRDefault="4F2BFC41" w14:paraId="03B19746" w14:textId="4D3AB152">
      <w:pPr>
        <w:jc w:val="both"/>
        <w:rPr>
          <w:sz w:val="22"/>
          <w:szCs w:val="22"/>
        </w:rPr>
      </w:pPr>
      <w:r w:rsidRPr="54A4A25B" w:rsidR="4F2BFC41">
        <w:rPr>
          <w:sz w:val="22"/>
          <w:szCs w:val="22"/>
        </w:rPr>
        <w:t xml:space="preserve">Attachment theory provides a valuable framework for understanding the emotional needs of residents in adult care homes. </w:t>
      </w:r>
      <w:r w:rsidRPr="54A4A25B" w:rsidR="59480F93">
        <w:rPr>
          <w:sz w:val="22"/>
          <w:szCs w:val="22"/>
        </w:rPr>
        <w:t>T</w:t>
      </w:r>
      <w:r w:rsidRPr="54A4A25B" w:rsidR="4F2BFC41">
        <w:rPr>
          <w:sz w:val="22"/>
          <w:szCs w:val="22"/>
        </w:rPr>
        <w:t>he theory emphasises the importance of secure and trusting relationships in promoting wellbeing. In a care home environment, carers play a key role in providing emotional support and stability for residents who may be experiencing major life transitions.</w:t>
      </w:r>
      <w:r w:rsidRPr="54A4A25B" w:rsidR="71891A88">
        <w:rPr>
          <w:sz w:val="22"/>
          <w:szCs w:val="22"/>
        </w:rPr>
        <w:t xml:space="preserve"> </w:t>
      </w:r>
      <w:r w:rsidRPr="54A4A25B" w:rsidR="4F2BFC41">
        <w:rPr>
          <w:sz w:val="22"/>
          <w:szCs w:val="22"/>
        </w:rPr>
        <w:t>By offering consistent care, communicating empathetically, and building trusting relationships, carers can help residents feel safe and secure. Applying the principles of attachment theory also supports person-centred care and encourages a deeper understanding of residents’ behaviours and emotional experiences.</w:t>
      </w:r>
      <w:r w:rsidRPr="54A4A25B" w:rsidR="16FCC7DB">
        <w:rPr>
          <w:sz w:val="22"/>
          <w:szCs w:val="22"/>
        </w:rPr>
        <w:t xml:space="preserve"> </w:t>
      </w:r>
      <w:r w:rsidRPr="54A4A25B" w:rsidR="4F2BFC41">
        <w:rPr>
          <w:sz w:val="22"/>
          <w:szCs w:val="22"/>
        </w:rPr>
        <w:t xml:space="preserve">Ultimately, recognising the importance of attachment within adult care settings can improve </w:t>
      </w:r>
      <w:r w:rsidRPr="54A4A25B" w:rsidR="007D4C39">
        <w:rPr>
          <w:sz w:val="22"/>
          <w:szCs w:val="22"/>
        </w:rPr>
        <w:t>the</w:t>
      </w:r>
      <w:r w:rsidRPr="54A4A25B" w:rsidR="4F2BFC41">
        <w:rPr>
          <w:sz w:val="22"/>
          <w:szCs w:val="22"/>
        </w:rPr>
        <w:t xml:space="preserve"> quality of care provided </w:t>
      </w:r>
      <w:r w:rsidRPr="54A4A25B" w:rsidR="00251979">
        <w:rPr>
          <w:sz w:val="22"/>
          <w:szCs w:val="22"/>
        </w:rPr>
        <w:t>the</w:t>
      </w:r>
      <w:r w:rsidRPr="54A4A25B" w:rsidR="4F2BFC41">
        <w:rPr>
          <w:sz w:val="22"/>
          <w:szCs w:val="22"/>
        </w:rPr>
        <w:t xml:space="preserve"> emotional </w:t>
      </w:r>
      <w:r w:rsidRPr="54A4A25B" w:rsidR="0C5EA7A8">
        <w:rPr>
          <w:sz w:val="22"/>
          <w:szCs w:val="22"/>
        </w:rPr>
        <w:t>wellbeing</w:t>
      </w:r>
      <w:r w:rsidRPr="54A4A25B" w:rsidR="4F2BFC41">
        <w:rPr>
          <w:sz w:val="22"/>
          <w:szCs w:val="22"/>
        </w:rPr>
        <w:t xml:space="preserve"> of those who rely on it</w:t>
      </w:r>
      <w:r w:rsidRPr="54A4A25B" w:rsidR="37F82F17">
        <w:rPr>
          <w:sz w:val="22"/>
          <w:szCs w:val="22"/>
        </w:rPr>
        <w:t>.</w:t>
      </w:r>
    </w:p>
    <w:p w:rsidRPr="0034591F" w:rsidR="1E3BD8B7" w:rsidP="72EF490F" w:rsidRDefault="1E3BD8B7" w14:paraId="4FF0BE10" w14:textId="781E9E9B">
      <w:pPr>
        <w:jc w:val="both"/>
        <w:rPr>
          <w:sz w:val="22"/>
          <w:szCs w:val="22"/>
        </w:rPr>
      </w:pPr>
    </w:p>
    <w:p w:rsidR="72EF490F" w:rsidP="72EF490F" w:rsidRDefault="72EF490F" w14:paraId="4798E5A1" w14:textId="34DAE19A">
      <w:pPr>
        <w:jc w:val="both"/>
        <w:rPr>
          <w:sz w:val="22"/>
          <w:szCs w:val="22"/>
        </w:rPr>
      </w:pPr>
    </w:p>
    <w:p w:rsidR="72EF490F" w:rsidP="54A4A25B" w:rsidRDefault="72EF490F" w14:paraId="19DE75C5" w14:textId="29BC1E8D">
      <w:pPr>
        <w:pStyle w:val="Normal"/>
        <w:rPr>
          <w:sz w:val="22"/>
          <w:szCs w:val="22"/>
        </w:rPr>
      </w:pPr>
    </w:p>
    <w:p w:rsidR="54A4A25B" w:rsidP="54A4A25B" w:rsidRDefault="54A4A25B" w14:paraId="10B1DFE6" w14:textId="4F470AFE">
      <w:pPr>
        <w:pStyle w:val="Normal"/>
        <w:rPr>
          <w:b w:val="1"/>
          <w:bCs w:val="1"/>
          <w:i w:val="1"/>
          <w:iCs w:val="1"/>
          <w:sz w:val="22"/>
          <w:szCs w:val="22"/>
          <w:u w:val="single"/>
        </w:rPr>
      </w:pPr>
    </w:p>
    <w:p w:rsidRPr="0034591F" w:rsidR="26D734A7" w:rsidP="54A4A25B" w:rsidRDefault="26D734A7" w14:paraId="1F87426B" w14:textId="360D4A8C">
      <w:pPr>
        <w:pStyle w:val="Normal"/>
        <w:rPr>
          <w:b w:val="1"/>
          <w:bCs w:val="1"/>
          <w:i w:val="1"/>
          <w:iCs w:val="1"/>
          <w:sz w:val="22"/>
          <w:szCs w:val="22"/>
          <w:u w:val="single"/>
        </w:rPr>
      </w:pPr>
      <w:r w:rsidRPr="54A4A25B" w:rsidR="26D734A7">
        <w:rPr>
          <w:b w:val="1"/>
          <w:bCs w:val="1"/>
          <w:i w:val="1"/>
          <w:iCs w:val="1"/>
          <w:sz w:val="22"/>
          <w:szCs w:val="22"/>
          <w:u w:val="single"/>
        </w:rPr>
        <w:t>REFERENCES:</w:t>
      </w:r>
    </w:p>
    <w:p w:rsidRPr="0034591F" w:rsidR="1E3BD8B7" w:rsidP="54A4A25B" w:rsidRDefault="542BD9A0" w14:paraId="2F99FAF9" w14:textId="4D25953E">
      <w:pPr>
        <w:spacing w:after="0" w:line="360" w:lineRule="auto"/>
        <w:rPr>
          <w:color w:val="000000" w:themeColor="text1" w:themeTint="FF" w:themeShade="FF"/>
          <w:sz w:val="22"/>
          <w:szCs w:val="22"/>
        </w:rPr>
      </w:pPr>
      <w:r w:rsidRPr="54A4A25B" w:rsidR="3560C922">
        <w:rPr>
          <w:color w:val="000000" w:themeColor="text1" w:themeTint="FF" w:themeShade="FF"/>
          <w:sz w:val="22"/>
          <w:szCs w:val="22"/>
        </w:rPr>
        <w:t>Boniwell,I</w:t>
      </w:r>
      <w:r w:rsidRPr="54A4A25B" w:rsidR="3560C922">
        <w:rPr>
          <w:color w:val="000000" w:themeColor="text1" w:themeTint="FF" w:themeShade="FF"/>
          <w:sz w:val="22"/>
          <w:szCs w:val="22"/>
        </w:rPr>
        <w:t>.(2012) ‘</w:t>
      </w:r>
      <w:r w:rsidRPr="54A4A25B" w:rsidR="35A6A10D">
        <w:rPr>
          <w:color w:val="000000" w:themeColor="text1" w:themeTint="FF" w:themeShade="FF"/>
          <w:sz w:val="22"/>
          <w:szCs w:val="22"/>
        </w:rPr>
        <w:t xml:space="preserve">Positive Psychology </w:t>
      </w:r>
      <w:r w:rsidRPr="54A4A25B" w:rsidR="35A6A10D">
        <w:rPr>
          <w:color w:val="000000" w:themeColor="text1" w:themeTint="FF" w:themeShade="FF"/>
          <w:sz w:val="22"/>
          <w:szCs w:val="22"/>
        </w:rPr>
        <w:t xml:space="preserve">in a </w:t>
      </w:r>
      <w:r w:rsidRPr="54A4A25B" w:rsidR="3E23C986">
        <w:rPr>
          <w:color w:val="000000" w:themeColor="text1" w:themeTint="FF" w:themeShade="FF"/>
          <w:sz w:val="22"/>
          <w:szCs w:val="22"/>
        </w:rPr>
        <w:t>Nutshell</w:t>
      </w:r>
      <w:r w:rsidRPr="54A4A25B" w:rsidR="3E23C986">
        <w:rPr>
          <w:color w:val="000000" w:themeColor="text1" w:themeTint="FF" w:themeShade="FF"/>
          <w:sz w:val="22"/>
          <w:szCs w:val="22"/>
        </w:rPr>
        <w:t>:</w:t>
      </w:r>
      <w:r w:rsidRPr="54A4A25B" w:rsidR="35A6A10D">
        <w:rPr>
          <w:color w:val="000000" w:themeColor="text1" w:themeTint="FF" w:themeShade="FF"/>
          <w:sz w:val="22"/>
          <w:szCs w:val="22"/>
        </w:rPr>
        <w:t xml:space="preserve"> The </w:t>
      </w:r>
      <w:r w:rsidRPr="54A4A25B" w:rsidR="6410C679">
        <w:rPr>
          <w:color w:val="000000" w:themeColor="text1" w:themeTint="FF" w:themeShade="FF"/>
          <w:sz w:val="22"/>
          <w:szCs w:val="22"/>
        </w:rPr>
        <w:t>S</w:t>
      </w:r>
      <w:r w:rsidRPr="54A4A25B" w:rsidR="35A6A10D">
        <w:rPr>
          <w:color w:val="000000" w:themeColor="text1" w:themeTint="FF" w:themeShade="FF"/>
          <w:sz w:val="22"/>
          <w:szCs w:val="22"/>
        </w:rPr>
        <w:t xml:space="preserve">cience of </w:t>
      </w:r>
      <w:r w:rsidRPr="54A4A25B" w:rsidR="1376EA52">
        <w:rPr>
          <w:color w:val="000000" w:themeColor="text1" w:themeTint="FF" w:themeShade="FF"/>
          <w:sz w:val="22"/>
          <w:szCs w:val="22"/>
        </w:rPr>
        <w:t>Happiness</w:t>
      </w:r>
      <w:r w:rsidRPr="54A4A25B" w:rsidR="0815627E">
        <w:rPr>
          <w:color w:val="000000" w:themeColor="text1" w:themeTint="FF" w:themeShade="FF"/>
          <w:sz w:val="22"/>
          <w:szCs w:val="22"/>
        </w:rPr>
        <w:t>’</w:t>
      </w:r>
      <w:r w:rsidRPr="54A4A25B" w:rsidR="3A46E5E2">
        <w:rPr>
          <w:color w:val="000000" w:themeColor="text1" w:themeTint="FF" w:themeShade="FF"/>
          <w:sz w:val="22"/>
          <w:szCs w:val="22"/>
        </w:rPr>
        <w:t xml:space="preserve"> 3</w:t>
      </w:r>
      <w:r w:rsidRPr="54A4A25B" w:rsidR="3A46E5E2">
        <w:rPr>
          <w:color w:val="000000" w:themeColor="text1" w:themeTint="FF" w:themeShade="FF"/>
          <w:sz w:val="22"/>
          <w:szCs w:val="22"/>
          <w:vertAlign w:val="superscript"/>
        </w:rPr>
        <w:t>rd</w:t>
      </w:r>
      <w:r w:rsidRPr="54A4A25B" w:rsidR="3A46E5E2">
        <w:rPr>
          <w:color w:val="000000" w:themeColor="text1" w:themeTint="FF" w:themeShade="FF"/>
          <w:sz w:val="22"/>
          <w:szCs w:val="22"/>
        </w:rPr>
        <w:t xml:space="preserve"> edition. London: Open University Press.</w:t>
      </w:r>
    </w:p>
    <w:p w:rsidRPr="0034591F" w:rsidR="1E3BD8B7" w:rsidP="54A4A25B" w:rsidRDefault="542BD9A0" w14:paraId="3793C838" w14:textId="02A566C7">
      <w:pPr>
        <w:spacing w:after="0" w:line="360" w:lineRule="auto"/>
        <w:rPr>
          <w:color w:val="000000" w:themeColor="text1" w:themeTint="FF" w:themeShade="FF"/>
          <w:sz w:val="22"/>
          <w:szCs w:val="22"/>
        </w:rPr>
      </w:pPr>
    </w:p>
    <w:p w:rsidRPr="0034591F" w:rsidR="1E3BD8B7" w:rsidP="72EF490F" w:rsidRDefault="542BD9A0" w14:paraId="6761B2E8" w14:textId="4969CB2B">
      <w:pPr>
        <w:spacing w:after="0" w:line="360" w:lineRule="auto"/>
        <w:rPr>
          <w:color w:val="000000" w:themeColor="text1"/>
          <w:sz w:val="22"/>
          <w:szCs w:val="22"/>
        </w:rPr>
      </w:pPr>
      <w:r w:rsidRPr="54A4A25B" w:rsidR="542BD9A0">
        <w:rPr>
          <w:color w:val="000000" w:themeColor="text1" w:themeTint="FF" w:themeShade="FF"/>
          <w:sz w:val="22"/>
          <w:szCs w:val="22"/>
        </w:rPr>
        <w:t>Bowlby</w:t>
      </w:r>
      <w:r w:rsidRPr="54A4A25B" w:rsidR="542BD9A0">
        <w:rPr>
          <w:color w:val="000000" w:themeColor="text1" w:themeTint="FF" w:themeShade="FF"/>
          <w:sz w:val="22"/>
          <w:szCs w:val="22"/>
        </w:rPr>
        <w:t>, J. (1979)</w:t>
      </w:r>
      <w:r w:rsidRPr="54A4A25B" w:rsidR="4541CAEF">
        <w:rPr>
          <w:color w:val="000000" w:themeColor="text1" w:themeTint="FF" w:themeShade="FF"/>
          <w:sz w:val="22"/>
          <w:szCs w:val="22"/>
        </w:rPr>
        <w:t xml:space="preserve"> ‘</w:t>
      </w:r>
      <w:r w:rsidRPr="54A4A25B" w:rsidR="542BD9A0">
        <w:rPr>
          <w:color w:val="000000" w:themeColor="text1" w:themeTint="FF" w:themeShade="FF"/>
          <w:sz w:val="22"/>
          <w:szCs w:val="22"/>
        </w:rPr>
        <w:t>The Bowlby-Ainsworth attachment theory</w:t>
      </w:r>
      <w:r w:rsidRPr="54A4A25B" w:rsidR="28501DDC">
        <w:rPr>
          <w:color w:val="000000" w:themeColor="text1" w:themeTint="FF" w:themeShade="FF"/>
          <w:sz w:val="22"/>
          <w:szCs w:val="22"/>
        </w:rPr>
        <w:t>’</w:t>
      </w:r>
      <w:r w:rsidRPr="54A4A25B" w:rsidR="542BD9A0">
        <w:rPr>
          <w:color w:val="000000" w:themeColor="text1" w:themeTint="FF" w:themeShade="FF"/>
          <w:sz w:val="22"/>
          <w:szCs w:val="22"/>
        </w:rPr>
        <w:t xml:space="preserve"> </w:t>
      </w:r>
      <w:r w:rsidRPr="54A4A25B" w:rsidR="542BD9A0">
        <w:rPr>
          <w:i w:val="1"/>
          <w:iCs w:val="1"/>
          <w:color w:val="000000" w:themeColor="text1" w:themeTint="FF" w:themeShade="FF"/>
          <w:sz w:val="22"/>
          <w:szCs w:val="22"/>
        </w:rPr>
        <w:t>Behavioral</w:t>
      </w:r>
      <w:r w:rsidRPr="54A4A25B" w:rsidR="542BD9A0">
        <w:rPr>
          <w:i w:val="1"/>
          <w:iCs w:val="1"/>
          <w:color w:val="000000" w:themeColor="text1" w:themeTint="FF" w:themeShade="FF"/>
          <w:sz w:val="22"/>
          <w:szCs w:val="22"/>
        </w:rPr>
        <w:t xml:space="preserve"> and Brain Sciences</w:t>
      </w:r>
      <w:r w:rsidRPr="54A4A25B" w:rsidR="542BD9A0">
        <w:rPr>
          <w:color w:val="000000" w:themeColor="text1" w:themeTint="FF" w:themeShade="FF"/>
          <w:sz w:val="22"/>
          <w:szCs w:val="22"/>
        </w:rPr>
        <w:t xml:space="preserve">, [online] 2(4), pp.637–638. </w:t>
      </w:r>
      <w:r w:rsidRPr="54A4A25B" w:rsidR="542BD9A0">
        <w:rPr>
          <w:color w:val="000000" w:themeColor="text1" w:themeTint="FF" w:themeShade="FF"/>
          <w:sz w:val="22"/>
          <w:szCs w:val="22"/>
        </w:rPr>
        <w:t>doi:https</w:t>
      </w:r>
      <w:r w:rsidRPr="54A4A25B" w:rsidR="542BD9A0">
        <w:rPr>
          <w:color w:val="000000" w:themeColor="text1" w:themeTint="FF" w:themeShade="FF"/>
          <w:sz w:val="22"/>
          <w:szCs w:val="22"/>
        </w:rPr>
        <w:t>://doi.org/10.1017/S0140525X00064955.</w:t>
      </w:r>
    </w:p>
    <w:p w:rsidRPr="0034591F" w:rsidR="1E3BD8B7" w:rsidP="72EF490F" w:rsidRDefault="1E3BD8B7" w14:paraId="03A19708" w14:textId="49A94016">
      <w:pPr>
        <w:spacing w:after="0" w:line="360" w:lineRule="auto"/>
        <w:rPr>
          <w:color w:val="000000" w:themeColor="text1"/>
          <w:sz w:val="22"/>
          <w:szCs w:val="22"/>
        </w:rPr>
      </w:pPr>
    </w:p>
    <w:p w:rsidRPr="0034591F" w:rsidR="1E3BD8B7" w:rsidP="72EF490F" w:rsidRDefault="747F1EBA" w14:paraId="44C97406" w14:textId="3FAE7DFD">
      <w:pPr>
        <w:spacing w:after="0" w:line="360" w:lineRule="auto"/>
        <w:rPr>
          <w:color w:val="000000" w:themeColor="text1"/>
          <w:sz w:val="22"/>
          <w:szCs w:val="22"/>
        </w:rPr>
      </w:pPr>
      <w:r w:rsidRPr="54A4A25B" w:rsidR="747F1EBA">
        <w:rPr>
          <w:color w:val="000000" w:themeColor="text1" w:themeTint="FF" w:themeShade="FF"/>
          <w:sz w:val="22"/>
          <w:szCs w:val="22"/>
        </w:rPr>
        <w:t>Levenson, M. and Crumpler, C.A. (1996)</w:t>
      </w:r>
      <w:r w:rsidRPr="54A4A25B" w:rsidR="0B06C081">
        <w:rPr>
          <w:color w:val="000000" w:themeColor="text1" w:themeTint="FF" w:themeShade="FF"/>
          <w:sz w:val="22"/>
          <w:szCs w:val="22"/>
        </w:rPr>
        <w:t xml:space="preserve"> ‘</w:t>
      </w:r>
      <w:r w:rsidRPr="54A4A25B" w:rsidR="747F1EBA">
        <w:rPr>
          <w:color w:val="000000" w:themeColor="text1" w:themeTint="FF" w:themeShade="FF"/>
          <w:sz w:val="22"/>
          <w:szCs w:val="22"/>
        </w:rPr>
        <w:t>Three Models of Adult Development</w:t>
      </w:r>
      <w:r w:rsidRPr="54A4A25B" w:rsidR="7E4D1479">
        <w:rPr>
          <w:color w:val="000000" w:themeColor="text1" w:themeTint="FF" w:themeShade="FF"/>
          <w:sz w:val="22"/>
          <w:szCs w:val="22"/>
        </w:rPr>
        <w:t>’</w:t>
      </w:r>
      <w:r w:rsidRPr="54A4A25B" w:rsidR="747F1EBA">
        <w:rPr>
          <w:color w:val="000000" w:themeColor="text1" w:themeTint="FF" w:themeShade="FF"/>
          <w:sz w:val="22"/>
          <w:szCs w:val="22"/>
        </w:rPr>
        <w:t xml:space="preserve"> Human Development, 39(3), pp.135–149. </w:t>
      </w:r>
      <w:r w:rsidRPr="54A4A25B" w:rsidR="747F1EBA">
        <w:rPr>
          <w:color w:val="000000" w:themeColor="text1" w:themeTint="FF" w:themeShade="FF"/>
          <w:sz w:val="22"/>
          <w:szCs w:val="22"/>
        </w:rPr>
        <w:t>doi:https</w:t>
      </w:r>
      <w:r w:rsidRPr="54A4A25B" w:rsidR="747F1EBA">
        <w:rPr>
          <w:color w:val="000000" w:themeColor="text1" w:themeTint="FF" w:themeShade="FF"/>
          <w:sz w:val="22"/>
          <w:szCs w:val="22"/>
        </w:rPr>
        <w:t>://doi.org/10.1159/000278429. Accessed 26 February 2026</w:t>
      </w:r>
      <w:r w:rsidRPr="54A4A25B" w:rsidR="5E6E304F">
        <w:rPr>
          <w:color w:val="000000" w:themeColor="text1" w:themeTint="FF" w:themeShade="FF"/>
          <w:sz w:val="22"/>
          <w:szCs w:val="22"/>
        </w:rPr>
        <w:t>.</w:t>
      </w:r>
    </w:p>
    <w:p w:rsidR="54A4A25B" w:rsidP="54A4A25B" w:rsidRDefault="54A4A25B" w14:paraId="25B0DDAA" w14:textId="4469BF2A">
      <w:pPr>
        <w:spacing w:after="0" w:line="360" w:lineRule="auto"/>
        <w:rPr>
          <w:color w:val="000000" w:themeColor="text1" w:themeTint="FF" w:themeShade="FF"/>
          <w:sz w:val="22"/>
          <w:szCs w:val="22"/>
        </w:rPr>
      </w:pPr>
    </w:p>
    <w:p w:rsidR="75C12544" w:rsidP="54A4A25B" w:rsidRDefault="75C12544" w14:paraId="6FF1D7E5" w14:textId="05FE3406">
      <w:pPr>
        <w:spacing w:after="0" w:line="360" w:lineRule="auto"/>
        <w:rPr>
          <w:color w:val="000000" w:themeColor="text1" w:themeTint="FF" w:themeShade="FF"/>
          <w:sz w:val="22"/>
          <w:szCs w:val="22"/>
        </w:rPr>
      </w:pPr>
      <w:r w:rsidRPr="54A4A25B" w:rsidR="75C12544">
        <w:rPr>
          <w:color w:val="000000" w:themeColor="text1" w:themeTint="FF" w:themeShade="FF"/>
          <w:sz w:val="22"/>
          <w:szCs w:val="22"/>
        </w:rPr>
        <w:t>Nursing and Midwifery Council (2018). The Code Professional Standards of Practice and Behaviour for Nurses and Midwives Nursing and Midwifery Council. [online] Nursing and Midwifery Council. London: Nursing and Midwifery Council. Available at: https://www.nmc.org.uk/globalassets/sitedocuments/nmc-publications/nmc-code.pdf.</w:t>
      </w:r>
    </w:p>
    <w:p w:rsidR="75C12544" w:rsidP="54A4A25B" w:rsidRDefault="75C12544" w14:paraId="0CBB0C4F" w14:textId="5E2F0BAC">
      <w:pPr>
        <w:pStyle w:val="Normal"/>
        <w:spacing w:after="0" w:line="360" w:lineRule="auto"/>
      </w:pPr>
      <w:r w:rsidRPr="54A4A25B" w:rsidR="75C12544">
        <w:rPr>
          <w:color w:val="000000" w:themeColor="text1" w:themeTint="FF" w:themeShade="FF"/>
          <w:sz w:val="22"/>
          <w:szCs w:val="22"/>
        </w:rPr>
        <w:t>‌</w:t>
      </w:r>
    </w:p>
    <w:p w:rsidR="63F3D805" w:rsidP="54A4A25B" w:rsidRDefault="63F3D805" w14:paraId="449218DE" w14:textId="34ABEB9D">
      <w:pPr>
        <w:spacing w:after="0" w:line="360" w:lineRule="auto"/>
        <w:rPr>
          <w:color w:val="000000" w:themeColor="text1" w:themeTint="FF" w:themeShade="FF"/>
          <w:sz w:val="22"/>
          <w:szCs w:val="22"/>
        </w:rPr>
      </w:pPr>
      <w:r w:rsidRPr="54A4A25B" w:rsidR="63F3D805">
        <w:rPr>
          <w:color w:val="000000" w:themeColor="text1" w:themeTint="FF" w:themeShade="FF"/>
          <w:sz w:val="22"/>
          <w:szCs w:val="22"/>
        </w:rPr>
        <w:t>Seligman,M.E.P</w:t>
      </w:r>
      <w:r w:rsidRPr="54A4A25B" w:rsidR="63F3D805">
        <w:rPr>
          <w:color w:val="000000" w:themeColor="text1" w:themeTint="FF" w:themeShade="FF"/>
          <w:sz w:val="22"/>
          <w:szCs w:val="22"/>
        </w:rPr>
        <w:t xml:space="preserve"> (2011) </w:t>
      </w:r>
      <w:r w:rsidRPr="54A4A25B" w:rsidR="62A138C2">
        <w:rPr>
          <w:color w:val="000000" w:themeColor="text1" w:themeTint="FF" w:themeShade="FF"/>
          <w:sz w:val="22"/>
          <w:szCs w:val="22"/>
        </w:rPr>
        <w:t>Flourish:</w:t>
      </w:r>
      <w:r w:rsidRPr="54A4A25B" w:rsidR="63F3D805">
        <w:rPr>
          <w:color w:val="000000" w:themeColor="text1" w:themeTint="FF" w:themeShade="FF"/>
          <w:sz w:val="22"/>
          <w:szCs w:val="22"/>
        </w:rPr>
        <w:t xml:space="preserve"> A Vis</w:t>
      </w:r>
      <w:r w:rsidRPr="54A4A25B" w:rsidR="2664EC95">
        <w:rPr>
          <w:color w:val="000000" w:themeColor="text1" w:themeTint="FF" w:themeShade="FF"/>
          <w:sz w:val="22"/>
          <w:szCs w:val="22"/>
        </w:rPr>
        <w:t xml:space="preserve">ionary New Understanding of Happiness and Well-being. New </w:t>
      </w:r>
      <w:r w:rsidRPr="54A4A25B" w:rsidR="2664EC95">
        <w:rPr>
          <w:color w:val="000000" w:themeColor="text1" w:themeTint="FF" w:themeShade="FF"/>
          <w:sz w:val="22"/>
          <w:szCs w:val="22"/>
        </w:rPr>
        <w:t>york</w:t>
      </w:r>
      <w:r w:rsidRPr="54A4A25B" w:rsidR="2664EC95">
        <w:rPr>
          <w:color w:val="000000" w:themeColor="text1" w:themeTint="FF" w:themeShade="FF"/>
          <w:sz w:val="22"/>
          <w:szCs w:val="22"/>
        </w:rPr>
        <w:t xml:space="preserve">: </w:t>
      </w:r>
      <w:r w:rsidRPr="54A4A25B" w:rsidR="170AD0C5">
        <w:rPr>
          <w:color w:val="000000" w:themeColor="text1" w:themeTint="FF" w:themeShade="FF"/>
          <w:sz w:val="22"/>
          <w:szCs w:val="22"/>
        </w:rPr>
        <w:t>F</w:t>
      </w:r>
      <w:r w:rsidRPr="54A4A25B" w:rsidR="2664EC95">
        <w:rPr>
          <w:color w:val="000000" w:themeColor="text1" w:themeTint="FF" w:themeShade="FF"/>
          <w:sz w:val="22"/>
          <w:szCs w:val="22"/>
        </w:rPr>
        <w:t>ree</w:t>
      </w:r>
      <w:r w:rsidRPr="54A4A25B" w:rsidR="7E5B1186">
        <w:rPr>
          <w:color w:val="000000" w:themeColor="text1" w:themeTint="FF" w:themeShade="FF"/>
          <w:sz w:val="22"/>
          <w:szCs w:val="22"/>
        </w:rPr>
        <w:t xml:space="preserve"> Press.</w:t>
      </w:r>
      <w:r w:rsidRPr="54A4A25B" w:rsidR="2664EC95">
        <w:rPr>
          <w:color w:val="000000" w:themeColor="text1" w:themeTint="FF" w:themeShade="FF"/>
          <w:sz w:val="22"/>
          <w:szCs w:val="22"/>
        </w:rPr>
        <w:t xml:space="preserve"> </w:t>
      </w:r>
      <w:r w:rsidRPr="54A4A25B" w:rsidR="105A70A6">
        <w:rPr>
          <w:color w:val="000000" w:themeColor="text1" w:themeTint="FF" w:themeShade="FF"/>
          <w:sz w:val="22"/>
          <w:szCs w:val="22"/>
        </w:rPr>
        <w:t>#</w:t>
      </w:r>
    </w:p>
    <w:p w:rsidR="54A4A25B" w:rsidP="54A4A25B" w:rsidRDefault="54A4A25B" w14:paraId="32728553" w14:textId="6C33554C">
      <w:pPr>
        <w:spacing w:after="0" w:line="360" w:lineRule="auto"/>
        <w:rPr>
          <w:color w:val="000000" w:themeColor="text1" w:themeTint="FF" w:themeShade="FF"/>
          <w:sz w:val="22"/>
          <w:szCs w:val="22"/>
        </w:rPr>
      </w:pPr>
    </w:p>
    <w:p w:rsidR="105A70A6" w:rsidP="54A4A25B" w:rsidRDefault="105A70A6" w14:paraId="7913CD6D" w14:textId="6B25667C">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4A4A25B" w:rsidR="105A7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Sharma, K. (2016). Flourish: A Visionary New Understanding of Happiness and well-being by Martin E.P. Seligman - A Book Review. </w:t>
      </w:r>
      <w:r w:rsidRPr="54A4A25B" w:rsidR="105A70A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NHRD Network Journal</w:t>
      </w:r>
      <w:r w:rsidRPr="54A4A25B" w:rsidR="105A7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9(4), pp.106–109. </w:t>
      </w:r>
      <w:r w:rsidRPr="54A4A25B" w:rsidR="105A7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doi:https</w:t>
      </w:r>
      <w:r w:rsidRPr="54A4A25B" w:rsidR="105A7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://doi.org/10.1177/0974173920160420.</w:t>
      </w:r>
    </w:p>
    <w:p w:rsidR="54A4A25B" w:rsidP="54A4A25B" w:rsidRDefault="54A4A25B" w14:paraId="3A0B1922" w14:textId="6CB3CACE">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F84406F" w:rsidP="54A4A25B" w:rsidRDefault="5F84406F" w14:paraId="353D5DC7" w14:textId="074339F6">
      <w:pPr>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4A4A25B" w:rsidR="5F8440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Weilenmann, S., Schnyder, U., Keller, N., Corda, C., Spiller, T.R., Brugger, F., Parkinson, B., von Känel, R. and Pfaltz, M.C. (2021). Self-worth and bonding emotions are related to well-being in health-care providers: a cross-sectional study. </w:t>
      </w:r>
      <w:r w:rsidRPr="54A4A25B" w:rsidR="5F84406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BMC Medical Education</w:t>
      </w:r>
      <w:r w:rsidRPr="54A4A25B" w:rsidR="5F8440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21(1). doi:https://doi.org/10.1186/s12909-021-02731-7.</w:t>
      </w:r>
    </w:p>
    <w:p w:rsidR="54A4A25B" w:rsidP="54A4A25B" w:rsidRDefault="54A4A25B" w14:paraId="3114E645" w14:textId="2BBD65E3">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Pr="0034591F" w:rsidR="1E3BD8B7" w:rsidP="72EF490F" w:rsidRDefault="1E3BD8B7" w14:paraId="54441DA0" w14:textId="41A25203">
      <w:pPr>
        <w:spacing w:after="0" w:line="360" w:lineRule="auto"/>
        <w:rPr>
          <w:color w:val="000000" w:themeColor="text1"/>
          <w:sz w:val="22"/>
          <w:szCs w:val="22"/>
        </w:rPr>
      </w:pPr>
    </w:p>
    <w:p w:rsidR="745C9479" w:rsidP="54A4A25B" w:rsidRDefault="745C9479" w14:paraId="253A3EF7" w14:textId="3C2F6224">
      <w:pPr>
        <w:jc w:val="both"/>
        <w:rPr>
          <w:sz w:val="22"/>
          <w:szCs w:val="22"/>
        </w:rPr>
      </w:pPr>
      <w:r w:rsidRPr="54A4A25B" w:rsidR="745C9479">
        <w:rPr>
          <w:sz w:val="22"/>
          <w:szCs w:val="22"/>
        </w:rPr>
        <w:t xml:space="preserve">Winnie (2024). Positive Psychology: How to Live the Good Life. Routledge eBooks, pp.515–535. </w:t>
      </w:r>
      <w:r w:rsidRPr="54A4A25B" w:rsidR="745C9479">
        <w:rPr>
          <w:sz w:val="22"/>
          <w:szCs w:val="22"/>
        </w:rPr>
        <w:t>doi:https</w:t>
      </w:r>
      <w:r w:rsidRPr="54A4A25B" w:rsidR="745C9479">
        <w:rPr>
          <w:sz w:val="22"/>
          <w:szCs w:val="22"/>
        </w:rPr>
        <w:t>://doi.org/10.4324/9781032622903-15.</w:t>
      </w:r>
    </w:p>
    <w:p w:rsidR="54A4A25B" w:rsidP="54A4A25B" w:rsidRDefault="54A4A25B" w14:paraId="1E2C3A21" w14:textId="66B74A58">
      <w:pPr>
        <w:jc w:val="both"/>
        <w:rPr>
          <w:sz w:val="22"/>
          <w:szCs w:val="22"/>
        </w:rPr>
      </w:pPr>
    </w:p>
    <w:p w:rsidRPr="0034591F" w:rsidR="26D734A7" w:rsidP="72EF490F" w:rsidRDefault="26D734A7" w14:paraId="3F05CFC9" w14:textId="605E1B75">
      <w:pPr>
        <w:rPr>
          <w:sz w:val="22"/>
          <w:szCs w:val="22"/>
        </w:rPr>
      </w:pPr>
      <w:r w:rsidRPr="72EF490F">
        <w:rPr>
          <w:sz w:val="22"/>
          <w:szCs w:val="22"/>
        </w:rPr>
        <w:t xml:space="preserve">World Health Organization (2025). Social connection linked to improved health and reduced risk of early death. [online] Who.int. Available at: </w:t>
      </w:r>
      <w:hyperlink r:id="rId7">
        <w:r w:rsidRPr="72EF490F">
          <w:rPr>
            <w:rStyle w:val="Hyperlink"/>
            <w:sz w:val="22"/>
            <w:szCs w:val="22"/>
          </w:rPr>
          <w:t>https://www.who.int/news/item/30-06-2025-social-connection-linked-to-improved-heath-and-reduced-risk-of-early-death</w:t>
        </w:r>
      </w:hyperlink>
      <w:r w:rsidRPr="72EF490F">
        <w:rPr>
          <w:sz w:val="22"/>
          <w:szCs w:val="22"/>
        </w:rPr>
        <w:t>.</w:t>
      </w:r>
    </w:p>
    <w:p w:rsidRPr="00ED7869" w:rsidR="1E3BD8B7" w:rsidP="72EF490F" w:rsidRDefault="1E3BD8B7" w14:paraId="63F3B16F" w14:textId="3D62CF24">
      <w:pPr>
        <w:rPr>
          <w:sz w:val="22"/>
          <w:szCs w:val="22"/>
        </w:rPr>
      </w:pPr>
      <w:r w:rsidRPr="54A4A25B" w:rsidR="26D734A7">
        <w:rPr>
          <w:sz w:val="22"/>
          <w:szCs w:val="22"/>
        </w:rPr>
        <w:t>‌</w:t>
      </w:r>
    </w:p>
    <w:sectPr w:rsidRPr="00ED7869" w:rsidR="1E3BD8B7">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D6069" w:rsidRDefault="007D6069" w14:paraId="30E4A15A" w14:textId="77777777">
      <w:pPr>
        <w:spacing w:after="0" w:line="240" w:lineRule="auto"/>
      </w:pPr>
      <w:r>
        <w:separator/>
      </w:r>
    </w:p>
  </w:endnote>
  <w:endnote w:type="continuationSeparator" w:id="0">
    <w:p w:rsidR="007D6069" w:rsidRDefault="007D6069" w14:paraId="2544151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E3BD8B7" w:rsidTr="1E3BD8B7" w14:paraId="2E2B47EF" w14:textId="77777777">
      <w:trPr>
        <w:trHeight w:val="300"/>
      </w:trPr>
      <w:tc>
        <w:tcPr>
          <w:tcW w:w="3005" w:type="dxa"/>
        </w:tcPr>
        <w:p w:rsidR="1E3BD8B7" w:rsidP="1E3BD8B7" w:rsidRDefault="1E3BD8B7" w14:paraId="2B0117D2" w14:textId="67CD7ECE">
          <w:pPr>
            <w:pStyle w:val="Header"/>
            <w:ind w:left="-115"/>
          </w:pPr>
        </w:p>
      </w:tc>
      <w:tc>
        <w:tcPr>
          <w:tcW w:w="3005" w:type="dxa"/>
        </w:tcPr>
        <w:p w:rsidR="1E3BD8B7" w:rsidP="1E3BD8B7" w:rsidRDefault="1E3BD8B7" w14:paraId="39574EDB" w14:textId="555D9116">
          <w:pPr>
            <w:pStyle w:val="Header"/>
            <w:jc w:val="center"/>
          </w:pPr>
        </w:p>
      </w:tc>
      <w:tc>
        <w:tcPr>
          <w:tcW w:w="3005" w:type="dxa"/>
        </w:tcPr>
        <w:p w:rsidR="1E3BD8B7" w:rsidP="1E3BD8B7" w:rsidRDefault="1E3BD8B7" w14:paraId="4D5FADF7" w14:textId="5747E852">
          <w:pPr>
            <w:pStyle w:val="Header"/>
            <w:ind w:right="-115"/>
            <w:jc w:val="right"/>
          </w:pPr>
        </w:p>
      </w:tc>
    </w:tr>
  </w:tbl>
  <w:p w:rsidR="1E3BD8B7" w:rsidP="1E3BD8B7" w:rsidRDefault="1E3BD8B7" w14:paraId="4B3023CE" w14:textId="71B86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D6069" w:rsidRDefault="007D6069" w14:paraId="5D4B38C2" w14:textId="77777777">
      <w:pPr>
        <w:spacing w:after="0" w:line="240" w:lineRule="auto"/>
      </w:pPr>
      <w:r>
        <w:separator/>
      </w:r>
    </w:p>
  </w:footnote>
  <w:footnote w:type="continuationSeparator" w:id="0">
    <w:p w:rsidR="007D6069" w:rsidRDefault="007D6069" w14:paraId="45DEE54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E3BD8B7" w:rsidTr="1E3BD8B7" w14:paraId="0062D3C6" w14:textId="77777777">
      <w:trPr>
        <w:trHeight w:val="300"/>
      </w:trPr>
      <w:tc>
        <w:tcPr>
          <w:tcW w:w="3005" w:type="dxa"/>
        </w:tcPr>
        <w:p w:rsidR="1E3BD8B7" w:rsidP="1E3BD8B7" w:rsidRDefault="1E3BD8B7" w14:paraId="0B2FBA5A" w14:textId="0A7D9001">
          <w:pPr>
            <w:pStyle w:val="Header"/>
            <w:ind w:left="-115"/>
          </w:pPr>
        </w:p>
      </w:tc>
      <w:tc>
        <w:tcPr>
          <w:tcW w:w="3005" w:type="dxa"/>
        </w:tcPr>
        <w:p w:rsidR="1E3BD8B7" w:rsidP="1E3BD8B7" w:rsidRDefault="1E3BD8B7" w14:paraId="26EC8F9F" w14:textId="1FBC82ED">
          <w:pPr>
            <w:pStyle w:val="Header"/>
            <w:jc w:val="center"/>
          </w:pPr>
        </w:p>
      </w:tc>
      <w:tc>
        <w:tcPr>
          <w:tcW w:w="3005" w:type="dxa"/>
        </w:tcPr>
        <w:p w:rsidR="1E3BD8B7" w:rsidP="1E3BD8B7" w:rsidRDefault="1E3BD8B7" w14:paraId="43A172EA" w14:textId="104AF90B">
          <w:pPr>
            <w:pStyle w:val="Header"/>
            <w:ind w:right="-115"/>
            <w:jc w:val="right"/>
          </w:pPr>
        </w:p>
      </w:tc>
    </w:tr>
  </w:tbl>
  <w:p w:rsidR="1E3BD8B7" w:rsidP="1E3BD8B7" w:rsidRDefault="1E3BD8B7" w14:paraId="1C9A0A9F" w14:textId="3E2C75FB">
    <w:pPr>
      <w:pStyle w:val="Header"/>
    </w:pPr>
  </w:p>
</w:hdr>
</file>

<file path=word/intelligence2.xml><?xml version="1.0" encoding="utf-8"?>
<int2:intelligence xmlns:int2="http://schemas.microsoft.com/office/intelligence/2020/intelligence" xmlns:oel="http://schemas.microsoft.com/office/2019/extlst">
  <int2:observations>
    <int2:textHash int2:hashCode="DTTcwT7Vnu94an" int2:id="TWI6xcc9">
      <int2:state int2:type="spell" int2:value="Rejected"/>
    </int2:textHash>
    <int2:textHash int2:hashCode="d+Yhiqo05Zy/y4" int2:id="ONjJWczN">
      <int2:state int2:type="spell" int2:value="Rejected"/>
    </int2:textHash>
    <int2:textHash int2:hashCode="hiciq70E4cfDje" int2:id="65SmXnge">
      <int2:state int2:type="spell" int2:value="Rejected"/>
    </int2:textHash>
    <int2:textHash int2:hashCode="FtlEhpdwJIIpnB" int2:id="a4d236SC">
      <int2:state int2:type="spell" int2:value="Rejected"/>
    </int2:textHash>
    <int2:textHash int2:hashCode="qqSSPYSku+o2ld" int2:id="FDeWG3DA">
      <int2:state int2:type="spell" int2:value="Rejected"/>
    </int2:textHash>
    <int2:textHash int2:hashCode="VLeK0lgDHFU1WF" int2:id="jzPHJIIs">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A05597"/>
    <w:multiLevelType w:val="hybridMultilevel"/>
    <w:tmpl w:val="FFFFFFFF"/>
    <w:lvl w:ilvl="0" w:tplc="C37AB75E">
      <w:start w:val="1"/>
      <w:numFmt w:val="decimal"/>
      <w:lvlText w:val="%1."/>
      <w:lvlJc w:val="left"/>
      <w:pPr>
        <w:ind w:left="720" w:hanging="360"/>
      </w:pPr>
    </w:lvl>
    <w:lvl w:ilvl="1" w:tplc="01C651AC">
      <w:start w:val="1"/>
      <w:numFmt w:val="lowerLetter"/>
      <w:lvlText w:val="%2."/>
      <w:lvlJc w:val="left"/>
      <w:pPr>
        <w:ind w:left="1440" w:hanging="360"/>
      </w:pPr>
    </w:lvl>
    <w:lvl w:ilvl="2" w:tplc="C0DAE83E">
      <w:start w:val="1"/>
      <w:numFmt w:val="lowerRoman"/>
      <w:lvlText w:val="%3."/>
      <w:lvlJc w:val="right"/>
      <w:pPr>
        <w:ind w:left="2160" w:hanging="180"/>
      </w:pPr>
    </w:lvl>
    <w:lvl w:ilvl="3" w:tplc="542CB3BA">
      <w:start w:val="1"/>
      <w:numFmt w:val="decimal"/>
      <w:lvlText w:val="%4."/>
      <w:lvlJc w:val="left"/>
      <w:pPr>
        <w:ind w:left="2880" w:hanging="360"/>
      </w:pPr>
    </w:lvl>
    <w:lvl w:ilvl="4" w:tplc="6E38CCF6">
      <w:start w:val="1"/>
      <w:numFmt w:val="lowerLetter"/>
      <w:lvlText w:val="%5."/>
      <w:lvlJc w:val="left"/>
      <w:pPr>
        <w:ind w:left="3600" w:hanging="360"/>
      </w:pPr>
    </w:lvl>
    <w:lvl w:ilvl="5" w:tplc="9DBCAA80">
      <w:start w:val="1"/>
      <w:numFmt w:val="lowerRoman"/>
      <w:lvlText w:val="%6."/>
      <w:lvlJc w:val="right"/>
      <w:pPr>
        <w:ind w:left="4320" w:hanging="180"/>
      </w:pPr>
    </w:lvl>
    <w:lvl w:ilvl="6" w:tplc="8FBA72D4">
      <w:start w:val="1"/>
      <w:numFmt w:val="decimal"/>
      <w:lvlText w:val="%7."/>
      <w:lvlJc w:val="left"/>
      <w:pPr>
        <w:ind w:left="5040" w:hanging="360"/>
      </w:pPr>
    </w:lvl>
    <w:lvl w:ilvl="7" w:tplc="A6D833E2">
      <w:start w:val="1"/>
      <w:numFmt w:val="lowerLetter"/>
      <w:lvlText w:val="%8."/>
      <w:lvlJc w:val="left"/>
      <w:pPr>
        <w:ind w:left="5760" w:hanging="360"/>
      </w:pPr>
    </w:lvl>
    <w:lvl w:ilvl="8" w:tplc="B6D23298">
      <w:start w:val="1"/>
      <w:numFmt w:val="lowerRoman"/>
      <w:lvlText w:val="%9."/>
      <w:lvlJc w:val="right"/>
      <w:pPr>
        <w:ind w:left="6480" w:hanging="180"/>
      </w:pPr>
    </w:lvl>
  </w:abstractNum>
  <w:abstractNum w:abstractNumId="1" w15:restartNumberingAfterBreak="0">
    <w:nsid w:val="74BBFB4B"/>
    <w:multiLevelType w:val="hybridMultilevel"/>
    <w:tmpl w:val="FFFFFFFF"/>
    <w:lvl w:ilvl="0" w:tplc="0BAE77A0">
      <w:start w:val="1"/>
      <w:numFmt w:val="decimal"/>
      <w:lvlText w:val="%1."/>
      <w:lvlJc w:val="left"/>
      <w:pPr>
        <w:ind w:left="720" w:hanging="360"/>
      </w:pPr>
    </w:lvl>
    <w:lvl w:ilvl="1" w:tplc="94B2F77C">
      <w:start w:val="1"/>
      <w:numFmt w:val="lowerLetter"/>
      <w:lvlText w:val="%2."/>
      <w:lvlJc w:val="left"/>
      <w:pPr>
        <w:ind w:left="1440" w:hanging="360"/>
      </w:pPr>
    </w:lvl>
    <w:lvl w:ilvl="2" w:tplc="1338913A">
      <w:start w:val="1"/>
      <w:numFmt w:val="lowerRoman"/>
      <w:lvlText w:val="%3."/>
      <w:lvlJc w:val="right"/>
      <w:pPr>
        <w:ind w:left="2160" w:hanging="180"/>
      </w:pPr>
    </w:lvl>
    <w:lvl w:ilvl="3" w:tplc="FA9CCC56">
      <w:start w:val="1"/>
      <w:numFmt w:val="decimal"/>
      <w:lvlText w:val="%4."/>
      <w:lvlJc w:val="left"/>
      <w:pPr>
        <w:ind w:left="2880" w:hanging="360"/>
      </w:pPr>
    </w:lvl>
    <w:lvl w:ilvl="4" w:tplc="950C537A">
      <w:start w:val="1"/>
      <w:numFmt w:val="lowerLetter"/>
      <w:lvlText w:val="%5."/>
      <w:lvlJc w:val="left"/>
      <w:pPr>
        <w:ind w:left="3600" w:hanging="360"/>
      </w:pPr>
    </w:lvl>
    <w:lvl w:ilvl="5" w:tplc="E5DCD78A">
      <w:start w:val="1"/>
      <w:numFmt w:val="lowerRoman"/>
      <w:lvlText w:val="%6."/>
      <w:lvlJc w:val="right"/>
      <w:pPr>
        <w:ind w:left="4320" w:hanging="180"/>
      </w:pPr>
    </w:lvl>
    <w:lvl w:ilvl="6" w:tplc="6A0CDB3E">
      <w:start w:val="1"/>
      <w:numFmt w:val="decimal"/>
      <w:lvlText w:val="%7."/>
      <w:lvlJc w:val="left"/>
      <w:pPr>
        <w:ind w:left="5040" w:hanging="360"/>
      </w:pPr>
    </w:lvl>
    <w:lvl w:ilvl="7" w:tplc="643CDC8C">
      <w:start w:val="1"/>
      <w:numFmt w:val="lowerLetter"/>
      <w:lvlText w:val="%8."/>
      <w:lvlJc w:val="left"/>
      <w:pPr>
        <w:ind w:left="5760" w:hanging="360"/>
      </w:pPr>
    </w:lvl>
    <w:lvl w:ilvl="8" w:tplc="9432D9CA">
      <w:start w:val="1"/>
      <w:numFmt w:val="lowerRoman"/>
      <w:lvlText w:val="%9."/>
      <w:lvlJc w:val="right"/>
      <w:pPr>
        <w:ind w:left="6480" w:hanging="180"/>
      </w:pPr>
    </w:lvl>
  </w:abstractNum>
  <w:num w:numId="1" w16cid:durableId="2004551993">
    <w:abstractNumId w:val="1"/>
  </w:num>
  <w:num w:numId="2" w16cid:durableId="1103260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DA5D35"/>
    <w:rsid w:val="0005223D"/>
    <w:rsid w:val="00054A17"/>
    <w:rsid w:val="00070028"/>
    <w:rsid w:val="000C4CBA"/>
    <w:rsid w:val="00184BF3"/>
    <w:rsid w:val="00251979"/>
    <w:rsid w:val="00296EFE"/>
    <w:rsid w:val="002AF0E3"/>
    <w:rsid w:val="002B3095"/>
    <w:rsid w:val="0034591F"/>
    <w:rsid w:val="00547C2F"/>
    <w:rsid w:val="005FF298"/>
    <w:rsid w:val="00642C6D"/>
    <w:rsid w:val="00672A62"/>
    <w:rsid w:val="006A6A4C"/>
    <w:rsid w:val="0077A710"/>
    <w:rsid w:val="007D4C39"/>
    <w:rsid w:val="007D6069"/>
    <w:rsid w:val="008065D0"/>
    <w:rsid w:val="008615A7"/>
    <w:rsid w:val="00A605ED"/>
    <w:rsid w:val="00C04DCA"/>
    <w:rsid w:val="00D15D8F"/>
    <w:rsid w:val="00D71880"/>
    <w:rsid w:val="00EA0192"/>
    <w:rsid w:val="00ED7869"/>
    <w:rsid w:val="00F35C9E"/>
    <w:rsid w:val="0107B30F"/>
    <w:rsid w:val="01394627"/>
    <w:rsid w:val="013B6479"/>
    <w:rsid w:val="017E4A67"/>
    <w:rsid w:val="01B414E3"/>
    <w:rsid w:val="01D137C2"/>
    <w:rsid w:val="01F87590"/>
    <w:rsid w:val="028832D2"/>
    <w:rsid w:val="028ABC27"/>
    <w:rsid w:val="02A5127B"/>
    <w:rsid w:val="02CC807E"/>
    <w:rsid w:val="02DE3D6A"/>
    <w:rsid w:val="02E59209"/>
    <w:rsid w:val="02EB1BFE"/>
    <w:rsid w:val="030BA8CF"/>
    <w:rsid w:val="03A378A3"/>
    <w:rsid w:val="040A4B08"/>
    <w:rsid w:val="045237C0"/>
    <w:rsid w:val="049A3857"/>
    <w:rsid w:val="05F9FFF6"/>
    <w:rsid w:val="0631DBF7"/>
    <w:rsid w:val="0690270F"/>
    <w:rsid w:val="06C910DF"/>
    <w:rsid w:val="06EEA90E"/>
    <w:rsid w:val="07213666"/>
    <w:rsid w:val="0762C531"/>
    <w:rsid w:val="07A7B452"/>
    <w:rsid w:val="08003DA7"/>
    <w:rsid w:val="0815627E"/>
    <w:rsid w:val="0834D59D"/>
    <w:rsid w:val="083845E5"/>
    <w:rsid w:val="088C1B6A"/>
    <w:rsid w:val="089BD7A3"/>
    <w:rsid w:val="0916B3EB"/>
    <w:rsid w:val="094A7D0E"/>
    <w:rsid w:val="094CF391"/>
    <w:rsid w:val="09807ACF"/>
    <w:rsid w:val="09AE59AF"/>
    <w:rsid w:val="09D84A6E"/>
    <w:rsid w:val="0AE0466B"/>
    <w:rsid w:val="0B06C081"/>
    <w:rsid w:val="0B1D888C"/>
    <w:rsid w:val="0B41A9BF"/>
    <w:rsid w:val="0B79490C"/>
    <w:rsid w:val="0B90158F"/>
    <w:rsid w:val="0C3370A5"/>
    <w:rsid w:val="0C5EA7A8"/>
    <w:rsid w:val="0CF53874"/>
    <w:rsid w:val="0D8A4496"/>
    <w:rsid w:val="0EBE8CB2"/>
    <w:rsid w:val="0EFB9408"/>
    <w:rsid w:val="0F60EBBB"/>
    <w:rsid w:val="0F77FA68"/>
    <w:rsid w:val="1005CFF3"/>
    <w:rsid w:val="1026719A"/>
    <w:rsid w:val="105A70A6"/>
    <w:rsid w:val="10CAEB18"/>
    <w:rsid w:val="10D80BF9"/>
    <w:rsid w:val="11396198"/>
    <w:rsid w:val="1367BCC5"/>
    <w:rsid w:val="1376EA52"/>
    <w:rsid w:val="13F0F1A6"/>
    <w:rsid w:val="14003DF3"/>
    <w:rsid w:val="14530679"/>
    <w:rsid w:val="146D0946"/>
    <w:rsid w:val="149FB927"/>
    <w:rsid w:val="154A2AAC"/>
    <w:rsid w:val="15766E28"/>
    <w:rsid w:val="15B4319C"/>
    <w:rsid w:val="16AAD087"/>
    <w:rsid w:val="16FCC7DB"/>
    <w:rsid w:val="170AD0C5"/>
    <w:rsid w:val="173F72F8"/>
    <w:rsid w:val="1740AB3C"/>
    <w:rsid w:val="17454340"/>
    <w:rsid w:val="17E15402"/>
    <w:rsid w:val="17EEFE99"/>
    <w:rsid w:val="17FF7A98"/>
    <w:rsid w:val="18296A1A"/>
    <w:rsid w:val="185566A2"/>
    <w:rsid w:val="1895C922"/>
    <w:rsid w:val="18C6239F"/>
    <w:rsid w:val="19C89BB7"/>
    <w:rsid w:val="19D7CA5A"/>
    <w:rsid w:val="19D8EB64"/>
    <w:rsid w:val="19EAD1D9"/>
    <w:rsid w:val="1A02C3CC"/>
    <w:rsid w:val="1A146A3F"/>
    <w:rsid w:val="1A340994"/>
    <w:rsid w:val="1A6D808B"/>
    <w:rsid w:val="1A917C78"/>
    <w:rsid w:val="1B6A8BEF"/>
    <w:rsid w:val="1BC2D4B8"/>
    <w:rsid w:val="1C2EA41F"/>
    <w:rsid w:val="1CBA0365"/>
    <w:rsid w:val="1CC0BED5"/>
    <w:rsid w:val="1CD9B89F"/>
    <w:rsid w:val="1CE0C92B"/>
    <w:rsid w:val="1D186E12"/>
    <w:rsid w:val="1E3BD8B7"/>
    <w:rsid w:val="1E7A6A5E"/>
    <w:rsid w:val="1E89A9A3"/>
    <w:rsid w:val="1EFEA5C7"/>
    <w:rsid w:val="1F4D3E51"/>
    <w:rsid w:val="1F9388E3"/>
    <w:rsid w:val="201FCD5E"/>
    <w:rsid w:val="21328060"/>
    <w:rsid w:val="21FE3B20"/>
    <w:rsid w:val="235E8A7A"/>
    <w:rsid w:val="237329CE"/>
    <w:rsid w:val="2429A6FE"/>
    <w:rsid w:val="24824C74"/>
    <w:rsid w:val="2486D8FF"/>
    <w:rsid w:val="25066956"/>
    <w:rsid w:val="25581393"/>
    <w:rsid w:val="2568836B"/>
    <w:rsid w:val="261BF2EC"/>
    <w:rsid w:val="262613E1"/>
    <w:rsid w:val="265F47AB"/>
    <w:rsid w:val="2664EC95"/>
    <w:rsid w:val="26AAAD9A"/>
    <w:rsid w:val="26D734A7"/>
    <w:rsid w:val="272F2255"/>
    <w:rsid w:val="281BD01C"/>
    <w:rsid w:val="28501DDC"/>
    <w:rsid w:val="287893EE"/>
    <w:rsid w:val="28CEC684"/>
    <w:rsid w:val="29115DD8"/>
    <w:rsid w:val="2945728C"/>
    <w:rsid w:val="2950DF61"/>
    <w:rsid w:val="299CC00C"/>
    <w:rsid w:val="299EC1F9"/>
    <w:rsid w:val="29FF1C76"/>
    <w:rsid w:val="2A2665D9"/>
    <w:rsid w:val="2A3F0BDE"/>
    <w:rsid w:val="2A5526A8"/>
    <w:rsid w:val="2A6EEEDE"/>
    <w:rsid w:val="2A8DA315"/>
    <w:rsid w:val="2B9C8ED0"/>
    <w:rsid w:val="2C589EE5"/>
    <w:rsid w:val="2C5F19A6"/>
    <w:rsid w:val="2CA904C8"/>
    <w:rsid w:val="2CC9AEEF"/>
    <w:rsid w:val="2D9825E5"/>
    <w:rsid w:val="2DEDA6E6"/>
    <w:rsid w:val="2E4E0A7F"/>
    <w:rsid w:val="2EC85420"/>
    <w:rsid w:val="2EC86090"/>
    <w:rsid w:val="2F22434B"/>
    <w:rsid w:val="2F53300C"/>
    <w:rsid w:val="2F6129EF"/>
    <w:rsid w:val="2F9EB9B4"/>
    <w:rsid w:val="2FA1CC42"/>
    <w:rsid w:val="2FB39DF0"/>
    <w:rsid w:val="2FD206BB"/>
    <w:rsid w:val="2FDA96DA"/>
    <w:rsid w:val="2FFB67F6"/>
    <w:rsid w:val="2FFC74A2"/>
    <w:rsid w:val="304EAB79"/>
    <w:rsid w:val="30586AC3"/>
    <w:rsid w:val="30B30F8D"/>
    <w:rsid w:val="310454D4"/>
    <w:rsid w:val="311531B5"/>
    <w:rsid w:val="31868122"/>
    <w:rsid w:val="31B1DD26"/>
    <w:rsid w:val="3202ED9B"/>
    <w:rsid w:val="3291D3F9"/>
    <w:rsid w:val="32CEBCBD"/>
    <w:rsid w:val="332A294C"/>
    <w:rsid w:val="33A9B7CB"/>
    <w:rsid w:val="33C8620F"/>
    <w:rsid w:val="341F771B"/>
    <w:rsid w:val="34A0263B"/>
    <w:rsid w:val="34CCCB85"/>
    <w:rsid w:val="34F2E20F"/>
    <w:rsid w:val="351F7D08"/>
    <w:rsid w:val="3560C922"/>
    <w:rsid w:val="35860452"/>
    <w:rsid w:val="35A6A10D"/>
    <w:rsid w:val="35CC84C9"/>
    <w:rsid w:val="36276804"/>
    <w:rsid w:val="36A2F588"/>
    <w:rsid w:val="36C916B6"/>
    <w:rsid w:val="36DF90EF"/>
    <w:rsid w:val="372D59A9"/>
    <w:rsid w:val="37479152"/>
    <w:rsid w:val="37F82F17"/>
    <w:rsid w:val="38EED4DC"/>
    <w:rsid w:val="39419391"/>
    <w:rsid w:val="3972A23C"/>
    <w:rsid w:val="39832A20"/>
    <w:rsid w:val="398DB961"/>
    <w:rsid w:val="3999CD08"/>
    <w:rsid w:val="399F1E72"/>
    <w:rsid w:val="39D493A1"/>
    <w:rsid w:val="3A3E59A7"/>
    <w:rsid w:val="3A46E5E2"/>
    <w:rsid w:val="3ABA6955"/>
    <w:rsid w:val="3B26B6AA"/>
    <w:rsid w:val="3B80DFE4"/>
    <w:rsid w:val="3B9C8273"/>
    <w:rsid w:val="3BA21C23"/>
    <w:rsid w:val="3BF6A7BC"/>
    <w:rsid w:val="3C22CE22"/>
    <w:rsid w:val="3C35AF6D"/>
    <w:rsid w:val="3C3AF4E2"/>
    <w:rsid w:val="3C8D3324"/>
    <w:rsid w:val="3CB956D5"/>
    <w:rsid w:val="3CF29F41"/>
    <w:rsid w:val="3DABC0A2"/>
    <w:rsid w:val="3E23C986"/>
    <w:rsid w:val="3E60F31B"/>
    <w:rsid w:val="3E988F92"/>
    <w:rsid w:val="3EE367F3"/>
    <w:rsid w:val="3F0B5E4A"/>
    <w:rsid w:val="3FCE6843"/>
    <w:rsid w:val="3FDF9E4C"/>
    <w:rsid w:val="40555A61"/>
    <w:rsid w:val="40BDE721"/>
    <w:rsid w:val="40DB36D0"/>
    <w:rsid w:val="40DE1C7C"/>
    <w:rsid w:val="410AE5F3"/>
    <w:rsid w:val="410C5DBF"/>
    <w:rsid w:val="41A85332"/>
    <w:rsid w:val="43DD9FEC"/>
    <w:rsid w:val="43E584CE"/>
    <w:rsid w:val="44DA5D35"/>
    <w:rsid w:val="4511ED20"/>
    <w:rsid w:val="4541CAEF"/>
    <w:rsid w:val="4549D281"/>
    <w:rsid w:val="455B7AE4"/>
    <w:rsid w:val="458B51BE"/>
    <w:rsid w:val="45A73E40"/>
    <w:rsid w:val="45C47C10"/>
    <w:rsid w:val="45EF747D"/>
    <w:rsid w:val="4648BEE9"/>
    <w:rsid w:val="47296CBF"/>
    <w:rsid w:val="472CFD84"/>
    <w:rsid w:val="4790D368"/>
    <w:rsid w:val="47BC8283"/>
    <w:rsid w:val="47EDAA4E"/>
    <w:rsid w:val="47EECA40"/>
    <w:rsid w:val="48800E33"/>
    <w:rsid w:val="48E01B87"/>
    <w:rsid w:val="490F5B3D"/>
    <w:rsid w:val="49ED890E"/>
    <w:rsid w:val="4A1A7BEB"/>
    <w:rsid w:val="4A317347"/>
    <w:rsid w:val="4A803911"/>
    <w:rsid w:val="4A947510"/>
    <w:rsid w:val="4ABCC9F8"/>
    <w:rsid w:val="4AFD4D4A"/>
    <w:rsid w:val="4B114FB9"/>
    <w:rsid w:val="4B6E0960"/>
    <w:rsid w:val="4BE8869B"/>
    <w:rsid w:val="4C08BB80"/>
    <w:rsid w:val="4C2D7F86"/>
    <w:rsid w:val="4C30E0CE"/>
    <w:rsid w:val="4C322F3F"/>
    <w:rsid w:val="4C40CC82"/>
    <w:rsid w:val="4C8769E9"/>
    <w:rsid w:val="4CAE4E32"/>
    <w:rsid w:val="4CBD2056"/>
    <w:rsid w:val="4CC0DE5E"/>
    <w:rsid w:val="4CC52738"/>
    <w:rsid w:val="4D77D56C"/>
    <w:rsid w:val="4DEBD63D"/>
    <w:rsid w:val="4EB77553"/>
    <w:rsid w:val="4F2BFC41"/>
    <w:rsid w:val="4F59EF42"/>
    <w:rsid w:val="4FB78092"/>
    <w:rsid w:val="4FD04B80"/>
    <w:rsid w:val="5033AEE5"/>
    <w:rsid w:val="503D8FE3"/>
    <w:rsid w:val="50815DDA"/>
    <w:rsid w:val="509BEB27"/>
    <w:rsid w:val="50FB736C"/>
    <w:rsid w:val="522E894B"/>
    <w:rsid w:val="52326B37"/>
    <w:rsid w:val="5236E6C2"/>
    <w:rsid w:val="525B779E"/>
    <w:rsid w:val="525C212E"/>
    <w:rsid w:val="52726A79"/>
    <w:rsid w:val="52875F5C"/>
    <w:rsid w:val="52AD6FEF"/>
    <w:rsid w:val="535A7B04"/>
    <w:rsid w:val="541EE54B"/>
    <w:rsid w:val="542BD9A0"/>
    <w:rsid w:val="5433B1FE"/>
    <w:rsid w:val="544747B5"/>
    <w:rsid w:val="54A4A25B"/>
    <w:rsid w:val="5512645F"/>
    <w:rsid w:val="55417359"/>
    <w:rsid w:val="56860EFA"/>
    <w:rsid w:val="56879A71"/>
    <w:rsid w:val="56991801"/>
    <w:rsid w:val="56C31F05"/>
    <w:rsid w:val="56EF4803"/>
    <w:rsid w:val="57AA64CD"/>
    <w:rsid w:val="57DCDF72"/>
    <w:rsid w:val="57E151B5"/>
    <w:rsid w:val="58522F23"/>
    <w:rsid w:val="588987C9"/>
    <w:rsid w:val="58B0E41E"/>
    <w:rsid w:val="58CDF8BB"/>
    <w:rsid w:val="59480F93"/>
    <w:rsid w:val="59B343EB"/>
    <w:rsid w:val="5A207E06"/>
    <w:rsid w:val="5A379C40"/>
    <w:rsid w:val="5A3AD983"/>
    <w:rsid w:val="5A493004"/>
    <w:rsid w:val="5A6B7195"/>
    <w:rsid w:val="5A74DA2F"/>
    <w:rsid w:val="5A931892"/>
    <w:rsid w:val="5B24A71E"/>
    <w:rsid w:val="5B764D7F"/>
    <w:rsid w:val="5BF19D34"/>
    <w:rsid w:val="5C21EF33"/>
    <w:rsid w:val="5C9E6603"/>
    <w:rsid w:val="5CD75050"/>
    <w:rsid w:val="5D8A8BCD"/>
    <w:rsid w:val="5DC7EFF9"/>
    <w:rsid w:val="5E499E24"/>
    <w:rsid w:val="5E660235"/>
    <w:rsid w:val="5E6E304F"/>
    <w:rsid w:val="5F35FBEC"/>
    <w:rsid w:val="5F84406F"/>
    <w:rsid w:val="5FA80ECB"/>
    <w:rsid w:val="603240E0"/>
    <w:rsid w:val="607F1782"/>
    <w:rsid w:val="60876E16"/>
    <w:rsid w:val="60EB64BF"/>
    <w:rsid w:val="610805B0"/>
    <w:rsid w:val="6233B641"/>
    <w:rsid w:val="62771E0D"/>
    <w:rsid w:val="62932539"/>
    <w:rsid w:val="62A138C2"/>
    <w:rsid w:val="62CB1D5A"/>
    <w:rsid w:val="62E69B5A"/>
    <w:rsid w:val="63070362"/>
    <w:rsid w:val="630CD905"/>
    <w:rsid w:val="6382176E"/>
    <w:rsid w:val="63AA9DE4"/>
    <w:rsid w:val="63C6A268"/>
    <w:rsid w:val="63F3D805"/>
    <w:rsid w:val="6410C679"/>
    <w:rsid w:val="651DDA7D"/>
    <w:rsid w:val="65759EF0"/>
    <w:rsid w:val="657656C5"/>
    <w:rsid w:val="657B9C1E"/>
    <w:rsid w:val="661E2781"/>
    <w:rsid w:val="6658D960"/>
    <w:rsid w:val="6713DB29"/>
    <w:rsid w:val="67D03D6A"/>
    <w:rsid w:val="6846D26F"/>
    <w:rsid w:val="685722C0"/>
    <w:rsid w:val="6865C600"/>
    <w:rsid w:val="68809D9D"/>
    <w:rsid w:val="68BEA8E1"/>
    <w:rsid w:val="697CBDA2"/>
    <w:rsid w:val="69A7BBCD"/>
    <w:rsid w:val="6A16A611"/>
    <w:rsid w:val="6A6424E4"/>
    <w:rsid w:val="6A7B4157"/>
    <w:rsid w:val="6AFBCB17"/>
    <w:rsid w:val="6AFF3B34"/>
    <w:rsid w:val="6B4372F0"/>
    <w:rsid w:val="6C355BD5"/>
    <w:rsid w:val="6DA1FEB1"/>
    <w:rsid w:val="6E5B10CE"/>
    <w:rsid w:val="6E632875"/>
    <w:rsid w:val="6F4C512F"/>
    <w:rsid w:val="6F749756"/>
    <w:rsid w:val="6FC93760"/>
    <w:rsid w:val="7010BEF8"/>
    <w:rsid w:val="7125492D"/>
    <w:rsid w:val="7187917E"/>
    <w:rsid w:val="71891A88"/>
    <w:rsid w:val="71C48E62"/>
    <w:rsid w:val="72412D6D"/>
    <w:rsid w:val="7242B93F"/>
    <w:rsid w:val="7291C055"/>
    <w:rsid w:val="72A97E7B"/>
    <w:rsid w:val="72BAEB8D"/>
    <w:rsid w:val="72C1D652"/>
    <w:rsid w:val="72EF490F"/>
    <w:rsid w:val="7330B05D"/>
    <w:rsid w:val="7337E4AD"/>
    <w:rsid w:val="7339B13A"/>
    <w:rsid w:val="737BB868"/>
    <w:rsid w:val="73EBA498"/>
    <w:rsid w:val="73F3015E"/>
    <w:rsid w:val="73FAFA64"/>
    <w:rsid w:val="743EBD40"/>
    <w:rsid w:val="745C9479"/>
    <w:rsid w:val="747F1EBA"/>
    <w:rsid w:val="74C7D122"/>
    <w:rsid w:val="7560A29C"/>
    <w:rsid w:val="758341DC"/>
    <w:rsid w:val="75B0690B"/>
    <w:rsid w:val="75C12544"/>
    <w:rsid w:val="75DE1421"/>
    <w:rsid w:val="760CD145"/>
    <w:rsid w:val="76353D05"/>
    <w:rsid w:val="769D91DA"/>
    <w:rsid w:val="76B8FD23"/>
    <w:rsid w:val="76E68F93"/>
    <w:rsid w:val="773DD829"/>
    <w:rsid w:val="77604AF1"/>
    <w:rsid w:val="77A996C2"/>
    <w:rsid w:val="77F3B14E"/>
    <w:rsid w:val="78372FAF"/>
    <w:rsid w:val="78CB8459"/>
    <w:rsid w:val="7A374208"/>
    <w:rsid w:val="7B96ACC9"/>
    <w:rsid w:val="7C3EC793"/>
    <w:rsid w:val="7CEC1AE4"/>
    <w:rsid w:val="7CFECD35"/>
    <w:rsid w:val="7D3C53BA"/>
    <w:rsid w:val="7D567ADA"/>
    <w:rsid w:val="7DA7EA63"/>
    <w:rsid w:val="7E133C02"/>
    <w:rsid w:val="7E3111B3"/>
    <w:rsid w:val="7E4D1479"/>
    <w:rsid w:val="7E5B1186"/>
    <w:rsid w:val="7EAB7D34"/>
    <w:rsid w:val="7EFC600C"/>
    <w:rsid w:val="7F1BF459"/>
    <w:rsid w:val="7F290D58"/>
    <w:rsid w:val="7FC3206E"/>
    <w:rsid w:val="7FD5E82E"/>
    <w:rsid w:val="7FDF8E8B"/>
    <w:rsid w:val="7FFA8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A5D35"/>
  <w15:chartTrackingRefBased/>
  <w15:docId w15:val="{AC179230-7044-44A7-95A9-6325851A8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uiPriority w:val="9"/>
    <w:unhideWhenUsed/>
    <w:qFormat/>
    <w:rsid w:val="1E3BD8B7"/>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1E3BD8B7"/>
    <w:pPr>
      <w:ind w:left="720"/>
      <w:contextualSpacing/>
    </w:pPr>
  </w:style>
  <w:style w:type="paragraph" w:styleId="Header">
    <w:name w:val="header"/>
    <w:basedOn w:val="Normal"/>
    <w:uiPriority w:val="99"/>
    <w:unhideWhenUsed/>
    <w:rsid w:val="1E3BD8B7"/>
    <w:pPr>
      <w:tabs>
        <w:tab w:val="center" w:pos="4680"/>
        <w:tab w:val="right" w:pos="9360"/>
      </w:tabs>
      <w:spacing w:after="0" w:line="240" w:lineRule="auto"/>
    </w:pPr>
  </w:style>
  <w:style w:type="paragraph" w:styleId="Footer">
    <w:name w:val="footer"/>
    <w:basedOn w:val="Normal"/>
    <w:uiPriority w:val="99"/>
    <w:unhideWhenUsed/>
    <w:rsid w:val="1E3BD8B7"/>
    <w:pPr>
      <w:tabs>
        <w:tab w:val="center" w:pos="4680"/>
        <w:tab w:val="right" w:pos="9360"/>
      </w:tabs>
      <w:spacing w:after="0" w:line="240" w:lineRule="auto"/>
    </w:pPr>
  </w:style>
  <w:style w:type="character" w:styleId="Hyperlink">
    <w:name w:val="Hyperlink"/>
    <w:basedOn w:val="DefaultParagraphFont"/>
    <w:uiPriority w:val="99"/>
    <w:unhideWhenUsed/>
    <w:rsid w:val="1E3BD8B7"/>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hyperlink" Target="https://www.who.int/news/item/30-06-2025-social-connection-linked-to-improved-heath-and-reduced-risk-of-early-death" TargetMode="External" Id="rId7"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Rosiane Hatchodji Tchoumte Ep Tchounkeu (2439419)</dc:creator>
  <keywords/>
  <dc:description/>
  <lastModifiedBy>Rosiane Hatchodji Tchoumte Ep Tchounkeu (2439419)</lastModifiedBy>
  <revision>22</revision>
  <dcterms:created xsi:type="dcterms:W3CDTF">2026-02-26T12:01:00.0000000Z</dcterms:created>
  <dcterms:modified xsi:type="dcterms:W3CDTF">2026-03-23T10:20:14.9786179Z</dcterms:modified>
</coreProperties>
</file>