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695253" w14:textId="77777777" w:rsidR="00144668" w:rsidRPr="004F0548" w:rsidRDefault="00144668" w:rsidP="00956003">
      <w:pPr>
        <w:pStyle w:val="Heading1"/>
      </w:pPr>
      <w:r w:rsidRPr="004F0548">
        <w:t>TUES 28/04 – CLASS 2</w:t>
      </w:r>
      <w:r>
        <w:t xml:space="preserve"> </w:t>
      </w:r>
      <w:r w:rsidRPr="004F0548">
        <w:t>Medical, Bodily, and Psychological Anthropologies</w:t>
      </w:r>
    </w:p>
    <w:p w14:paraId="4887F545" w14:textId="77777777" w:rsidR="00144668" w:rsidRPr="004F0548" w:rsidRDefault="00460264" w:rsidP="00144668">
      <w:pPr>
        <w:jc w:val="both"/>
      </w:pPr>
      <w:r>
        <w:pict w14:anchorId="42A54B95">
          <v:rect id="_x0000_i1025" style="width:0;height:1.5pt" o:hralign="center" o:hrstd="t" o:hr="t" fillcolor="#a0a0a0" stroked="f"/>
        </w:pict>
      </w:r>
    </w:p>
    <w:p w14:paraId="22D93DF9" w14:textId="2FAF488F" w:rsidR="00144668" w:rsidRDefault="004D3F38" w:rsidP="000129E1">
      <w:pPr>
        <w:pStyle w:val="Heading2"/>
      </w:pPr>
      <w:r w:rsidRPr="004F0548">
        <w:t>0:00–0:20</w:t>
      </w:r>
      <w:r>
        <w:t xml:space="preserve">: </w:t>
      </w:r>
      <w:r w:rsidR="00144668" w:rsidRPr="004F0548">
        <w:t xml:space="preserve">PART </w:t>
      </w:r>
      <w:r>
        <w:t>1</w:t>
      </w:r>
      <w:r w:rsidR="00144668" w:rsidRPr="004F0548">
        <w:t xml:space="preserve"> — FROM WITCHCRAFT TO ILLNESS</w:t>
      </w:r>
    </w:p>
    <w:p w14:paraId="032B2E23" w14:textId="77777777" w:rsidR="00144668" w:rsidRPr="004F0548" w:rsidRDefault="00460264" w:rsidP="00144668">
      <w:pPr>
        <w:jc w:val="both"/>
        <w:rPr>
          <w:b/>
          <w:bCs/>
        </w:rPr>
      </w:pPr>
      <w:r>
        <w:pict w14:anchorId="5A516BB1">
          <v:rect id="_x0000_i1026" style="width:0;height:1.5pt" o:hralign="center" o:hrstd="t" o:hr="t" fillcolor="#a0a0a0" stroked="f"/>
        </w:pict>
      </w:r>
    </w:p>
    <w:p w14:paraId="2A959C6E" w14:textId="241C75EE" w:rsidR="00144668" w:rsidRPr="004F0548" w:rsidRDefault="007832E5" w:rsidP="000E57CE">
      <w:pPr>
        <w:pStyle w:val="Heading3"/>
      </w:pPr>
      <w:r>
        <w:t>1.</w:t>
      </w:r>
      <w:r w:rsidR="00144668" w:rsidRPr="004F0548">
        <w:t xml:space="preserve"> Conceptual Bridge</w:t>
      </w:r>
    </w:p>
    <w:p w14:paraId="53ACA218" w14:textId="77777777" w:rsidR="00401E49" w:rsidRDefault="00401E49" w:rsidP="00401E49">
      <w:pPr>
        <w:jc w:val="both"/>
      </w:pPr>
      <w:r w:rsidRPr="00401E49">
        <w:t>Witchcraft did not make misfortune disappear into explanation. It placed it within a social world. In Evans-Pritchard’s account of the Azande, the central question was never only what happened, but why it happened to this person, at this moment, in these relations. A granary falls because termites have weakened the supports. That explains the collapse, but not why someone was sitting beneath it when it happened. The event can therefore be physically explainable and still leave its deepest questions unresolved. Misfortune is not only something that occurs. It is something people have to make sense of.</w:t>
      </w:r>
    </w:p>
    <w:p w14:paraId="096AD1D3" w14:textId="77777777" w:rsidR="00401E49" w:rsidRPr="00401E49" w:rsidRDefault="00401E49" w:rsidP="00401E49">
      <w:pPr>
        <w:jc w:val="both"/>
      </w:pPr>
    </w:p>
    <w:p w14:paraId="20D34D62" w14:textId="77777777" w:rsidR="00401E49" w:rsidRDefault="00401E49" w:rsidP="00401E49">
      <w:pPr>
        <w:jc w:val="both"/>
      </w:pPr>
      <w:r w:rsidRPr="00401E49">
        <w:t>That question does not vanish when misfortune takes the form of illness. It often becomes more pressing. The body may seem to invite a different kind of explanation. A fever can be measured. A lesion can be seen. A tumour can be named. Modern medicine works through diagnosis, classification, and treatment. Yet even where those explanations are available, people still ask why this has happened, why now, why to this person, and why in the midst of these particular stresses, losses, conflicts, or disruptions. Illness does not arrive outside social life. It enters families, workplaces, memories, fears, obligations, and hopes.</w:t>
      </w:r>
    </w:p>
    <w:p w14:paraId="3D29B62E" w14:textId="77777777" w:rsidR="00401E49" w:rsidRPr="00401E49" w:rsidRDefault="00401E49" w:rsidP="00401E49">
      <w:pPr>
        <w:jc w:val="both"/>
      </w:pPr>
    </w:p>
    <w:p w14:paraId="654C7A32" w14:textId="77777777" w:rsidR="00401E49" w:rsidRDefault="00401E49" w:rsidP="00401E49">
      <w:pPr>
        <w:jc w:val="both"/>
      </w:pPr>
      <w:r w:rsidRPr="00401E49">
        <w:t>Medical anthropology begins from that simple but far-reaching point. Illness is never only something happening inside a body. It is also lived, interpreted, and responded to within a wider social world. Bodies are not separate from that world. They are among the places where strain, care, inequality, vulnerability, and meaning become most immediate. Healing systems are therefore not only ways of treating physical disorder. They are also ways of understanding what suffering is, where it comes from, what it does to persons and relations, and what kind of response it calls for.</w:t>
      </w:r>
    </w:p>
    <w:p w14:paraId="79EDA6E9" w14:textId="77777777" w:rsidR="00401E49" w:rsidRPr="00401E49" w:rsidRDefault="00401E49" w:rsidP="00401E49">
      <w:pPr>
        <w:jc w:val="both"/>
      </w:pPr>
    </w:p>
    <w:p w14:paraId="63612306" w14:textId="63D1DBCE" w:rsidR="00144668" w:rsidRDefault="00401E49" w:rsidP="00144668">
      <w:pPr>
        <w:jc w:val="both"/>
      </w:pPr>
      <w:r w:rsidRPr="00401E49">
        <w:t xml:space="preserve">So the movement from witchcraft to illness is not a move from ‘belief’ to ‘fact’. It is a move from one kind of explanatory problem to another. In both cases, anthropology is </w:t>
      </w:r>
      <w:r w:rsidRPr="00401E49">
        <w:lastRenderedPageBreak/>
        <w:t>concerned with how people make suffering intelligible. Once that question is taken seriously, medicine can no longer be treated as a purely technical domain. It becomes something social, moral, and interpretive as well</w:t>
      </w:r>
      <w:r w:rsidR="005D5D4E" w:rsidRPr="005D5D4E">
        <w:t>.</w:t>
      </w:r>
    </w:p>
    <w:p w14:paraId="6C76AD62" w14:textId="77777777" w:rsidR="005D5D4E" w:rsidRPr="004F0548" w:rsidRDefault="005D5D4E" w:rsidP="00144668">
      <w:pPr>
        <w:jc w:val="both"/>
      </w:pPr>
    </w:p>
    <w:p w14:paraId="208990CC" w14:textId="77777777" w:rsidR="00144668" w:rsidRPr="004F0548" w:rsidRDefault="00460264" w:rsidP="00144668">
      <w:pPr>
        <w:jc w:val="both"/>
      </w:pPr>
      <w:r>
        <w:pict w14:anchorId="009D59F8">
          <v:rect id="_x0000_i1027" style="width:0;height:1.5pt" o:hralign="center" o:hrstd="t" o:hr="t" fillcolor="#a0a0a0" stroked="f"/>
        </w:pict>
      </w:r>
    </w:p>
    <w:p w14:paraId="5884A000" w14:textId="39B3F5EA" w:rsidR="00144668" w:rsidRPr="004F0548" w:rsidRDefault="007832E5" w:rsidP="000E57CE">
      <w:pPr>
        <w:pStyle w:val="Heading3"/>
      </w:pPr>
      <w:r>
        <w:t>2.</w:t>
      </w:r>
      <w:r w:rsidR="00144668" w:rsidRPr="004F0548">
        <w:t xml:space="preserve"> Illness, Meaning &amp; Explanatory Models</w:t>
      </w:r>
    </w:p>
    <w:p w14:paraId="1D04F993" w14:textId="77777777" w:rsidR="00A90664" w:rsidRDefault="00A90664" w:rsidP="00A90664">
      <w:pPr>
        <w:jc w:val="both"/>
      </w:pPr>
      <w:r w:rsidRPr="00A90664">
        <w:t>Arthur Kleinman’s distinction between disease, illness, and sickness remains one of the clearest starting points for medical anthropology. Disease refers to disorder as biomedicine defines it: lesions, infections, abnormal cells, physiological dysfunction, measurable pathology. Illness refers to the lived experience of that disorder: pain, fear, incapacity, uncertainty, stigma, and the disruption of ordinary life. Sickness refers to the social recognition of being unwell: the ways a condition is named, negotiated, doubted, legitimised, or acted upon by families, workplaces, institutions, and states (Kleinman, 1980). These are not three separate entities. They are different dimensions of the same condition, and medical anthropology begins by refusing to collapse one into another.</w:t>
      </w:r>
    </w:p>
    <w:p w14:paraId="0829C03E" w14:textId="77777777" w:rsidR="00A90664" w:rsidRPr="00A90664" w:rsidRDefault="00A90664" w:rsidP="00A90664">
      <w:pPr>
        <w:jc w:val="both"/>
      </w:pPr>
    </w:p>
    <w:p w14:paraId="62E73186" w14:textId="77777777" w:rsidR="00A90664" w:rsidRDefault="00A90664" w:rsidP="00A90664">
      <w:pPr>
        <w:jc w:val="both"/>
      </w:pPr>
      <w:r w:rsidRPr="00A90664">
        <w:t>Once that distinction is made, several common assumptions begin to loosen. A person may have disease without feeling ill. High blood pressure is the standard example: a clinician identifies risk before the patient experiences suffering. A person may also feel profoundly ill without receiving a biomedical diagnosis that settles the matter. Pain, fatigue, anxiety, infertility, dissociation, grief, and many chronic conditions often expose the gap between lived suffering and diagnostic capture. Sickness adds another layer again, because suffering is not recognised evenly. Someone may be in pain and still be told by relatives, employers, insurers, or state agencies that nothing serious is wrong. Recognition is social, and it is unequally distributed.</w:t>
      </w:r>
    </w:p>
    <w:p w14:paraId="4CB1C9B8" w14:textId="77777777" w:rsidR="00A23B16" w:rsidRDefault="00A23B16" w:rsidP="00A23B16">
      <w:pPr>
        <w:jc w:val="both"/>
      </w:pPr>
      <w:r>
        <w:t>CHANGE SLIDE</w:t>
      </w:r>
    </w:p>
    <w:p w14:paraId="6402E1A3" w14:textId="77777777" w:rsidR="00A90664" w:rsidRPr="00A90664" w:rsidRDefault="00A90664" w:rsidP="00A90664">
      <w:pPr>
        <w:jc w:val="both"/>
      </w:pPr>
    </w:p>
    <w:p w14:paraId="5A63D990" w14:textId="77777777" w:rsidR="00A90664" w:rsidRDefault="00A90664" w:rsidP="00A90664">
      <w:pPr>
        <w:jc w:val="both"/>
      </w:pPr>
      <w:r w:rsidRPr="00A90664">
        <w:t>Biomedicine is organised primarily around disease. Its great strength lies in identifying pathology, classifying it, and intervening upon it. Kleinman’s point was never to deny that strength, but to show that curing disease and understanding illness are not the same task. Clinical work always involves more than technical knowledge, because patients and practitioners arrive with different assumptions about what has happened, why it has happened, and what ought to be done. Kleinman called these assumptions explanatory models (Kleinman, 1980).</w:t>
      </w:r>
    </w:p>
    <w:p w14:paraId="4281564B" w14:textId="77777777" w:rsidR="00A90664" w:rsidRPr="00A90664" w:rsidRDefault="00A90664" w:rsidP="00A90664">
      <w:pPr>
        <w:jc w:val="both"/>
      </w:pPr>
    </w:p>
    <w:p w14:paraId="6DC6FA6E" w14:textId="77777777" w:rsidR="009F18FF" w:rsidRPr="009F18FF" w:rsidRDefault="009F18FF" w:rsidP="009F18FF">
      <w:pPr>
        <w:jc w:val="both"/>
      </w:pPr>
      <w:r w:rsidRPr="009F18FF">
        <w:t>People do not experience illness as pathology in the biomedical sense. They experience it as pain, incapacity, fear, disruption, and uncertainty in the course of everyday life. The explanations they give for that experience are what Kleinman calls explanatory models: accounts of what has caused the condition, why it has begun now, why it has taken this form, how serious it is, and what kind of response it requires (Kleinman, 1980). The answers may involve infection, inheritance, stress, overwork, trauma, pollution, fate, spirits, divine will, envy, bad luck, or some combination of these. They may point towards tablets, surgery, prayer, rest, counselling, ritual, dietary change, or family repair. These explanations are not secondary additions to an underlying medical event. They shape action. They affect fear, confidence, shame, hope, compliance, refusal, and trust.</w:t>
      </w:r>
    </w:p>
    <w:p w14:paraId="6A91E475" w14:textId="77777777" w:rsidR="00A23B16" w:rsidRDefault="00A23B16" w:rsidP="00A23B16">
      <w:pPr>
        <w:jc w:val="both"/>
      </w:pPr>
      <w:r>
        <w:t>CHANGE SLIDE</w:t>
      </w:r>
    </w:p>
    <w:p w14:paraId="5C8CC88A" w14:textId="77777777" w:rsidR="00A90664" w:rsidRPr="00A90664" w:rsidRDefault="00A90664" w:rsidP="00A90664">
      <w:pPr>
        <w:jc w:val="both"/>
      </w:pPr>
    </w:p>
    <w:p w14:paraId="2D1AD775" w14:textId="77777777" w:rsidR="00A90664" w:rsidRDefault="00A90664" w:rsidP="00A90664">
      <w:pPr>
        <w:jc w:val="both"/>
      </w:pPr>
      <w:r w:rsidRPr="00A90664">
        <w:t>The clinical encounter is therefore never only the transfer of expert knowledge from doctor to patient. It is also a meeting between explanatory worlds. A physician may understand diabetes through glucose metabolism, insulin resistance, and long-term risk. A patient may understand the same condition through exhaustion, migration, changing food, family history, work pressure, and the fear of becoming dependent on others. Neither account cancels the other, but they do not operate at the same level. Medical anthropology is concerned with what happens when these levels are brought together in clinics, hospitals, homes, and households of care.</w:t>
      </w:r>
    </w:p>
    <w:p w14:paraId="221F98C9" w14:textId="77777777" w:rsidR="00A90664" w:rsidRPr="00A90664" w:rsidRDefault="00A90664" w:rsidP="00A90664">
      <w:pPr>
        <w:jc w:val="both"/>
      </w:pPr>
    </w:p>
    <w:p w14:paraId="4847D99B" w14:textId="77777777" w:rsidR="00315212" w:rsidRPr="00315212" w:rsidRDefault="00315212" w:rsidP="00315212">
      <w:pPr>
        <w:jc w:val="both"/>
      </w:pPr>
      <w:r w:rsidRPr="00315212">
        <w:t>Kleinman is a good starting point because he makes one basic distinction clear: identifying disease is not the same thing as understanding illness. Lived experience is not noise around a biomedical core. It is part of what illness is. A person who is ill is not simply carrying symptoms. They are also trying to understand what has happened to their body, whether others believe them, whether they can still work, whether they remain the same person, and what sort of future is now possible.</w:t>
      </w:r>
    </w:p>
    <w:p w14:paraId="78BD1B0A" w14:textId="77777777" w:rsidR="00A23B16" w:rsidRDefault="00A23B16" w:rsidP="00A23B16">
      <w:pPr>
        <w:jc w:val="both"/>
      </w:pPr>
      <w:r>
        <w:t>CHANGE SLIDE</w:t>
      </w:r>
    </w:p>
    <w:p w14:paraId="02D7D846" w14:textId="77777777" w:rsidR="00A90664" w:rsidRPr="00A90664" w:rsidRDefault="00A90664" w:rsidP="00A90664">
      <w:pPr>
        <w:jc w:val="both"/>
      </w:pPr>
    </w:p>
    <w:p w14:paraId="19444440" w14:textId="4AA29532" w:rsidR="00A90664" w:rsidRDefault="00D17FAD" w:rsidP="00A90664">
      <w:pPr>
        <w:jc w:val="both"/>
      </w:pPr>
      <w:r w:rsidRPr="00D17FAD">
        <w:t>Good treats illness as a field of meaning rather than as pathology plus subjective response (Good, 1994). Pain does not explain itself. Suffering has to be narrated, interpreted, and located within available moral and cultural frameworks. People tell stories about onset, crisis, interruption, causation, and repair, and those stories do not merely describe illness after the fact. They help organise it into something that can be endured, communicated, and acted upon</w:t>
      </w:r>
      <w:r w:rsidR="00A90664" w:rsidRPr="00A90664">
        <w:t>.</w:t>
      </w:r>
    </w:p>
    <w:p w14:paraId="0F267FCE" w14:textId="77777777" w:rsidR="00A90664" w:rsidRPr="00A90664" w:rsidRDefault="00A90664" w:rsidP="00A90664">
      <w:pPr>
        <w:jc w:val="both"/>
      </w:pPr>
    </w:p>
    <w:p w14:paraId="6AFB089D" w14:textId="77777777" w:rsidR="00A90664" w:rsidRDefault="00A90664" w:rsidP="00A90664">
      <w:pPr>
        <w:jc w:val="both"/>
      </w:pPr>
      <w:r w:rsidRPr="00A90664">
        <w:t>Illness narratives vary enormously. They may be linear or fragmented, dignified or chaotic, private or public. Suffering may be narrated as punishment, test, betrayal, burden, injustice, family crisis, spiritual trial, or manageable inconvenience. Different social worlds make different stories easier to tell. Some conditions come with recognised narrative forms; others remain difficult to articulate. This matters because access to care is often shaped by whether suffering can be rendered in a form institutions recognise. What sounds persuasive to kin or to a religious healer may sound vague or incoherent in a psychiatric clinic. A biomedical history may extract clinically useful information while stripping away the moral world in which the illness is actually being lived.</w:t>
      </w:r>
    </w:p>
    <w:p w14:paraId="225894A6" w14:textId="77777777" w:rsidR="00A23B16" w:rsidRDefault="00A23B16" w:rsidP="00A23B16">
      <w:pPr>
        <w:jc w:val="both"/>
      </w:pPr>
      <w:r>
        <w:t>CHANGE SLIDE</w:t>
      </w:r>
    </w:p>
    <w:p w14:paraId="055C7C21" w14:textId="77777777" w:rsidR="00A90664" w:rsidRPr="00A90664" w:rsidRDefault="00A90664" w:rsidP="00A90664">
      <w:pPr>
        <w:jc w:val="both"/>
      </w:pPr>
    </w:p>
    <w:p w14:paraId="66D576E1" w14:textId="77777777" w:rsidR="00971E71" w:rsidRPr="00971E71" w:rsidRDefault="00971E71" w:rsidP="00971E71">
      <w:pPr>
        <w:jc w:val="both"/>
      </w:pPr>
      <w:r w:rsidRPr="00971E71">
        <w:t>Good treats meaning as part of illness itself rather than as a subjective layer added to pathology. To become ill is often to undergo a crisis of interpretation. Ordinary routines break down. Time changes shape. The future becomes uncertain. The body no longer recedes quietly into the background of everyday life. It becomes obtrusive, resistant, and sometimes strange. Illness therefore raises a question that exceeds diagnosis: not simply what is wrong with the body, but what kind of life is now possible through it.</w:t>
      </w:r>
    </w:p>
    <w:p w14:paraId="54CEE558" w14:textId="77777777" w:rsidR="00A90664" w:rsidRPr="00A90664" w:rsidRDefault="00A90664" w:rsidP="00A90664">
      <w:pPr>
        <w:jc w:val="both"/>
      </w:pPr>
    </w:p>
    <w:p w14:paraId="2E0A78A2" w14:textId="77777777" w:rsidR="00A90664" w:rsidRDefault="00A90664" w:rsidP="00A90664">
      <w:pPr>
        <w:jc w:val="both"/>
      </w:pPr>
      <w:r w:rsidRPr="00A90664">
        <w:t>That work of interpretation is always moral as well as narrative. Illness raises questions of blame, duty, care, and worth. Who is expected to look after whom? Who is believed and who is suspected? Who is judged responsible for becoming unwell? Which conditions attract sympathy and which invite distrust? Medical systems do not stand outside those questions. They participate in them. Diagnosis can remove blame, but it can also impose new forms of classification that alter employment, kinship expectations, reproductive futures, or public standing.</w:t>
      </w:r>
    </w:p>
    <w:p w14:paraId="57E72E8D" w14:textId="77777777" w:rsidR="00A23B16" w:rsidRDefault="00A23B16" w:rsidP="00A23B16">
      <w:pPr>
        <w:jc w:val="both"/>
      </w:pPr>
      <w:r>
        <w:t>CHANGE SLIDE</w:t>
      </w:r>
    </w:p>
    <w:p w14:paraId="4CE6491C" w14:textId="77777777" w:rsidR="00A90664" w:rsidRPr="00A90664" w:rsidRDefault="00A90664" w:rsidP="00A90664">
      <w:pPr>
        <w:jc w:val="both"/>
      </w:pPr>
    </w:p>
    <w:p w14:paraId="62C29FBD" w14:textId="77777777" w:rsidR="00A90664" w:rsidRDefault="00A90664" w:rsidP="00A90664">
      <w:pPr>
        <w:jc w:val="both"/>
      </w:pPr>
      <w:r w:rsidRPr="00A90664">
        <w:t>For this reason, anthropologists have long resisted any account of medicine that treats it as merely technical. Technical intervention matters enormously, and no serious anthropology romanticises untreated infection, obstructed labour, or sepsis. But effective treatment does not remove interpretation. Even highly technological medicine remains culturally organised. Hospitals have hierarchies. Categories carry moral weight. Treatment pathways presume particular kinds of patients. Pain scales, psychiatric manuals, triage systems, and risk assessments all depend on judgements about credibility, capacity, evidence, and urgency.</w:t>
      </w:r>
    </w:p>
    <w:p w14:paraId="1BD5E05D" w14:textId="77777777" w:rsidR="00A90664" w:rsidRPr="00A90664" w:rsidRDefault="00A90664" w:rsidP="00A90664">
      <w:pPr>
        <w:jc w:val="both"/>
      </w:pPr>
    </w:p>
    <w:p w14:paraId="5F76FB09" w14:textId="77777777" w:rsidR="00A90664" w:rsidRDefault="00A90664" w:rsidP="00A90664">
      <w:pPr>
        <w:jc w:val="both"/>
      </w:pPr>
      <w:r w:rsidRPr="00A90664">
        <w:t>The point is not that biomedicine is simply another belief system. That would flatten important differences in method, verification, and efficacy. The point is that efficacy does not exhaust what illness is. A correct diagnosis may still fail to answer the sufferer’s central question. A successful treatment may still leave unresolved what this illness means in a life, a family, or a moral world. Medical anthropology begins at that point. It asks how suffering becomes intelligible, how it is narrated, how it is recognised, how it is moralised, and how different systems of care respond to it.</w:t>
      </w:r>
    </w:p>
    <w:p w14:paraId="71BD0682" w14:textId="77777777" w:rsidR="00A90664" w:rsidRPr="00A90664" w:rsidRDefault="00A90664" w:rsidP="00A90664">
      <w:pPr>
        <w:jc w:val="both"/>
      </w:pPr>
    </w:p>
    <w:p w14:paraId="2C836768" w14:textId="54036322" w:rsidR="00944941" w:rsidRPr="00944941" w:rsidRDefault="00A90664" w:rsidP="00944941">
      <w:pPr>
        <w:jc w:val="both"/>
      </w:pPr>
      <w:r w:rsidRPr="00A90664">
        <w:t>If the previous lecture used witchcraft to ask why misfortune strikes where it does, medical anthropology carries that question into the clinic, the household, and the body. Illness is never only lesion, pathogen, or biochemical disorder. It is also interruption, interpretation, social status, and a struggle over explanation. Medicine, in that sense, is never only treatment. It is one of the arenas in which bodies, meanings, and moral worlds meet</w:t>
      </w:r>
      <w:r w:rsidR="00944941" w:rsidRPr="00944941">
        <w:t>.</w:t>
      </w:r>
    </w:p>
    <w:p w14:paraId="32D8C456" w14:textId="77777777" w:rsidR="00944941" w:rsidRPr="004F0548" w:rsidRDefault="00944941" w:rsidP="00144668">
      <w:pPr>
        <w:jc w:val="both"/>
      </w:pPr>
    </w:p>
    <w:p w14:paraId="1409AADD" w14:textId="77777777" w:rsidR="00144668" w:rsidRPr="004F0548" w:rsidRDefault="00460264" w:rsidP="00144668">
      <w:pPr>
        <w:jc w:val="both"/>
      </w:pPr>
      <w:r>
        <w:pict w14:anchorId="2F912B74">
          <v:rect id="_x0000_i1028" style="width:0;height:1.5pt" o:hralign="center" o:hrstd="t" o:hr="t" fillcolor="#a0a0a0" stroked="f"/>
        </w:pict>
      </w:r>
    </w:p>
    <w:p w14:paraId="51ECA225" w14:textId="125917EE" w:rsidR="00144668" w:rsidRPr="004F0548" w:rsidRDefault="004D3F38" w:rsidP="000129E1">
      <w:pPr>
        <w:pStyle w:val="Heading2"/>
      </w:pPr>
      <w:r w:rsidRPr="004F0548">
        <w:t>0:20–0:4</w:t>
      </w:r>
      <w:r w:rsidR="00025C97">
        <w:t>5</w:t>
      </w:r>
      <w:r>
        <w:t xml:space="preserve">: </w:t>
      </w:r>
      <w:r w:rsidR="00144668" w:rsidRPr="004F0548">
        <w:t xml:space="preserve">PART </w:t>
      </w:r>
      <w:r>
        <w:t>2</w:t>
      </w:r>
      <w:r w:rsidR="00144668" w:rsidRPr="004F0548">
        <w:t xml:space="preserve"> — BIOMEDICINE, POWER &amp; INEQUALITY</w:t>
      </w:r>
    </w:p>
    <w:p w14:paraId="7E1558AD" w14:textId="77777777" w:rsidR="00144668" w:rsidRDefault="00460264" w:rsidP="00144668">
      <w:pPr>
        <w:jc w:val="both"/>
        <w:rPr>
          <w:b/>
          <w:bCs/>
        </w:rPr>
      </w:pPr>
      <w:r>
        <w:pict w14:anchorId="6F3CC8FF">
          <v:rect id="_x0000_i1029" style="width:0;height:1.5pt" o:hralign="center" o:hrstd="t" o:hr="t" fillcolor="#a0a0a0" stroked="f"/>
        </w:pict>
      </w:r>
    </w:p>
    <w:p w14:paraId="13F7F2FD" w14:textId="6FA33B79" w:rsidR="00144668" w:rsidRPr="004F0548" w:rsidRDefault="006727DF" w:rsidP="000E57CE">
      <w:pPr>
        <w:pStyle w:val="Heading3"/>
      </w:pPr>
      <w:r>
        <w:t>0:20-</w:t>
      </w:r>
      <w:r w:rsidR="009B4CE8">
        <w:t>0:35</w:t>
      </w:r>
      <w:r w:rsidR="00144668" w:rsidRPr="004F0548">
        <w:t xml:space="preserve"> </w:t>
      </w:r>
      <w:r w:rsidR="009B4CE8">
        <w:t xml:space="preserve"> – </w:t>
      </w:r>
      <w:r w:rsidR="007832E5">
        <w:t xml:space="preserve">Foucault, </w:t>
      </w:r>
      <w:r w:rsidR="00144668" w:rsidRPr="004F0548">
        <w:t>The Medical Gaze &amp; Biopolitics</w:t>
      </w:r>
    </w:p>
    <w:p w14:paraId="7D73B086" w14:textId="77777777" w:rsidR="009B0438" w:rsidRDefault="009B0438" w:rsidP="009B0438">
      <w:pPr>
        <w:jc w:val="both"/>
      </w:pPr>
      <w:r w:rsidRPr="009B0438">
        <w:t>Modern biomedicine does not simply treat illness. It trains clinicians to perceive the body in a particular way. Foucault argues that the modern clinic reorganised medical knowledge around observation, examination, and classification, so that the patient is approached first as a body that can be inspected, differentiated, and diagnosed rather than as a whole person embedded in social relations (Foucault, 1973). That is the core of the medical gaze. The clinic does not begin with grief, kinship, work, fear, or memory. It begins with signs, lesions, symptoms, distributions, and testable abnormalities. Foucault’s formulation is dense, but the argument is clear: the clinic claims to know the patient by isolating what can be seen, located, and named in the body (Foucault, 1973: xiv).</w:t>
      </w:r>
    </w:p>
    <w:p w14:paraId="178FC977" w14:textId="77777777" w:rsidR="009B0438" w:rsidRPr="009B0438" w:rsidRDefault="009B0438" w:rsidP="009B0438">
      <w:pPr>
        <w:jc w:val="both"/>
      </w:pPr>
    </w:p>
    <w:p w14:paraId="5A47F273" w14:textId="77777777" w:rsidR="009B0438" w:rsidRPr="009B0438" w:rsidRDefault="009B0438" w:rsidP="009B0438">
      <w:pPr>
        <w:jc w:val="both"/>
      </w:pPr>
      <w:r w:rsidRPr="009B0438">
        <w:t>This way of seeing gives medicine considerable diagnostic power, but it also separates lived experience from pathological evidence. A cough becomes evidence of infection or dysfunction. Pain becomes a symptom to be measured, located, and compared. A scan or blood test can carry more authority than the patient’s own account of what has happened in their life. A person may say, ‘I have not been myself since my mother died’, while the consultation moves towards duration, severity, inflammation, radiating pain, or differential diagnosis. Those are not mistaken questions. They are the ordinary methods of clinical reasoning. The anthropological problem is that experiences such as grief, labour, chronic stress, kinship strain, or fear can then be treated as secondary, even when they shape both suffering and recovery. Medical anthropology takes that separation seriously because it shows how a patient can be investigated in detail and still not be understood as a social person.</w:t>
      </w:r>
    </w:p>
    <w:p w14:paraId="7C515C99" w14:textId="77777777" w:rsidR="003D3F9C" w:rsidRDefault="003D3F9C" w:rsidP="003D3F9C">
      <w:pPr>
        <w:jc w:val="both"/>
      </w:pPr>
      <w:r>
        <w:t>CHANGE SLIDE</w:t>
      </w:r>
    </w:p>
    <w:p w14:paraId="7162F4AC" w14:textId="77777777" w:rsidR="003D3F9C" w:rsidRPr="00631751" w:rsidRDefault="003D3F9C" w:rsidP="00631751">
      <w:pPr>
        <w:jc w:val="both"/>
      </w:pPr>
    </w:p>
    <w:p w14:paraId="110D790F" w14:textId="77777777" w:rsidR="00070521" w:rsidRDefault="00070521" w:rsidP="00070521">
      <w:pPr>
        <w:jc w:val="both"/>
      </w:pPr>
      <w:r w:rsidRPr="00070521">
        <w:t>Foucault is not arguing that doctors are cruel or that biomedical knowledge is false. He is analysing how medical institutions produce a specific kind of knowledge about bodies. Hospitals, clinics, and medical schools arrange bodies so they can be observed, compared, recorded, and classified. They train practitioners to distinguish normal from abnormal, to build case histories, to use records and taxonomies, and to interpret bodies through shared diagnostic categories. Diagnosis therefore does more than describe a condition. It places a person within an institutional system that defines what the condition is, how it should be treated, and who has the authority to act on it.</w:t>
      </w:r>
    </w:p>
    <w:p w14:paraId="2896EB3F" w14:textId="77777777" w:rsidR="00070521" w:rsidRPr="00070521" w:rsidRDefault="00070521" w:rsidP="00070521">
      <w:pPr>
        <w:jc w:val="both"/>
      </w:pPr>
    </w:p>
    <w:p w14:paraId="4CE9F7BC" w14:textId="77777777" w:rsidR="00070521" w:rsidRPr="00070521" w:rsidRDefault="00070521" w:rsidP="00070521">
      <w:pPr>
        <w:jc w:val="both"/>
      </w:pPr>
      <w:r w:rsidRPr="00070521">
        <w:t>Classification has practical consequences because it changes the kinds of intervention that become possible. A diagnosis can open access to treatment, medication, welfare support, educational provision, or legal recognition. It can also subject a person to monitoring, stigma, exclusion, or the expectation that they must now manage themselves as a member of an identified risk group. Categories do not simply reflect reality. They organise responses to it. They shape what professionals, relatives, schools, employers, insurers, and public authorities are permitted to do, what the diagnosed person is expected to do, and how responsibility is distributed around a condition.</w:t>
      </w:r>
    </w:p>
    <w:p w14:paraId="222DC91C" w14:textId="77777777" w:rsidR="003D3F9C" w:rsidRDefault="003D3F9C" w:rsidP="003D3F9C">
      <w:pPr>
        <w:jc w:val="both"/>
      </w:pPr>
      <w:r>
        <w:t>CHANGE SLIDE</w:t>
      </w:r>
    </w:p>
    <w:p w14:paraId="106C34AF" w14:textId="77777777" w:rsidR="003D3F9C" w:rsidRPr="00631751" w:rsidRDefault="003D3F9C" w:rsidP="00631751">
      <w:pPr>
        <w:jc w:val="both"/>
      </w:pPr>
    </w:p>
    <w:p w14:paraId="1312C29B" w14:textId="77777777" w:rsidR="000F2337" w:rsidRDefault="000F2337" w:rsidP="000F2337">
      <w:pPr>
        <w:jc w:val="both"/>
      </w:pPr>
      <w:r w:rsidRPr="000F2337">
        <w:t>Modern power does not stop at the individual patient. Foucault argues that it also operates at the level of the population. In The History of Sexuality, Volume 1, he describes a form of power concerned with ‘the subjugation of bodies and the control of populations’ (Foucault, 1978: 140). That is the basis of biopolitics. Governments do not act only through law, punishment, or force. They also act by measuring, regulating, and improving life through public health, fertility policy, psychiatric classification, schooling, vaccination, nutrition, disability assessment, and the management of mortality and longevity.</w:t>
      </w:r>
    </w:p>
    <w:p w14:paraId="458D2C32" w14:textId="77777777" w:rsidR="000F2337" w:rsidRPr="000F2337" w:rsidRDefault="000F2337" w:rsidP="000F2337">
      <w:pPr>
        <w:jc w:val="both"/>
      </w:pPr>
    </w:p>
    <w:p w14:paraId="51C07EB6" w14:textId="77777777" w:rsidR="000F2337" w:rsidRPr="000F2337" w:rsidRDefault="000F2337" w:rsidP="000F2337">
      <w:pPr>
        <w:jc w:val="both"/>
      </w:pPr>
      <w:r w:rsidRPr="000F2337">
        <w:t>This argument becomes clearer when stated through concrete institutions and practices. A census counts and categorises the population. Maternity services monitor pregnancy and foetal development. Public health departments track infection, map risk, and target intervention. Psychiatric manuals classify distress into recognised disorders. Schools keep medical records and identify children as delayed, disabled, vulnerable, or developmentally normal. Fertility clinics decide who qualifies for reproductive assistance and under what conditions. Pandemic measures identify high-risk groups, regulate movement, restrict contact, and define which forms of proximity are permissible. These practices govern through health. They rely less on constant force than on administration, expert judgement, statistical knowledge, routine monitoring, and norms about what a healthy, productive, and manageable population should be.</w:t>
      </w:r>
    </w:p>
    <w:p w14:paraId="185F0833" w14:textId="77777777" w:rsidR="003D3F9C" w:rsidRDefault="003D3F9C" w:rsidP="003D3F9C">
      <w:pPr>
        <w:jc w:val="both"/>
      </w:pPr>
      <w:r>
        <w:t>CHANGE SLIDE</w:t>
      </w:r>
    </w:p>
    <w:p w14:paraId="5882435C" w14:textId="77777777" w:rsidR="003D3F9C" w:rsidRPr="00631751" w:rsidRDefault="003D3F9C" w:rsidP="00631751">
      <w:pPr>
        <w:jc w:val="both"/>
      </w:pPr>
    </w:p>
    <w:p w14:paraId="40C24A6B" w14:textId="77777777" w:rsidR="008D6711" w:rsidRDefault="008D6711" w:rsidP="008D6711">
      <w:pPr>
        <w:jc w:val="both"/>
      </w:pPr>
      <w:r w:rsidRPr="008D6711">
        <w:t>Biopolitics is not a hidden conspiracy operating behind public institutions. It is the ordinary administration of collective life. Clean water systems, prenatal care, vaccination programmes, and infectious disease surveillance save lives. Anthropology does not dispute that. It asks what kinds of authority are exercised through these systems and how that authority is distributed unevenly. Some populations are monitored more closely than others. Some forms of reproduction are supported, while others are restricted, discouraged, or judged. Some behaviours are classified as public health problems, and some forms of distress are turned into medical disorders. Health systems protect, but they also sort, supervise, and regulate.</w:t>
      </w:r>
    </w:p>
    <w:p w14:paraId="1C8C2514" w14:textId="77777777" w:rsidR="008D6711" w:rsidRPr="008D6711" w:rsidRDefault="008D6711" w:rsidP="008D6711">
      <w:pPr>
        <w:jc w:val="both"/>
      </w:pPr>
    </w:p>
    <w:p w14:paraId="78ADD20B" w14:textId="77777777" w:rsidR="008D6711" w:rsidRDefault="008D6711" w:rsidP="008D6711">
      <w:pPr>
        <w:jc w:val="both"/>
      </w:pPr>
      <w:r w:rsidRPr="008D6711">
        <w:t>Asad makes the issue sharper by rejecting the idea that the body simply exists as a natural object waiting to be interpreted. He argues that bodies are formed through discipline, training, and historically specific practices (Asad, 1993). Medical institutions therefore do not only discover bodily facts. They also help produce particular kinds of subjects. People learn to weigh themselves, monitor symptoms, count calories, regulate fertility, track mood, assess risk, and describe their condition in terms recognised by clinicians, insurers, schools, and welfare offices. The body that medicine addresses is not only observed from outside. It is also shaped through routines that teach people how to live in relation to expert knowledge.</w:t>
      </w:r>
    </w:p>
    <w:p w14:paraId="406C6427" w14:textId="77777777" w:rsidR="008D6711" w:rsidRPr="008D6711" w:rsidRDefault="008D6711" w:rsidP="008D6711">
      <w:pPr>
        <w:jc w:val="both"/>
      </w:pPr>
    </w:p>
    <w:p w14:paraId="3F5FF4C5" w14:textId="77777777" w:rsidR="008D6711" w:rsidRPr="008D6711" w:rsidRDefault="008D6711" w:rsidP="008D6711">
      <w:pPr>
        <w:jc w:val="both"/>
      </w:pPr>
      <w:r w:rsidRPr="008D6711">
        <w:t>Foucault’s argument is therefore not limited to cure or diagnosis. Modern medicine makes bodies visible in specific ways. It separates pathological evidence from the wider social person in order to classify and intervene. It produces categories that move across clinics, schools, welfare systems, workplaces, and public health offices. It also treats populations as objects of management through birth, death, reproduction, disability, mental health, and risk. Medicine is never only a technical response to disease. It is also a set of institutions and practices through which bodies are known, regulated, and governed.</w:t>
      </w:r>
    </w:p>
    <w:p w14:paraId="44610DE1" w14:textId="77777777" w:rsidR="00F96652" w:rsidRPr="004F0548" w:rsidRDefault="00F96652" w:rsidP="00144668">
      <w:pPr>
        <w:jc w:val="both"/>
      </w:pPr>
    </w:p>
    <w:p w14:paraId="4DF9D28B" w14:textId="77777777" w:rsidR="00144668" w:rsidRPr="004F0548" w:rsidRDefault="00460264" w:rsidP="00144668">
      <w:pPr>
        <w:jc w:val="both"/>
      </w:pPr>
      <w:r>
        <w:pict w14:anchorId="09F7CB66">
          <v:rect id="_x0000_i1030" style="width:0;height:1.5pt" o:hralign="center" o:hrstd="t" o:hr="t" fillcolor="#a0a0a0" stroked="f"/>
        </w:pict>
      </w:r>
    </w:p>
    <w:p w14:paraId="040F0839" w14:textId="7CE1BE6A" w:rsidR="00144668" w:rsidRPr="004F0548" w:rsidRDefault="009B4CE8" w:rsidP="000E57CE">
      <w:pPr>
        <w:pStyle w:val="Heading3"/>
      </w:pPr>
      <w:r>
        <w:t>0:35-0:45</w:t>
      </w:r>
      <w:r w:rsidR="00144668" w:rsidRPr="004F0548">
        <w:t xml:space="preserve"> </w:t>
      </w:r>
      <w:r>
        <w:t xml:space="preserve"> – </w:t>
      </w:r>
      <w:r w:rsidR="00144668" w:rsidRPr="004F0548">
        <w:t>Structural Violence</w:t>
      </w:r>
    </w:p>
    <w:p w14:paraId="4015B132" w14:textId="77777777" w:rsidR="00114192" w:rsidRDefault="00114192" w:rsidP="00114192">
      <w:pPr>
        <w:jc w:val="both"/>
      </w:pPr>
      <w:r w:rsidRPr="00114192">
        <w:t>Paul Farmer takes the problem of health beyond diagnosis and treatment and asks how protection itself is distributed. Foucault shows that modern power governs populations through health, reproduction, and the management of life (Foucault, 1978, p. 140). Farmer accepts that point, but he does not treat systems of care as evenly administered. He argues that disease must be analysed through inequality, history, and political economy rather than approached as a self-contained biomedical event (Farmer, 2004, pp. 308–309). A clinic, hospital, insurance system, or public health programme does not meet all patients under the same conditions. Some people can reach services quickly, pay for medicines, and secure continuity of care. Others arrive late, lack transport, cannot afford treatment, or are judged through racialised, classed, or colonial assumptions that make neglect more likely. The central question is therefore not only how medicine governs life, but why some groups are far more likely than others to be left untreated, under-treated, or left to deteriorate.</w:t>
      </w:r>
    </w:p>
    <w:p w14:paraId="717319E4" w14:textId="77777777" w:rsidR="00114192" w:rsidRPr="00114192" w:rsidRDefault="00114192" w:rsidP="00114192">
      <w:pPr>
        <w:jc w:val="both"/>
      </w:pPr>
    </w:p>
    <w:p w14:paraId="1B3BAE86" w14:textId="77777777" w:rsidR="00114192" w:rsidRDefault="00114192" w:rsidP="00114192">
      <w:pPr>
        <w:jc w:val="both"/>
      </w:pPr>
      <w:r w:rsidRPr="00114192">
        <w:t>The concept of structural violence comes from Johan Galtung. He argues that violence is not limited to direct assault. Social arrangements are also violent when they systematically reduce some people’s chances of living, staying healthy, or surviving. His formulation is precise: violence can be built into the structure as ‘unequal power and consequently unequal life chances’ (Galtung, 1969, p. 171). That definition shifts attention away from a visible attacker and towards the organisation of society itself. Harm can be produced by institutions, infrastructures, and patterned inequalities even when no individual intends to injure another person. Structural violence therefore refers to injury that is socially organised, historically reproduced, and unevenly distributed.</w:t>
      </w:r>
    </w:p>
    <w:p w14:paraId="2D77DAE6" w14:textId="44AEF6D5" w:rsidR="00114192" w:rsidRPr="00114192" w:rsidRDefault="00114192" w:rsidP="00114192">
      <w:pPr>
        <w:jc w:val="both"/>
      </w:pPr>
      <w:r>
        <w:t>CHANGE SLIDE</w:t>
      </w:r>
    </w:p>
    <w:p w14:paraId="671A6314" w14:textId="77777777" w:rsidR="00114192" w:rsidRDefault="00114192" w:rsidP="00114192">
      <w:pPr>
        <w:jc w:val="both"/>
      </w:pPr>
    </w:p>
    <w:p w14:paraId="5BA2F89C" w14:textId="4B4CB34E" w:rsidR="00114192" w:rsidRDefault="00114192" w:rsidP="00114192">
      <w:pPr>
        <w:jc w:val="both"/>
      </w:pPr>
      <w:r w:rsidRPr="00114192">
        <w:t xml:space="preserve">Farmer takes Galtung’s concept and applies it to illness, care, and survival. In Pathologies of Power, he defines structural violence as ‘social arrangements that put individuals and populations in harm’s way’ and explains that these arrangements are ‘structural’ because they are embedded in political and economic organisation and ‘violent’ because they cause injury (Farmer, 2003, p. 40). </w:t>
      </w:r>
      <w:r w:rsidR="005840D5">
        <w:t>This</w:t>
      </w:r>
      <w:r w:rsidRPr="00114192">
        <w:t xml:space="preserve"> reject</w:t>
      </w:r>
      <w:r w:rsidR="005840D5">
        <w:t>s</w:t>
      </w:r>
      <w:r w:rsidRPr="00114192">
        <w:t xml:space="preserve"> the idea that suffering is best explained by bad luck, poor choices, or isolated deprivation. He is arguing that social conditions expose some groups to illness more frequently, delay their access to care, and make recovery less likely once they are ill. Structural violence is therefore a way of explaining why harm appears repeatedly in the same places and among the same populations.</w:t>
      </w:r>
    </w:p>
    <w:p w14:paraId="1BAE2A3C" w14:textId="77777777" w:rsidR="00114192" w:rsidRPr="00114192" w:rsidRDefault="00114192" w:rsidP="00114192">
      <w:pPr>
        <w:jc w:val="both"/>
      </w:pPr>
    </w:p>
    <w:p w14:paraId="16285FC7" w14:textId="77777777" w:rsidR="00114192" w:rsidRDefault="00114192" w:rsidP="00114192">
      <w:pPr>
        <w:jc w:val="both"/>
      </w:pPr>
      <w:r w:rsidRPr="00114192">
        <w:t>This changes how disease must be analysed. Tuberculosis is caused by a bacterium, but it spreads and becomes harder to treat where people live in overcrowded housing, are undernourished, exhausted, imprisoned, displaced, or unable to sustain long treatment because daily life makes regular compliance difficult. HIV is caused by a virus, but infection and mortality are shaped by sexual inequality, labour migration, racialised poverty, weak systems of testing and care, and the pricing of drugs. Cholera is water-borne, but it becomes lethal where sewage systems are absent, water is unsafe, clinics are distant, and treatment is hard to reach. The pathogen matters in every case. Farmer’s argument is that exposure, severity, treatment, and survival are also shaped by housing, nutrition, labour conditions, infrastructure, poverty, and access to care (Farmer, 1999; Farmer, 2003).</w:t>
      </w:r>
    </w:p>
    <w:p w14:paraId="42E25D66" w14:textId="77777777" w:rsidR="00114192" w:rsidRPr="00114192" w:rsidRDefault="00114192" w:rsidP="00114192">
      <w:pPr>
        <w:jc w:val="both"/>
      </w:pPr>
      <w:r>
        <w:t>CHANGE SLIDE</w:t>
      </w:r>
    </w:p>
    <w:p w14:paraId="51C30D4E" w14:textId="77777777" w:rsidR="00114192" w:rsidRPr="00114192" w:rsidRDefault="00114192" w:rsidP="00114192">
      <w:pPr>
        <w:jc w:val="both"/>
      </w:pPr>
    </w:p>
    <w:p w14:paraId="25EF065F" w14:textId="186AB37C" w:rsidR="00114192" w:rsidRDefault="00114192" w:rsidP="00114192">
      <w:pPr>
        <w:jc w:val="both"/>
      </w:pPr>
      <w:r w:rsidRPr="00114192">
        <w:t>Structural violence becomes visible in the body because inequality has physical effects. Malnutrition weakens immune response. Chronic stress affects cardiovascular, endocrine, and mental health. Polluted water damages the gastrointestinal system and other organs. Insecure housing increases exposure to infection. Repetitive and exhausting labour depletes the body long before any diagnosis is made. A missed bus fare, an unpaid prescription, a closed clinic, an insecure tenancy, or an enduring debt is not a disease in itself, yet each can alter when illness begins, how severe it becomes, and whether treatment is completed. Farmer</w:t>
      </w:r>
      <w:r w:rsidR="00606C74">
        <w:t xml:space="preserve"> </w:t>
      </w:r>
      <w:r w:rsidRPr="00114192">
        <w:t>refuses any clean separation between biology and history. Bodies register the cumulative effects of unequal social conditions over time (Farmer, 2003; Farmer, 2004, pp. 308–309).</w:t>
      </w:r>
    </w:p>
    <w:p w14:paraId="65805A72" w14:textId="77777777" w:rsidR="00114192" w:rsidRPr="00114192" w:rsidRDefault="00114192" w:rsidP="00114192">
      <w:pPr>
        <w:jc w:val="both"/>
      </w:pPr>
    </w:p>
    <w:p w14:paraId="5DD44360" w14:textId="77777777" w:rsidR="00114192" w:rsidRDefault="00114192" w:rsidP="00114192">
      <w:pPr>
        <w:jc w:val="both"/>
      </w:pPr>
      <w:r w:rsidRPr="00114192">
        <w:t>Farmer also rejects explanations that reduce illness to ‘risk behaviour’. In Infections and Inequalities, he argues that major infectious diseases are patterned by history and political economy, and that behaviour-centred explanations often detach illness from the conditions in which people live (Farmer, 1999). The language of risk easily shifts blame onto the individual because it asks what a person chose to do. Farmer asks what choices were actually available. Did someone have clean water, secure housing, access to transport, money for treatment, the ability to stop working, or protection from sexual coercion? Those questions do not replace biological explanation. They explain why some people are far more exposed to disease and far less able to avoid it or recover from it. Without those conditions in view, explanation becomes a way of assigning blame to people whose options were already severely constrained.</w:t>
      </w:r>
    </w:p>
    <w:p w14:paraId="0547E71C" w14:textId="77777777" w:rsidR="00114192" w:rsidRPr="00114192" w:rsidRDefault="00114192" w:rsidP="00114192">
      <w:pPr>
        <w:jc w:val="both"/>
      </w:pPr>
    </w:p>
    <w:p w14:paraId="3329A40D" w14:textId="77777777" w:rsidR="00114192" w:rsidRPr="00114192" w:rsidRDefault="00114192" w:rsidP="00114192">
      <w:pPr>
        <w:jc w:val="both"/>
      </w:pPr>
      <w:r w:rsidRPr="00114192">
        <w:t>Farmer’s revision of Foucault is therefore specific and consequential. Foucault shows that modern power governs populations through health (Foucault, 1978, p. 140). Farmer shows that this governance is organised unevenly. Public health may speak in universal terms, but actual systems of prevention, diagnosis, treatment, and follow-up are stratified by class, race, nationality, geography, and colonial history (Farmer, 2004, pp. 308–309). Some groups receive routine screening, continuity of care, and rapid intervention. Others encounter delayed diagnosis, interrupted treatment, overstretched clinics, or care only once illness has become acute. Illness cannot therefore be reduced either to bodily malfunction or to subjective experience alone. It must also be analysed as a social outcome. Tuberculosis, HIV, and cholera do not fall randomly across a population. They follow lines of poverty, infrastructure, exclusion, and neglect. Structural violence gives anthropology a way to explain that pattern directly.</w:t>
      </w:r>
    </w:p>
    <w:p w14:paraId="6DF58638" w14:textId="77777777" w:rsidR="00F96652" w:rsidRPr="004F0548" w:rsidRDefault="00F96652" w:rsidP="00144668">
      <w:pPr>
        <w:jc w:val="both"/>
      </w:pPr>
    </w:p>
    <w:p w14:paraId="5117FB74" w14:textId="77777777" w:rsidR="00144668" w:rsidRPr="004F0548" w:rsidRDefault="00460264" w:rsidP="00144668">
      <w:pPr>
        <w:jc w:val="both"/>
      </w:pPr>
      <w:r>
        <w:pict w14:anchorId="0242C161">
          <v:rect id="_x0000_i1031" style="width:0;height:1.5pt" o:hralign="center" o:hrstd="t" o:hr="t" fillcolor="#a0a0a0" stroked="f"/>
        </w:pict>
      </w:r>
    </w:p>
    <w:p w14:paraId="14D4CA5A" w14:textId="36C7FDF3" w:rsidR="00025C97" w:rsidRPr="004F0548" w:rsidRDefault="00025C97" w:rsidP="00025C97">
      <w:pPr>
        <w:pStyle w:val="Heading2"/>
      </w:pPr>
      <w:r w:rsidRPr="004F0548">
        <w:t>BREAK (0:</w:t>
      </w:r>
      <w:r>
        <w:t>45</w:t>
      </w:r>
      <w:r w:rsidRPr="004F0548">
        <w:t>–0:5</w:t>
      </w:r>
      <w:r>
        <w:t>0</w:t>
      </w:r>
      <w:r w:rsidRPr="004F0548">
        <w:t>)</w:t>
      </w:r>
    </w:p>
    <w:p w14:paraId="22BE0417" w14:textId="380736ED" w:rsidR="00025C97" w:rsidRDefault="00025C97" w:rsidP="00025C97">
      <w:r>
        <w:pict w14:anchorId="43A55052">
          <v:rect id="_x0000_i1044" style="width:0;height:1.5pt" o:hralign="center" o:hrstd="t" o:hr="t" fillcolor="#a0a0a0" stroked="f"/>
        </w:pict>
      </w:r>
    </w:p>
    <w:p w14:paraId="20167D6A" w14:textId="5F1917B6" w:rsidR="00144668" w:rsidRPr="004F0548" w:rsidRDefault="004D3F38" w:rsidP="000129E1">
      <w:pPr>
        <w:pStyle w:val="Heading2"/>
      </w:pPr>
      <w:r w:rsidRPr="004F0548">
        <w:t>0:</w:t>
      </w:r>
      <w:r w:rsidR="00025C97">
        <w:t>50</w:t>
      </w:r>
      <w:r w:rsidRPr="004F0548">
        <w:t>–</w:t>
      </w:r>
      <w:r w:rsidR="00025C97">
        <w:t>1</w:t>
      </w:r>
      <w:r w:rsidRPr="004F0548">
        <w:t>:</w:t>
      </w:r>
      <w:r w:rsidR="00025C97">
        <w:t>1</w:t>
      </w:r>
      <w:r w:rsidRPr="004F0548">
        <w:t>5</w:t>
      </w:r>
      <w:r>
        <w:t xml:space="preserve">: </w:t>
      </w:r>
      <w:r w:rsidR="00144668" w:rsidRPr="004F0548">
        <w:t xml:space="preserve">PART </w:t>
      </w:r>
      <w:r>
        <w:t>3</w:t>
      </w:r>
      <w:r w:rsidR="00144668" w:rsidRPr="004F0548">
        <w:t xml:space="preserve"> — PHARMACEUTICALISATION &amp; LOCAL BIOLOGIES</w:t>
      </w:r>
    </w:p>
    <w:p w14:paraId="19D6110B" w14:textId="77777777" w:rsidR="00144668" w:rsidRDefault="00460264" w:rsidP="00144668">
      <w:pPr>
        <w:jc w:val="both"/>
        <w:rPr>
          <w:b/>
          <w:bCs/>
        </w:rPr>
      </w:pPr>
      <w:r>
        <w:pict w14:anchorId="560157FD">
          <v:rect id="_x0000_i1032" style="width:0;height:1.5pt" o:hralign="center" o:hrstd="t" o:hr="t" fillcolor="#a0a0a0" stroked="f"/>
        </w:pict>
      </w:r>
    </w:p>
    <w:p w14:paraId="44589C0D" w14:textId="2C2F691F" w:rsidR="00144668" w:rsidRPr="004F0548" w:rsidRDefault="006727DF" w:rsidP="000E57CE">
      <w:pPr>
        <w:pStyle w:val="Heading3"/>
      </w:pPr>
      <w:r>
        <w:t xml:space="preserve">0:50-1:00 – </w:t>
      </w:r>
      <w:r w:rsidR="00144668" w:rsidRPr="004F0548">
        <w:t>Pharmaceutical Subjectivity</w:t>
      </w:r>
    </w:p>
    <w:p w14:paraId="218C542D" w14:textId="026794DA" w:rsidR="005241F0" w:rsidRDefault="005241F0" w:rsidP="005241F0">
      <w:pPr>
        <w:jc w:val="both"/>
      </w:pPr>
      <w:r w:rsidRPr="005241F0">
        <w:t xml:space="preserve">Paul Farmer shows that illness and care are distributed unequally. Joseph Dumit asks what kind of person contemporary medicine increasingly asks people to become once risk itself is treated as a medical problem. Dumit is an anthropologist of medicine and science whose work examines how pharmaceuticals, diagnostic thresholds, and preventive treatment reshape everyday ideas of health, illness, and responsibility (Dumit, 2012). </w:t>
      </w:r>
      <w:r w:rsidR="007C5FE9">
        <w:t>The term “</w:t>
      </w:r>
      <w:r w:rsidR="007C5FE9" w:rsidRPr="007C5FE9">
        <w:rPr>
          <w:i/>
          <w:iCs/>
        </w:rPr>
        <w:t>p</w:t>
      </w:r>
      <w:r w:rsidRPr="005241F0">
        <w:rPr>
          <w:i/>
          <w:iCs/>
        </w:rPr>
        <w:t>harmaceutical subjectivity</w:t>
      </w:r>
      <w:r w:rsidR="007C5FE9">
        <w:t>”</w:t>
      </w:r>
      <w:r w:rsidRPr="005241F0">
        <w:t xml:space="preserve"> refers to the way people learn to understand themselves through drugs, risk scores, biomarker targets, and ongoing treatment. A person is no longer addressed only as someone who is ill. They are also addressed as someone who may become ill and should therefore monitor and manage themselves in advance.</w:t>
      </w:r>
    </w:p>
    <w:p w14:paraId="3FDE3EFE" w14:textId="77777777" w:rsidR="005241F0" w:rsidRPr="005241F0" w:rsidRDefault="005241F0" w:rsidP="005241F0">
      <w:pPr>
        <w:jc w:val="both"/>
      </w:pPr>
    </w:p>
    <w:p w14:paraId="1F85FFB7" w14:textId="77777777" w:rsidR="005241F0" w:rsidRDefault="005241F0" w:rsidP="005241F0">
      <w:pPr>
        <w:jc w:val="both"/>
      </w:pPr>
      <w:r w:rsidRPr="005241F0">
        <w:t>Health is redefined accordingly. It no longer appears simply as the absence of disease or the restoration of a damaged body. It increasingly appears as the management of possible future disorder. A patient with elevated cholesterol may be prescribed statins before any heart attack occurs. Repeated blood pressure readings above an accepted threshold can trigger medication before symptoms are felt. A bone-density scan showing osteopenia can place someone under long-term monitoring or treatment before any fracture happens. In each case, medicine acts on calculated risk rather than present illness alone. Dumit’s argument is that contemporary medicine increasingly treats vulnerability to future disease as a reason for intervention now (Dumit, 2012).</w:t>
      </w:r>
    </w:p>
    <w:p w14:paraId="3472DAAD" w14:textId="77777777" w:rsidR="005241F0" w:rsidRPr="00114192" w:rsidRDefault="005241F0" w:rsidP="005241F0">
      <w:pPr>
        <w:jc w:val="both"/>
      </w:pPr>
      <w:r>
        <w:t>CHANGE SLIDE</w:t>
      </w:r>
    </w:p>
    <w:p w14:paraId="4E97E682" w14:textId="77777777" w:rsidR="005241F0" w:rsidRPr="005241F0" w:rsidRDefault="005241F0" w:rsidP="005241F0">
      <w:pPr>
        <w:jc w:val="both"/>
      </w:pPr>
    </w:p>
    <w:p w14:paraId="72AFE040" w14:textId="28E3A31C" w:rsidR="005241F0" w:rsidRDefault="005241F0" w:rsidP="005241F0">
      <w:pPr>
        <w:jc w:val="both"/>
      </w:pPr>
      <w:r w:rsidRPr="005241F0">
        <w:t xml:space="preserve">Diagnostic categories widen under these conditions because treatment no longer depends on clearly bounded illness alone. It can also begin from a threshold, a score, a probability, or a preclinical classification. A person may be labelled pre-diabetic, at elevated cardiovascular risk, mildly depressed </w:t>
      </w:r>
      <w:r w:rsidR="00021EA4">
        <w:t xml:space="preserve">or likely to suffer dementia </w:t>
      </w:r>
      <w:r w:rsidRPr="005241F0">
        <w:t xml:space="preserve">and therefore become a candidate for long-term pharmaceutical management even in the absence of severe symptoms. Dumit’s phrase ‘drugs for life’ refers to this expansion of treatment into prevention, maintenance, and risk reduction (Dumit, 2012). Categories </w:t>
      </w:r>
      <w:r w:rsidR="00021EA4">
        <w:t xml:space="preserve">therefore </w:t>
      </w:r>
      <w:r w:rsidRPr="005241F0">
        <w:t>do not only identify people who are already ill</w:t>
      </w:r>
      <w:r w:rsidR="00021EA4">
        <w:t>; t</w:t>
      </w:r>
      <w:r w:rsidRPr="005241F0">
        <w:t>hey also produce populations whose bodies are monitored and treated because they are judged likely to become ill later.</w:t>
      </w:r>
    </w:p>
    <w:p w14:paraId="1F70DC3A" w14:textId="77777777" w:rsidR="005241F0" w:rsidRPr="005241F0" w:rsidRDefault="005241F0" w:rsidP="005241F0">
      <w:pPr>
        <w:jc w:val="both"/>
      </w:pPr>
    </w:p>
    <w:p w14:paraId="603AF01C" w14:textId="526758B8" w:rsidR="005241F0" w:rsidRDefault="005241F0" w:rsidP="005241F0">
      <w:pPr>
        <w:jc w:val="both"/>
      </w:pPr>
      <w:r w:rsidRPr="005241F0">
        <w:t xml:space="preserve">This changes selfhood at the level of everyday practice. </w:t>
      </w:r>
      <w:r w:rsidR="00D53DC7">
        <w:t>The term “s</w:t>
      </w:r>
      <w:r w:rsidRPr="005241F0">
        <w:t>ubjectivity</w:t>
      </w:r>
      <w:r w:rsidR="00D53DC7">
        <w:t>”</w:t>
      </w:r>
      <w:r w:rsidRPr="005241F0">
        <w:t xml:space="preserve"> </w:t>
      </w:r>
      <w:r w:rsidR="00D53DC7">
        <w:t xml:space="preserve">is used to </w:t>
      </w:r>
      <w:r w:rsidRPr="005241F0">
        <w:t xml:space="preserve">mean the practical way a person comes to understand, evaluate, and manage themselves. Under </w:t>
      </w:r>
      <w:proofErr w:type="spellStart"/>
      <w:r w:rsidRPr="005241F0">
        <w:t>pharmaceuticalisation</w:t>
      </w:r>
      <w:proofErr w:type="spellEnd"/>
      <w:r w:rsidRPr="005241F0">
        <w:t>, people learn to ask whether they are taking the right drug, reaching the right target, lowering the right risk, and behaving responsibly towards their future health. Dosage, side effects, blood test results, sleep scores, and cholesterol readings enter ordinary life as techniques of self-monitoring. Treatment is therefore not only something prescribed by a clinician. It also becomes a routine through which people learn to interpret themselves.</w:t>
      </w:r>
    </w:p>
    <w:p w14:paraId="4E49F39B" w14:textId="77777777" w:rsidR="005241F0" w:rsidRPr="00114192" w:rsidRDefault="005241F0" w:rsidP="005241F0">
      <w:pPr>
        <w:jc w:val="both"/>
      </w:pPr>
      <w:r>
        <w:t>CHANGE SLIDE</w:t>
      </w:r>
    </w:p>
    <w:p w14:paraId="44496239" w14:textId="77777777" w:rsidR="005241F0" w:rsidRPr="005241F0" w:rsidRDefault="005241F0" w:rsidP="005241F0">
      <w:pPr>
        <w:jc w:val="both"/>
      </w:pPr>
    </w:p>
    <w:p w14:paraId="501A3B90" w14:textId="69FD21CA" w:rsidR="005241F0" w:rsidRDefault="00BF77FE" w:rsidP="005241F0">
      <w:pPr>
        <w:jc w:val="both"/>
      </w:pPr>
      <w:r w:rsidRPr="00BF77FE">
        <w:t xml:space="preserve">Preventive treatment appeals to many people </w:t>
      </w:r>
      <w:r w:rsidR="006E38E3" w:rsidRPr="006E38E3">
        <w:t>it makes future risk feel manageable in the present.</w:t>
      </w:r>
      <w:r>
        <w:t xml:space="preserve"> </w:t>
      </w:r>
      <w:r w:rsidR="005241F0" w:rsidRPr="005241F0">
        <w:t xml:space="preserve">Preventive treatment </w:t>
      </w:r>
      <w:r w:rsidR="006E38E3">
        <w:t xml:space="preserve">therefore </w:t>
      </w:r>
      <w:r w:rsidR="005241F0" w:rsidRPr="005241F0">
        <w:t>offers more than submission to expert authority. It</w:t>
      </w:r>
      <w:r w:rsidR="006E38E3">
        <w:t xml:space="preserve"> also</w:t>
      </w:r>
      <w:r w:rsidR="005241F0" w:rsidRPr="005241F0">
        <w:t xml:space="preserve"> offers the possibility of reducing danger before crisis arrives. A pill, a target number, or a repeat prescription can make an uncertain future feel measurable and manageable. </w:t>
      </w:r>
      <w:r w:rsidR="002A69A2" w:rsidRPr="002A69A2">
        <w:t>Future risk is hard to live with because it is uncertain, but medication and monitoring make it feel actionable</w:t>
      </w:r>
      <w:r w:rsidR="005241F0" w:rsidRPr="005241F0">
        <w:t>. The result is not that uncertainty disappears. It is reorganised into repeated monitoring, adjustment, and intervention. People do not wait passively to become ill. They are taught to live in ongoing relation to possible illness.</w:t>
      </w:r>
    </w:p>
    <w:p w14:paraId="285AD6BB" w14:textId="77777777" w:rsidR="005241F0" w:rsidRPr="005241F0" w:rsidRDefault="005241F0" w:rsidP="005241F0">
      <w:pPr>
        <w:jc w:val="both"/>
      </w:pPr>
    </w:p>
    <w:p w14:paraId="196BD18A" w14:textId="77777777" w:rsidR="005241F0" w:rsidRDefault="005241F0" w:rsidP="005241F0">
      <w:pPr>
        <w:jc w:val="both"/>
      </w:pPr>
      <w:r w:rsidRPr="005241F0">
        <w:t xml:space="preserve">Diagnostic expansion is also commercially productive. New thresholds and new categories create new patient populations, and those populations sustain markets in prevention, maintenance, enhancement, and lifestyle management. </w:t>
      </w:r>
      <w:proofErr w:type="spellStart"/>
      <w:r w:rsidRPr="005241F0">
        <w:t>Pharmaceuticalisation</w:t>
      </w:r>
      <w:proofErr w:type="spellEnd"/>
      <w:r w:rsidRPr="005241F0">
        <w:t xml:space="preserve"> is therefore tied to consumer capitalism, not because suffering is unreal, but because suffering, risk, and self-improvement are increasingly organised through products, branding, and long-term consumption (Dumit, 2012). Health here is not only a clinical condition. It is also a market relation in which treatment extends beyond acute pathology into continuous use.</w:t>
      </w:r>
    </w:p>
    <w:p w14:paraId="73A14445" w14:textId="77777777" w:rsidR="005241F0" w:rsidRPr="005241F0" w:rsidRDefault="005241F0" w:rsidP="005241F0">
      <w:pPr>
        <w:jc w:val="both"/>
      </w:pPr>
    </w:p>
    <w:p w14:paraId="05EFA68D" w14:textId="68CF934E" w:rsidR="00144668" w:rsidRDefault="002A2699" w:rsidP="00144668">
      <w:pPr>
        <w:jc w:val="both"/>
      </w:pPr>
      <w:r>
        <w:t>Furthermore, p</w:t>
      </w:r>
      <w:r w:rsidR="005241F0" w:rsidRPr="005241F0">
        <w:t xml:space="preserve">harmaceutical subjectivity does not develop on equal ground. Continuous monitoring, regular prescription review, branded optimisation, and preventive treatment depend on money, insurance, stable access, and institutional support. Some people can organise the future through check-ups, repeat prescriptions, and long-term risk reduction. Others struggle to secure basic medicines at all. </w:t>
      </w:r>
      <w:r w:rsidR="00642A34" w:rsidRPr="00642A34">
        <w:t xml:space="preserve">Foucault helps explain why health becomes a site of self-monitoring and regulation. Farmer helps explain why not everyone enters that world on equal terms. Some people can secure regular prescriptions, routine testing, and long-term preventive care. Others cannot reliably obtain even basic medicines. </w:t>
      </w:r>
      <w:proofErr w:type="spellStart"/>
      <w:r w:rsidR="00642A34" w:rsidRPr="00642A34">
        <w:t>Pharmaceuticalisation</w:t>
      </w:r>
      <w:proofErr w:type="spellEnd"/>
      <w:r w:rsidR="00642A34" w:rsidRPr="00642A34">
        <w:t xml:space="preserve"> therefore does not only reorganise how people understand and manage themselves. It also reproduces existing inequalities in who can act on medical advice, sustain treatment, and imagine the future through prevention.</w:t>
      </w:r>
    </w:p>
    <w:p w14:paraId="57ACDCE1" w14:textId="77777777" w:rsidR="00642A34" w:rsidRPr="004F0548" w:rsidRDefault="00642A34" w:rsidP="00144668">
      <w:pPr>
        <w:jc w:val="both"/>
      </w:pPr>
    </w:p>
    <w:p w14:paraId="55D5162F" w14:textId="77777777" w:rsidR="00144668" w:rsidRPr="004F0548" w:rsidRDefault="00460264" w:rsidP="00144668">
      <w:pPr>
        <w:jc w:val="both"/>
      </w:pPr>
      <w:r>
        <w:pict w14:anchorId="0C997622">
          <v:rect id="_x0000_i1033" style="width:0;height:1.5pt" o:hralign="center" o:hrstd="t" o:hr="t" fillcolor="#a0a0a0" stroked="f"/>
        </w:pict>
      </w:r>
    </w:p>
    <w:p w14:paraId="6AC0F44B" w14:textId="250E33D5" w:rsidR="00144668" w:rsidRPr="004F0548" w:rsidRDefault="006727DF" w:rsidP="000E57CE">
      <w:pPr>
        <w:pStyle w:val="Heading3"/>
      </w:pPr>
      <w:r>
        <w:t>1</w:t>
      </w:r>
      <w:r>
        <w:t>:</w:t>
      </w:r>
      <w:r>
        <w:t>0</w:t>
      </w:r>
      <w:r>
        <w:t>0-1:</w:t>
      </w:r>
      <w:r>
        <w:t>1</w:t>
      </w:r>
      <w:r>
        <w:t xml:space="preserve">0 – </w:t>
      </w:r>
      <w:r w:rsidR="00144668" w:rsidRPr="004F0548">
        <w:t xml:space="preserve">Local </w:t>
      </w:r>
      <w:proofErr w:type="spellStart"/>
      <w:r w:rsidR="00144668" w:rsidRPr="004F0548">
        <w:t>Biologies</w:t>
      </w:r>
      <w:proofErr w:type="spellEnd"/>
    </w:p>
    <w:p w14:paraId="4CC92A91" w14:textId="77777777" w:rsidR="0053550E" w:rsidRDefault="0053550E" w:rsidP="0053550E">
      <w:pPr>
        <w:jc w:val="both"/>
      </w:pPr>
      <w:r w:rsidRPr="0053550E">
        <w:t xml:space="preserve">Contemporary biomedicine often assumes that bodies are fundamentally comparable across populations. On that assumption, risk can be measured through common indicators, thresholds can be standardised, and treatment can be calibrated as though biology were the same everywhere. Margaret Lock disputes that starting-point. She argues that bodies are formed through diet, labour, environment, reproduction, and history, so biology cannot be treated as a universal base to which culture is later added as interpretation (Lock, 1993). The concept of local </w:t>
      </w:r>
      <w:proofErr w:type="spellStart"/>
      <w:r w:rsidRPr="0053550E">
        <w:t>biologies</w:t>
      </w:r>
      <w:proofErr w:type="spellEnd"/>
      <w:r w:rsidRPr="0053550E">
        <w:t xml:space="preserve"> begins from that challenge to the idea of a single, uniform human body.</w:t>
      </w:r>
    </w:p>
    <w:p w14:paraId="55FF31D5" w14:textId="77777777" w:rsidR="0053550E" w:rsidRPr="0053550E" w:rsidRDefault="0053550E" w:rsidP="0053550E">
      <w:pPr>
        <w:jc w:val="both"/>
      </w:pPr>
    </w:p>
    <w:p w14:paraId="5C72E905" w14:textId="77777777" w:rsidR="0053550E" w:rsidRPr="0053550E" w:rsidRDefault="0053550E" w:rsidP="0053550E">
      <w:pPr>
        <w:jc w:val="both"/>
      </w:pPr>
      <w:r w:rsidRPr="0053550E">
        <w:t>Anthropology had already begun to unsettle the idea that the body is simply natural. In ‘Techniques of the body’, Marcel Mauss argues that ordinary bodily actions such as walking, sitting, carrying, sleeping, and swimming are socially learned rather than given in a purely biological form (Mauss, 1973). His point is not that bodies are unreal or infinitely malleable. It is that bodily practice is cultivated. People do not use their bodies in identical ways everywhere, because bodily habits are formed through training, imitation, discipline, and everyday social life. Mauss therefore opens an important anthropological line of thought: the body cannot be understood outside the social worlds in which it is trained and used.</w:t>
      </w:r>
    </w:p>
    <w:p w14:paraId="1EE154D3" w14:textId="63E0F2E3" w:rsidR="0053550E" w:rsidRDefault="0053550E" w:rsidP="0053550E">
      <w:pPr>
        <w:jc w:val="both"/>
      </w:pPr>
      <w:r>
        <w:t>CHANGE SLIDE</w:t>
      </w:r>
    </w:p>
    <w:p w14:paraId="0090BD81" w14:textId="77777777" w:rsidR="0053550E" w:rsidRDefault="0053550E" w:rsidP="0053550E">
      <w:pPr>
        <w:jc w:val="both"/>
      </w:pPr>
    </w:p>
    <w:p w14:paraId="3F6257AF" w14:textId="3A27AB3F" w:rsidR="0053550E" w:rsidRDefault="0053550E" w:rsidP="0053550E">
      <w:pPr>
        <w:jc w:val="both"/>
      </w:pPr>
      <w:r w:rsidRPr="0053550E">
        <w:t>Lock pushes that argument further through her comparative work on menopause in Japan and North America. Menopause is often presented as a universal biological event that receives different cultural meanings in different places. Lock shows that this account is inadequate. The bodily experience itself varied across the two settings. Symptom patterns, forms of distress, and the social salience of menopause did not line up neatly. Hot flushes, for example, were reported far more prominently in North America than in Japan, while other symptoms were differently emphasised and differently lived (Lock, 1993). Menopause could not therefore be explained as fixed physiology plus variable belief. Social and historical conditions had entered the bodily experience itself.</w:t>
      </w:r>
    </w:p>
    <w:p w14:paraId="764C0637" w14:textId="77777777" w:rsidR="0053550E" w:rsidRPr="0053550E" w:rsidRDefault="0053550E" w:rsidP="0053550E">
      <w:pPr>
        <w:jc w:val="both"/>
      </w:pPr>
    </w:p>
    <w:p w14:paraId="3ACA9982" w14:textId="77777777" w:rsidR="0053550E" w:rsidRDefault="0053550E" w:rsidP="0053550E">
      <w:pPr>
        <w:jc w:val="both"/>
      </w:pPr>
      <w:r w:rsidRPr="0053550E">
        <w:t xml:space="preserve">That is what Lock means by local </w:t>
      </w:r>
      <w:proofErr w:type="spellStart"/>
      <w:r w:rsidRPr="0053550E">
        <w:t>biologies</w:t>
      </w:r>
      <w:proofErr w:type="spellEnd"/>
      <w:r w:rsidRPr="0053550E">
        <w:t>. The term rejects the division in which biology is universal and culture supplies meaning afterwards. Bodies are shaped over time by the conditions under which people eat, work, reproduce, age, and receive care. Reproductive history, nutritional patterns, chronic stress, toxic exposure, and medical intervention are not external influences acting upon an otherwise stable body. They help produce the body that medicine later encounters (Lock, 1993). This is where Lock goes beyond Mauss. Mauss shows that bodily practice is socially learned. Lock shows that social and historical conditions also shape bodily processes and bodily experience themselves.</w:t>
      </w:r>
    </w:p>
    <w:p w14:paraId="7418ED0E" w14:textId="77777777" w:rsidR="0053550E" w:rsidRDefault="0053550E" w:rsidP="0053550E">
      <w:pPr>
        <w:jc w:val="both"/>
      </w:pPr>
      <w:r>
        <w:t>CHANGE SLIDE</w:t>
      </w:r>
    </w:p>
    <w:p w14:paraId="139FCA19" w14:textId="77777777" w:rsidR="0053550E" w:rsidRPr="0053550E" w:rsidRDefault="0053550E" w:rsidP="0053550E">
      <w:pPr>
        <w:jc w:val="both"/>
      </w:pPr>
    </w:p>
    <w:p w14:paraId="096FEE44" w14:textId="77777777" w:rsidR="0053550E" w:rsidRDefault="0053550E" w:rsidP="0053550E">
      <w:pPr>
        <w:jc w:val="both"/>
      </w:pPr>
      <w:r w:rsidRPr="0053550E">
        <w:t>Diet, labour, environment, and history matter here because each has lasting biological effects. Diet affects metabolism, cardiovascular health, gut function, and hormone regulation. Labour affects injury, exhaustion, posture, repetitive strain, and the pace at which bodies wear down. Environment affects respiration, immunity, toxicity, and vulnerability to disease through air, water, housing, temperature, and pollution. History affects the body through colonial dispossession, industrialisation, migration, urbanisation, and unequal medical infrastructures. These are not merely social contexts surrounding biology. They are among the processes through which biology becomes locally variable.</w:t>
      </w:r>
    </w:p>
    <w:p w14:paraId="1D136CA5" w14:textId="77777777" w:rsidR="0053550E" w:rsidRPr="0053550E" w:rsidRDefault="0053550E" w:rsidP="0053550E">
      <w:pPr>
        <w:jc w:val="both"/>
      </w:pPr>
    </w:p>
    <w:p w14:paraId="2614589B" w14:textId="77777777" w:rsidR="0053550E" w:rsidRDefault="0053550E" w:rsidP="0053550E">
      <w:pPr>
        <w:jc w:val="both"/>
      </w:pPr>
      <w:r w:rsidRPr="0053550E">
        <w:t xml:space="preserve">Lock and Farquhar generalise this argument beyond menopause and beyond any single case. In Beyond the Body Proper, they reject the idea that the body can be understood as a sealed biological object with a fixed material core and a separate layer of social meaning (Lock and Farquhar, 2007). The body is real and material, but it is not a neutral substrate waiting for culture to act upon it from the outside. Bodily materiality can only be understood through the practices, histories, relations, and forms of care through which bodies are maintained, classified, damaged, and repaired. Their argument broadens local </w:t>
      </w:r>
      <w:proofErr w:type="spellStart"/>
      <w:r w:rsidRPr="0053550E">
        <w:t>biologies</w:t>
      </w:r>
      <w:proofErr w:type="spellEnd"/>
      <w:r w:rsidRPr="0053550E">
        <w:t xml:space="preserve"> into a more general account of embodiment in which matter and social life cannot be cleanly separated.</w:t>
      </w:r>
    </w:p>
    <w:p w14:paraId="48D5F1E4" w14:textId="77777777" w:rsidR="0053550E" w:rsidRPr="0053550E" w:rsidRDefault="0053550E" w:rsidP="0053550E">
      <w:pPr>
        <w:jc w:val="both"/>
      </w:pPr>
    </w:p>
    <w:p w14:paraId="75980B18" w14:textId="77777777" w:rsidR="0053550E" w:rsidRPr="0053550E" w:rsidRDefault="0053550E" w:rsidP="0053550E">
      <w:pPr>
        <w:jc w:val="both"/>
      </w:pPr>
      <w:r w:rsidRPr="0053550E">
        <w:t xml:space="preserve">The medical consequence is direct. Medicine cannot assume that bodies arrive as universal organisms that differ only in belief, compliance, or access to care. Bodies arrive already shaped by food, work, stress, reproductive histories, toxic exposure, infrastructures of care, and unequal social conditions. Local </w:t>
      </w:r>
      <w:proofErr w:type="spellStart"/>
      <w:r w:rsidRPr="0053550E">
        <w:t>biologies</w:t>
      </w:r>
      <w:proofErr w:type="spellEnd"/>
      <w:r w:rsidRPr="0053550E">
        <w:t xml:space="preserve"> therefore changes what medical anthropology has to explain. It requires attention to how social life becomes material in the body, and it makes universal claims about symptoms, ageing, risk, or treatment harder to sustain without qualification (Lock, 1993; Lock and Farquhar, 2007).</w:t>
      </w:r>
    </w:p>
    <w:p w14:paraId="5DC75F3A" w14:textId="2D86B533" w:rsidR="00144668" w:rsidRPr="004F0548" w:rsidRDefault="00144668" w:rsidP="00144668">
      <w:pPr>
        <w:jc w:val="both"/>
      </w:pPr>
    </w:p>
    <w:p w14:paraId="449D243D" w14:textId="77777777" w:rsidR="00144668" w:rsidRPr="004F0548" w:rsidRDefault="00460264" w:rsidP="00144668">
      <w:pPr>
        <w:jc w:val="both"/>
      </w:pPr>
      <w:r>
        <w:pict w14:anchorId="7655AC12">
          <v:rect id="_x0000_i1034" style="width:0;height:1.5pt" o:hralign="center" o:hrstd="t" o:hr="t" fillcolor="#a0a0a0" stroked="f"/>
        </w:pict>
      </w:r>
    </w:p>
    <w:p w14:paraId="5B840EC7" w14:textId="7B52D36D" w:rsidR="00144668" w:rsidRPr="004F0548" w:rsidRDefault="00144668" w:rsidP="000E57CE">
      <w:pPr>
        <w:pStyle w:val="Heading3"/>
      </w:pPr>
      <w:r w:rsidRPr="004F0548">
        <w:t>A</w:t>
      </w:r>
      <w:r w:rsidR="005C7907">
        <w:t>nthropology</w:t>
      </w:r>
      <w:r w:rsidRPr="004F0548">
        <w:t xml:space="preserve"> T</w:t>
      </w:r>
      <w:r w:rsidR="005C7907">
        <w:t>oday</w:t>
      </w:r>
      <w:r w:rsidRPr="004F0548">
        <w:t xml:space="preserve"> </w:t>
      </w:r>
      <w:r w:rsidR="005C7907">
        <w:t>Connections 1</w:t>
      </w:r>
    </w:p>
    <w:p w14:paraId="35EC7048" w14:textId="29BF7ED9" w:rsidR="00717464" w:rsidRDefault="00132FB7" w:rsidP="00717464">
      <w:pPr>
        <w:jc w:val="both"/>
      </w:pPr>
      <w:r w:rsidRPr="00132FB7">
        <w:t xml:space="preserve">Local </w:t>
      </w:r>
      <w:proofErr w:type="spellStart"/>
      <w:r w:rsidRPr="00132FB7">
        <w:t>biologies</w:t>
      </w:r>
      <w:proofErr w:type="spellEnd"/>
      <w:r w:rsidRPr="00132FB7">
        <w:t xml:space="preserve"> shows that bodies do not enter medicine as universal organisms. They arrive already shaped by labour, environment, diet, infrastructure, and unequal histories. The pandemic made that point starkly visible. Covid-19 did not simply expose pre-existing biological vulnerability. It redistributed exposure, intensified insecurity, and produced new forms of risk through work, housing, confinement, and unequal access to care. Napier argues that the pandemic generated ‘new vulnerabilities’ by pushing people across thresholds of exposure and insecurity that existing institutions could not adequately manage, especially where precarious work, shared infrastructures, and weak welfare provision made ordinary forms of self-protection impossible (Napier, 2020).</w:t>
      </w:r>
    </w:p>
    <w:p w14:paraId="41BADCA6" w14:textId="77777777" w:rsidR="00132FB7" w:rsidRPr="00717464" w:rsidRDefault="00132FB7" w:rsidP="00717464">
      <w:pPr>
        <w:jc w:val="both"/>
      </w:pPr>
    </w:p>
    <w:p w14:paraId="05A1F5CE" w14:textId="77777777" w:rsidR="00717464" w:rsidRDefault="00717464" w:rsidP="00717464">
      <w:pPr>
        <w:jc w:val="both"/>
      </w:pPr>
      <w:r w:rsidRPr="00717464">
        <w:t xml:space="preserve">Health infrastructure therefore cannot be treated as technical background. It shapes whether diagnosis leads to treatment, whether treatment is reachable, and whether public health measures reduce danger or shift it onto others. González and </w:t>
      </w:r>
      <w:proofErr w:type="spellStart"/>
      <w:r w:rsidRPr="00717464">
        <w:t>Marlovits</w:t>
      </w:r>
      <w:proofErr w:type="spellEnd"/>
      <w:r w:rsidRPr="00717464">
        <w:t xml:space="preserve"> make this clear in Silicon Valley, where the pandemic intensified an existing social order of concentrated wealth for some and insecure labour for others. ‘Shelter in place’ did not describe a common experience. For affluent households it could function as relative protection. For undocumented workers, warehouse staff, delivery drivers, and those living in overcrowded housing, distancing was often impossible (González and </w:t>
      </w:r>
      <w:proofErr w:type="spellStart"/>
      <w:r w:rsidRPr="00717464">
        <w:t>Marlovits</w:t>
      </w:r>
      <w:proofErr w:type="spellEnd"/>
      <w:r w:rsidRPr="00717464">
        <w:t>, 2020).</w:t>
      </w:r>
    </w:p>
    <w:p w14:paraId="175FC0CD" w14:textId="2E6A9F04" w:rsidR="00717464" w:rsidRDefault="00132FB7" w:rsidP="00717464">
      <w:pPr>
        <w:jc w:val="both"/>
      </w:pPr>
      <w:r>
        <w:t>CHANGE SLIDE</w:t>
      </w:r>
    </w:p>
    <w:p w14:paraId="35A889A1" w14:textId="77777777" w:rsidR="00132FB7" w:rsidRPr="00717464" w:rsidRDefault="00132FB7" w:rsidP="00717464">
      <w:pPr>
        <w:jc w:val="both"/>
      </w:pPr>
    </w:p>
    <w:p w14:paraId="315F865A" w14:textId="77777777" w:rsidR="00717464" w:rsidRDefault="00717464" w:rsidP="00717464">
      <w:pPr>
        <w:jc w:val="both"/>
      </w:pPr>
      <w:r w:rsidRPr="00717464">
        <w:t>This also changes how medicalisation has to be understood. Public discourse can expand diagnosis, behavioural regulation, and expert advice in the name of collective care, but populations are not equally able to comply when institutions are weak and social conditions are unequal. Fróis shows this sharply in prisons, where Covid-19 management exposed the contradiction of demanding ‘social distancing’ under conditions of confinement and overcrowding. The prison is an extreme case, but not an isolated one. It makes visible a wider problem: health governance operates across radically unequal social conditions (Fróis, 2020).</w:t>
      </w:r>
    </w:p>
    <w:p w14:paraId="0F59C209" w14:textId="77777777" w:rsidR="00717464" w:rsidRPr="00717464" w:rsidRDefault="00717464" w:rsidP="00717464">
      <w:pPr>
        <w:jc w:val="both"/>
      </w:pPr>
    </w:p>
    <w:p w14:paraId="38B1EC1C" w14:textId="77777777" w:rsidR="00717464" w:rsidRDefault="00717464" w:rsidP="00717464">
      <w:pPr>
        <w:jc w:val="both"/>
      </w:pPr>
      <w:r w:rsidRPr="00717464">
        <w:t xml:space="preserve">The same point applies beyond infection control. </w:t>
      </w:r>
      <w:proofErr w:type="spellStart"/>
      <w:r w:rsidRPr="00717464">
        <w:t>Capocasa’s</w:t>
      </w:r>
      <w:proofErr w:type="spellEnd"/>
      <w:r w:rsidRPr="00717464">
        <w:t xml:space="preserve"> discussion of food, culture, and health rejects the split between nutrition as pure biochemistry and eating as mere symbolism. Diet is shaped by affordability, labour rhythms, urban food environments, and global markets, so chronic illness cannot be understood apart from the conditions under which people eat and live (</w:t>
      </w:r>
      <w:proofErr w:type="spellStart"/>
      <w:r w:rsidRPr="00717464">
        <w:t>Capocasa</w:t>
      </w:r>
      <w:proofErr w:type="spellEnd"/>
      <w:r w:rsidRPr="00717464">
        <w:t>, 2024). Health is regularly framed as a matter of individual responsibility, but the conditions that make healthy life possible remain unequally distributed.</w:t>
      </w:r>
    </w:p>
    <w:p w14:paraId="0A4CF493" w14:textId="77777777" w:rsidR="00717464" w:rsidRPr="00717464" w:rsidRDefault="00717464" w:rsidP="00717464">
      <w:pPr>
        <w:jc w:val="both"/>
      </w:pPr>
    </w:p>
    <w:p w14:paraId="1CBBB79B" w14:textId="77777777" w:rsidR="00717464" w:rsidRPr="00717464" w:rsidRDefault="00717464" w:rsidP="00717464">
      <w:pPr>
        <w:jc w:val="both"/>
      </w:pPr>
      <w:r w:rsidRPr="00717464">
        <w:t>These pieces show contemporary medical anthropology addressing the same problems in present form. Kleinman’s concern with experience, Foucault’s concern with governance, Farmer’s concern with inequality, and Lock’s concern with historically shaped bodies all reappear here. Pandemic management, confinement, food systems, and public health infrastructure show the same point from different angles: medicine does not act on a flat social world. It operates through institutions, and those institutions distribute risk, care, and abandonment unevenly.</w:t>
      </w:r>
    </w:p>
    <w:p w14:paraId="3C307BC7" w14:textId="77777777" w:rsidR="007A7054" w:rsidRDefault="007A7054" w:rsidP="00144668">
      <w:pPr>
        <w:jc w:val="both"/>
        <w:rPr>
          <w:b/>
          <w:bCs/>
        </w:rPr>
      </w:pPr>
    </w:p>
    <w:p w14:paraId="01FBBED8" w14:textId="276A8301" w:rsidR="00144668" w:rsidRPr="004F0548" w:rsidRDefault="00460264" w:rsidP="00144668">
      <w:pPr>
        <w:jc w:val="both"/>
      </w:pPr>
      <w:r>
        <w:pict w14:anchorId="4FB737CF">
          <v:rect id="_x0000_i1035" style="width:0;height:1.5pt" o:hralign="center" o:hrstd="t" o:hr="t" fillcolor="#a0a0a0" stroked="f"/>
        </w:pict>
      </w:r>
    </w:p>
    <w:p w14:paraId="55CDFE8E" w14:textId="77777777" w:rsidR="00144668" w:rsidRPr="004F0548" w:rsidRDefault="00460264" w:rsidP="00144668">
      <w:pPr>
        <w:jc w:val="both"/>
      </w:pPr>
      <w:r>
        <w:pict w14:anchorId="42E4D10C">
          <v:rect id="_x0000_i1036" style="width:0;height:1.5pt" o:hralign="center" o:hrstd="t" o:hr="t" fillcolor="#a0a0a0" stroked="f"/>
        </w:pict>
      </w:r>
    </w:p>
    <w:p w14:paraId="5AAB6EB1" w14:textId="6FD7FB4E" w:rsidR="00144668" w:rsidRPr="00465DAB" w:rsidRDefault="004D3F38" w:rsidP="000129E1">
      <w:pPr>
        <w:pStyle w:val="Heading2"/>
      </w:pPr>
      <w:r w:rsidRPr="00465DAB">
        <w:t>1:</w:t>
      </w:r>
      <w:r w:rsidR="00025C97">
        <w:t>1</w:t>
      </w:r>
      <w:r w:rsidRPr="00465DAB">
        <w:t>5–1:</w:t>
      </w:r>
      <w:r w:rsidR="005E7709">
        <w:t>2</w:t>
      </w:r>
      <w:r w:rsidRPr="00465DAB">
        <w:t>5</w:t>
      </w:r>
      <w:r>
        <w:t xml:space="preserve">: </w:t>
      </w:r>
      <w:r w:rsidR="00144668" w:rsidRPr="00465DAB">
        <w:t xml:space="preserve">PART </w:t>
      </w:r>
      <w:r>
        <w:t>4</w:t>
      </w:r>
      <w:r w:rsidR="00144668" w:rsidRPr="00465DAB">
        <w:t xml:space="preserve"> — </w:t>
      </w:r>
      <w:r w:rsidR="00A05BA5">
        <w:t>REPRODUCTIVE POLITICS</w:t>
      </w:r>
      <w:r w:rsidR="00144668" w:rsidRPr="00465DAB">
        <w:t xml:space="preserve"> </w:t>
      </w:r>
    </w:p>
    <w:p w14:paraId="7A4292CB" w14:textId="77777777" w:rsidR="00DB3C84" w:rsidRDefault="00DB3C84" w:rsidP="00DB3C84">
      <w:pPr>
        <w:jc w:val="both"/>
      </w:pPr>
      <w:r w:rsidRPr="00DB3C84">
        <w:t>Reproduction is a political and moral field in which kinship, religion, law, medicine, and state power converge. Anthropology therefore does not treat pregnancy, abortion, childbirth, or motherhood as merely private matters or as simple biological events. These are sites where competing authorities try to define life, obligation, and legitimate personhood. Reproduction becomes politically charged because it concerns not only bodies, but the social organisation of family, inheritance, care, and futurity. Questions about who should give birth, under what conditions, with what support, and for whose benefit are always also questions about power. Reproductive politics is therefore not a specialist side issue. It is one of the clearest places to see how societies argue about moral order through the management of bodies.</w:t>
      </w:r>
    </w:p>
    <w:p w14:paraId="4F7A2ACD" w14:textId="77777777" w:rsidR="00DB3C84" w:rsidRPr="00DB3C84" w:rsidRDefault="00DB3C84" w:rsidP="00DB3C84">
      <w:pPr>
        <w:jc w:val="both"/>
      </w:pPr>
    </w:p>
    <w:p w14:paraId="67068130" w14:textId="77777777" w:rsidR="00DB3C84" w:rsidRDefault="00DB3C84" w:rsidP="00DB3C84">
      <w:pPr>
        <w:jc w:val="both"/>
      </w:pPr>
      <w:r w:rsidRPr="00DB3C84">
        <w:t>Abortion politics makes that point especially clear. The dispute is not only over a medical procedure or an abstract right. It is also over when life begins, who counts as a moral subject, what women are held to owe to foetuses, and what kinds of family or social order should be defended. Ginsburg shows that abortion conflict in the United States cannot be reduced to a simple clash between religious traditionalism and modern individual choice. Anti-abortion and pro-choice activism are both embedded in wider moral worlds organised around gender, kinship, responsibility, and social belonging (Ginsburg, 1989). Abortion politics is therefore a struggle over the moral ordering of society as much as over legal access to termination.</w:t>
      </w:r>
    </w:p>
    <w:p w14:paraId="6A58679D" w14:textId="598DFAB4" w:rsidR="00DB3C84" w:rsidRDefault="00DB3C84" w:rsidP="00DB3C84">
      <w:pPr>
        <w:jc w:val="both"/>
      </w:pPr>
      <w:r>
        <w:t>CHANGE SLIDE</w:t>
      </w:r>
    </w:p>
    <w:p w14:paraId="08E505E1" w14:textId="77777777" w:rsidR="00DB3C84" w:rsidRPr="00DB3C84" w:rsidRDefault="00DB3C84" w:rsidP="00DB3C84">
      <w:pPr>
        <w:jc w:val="both"/>
      </w:pPr>
    </w:p>
    <w:p w14:paraId="7F96E99F" w14:textId="77777777" w:rsidR="00DB3C84" w:rsidRDefault="00DB3C84" w:rsidP="00DB3C84">
      <w:pPr>
        <w:jc w:val="both"/>
      </w:pPr>
      <w:r w:rsidRPr="00DB3C84">
        <w:t>Motherhood is one of the main categories through which that struggle is conducted. It is never a neutral biological status. It is morally specified and publicly judged. Good motherhood may be framed as sacrifice, nurture, foresight, self-discipline, or devotion to future life. Bad motherhood may be framed as selfishness, irresponsibility, sexual excess, dependency, or refusal of care. These judgements do not sit outside reproduction as commentary. They shape law, medical practice, welfare scrutiny, and everyday encounters with institutions. A pregnant woman does not meet medicine, law, or public debate as a neutral reproductive subject. She meets them through expectations about what a woman should want, what suffering she should endure, and what decisions are counted as respectable.</w:t>
      </w:r>
    </w:p>
    <w:p w14:paraId="1B90624A" w14:textId="77777777" w:rsidR="00DB3C84" w:rsidRPr="00DB3C84" w:rsidRDefault="00DB3C84" w:rsidP="00DB3C84">
      <w:pPr>
        <w:jc w:val="both"/>
      </w:pPr>
    </w:p>
    <w:p w14:paraId="5B8D7B23" w14:textId="77777777" w:rsidR="00DB3C84" w:rsidRDefault="00DB3C84" w:rsidP="00DB3C84">
      <w:pPr>
        <w:jc w:val="both"/>
      </w:pPr>
      <w:r w:rsidRPr="00DB3C84">
        <w:t>Reproduction is also one of the clearest sites in which biopolitics operates through the regulation of life. Foucault’s account of modern power is not limited to hospitals, surveillance, or disease control. It also helps explain why states intervene in fertility, abortion, contraception, childbirth, and demographic planning (Foucault, 1978). Law enters the body through abortion restrictions, maternity provision, fertility policy, and bureaucratic decisions about who may reproduce and under what conditions. Some pregnancies are protected as socially valuable; others are treated as excessive, irresponsible, or burdensome. Reproductive politics therefore shows how power works through the valuation, encouragement, limitation, and management of life itself. It is a field in which the production of life becomes an explicit object of governance.</w:t>
      </w:r>
    </w:p>
    <w:p w14:paraId="478B783E" w14:textId="77777777" w:rsidR="00DB3C84" w:rsidRDefault="00DB3C84" w:rsidP="00DB3C84">
      <w:pPr>
        <w:jc w:val="both"/>
      </w:pPr>
      <w:r>
        <w:t>CHANGE SLIDE</w:t>
      </w:r>
    </w:p>
    <w:p w14:paraId="5868CCF3" w14:textId="77777777" w:rsidR="00DB3C84" w:rsidRPr="00DB3C84" w:rsidRDefault="00DB3C84" w:rsidP="00DB3C84">
      <w:pPr>
        <w:jc w:val="both"/>
      </w:pPr>
    </w:p>
    <w:p w14:paraId="5DB9C9A6" w14:textId="77777777" w:rsidR="00DB3C84" w:rsidRDefault="00DB3C84" w:rsidP="00DB3C84">
      <w:pPr>
        <w:jc w:val="both"/>
      </w:pPr>
      <w:r w:rsidRPr="00DB3C84">
        <w:t>Prenatal testing shows that technological intervention does not dissolve moral conflict. It intensifies it. Rapp argues that screening and diagnosis place women in situations where scientific knowledge produces probabilities rather than moral certainty, and where decisions about continuation, disability, risk, and possible termination must be made under unequal social conditions (Rapp, 1999). Her description of women as ‘moral pioneers’ captures the labour of deciding in circumstances where medicine offers information but cannot settle what ought to be done. Reproductive technology does not remove judgement from the process. It redistributes it into new forms of calculation, anticipation, and responsibility.</w:t>
      </w:r>
    </w:p>
    <w:p w14:paraId="65B46D7A" w14:textId="77777777" w:rsidR="00DB3C84" w:rsidRPr="00DB3C84" w:rsidRDefault="00DB3C84" w:rsidP="00DB3C84">
      <w:pPr>
        <w:jc w:val="both"/>
      </w:pPr>
    </w:p>
    <w:p w14:paraId="3B79E0A3" w14:textId="77777777" w:rsidR="00DB3C84" w:rsidRDefault="00DB3C84" w:rsidP="00DB3C84">
      <w:pPr>
        <w:jc w:val="both"/>
      </w:pPr>
      <w:r w:rsidRPr="00DB3C84">
        <w:t>Those pressures extend beyond moments of public controversy into the ordinary governance of pregnancy. Ultrasound images, genetic screening, counselling, risk scores, and expert advice all require parents to imagine the future child before birth and to act responsibly toward that future in advance. Responsibility begins earlier and earlier. Parents are expected to minimise risk, interpret probabilities, and demonstrate care through prudent decision-making. Reproduction is therefore governed not only through prohibition or punishment, but through anticipation. The future child becomes an ethical object before it becomes a social person, and pregnancy becomes a site of monitoring, planning, and moral evaluation.</w:t>
      </w:r>
    </w:p>
    <w:p w14:paraId="76FE20A6" w14:textId="77777777" w:rsidR="00DB3C84" w:rsidRPr="00DB3C84" w:rsidRDefault="00DB3C84" w:rsidP="00DB3C84">
      <w:pPr>
        <w:jc w:val="both"/>
      </w:pPr>
    </w:p>
    <w:p w14:paraId="0CAF0017" w14:textId="3537276A" w:rsidR="00AD25D5" w:rsidRPr="00AD25D5" w:rsidRDefault="00DB3C84" w:rsidP="00AD25D5">
      <w:pPr>
        <w:jc w:val="both"/>
      </w:pPr>
      <w:r w:rsidRPr="00DB3C84">
        <w:t>None of this is lived on equal ground. Access to contraception, abortion, fertility treatment, prenatal testing, antenatal care, and safe childbirth is stratified by class, race, geography, infrastructure, and stigma. Reproductive freedom is never simply a formal right. It depends on who can travel, who can pay, who can obtain care without surveillance or condemnation, and who must carry the heaviest burdens of reproductive governance. Unequal access changes not only outcomes but the meaning of choice itself. A right that exists in law may be unreachable in practice. Reproduction is therefore a central anthropological problem because it joins morality, kinship, medicine, law, and inequality in a single field. It shows with particular clarity that bodies are governed not only when they are sick, but when they are expected to produce life in socially approved ways.</w:t>
      </w:r>
    </w:p>
    <w:p w14:paraId="316C8414" w14:textId="77777777" w:rsidR="007A7054" w:rsidRDefault="007A7054" w:rsidP="00144668">
      <w:pPr>
        <w:jc w:val="both"/>
        <w:rPr>
          <w:b/>
          <w:bCs/>
        </w:rPr>
      </w:pPr>
    </w:p>
    <w:p w14:paraId="724B89F4" w14:textId="0F91F630" w:rsidR="00A61D40" w:rsidRDefault="00A61D40" w:rsidP="00144668">
      <w:pPr>
        <w:jc w:val="both"/>
        <w:rPr>
          <w:b/>
          <w:bCs/>
        </w:rPr>
      </w:pPr>
      <w:r>
        <w:pict w14:anchorId="56F852EB">
          <v:rect id="_x0000_i1045" style="width:0;height:1.5pt" o:hralign="center" o:hrstd="t" o:hr="t" fillcolor="#a0a0a0" stroked="f"/>
        </w:pict>
      </w:r>
    </w:p>
    <w:p w14:paraId="234B2EDA" w14:textId="276E5524" w:rsidR="005E7709" w:rsidRPr="005E7709" w:rsidRDefault="005E7709" w:rsidP="005E7709">
      <w:pPr>
        <w:pStyle w:val="Heading2"/>
      </w:pPr>
      <w:r w:rsidRPr="004F0548">
        <w:t>BREAK (1:</w:t>
      </w:r>
      <w:r>
        <w:t>25</w:t>
      </w:r>
      <w:r w:rsidRPr="004F0548">
        <w:t>–1:</w:t>
      </w:r>
      <w:r w:rsidR="00A61D40">
        <w:t>30</w:t>
      </w:r>
      <w:r w:rsidRPr="004F0548">
        <w:t>)</w:t>
      </w:r>
    </w:p>
    <w:p w14:paraId="7548A9F0" w14:textId="59A887BF" w:rsidR="00144668" w:rsidRPr="004F0548" w:rsidRDefault="00460264" w:rsidP="00144668">
      <w:pPr>
        <w:jc w:val="both"/>
      </w:pPr>
      <w:r>
        <w:pict w14:anchorId="5F3492D2">
          <v:rect id="_x0000_i1037" style="width:0;height:1.5pt" o:hralign="center" o:hrstd="t" o:hr="t" fillcolor="#a0a0a0" stroked="f"/>
        </w:pict>
      </w:r>
    </w:p>
    <w:p w14:paraId="7FAC4169" w14:textId="13F6A1B8" w:rsidR="00144668" w:rsidRPr="004F0548" w:rsidRDefault="004D3F38" w:rsidP="000129E1">
      <w:pPr>
        <w:pStyle w:val="Heading2"/>
      </w:pPr>
      <w:r w:rsidRPr="004F0548">
        <w:t>1:</w:t>
      </w:r>
      <w:r w:rsidR="00A61D40">
        <w:t>30</w:t>
      </w:r>
      <w:r w:rsidRPr="004F0548">
        <w:t>–</w:t>
      </w:r>
      <w:r w:rsidR="00FD7C7C">
        <w:t>1:55</w:t>
      </w:r>
      <w:r>
        <w:t xml:space="preserve">: </w:t>
      </w:r>
      <w:r w:rsidR="00144668" w:rsidRPr="004F0548">
        <w:t xml:space="preserve">PART </w:t>
      </w:r>
      <w:r>
        <w:t>5</w:t>
      </w:r>
      <w:r w:rsidR="00144668" w:rsidRPr="004F0548">
        <w:t xml:space="preserve"> — EMBODIMENT &amp; EVERYDAY SUFFERING</w:t>
      </w:r>
    </w:p>
    <w:p w14:paraId="0E5668A3" w14:textId="77777777" w:rsidR="00144668" w:rsidRDefault="00460264" w:rsidP="00144668">
      <w:pPr>
        <w:jc w:val="both"/>
        <w:rPr>
          <w:b/>
          <w:bCs/>
        </w:rPr>
      </w:pPr>
      <w:r>
        <w:pict w14:anchorId="7EF17DD8">
          <v:rect id="_x0000_i1038" style="width:0;height:1.5pt" o:hralign="center" o:hrstd="t" o:hr="t" fillcolor="#a0a0a0" stroked="f"/>
        </w:pict>
      </w:r>
    </w:p>
    <w:p w14:paraId="23F8E2B3" w14:textId="0E14C205" w:rsidR="00144668" w:rsidRPr="004F0548" w:rsidRDefault="00144668" w:rsidP="002D3989">
      <w:pPr>
        <w:pStyle w:val="Heading3"/>
      </w:pPr>
      <w:r w:rsidRPr="004F0548">
        <w:t>1:</w:t>
      </w:r>
      <w:r w:rsidR="00BE6C09">
        <w:t>30</w:t>
      </w:r>
      <w:r w:rsidR="004A5AD5">
        <w:t>-1:45</w:t>
      </w:r>
      <w:r w:rsidRPr="004F0548">
        <w:t xml:space="preserve"> — The Mindful Body</w:t>
      </w:r>
    </w:p>
    <w:p w14:paraId="031A7B57" w14:textId="77777777" w:rsidR="000C74CF" w:rsidRDefault="000C74CF" w:rsidP="000C74CF">
      <w:pPr>
        <w:jc w:val="both"/>
      </w:pPr>
      <w:r w:rsidRPr="000C74CF">
        <w:t>Embodiment begins from a simple claim: social life is not added to the body from the outside, but lived through the body itself. Anthropology uses the term to reject the idea that the body is a passive biological surface on which culture, power, or inequality merely leave their marks. Hunger, fatigue, posture, fear, addiction, reproductive strain, injury, chronic pain, and bodily restraint are not only bodily states. They are ways in which social worlds are inhabited. This is also why bodily suffering cannot be treated as automatically transparent. Scarry argues that physical pain resists language and can become radically difficult to communicate, even though it is intensely real to the person who feels it (Scarry, 2020). Embodiment matters because power, deprivation, and suffering are lived materially, but are not always easily legible from the outside.</w:t>
      </w:r>
    </w:p>
    <w:p w14:paraId="21771C5A" w14:textId="77777777" w:rsidR="000C74CF" w:rsidRPr="000C74CF" w:rsidRDefault="000C74CF" w:rsidP="000C74CF">
      <w:pPr>
        <w:jc w:val="both"/>
      </w:pPr>
    </w:p>
    <w:p w14:paraId="29FA7347" w14:textId="77777777" w:rsidR="000C74CF" w:rsidRDefault="000C74CF" w:rsidP="000C74CF">
      <w:pPr>
        <w:jc w:val="both"/>
      </w:pPr>
      <w:r w:rsidRPr="000C74CF">
        <w:t>Mauss provides an early anthropological starting-point for this argument by showing that bodily action is socially learned rather than simply natural. In ‘Techniques of the body’, he argues that walking, sitting, carrying, sleeping, washing, swimming, and marching are not universal acts performed in the same way everywhere. They are cultivated bodily techniques, patterned collectively and historically (Mauss, 1973). The point is not trivial. It means that even the most ordinary uses of the body are shaped through training, imitation, discipline, and habit. The body is therefore never just biological matter in motion. It is already social at the level of practice.</w:t>
      </w:r>
    </w:p>
    <w:p w14:paraId="6F6906EA" w14:textId="77777777" w:rsidR="000C74CF" w:rsidRDefault="000C74CF" w:rsidP="000C74CF">
      <w:pPr>
        <w:jc w:val="both"/>
      </w:pPr>
      <w:r>
        <w:t>CHANGE SLIDE</w:t>
      </w:r>
    </w:p>
    <w:p w14:paraId="70C27756" w14:textId="77777777" w:rsidR="000C74CF" w:rsidRPr="000C74CF" w:rsidRDefault="000C74CF" w:rsidP="000C74CF">
      <w:pPr>
        <w:jc w:val="both"/>
      </w:pPr>
    </w:p>
    <w:p w14:paraId="082526E4" w14:textId="77777777" w:rsidR="000C74CF" w:rsidRDefault="000C74CF" w:rsidP="000C74CF">
      <w:pPr>
        <w:jc w:val="both"/>
      </w:pPr>
      <w:r w:rsidRPr="000C74CF">
        <w:t>Csordas pushes this further by arguing that the body is not only trained socially but is the ground through which culture and self are lived. His phrase ‘the existential ground of culture and self’ means that people do not first become social beings in the mind and then acquire bodily habits afterwards. Bodily orientation, movement, sensation, and discipline are among the primary ways in which worlds are inhabited and made meaningful (Csordas, 1994). Embodiment therefore names more than bodily technique. It refers to the fact that social life is apprehended and lived through bodily existence itself. Culture does not float above the body as a layer of ideas. It takes hold through perception, practice, and sensation.</w:t>
      </w:r>
    </w:p>
    <w:p w14:paraId="75A8CDEB" w14:textId="77777777" w:rsidR="000C74CF" w:rsidRPr="000C74CF" w:rsidRDefault="000C74CF" w:rsidP="000C74CF">
      <w:pPr>
        <w:jc w:val="both"/>
      </w:pPr>
    </w:p>
    <w:p w14:paraId="66569F6D" w14:textId="77777777" w:rsidR="00785893" w:rsidRDefault="00785893" w:rsidP="000C74CF">
      <w:pPr>
        <w:jc w:val="both"/>
      </w:pPr>
      <w:r w:rsidRPr="00785893">
        <w:t>Scheper-Hughes and Lock argue that medical anthropology should not speak of a single body. Bodily life has to be analysed through three linked dimensions: the body as lived experience, the body as social sign, and the body as object of political regulation (Scheper-Hughes and Lock, 1987). Their framework shows that bodily life cannot be reduced to lived sensation alone, to social symbolism alone, or to political regulation alone. It keeps experience, meaning, and power in the same analytic field.</w:t>
      </w:r>
    </w:p>
    <w:p w14:paraId="76A3EB06" w14:textId="7B2C1CB7" w:rsidR="000C74CF" w:rsidRDefault="000C74CF" w:rsidP="000C74CF">
      <w:pPr>
        <w:jc w:val="both"/>
      </w:pPr>
      <w:r>
        <w:t>CHANGE SLIDE</w:t>
      </w:r>
    </w:p>
    <w:p w14:paraId="1403F392" w14:textId="77777777" w:rsidR="000C74CF" w:rsidRPr="000C74CF" w:rsidRDefault="000C74CF" w:rsidP="000C74CF">
      <w:pPr>
        <w:jc w:val="both"/>
      </w:pPr>
    </w:p>
    <w:p w14:paraId="1DE14BC6" w14:textId="77777777" w:rsidR="000C74CF" w:rsidRDefault="000C74CF" w:rsidP="000C74CF">
      <w:pPr>
        <w:jc w:val="both"/>
      </w:pPr>
      <w:r w:rsidRPr="000C74CF">
        <w:t xml:space="preserve">The </w:t>
      </w:r>
      <w:r w:rsidRPr="000C74CF">
        <w:rPr>
          <w:i/>
          <w:iCs/>
        </w:rPr>
        <w:t>individual body</w:t>
      </w:r>
      <w:r w:rsidRPr="000C74CF">
        <w:t xml:space="preserve"> is the body lived from within as sensation, incapacity, desire, fear, pain, and exhaustion. It is the body that aches, bleeds, trembles, ages, hungers, and cannot always sustain ordinary life. Medical anthropology cannot dispense with this level because suffering is always felt somewhere by someone. Illness is not only a diagnosis in a file or a pathology on a scan. It is also a body that can no longer move easily, sleep properly, digest reliably, or breathe without effort. At this level, embodiment keeps analysis tied to lived experience. If that experience is ignored, suffering becomes abstract. If analysis stops at this level alone, however, suffering becomes private and the wider forces shaping bodily life disappear from view.</w:t>
      </w:r>
    </w:p>
    <w:p w14:paraId="73635F05" w14:textId="77777777" w:rsidR="000C74CF" w:rsidRPr="000C74CF" w:rsidRDefault="000C74CF" w:rsidP="000C74CF">
      <w:pPr>
        <w:jc w:val="both"/>
      </w:pPr>
    </w:p>
    <w:p w14:paraId="6724BEB3" w14:textId="77777777" w:rsidR="000C74CF" w:rsidRDefault="000C74CF" w:rsidP="000C74CF">
      <w:pPr>
        <w:jc w:val="both"/>
      </w:pPr>
      <w:r w:rsidRPr="000C74CF">
        <w:t xml:space="preserve">The </w:t>
      </w:r>
      <w:r w:rsidRPr="000C74CF">
        <w:rPr>
          <w:i/>
          <w:iCs/>
        </w:rPr>
        <w:t>social body</w:t>
      </w:r>
      <w:r w:rsidRPr="000C74CF">
        <w:t xml:space="preserve"> is the body as symbol, image, and moral surface through which societies think. Bodies are used to imagine purity and danger, order and disorder, strength and weakness, beauty and decline. They stand for more than themselves. A body may become a sign of family honour, national vitality, class discipline, fertility, contamination, degeneration, or social failure. Thinness, obesity, ageing, disability, mental instability, strength, and reproductive capacity are therefore never only medical matters. They are also socially legible and morally charged. The social body shows that societies do not merely regulate bodies. They also think with them.</w:t>
      </w:r>
    </w:p>
    <w:p w14:paraId="2C2DCF5A" w14:textId="77777777" w:rsidR="000C74CF" w:rsidRDefault="000C74CF" w:rsidP="000C74CF">
      <w:pPr>
        <w:jc w:val="both"/>
      </w:pPr>
      <w:r>
        <w:t>CHANGE SLIDE</w:t>
      </w:r>
    </w:p>
    <w:p w14:paraId="4DF7881E" w14:textId="77777777" w:rsidR="000C74CF" w:rsidRPr="000C74CF" w:rsidRDefault="000C74CF" w:rsidP="000C74CF">
      <w:pPr>
        <w:jc w:val="both"/>
      </w:pPr>
    </w:p>
    <w:p w14:paraId="07B4B5B8" w14:textId="77777777" w:rsidR="000C74CF" w:rsidRDefault="000C74CF" w:rsidP="000C74CF">
      <w:pPr>
        <w:jc w:val="both"/>
      </w:pPr>
      <w:r w:rsidRPr="000C74CF">
        <w:t xml:space="preserve">The </w:t>
      </w:r>
      <w:r w:rsidRPr="000C74CF">
        <w:rPr>
          <w:i/>
          <w:iCs/>
        </w:rPr>
        <w:t>body politic</w:t>
      </w:r>
      <w:r w:rsidRPr="000C74CF">
        <w:t xml:space="preserve"> is the body as an object of administration, discipline, regulation, and control. Bodies are counted, trained, classified, protected, corrected, and managed because they are politically consequential. States care about fertility, mortality, sexuality, sanitation, labour capacity, disability, and public health because bodies matter to the reproduction of social order. This is visible in prisons, schools, clinics, welfare systems, military recruitment, psychiatric institutions, reproductive regulation, and public health campaigns. At this level, the body is neither only lived nor only symbolised. It is governed. Scheper-Hughes and Lock make this point in a way especially useful for anthropology because they connect embodied experience to institutional power without collapsing one into the other.</w:t>
      </w:r>
    </w:p>
    <w:p w14:paraId="2C8DBED5" w14:textId="77777777" w:rsidR="000C74CF" w:rsidRPr="000C74CF" w:rsidRDefault="000C74CF" w:rsidP="000C74CF">
      <w:pPr>
        <w:jc w:val="both"/>
      </w:pPr>
    </w:p>
    <w:p w14:paraId="3AABFB68" w14:textId="77777777" w:rsidR="000C74CF" w:rsidRDefault="000C74CF" w:rsidP="000C74CF">
      <w:pPr>
        <w:jc w:val="both"/>
      </w:pPr>
      <w:r w:rsidRPr="000C74CF">
        <w:t>These three bodies are not separate layers stacked on top of one another. They are different ways of analysing the same embodied life. Chronic pain makes the point clearly. Pain is lived by an individual body as exhaustion, incapacity, and suffering. It may be interpreted socially as weakness, malingering, emotional instability, or lack of discipline. It is also governed through medical classification, workplace rules, welfare assessment, prescription systems, and institutional decisions about whether the pain is recognised, compensated, or ignored. The three bodies model matters because it shows that a single bodily condition can never be understood adequately at only one scale. Experience, symbolism, and governance meet in the same body.</w:t>
      </w:r>
    </w:p>
    <w:p w14:paraId="27E3C8D3" w14:textId="77777777" w:rsidR="000C74CF" w:rsidRDefault="000C74CF" w:rsidP="000C74CF">
      <w:pPr>
        <w:jc w:val="both"/>
      </w:pPr>
      <w:r>
        <w:t>CHANGE SLIDE</w:t>
      </w:r>
    </w:p>
    <w:p w14:paraId="009D26BD" w14:textId="77777777" w:rsidR="000C74CF" w:rsidRPr="000C74CF" w:rsidRDefault="000C74CF" w:rsidP="000C74CF">
      <w:pPr>
        <w:jc w:val="both"/>
      </w:pPr>
    </w:p>
    <w:p w14:paraId="72D89B05" w14:textId="77777777" w:rsidR="000C74CF" w:rsidRDefault="000C74CF" w:rsidP="000C74CF">
      <w:pPr>
        <w:jc w:val="both"/>
      </w:pPr>
      <w:r w:rsidRPr="000C74CF">
        <w:t>Scheper-Hughes’s ethnography of Northeast Brazil shows what embodiment looks like under conditions of chronic scarcity and ordinary suffering. In Death without Weeping, infant mortality, hunger, maternal exhaustion, and precarious survival are not treated as exceptional disasters that interrupt otherwise secure lives. They are woven into everyday life under conditions of poverty and abandonment (Scheper-Hughes, 1992). Bodies are central at every level. Infants are born into frailty and nutritional deprivation. Mothers are physically worn down by labour, reproduction, and grief. Attachment itself is shaped under conditions where not every child can be kept alive. The ethnography is powerful because it refuses sentimental abstraction. It shows embodied life under a political economy in which the poor are expected to endure what others would name intolerable.</w:t>
      </w:r>
    </w:p>
    <w:p w14:paraId="27EAA5C7" w14:textId="77777777" w:rsidR="000C74CF" w:rsidRPr="000C74CF" w:rsidRDefault="000C74CF" w:rsidP="000C74CF">
      <w:pPr>
        <w:jc w:val="both"/>
      </w:pPr>
    </w:p>
    <w:p w14:paraId="7AC011A3" w14:textId="0D234B33" w:rsidR="000C74CF" w:rsidRPr="000C74CF" w:rsidRDefault="000C74CF" w:rsidP="000C74CF">
      <w:pPr>
        <w:jc w:val="both"/>
      </w:pPr>
      <w:r w:rsidRPr="000C74CF">
        <w:t>Embodiment also shows that violence is often slow, ordinary, and lodged in bodies long before it appears as dramatic crisis. Scheper-Hughes is especially important here because she does not reserve violence for spectacular assault. Undernutrition, repeated reproductive loss, preventable illness, untreated pain, bodily wasting, and exhaustion are also forms of violence when they are socially produced and politically sustained. Scarry clarif</w:t>
      </w:r>
      <w:r w:rsidR="007933E4">
        <w:t xml:space="preserve">ies this </w:t>
      </w:r>
      <w:r w:rsidRPr="000C74CF">
        <w:t>by showing that pain is resistant to language and therefore difficult to make publicly visible (Scarry, 2020). That difficulty has political consequences. Suffering that is hard to articulate is also easier to normalise, doubt, or ignore. Embodiment therefore sharpens the earlier argument about structural violence. It shows what inequality looks like from the inside and across ordinary time. Bodies are biological, social, and political at once, and that is why anthropology cannot separate bodily life from the worlds that produce it.</w:t>
      </w:r>
    </w:p>
    <w:p w14:paraId="59C3D927" w14:textId="09AA052F" w:rsidR="00144668" w:rsidRPr="004F0548" w:rsidRDefault="00144668" w:rsidP="00144668">
      <w:pPr>
        <w:jc w:val="both"/>
      </w:pPr>
    </w:p>
    <w:p w14:paraId="496E83C9" w14:textId="77777777" w:rsidR="00144668" w:rsidRPr="004F0548" w:rsidRDefault="00460264" w:rsidP="00144668">
      <w:pPr>
        <w:jc w:val="both"/>
      </w:pPr>
      <w:r>
        <w:pict w14:anchorId="1175B577">
          <v:rect id="_x0000_i1039" style="width:0;height:1.5pt" o:hralign="center" o:hrstd="t" o:hr="t" fillcolor="#a0a0a0" stroked="f"/>
        </w:pict>
      </w:r>
    </w:p>
    <w:p w14:paraId="2FC28EF6" w14:textId="55A481B4" w:rsidR="00144668" w:rsidRPr="004F0548" w:rsidRDefault="00144668" w:rsidP="002D3989">
      <w:pPr>
        <w:pStyle w:val="Heading3"/>
      </w:pPr>
      <w:r w:rsidRPr="004F0548">
        <w:t>1:</w:t>
      </w:r>
      <w:r w:rsidR="00FD7C7C">
        <w:t>45</w:t>
      </w:r>
      <w:r w:rsidRPr="004F0548">
        <w:t>–1:</w:t>
      </w:r>
      <w:r w:rsidR="00FD7C7C">
        <w:t>5</w:t>
      </w:r>
      <w:r w:rsidR="00BE6C09">
        <w:t>5</w:t>
      </w:r>
      <w:r w:rsidRPr="004F0548">
        <w:t xml:space="preserve"> — Suffering in the Ordinary</w:t>
      </w:r>
    </w:p>
    <w:p w14:paraId="568FA2C7" w14:textId="77777777" w:rsidR="00536C9E" w:rsidRDefault="00536C9E" w:rsidP="00536C9E">
      <w:pPr>
        <w:jc w:val="both"/>
      </w:pPr>
      <w:r w:rsidRPr="00536C9E">
        <w:t>Veena Das asks what happens when violence does not remain an event. Embodiment has already shown that suffering is lived through bodies, and Scarry sharpens that point by arguing that pain can be intensely real while still resisting language and full public recognition (Scarry, 2020). Das takes the next step. She examines what happens when injury, fear, and loss are carried into ordinary life rather than remaining visible as exceptional crisis. In Life and Words, she calls this the ‘descent into the ordinary’: violence enters kinship, domestic routine, neighbourhood life, speech, and silence, and continues there as part of the world people must still inhabit (Das, 2007). Suffering is therefore not only something that happens in the moment of devastation. It can persist in the practical work of continuing to live.</w:t>
      </w:r>
    </w:p>
    <w:p w14:paraId="389F3896" w14:textId="77777777" w:rsidR="00536C9E" w:rsidRPr="00536C9E" w:rsidRDefault="00536C9E" w:rsidP="00536C9E">
      <w:pPr>
        <w:jc w:val="both"/>
      </w:pPr>
    </w:p>
    <w:p w14:paraId="6B403180" w14:textId="77777777" w:rsidR="00902155" w:rsidRDefault="00902155" w:rsidP="00902155">
      <w:pPr>
        <w:jc w:val="both"/>
      </w:pPr>
      <w:r w:rsidRPr="00902155">
        <w:t>Public accounts of suffering usually privilege the event: the riot, the assault, the disappearance, the death, the moment of breakdown. News coverage, legal process, and public commemoration tend to focus on the visible rupture. Das asks what happens after that moment has passed from public view. A household may continue to cook, clean, marry, bear children, and speak with neighbours while remaining fundamentally shaped by injury, mistrust, or fear. A widow may continue to run a home after communal violence while ordinary tasks are now shadowed by absence and threat. A family may keep living together after rape, disappearance, or political terror, yet find that speech, intimacy, and trust have all changed. A neighbourhood may appear calm while everyone knows which routes are safe, which names should not be spoken, and which memories are better left half-said. The ordinary is therefore not a return to normal after violence. It is the social space in which altered life has to be lived.</w:t>
      </w:r>
    </w:p>
    <w:p w14:paraId="173ECC7C" w14:textId="34E38B9B" w:rsidR="00902155" w:rsidRDefault="00902155" w:rsidP="00902155">
      <w:pPr>
        <w:jc w:val="both"/>
      </w:pPr>
      <w:r>
        <w:t>CHANGE SLIDE</w:t>
      </w:r>
    </w:p>
    <w:p w14:paraId="09E03C54" w14:textId="77777777" w:rsidR="00902155" w:rsidRPr="00902155" w:rsidRDefault="00902155" w:rsidP="00902155">
      <w:pPr>
        <w:jc w:val="both"/>
      </w:pPr>
    </w:p>
    <w:p w14:paraId="18B7DFAF" w14:textId="77777777" w:rsidR="00902155" w:rsidRDefault="00902155" w:rsidP="00902155">
      <w:pPr>
        <w:jc w:val="both"/>
      </w:pPr>
      <w:r w:rsidRPr="00902155">
        <w:t>Scheper-Hughes and Das illuminate different temporalities of suffering. Scheper-Hughes shows how hunger, infant mortality, exhaustion, and chronic deprivation are lodged in bodies under conditions of poverty (Scheper-Hughes, 1992). Das begins from a different problem: how violence continues after the event through relation, routine, and everyday coexistence. Her attention stays close to households, marriages, kin obligations, neighbourhood tensions, and broken or hesitant speech because that is where damaged worlds are often lived. The question is not only how violence injures, but how people continue under its aftermath. Suffering here is neither a passing emergency nor a completed past. It is a condition of daily life.</w:t>
      </w:r>
    </w:p>
    <w:p w14:paraId="6CABA1F3" w14:textId="77777777" w:rsidR="00902155" w:rsidRPr="00902155" w:rsidRDefault="00902155" w:rsidP="00902155">
      <w:pPr>
        <w:jc w:val="both"/>
      </w:pPr>
    </w:p>
    <w:p w14:paraId="610CEA81" w14:textId="77777777" w:rsidR="00902155" w:rsidRDefault="00902155" w:rsidP="00902155">
      <w:pPr>
        <w:jc w:val="both"/>
      </w:pPr>
      <w:r w:rsidRPr="00902155">
        <w:t>Chronic illness shows clearly how suffering spreads through households rather than remaining contained within one body. Kleinman’s distinction between disease and illness already showed that suffering cannot be reduced to pathology alone (Kleinman, 1980). Das pushes this further by showing how illness reorganises intimate life. One person’s chronic pain, mental distress, frailty, or sleeplessness can alter who works, who cares, who waits, who worries, and who goes without rest. Medicines must be remembered, appointments reached, moods managed, food adjusted, tempers absorbed, and routines reorganised. A chronic condition may therefore become part of the household’s ordinary tempo rather than appearing only as a medical interruption. Suffering is felt in a body, but it is often carried through relations.</w:t>
      </w:r>
    </w:p>
    <w:p w14:paraId="02AB2249" w14:textId="77777777" w:rsidR="00902155" w:rsidRDefault="00902155" w:rsidP="00902155">
      <w:pPr>
        <w:jc w:val="both"/>
      </w:pPr>
      <w:r>
        <w:t>CHANGE SLIDE</w:t>
      </w:r>
    </w:p>
    <w:p w14:paraId="74628592" w14:textId="77777777" w:rsidR="00902155" w:rsidRPr="00902155" w:rsidRDefault="00902155" w:rsidP="00902155">
      <w:pPr>
        <w:jc w:val="both"/>
      </w:pPr>
    </w:p>
    <w:p w14:paraId="478D3DF7" w14:textId="77777777" w:rsidR="00902155" w:rsidRDefault="00902155" w:rsidP="00902155">
      <w:pPr>
        <w:jc w:val="both"/>
      </w:pPr>
      <w:r w:rsidRPr="00902155">
        <w:t>Much suffering is carried in fragments, substitutions, and altered habits rather than in full narratives. Scarry argues that physical pain resists language and may reduce speech to cries, broken phrases, or silence rather than coherent description (Scarry, 2020). Das is valuable here because she does not assume that suffering becomes socially meaningful only when it is fully spoken. People may avoid direct narration and still live entirely within the consequences of violence. Knowledge may survive in lowered voices, unfinished sentences, practical caution, bodily vigilance, or the refusal to name what everyone already knows. Anthropology therefore cannot treat articulate testimony as the only serious form of suffering. Some of the most enduring damage is carried in what can only be partially said.</w:t>
      </w:r>
    </w:p>
    <w:p w14:paraId="11EDD67C" w14:textId="77777777" w:rsidR="00902155" w:rsidRPr="00902155" w:rsidRDefault="00902155" w:rsidP="00902155">
      <w:pPr>
        <w:jc w:val="both"/>
      </w:pPr>
    </w:p>
    <w:p w14:paraId="108F042D" w14:textId="77777777" w:rsidR="00902155" w:rsidRPr="00902155" w:rsidRDefault="00902155" w:rsidP="00902155">
      <w:pPr>
        <w:jc w:val="both"/>
      </w:pPr>
      <w:r w:rsidRPr="00902155">
        <w:t>Violence becomes ordinary when people are forced to organise daily life around conditions that should never have become normal. That is the force of Das’s account of normalisation. Fear may become routine. Exhaustion may become routine. The presence of illness, insecurity, or unresolved injury may become part of what a household expects each day. This does not mean that suffering is accepted or that people stop feeling it. It means that repetition folds the extraordinary into everyday life. A family may organise itself around long-term frailty or old violence without ever escaping its effects. A neighbourhood may live with a constant low level of danger without any single moment marking it as crisis. The ordinary can therefore be saturated with damage.</w:t>
      </w:r>
    </w:p>
    <w:p w14:paraId="4E4083B3" w14:textId="77777777" w:rsidR="00536C9E" w:rsidRPr="00536C9E" w:rsidRDefault="00536C9E" w:rsidP="00536C9E">
      <w:pPr>
        <w:jc w:val="both"/>
      </w:pPr>
    </w:p>
    <w:p w14:paraId="299F8DE2" w14:textId="77777777" w:rsidR="00536C9E" w:rsidRPr="00536C9E" w:rsidRDefault="00536C9E" w:rsidP="00536C9E">
      <w:pPr>
        <w:jc w:val="both"/>
      </w:pPr>
      <w:r w:rsidRPr="00536C9E">
        <w:t>Das’s anthropology refuses two reductions at once. She does not treat suffering as private psychology sealed inside individuals, and she does not treat it as abstract structure operating above lived relations. She stays with the unstable middle ground where life continues under damaged conditions. People cook, argue, marry, work, withdraw, care, and endure in worlds altered by violence but not suspended by it. That is why suffering in the ordinary is such an important anthropological problem. It shows that violence is not always loud, temporally bounded, or fully narratable. It may persist as relation, routine, silence, illness, and altered possibility. Anthropology has to be able to see that quieter and longer life of suffering.</w:t>
      </w:r>
    </w:p>
    <w:p w14:paraId="41DB09B0" w14:textId="77777777" w:rsidR="003007BB" w:rsidRPr="004F0548" w:rsidRDefault="003007BB" w:rsidP="00144668">
      <w:pPr>
        <w:jc w:val="both"/>
      </w:pPr>
    </w:p>
    <w:p w14:paraId="76B6AA8B" w14:textId="77777777" w:rsidR="00144668" w:rsidRPr="004F0548" w:rsidRDefault="00460264" w:rsidP="00144668">
      <w:pPr>
        <w:jc w:val="both"/>
      </w:pPr>
      <w:r>
        <w:pict w14:anchorId="6BBF6294">
          <v:rect id="_x0000_i1040" style="width:0;height:1.5pt" o:hralign="center" o:hrstd="t" o:hr="t" fillcolor="#a0a0a0" stroked="f"/>
        </w:pict>
      </w:r>
    </w:p>
    <w:p w14:paraId="58B98337" w14:textId="03D7E48B" w:rsidR="00144668" w:rsidRPr="004F0548" w:rsidRDefault="004D3F38" w:rsidP="000129E1">
      <w:pPr>
        <w:pStyle w:val="Heading2"/>
      </w:pPr>
      <w:r w:rsidRPr="004F0548">
        <w:t>1:</w:t>
      </w:r>
      <w:r w:rsidR="004F691B">
        <w:t>5</w:t>
      </w:r>
      <w:r w:rsidR="00BE6C09">
        <w:t>5</w:t>
      </w:r>
      <w:r w:rsidRPr="004F0548">
        <w:t>–</w:t>
      </w:r>
      <w:r w:rsidR="009D151B">
        <w:t>2</w:t>
      </w:r>
      <w:r w:rsidRPr="004F0548">
        <w:t>:</w:t>
      </w:r>
      <w:r w:rsidR="009D151B">
        <w:t>0</w:t>
      </w:r>
      <w:r w:rsidRPr="004F0548">
        <w:t>5</w:t>
      </w:r>
      <w:r>
        <w:t xml:space="preserve">: </w:t>
      </w:r>
      <w:r w:rsidR="00144668" w:rsidRPr="004F0548">
        <w:t xml:space="preserve">PART </w:t>
      </w:r>
      <w:r>
        <w:t xml:space="preserve">6 </w:t>
      </w:r>
      <w:r w:rsidR="00144668" w:rsidRPr="004F0548">
        <w:t>— PSYCHOLOGICAL ANTHROPOLOGY</w:t>
      </w:r>
    </w:p>
    <w:p w14:paraId="5FEBC466" w14:textId="77777777" w:rsidR="00144668" w:rsidRDefault="00460264" w:rsidP="00144668">
      <w:pPr>
        <w:jc w:val="both"/>
        <w:rPr>
          <w:b/>
          <w:bCs/>
        </w:rPr>
      </w:pPr>
      <w:r>
        <w:pict w14:anchorId="2835CB7E">
          <v:rect id="_x0000_i1041" style="width:0;height:1.5pt" o:hralign="center" o:hrstd="t" o:hr="t" fillcolor="#a0a0a0" stroked="f"/>
        </w:pict>
      </w:r>
    </w:p>
    <w:p w14:paraId="41357D27" w14:textId="41CA2FE2" w:rsidR="006D60C2" w:rsidRPr="006D60C2" w:rsidRDefault="00C54B3C" w:rsidP="00C54B3C">
      <w:pPr>
        <w:pStyle w:val="Heading3"/>
      </w:pPr>
      <w:r>
        <w:t>1.</w:t>
      </w:r>
      <w:r w:rsidR="006D60C2" w:rsidRPr="006D60C2">
        <w:t xml:space="preserve"> Emotion as cultural</w:t>
      </w:r>
    </w:p>
    <w:p w14:paraId="1D23053E" w14:textId="77777777" w:rsidR="00E02096" w:rsidRDefault="00E02096" w:rsidP="00E02096">
      <w:pPr>
        <w:jc w:val="both"/>
      </w:pPr>
      <w:r w:rsidRPr="00E02096">
        <w:t>Psychological anthropology begins by rejecting the idea that emotions are universal inner substances which culture merely expresses, represses, or decorates. Catherine Lutz shows that emotions are named, organised, valued, and interpreted within particular moral worlds rather than entering social life as finished biological facts (Lutz, 1988). Fear, anger, compassion, shame, grief, and calm are therefore not simply natural contents of the mind. They become intelligible through language, relation, and judgement.</w:t>
      </w:r>
    </w:p>
    <w:p w14:paraId="19228717" w14:textId="77777777" w:rsidR="00E02096" w:rsidRPr="00E02096" w:rsidRDefault="00E02096" w:rsidP="00E02096">
      <w:pPr>
        <w:jc w:val="both"/>
      </w:pPr>
    </w:p>
    <w:p w14:paraId="638CDD62" w14:textId="77777777" w:rsidR="00E02096" w:rsidRDefault="00E02096" w:rsidP="00E02096">
      <w:pPr>
        <w:jc w:val="both"/>
      </w:pPr>
      <w:r w:rsidRPr="00E02096">
        <w:t>Emotion is also more than feeling in a narrow private sense. To identify an emotion is already to say something about what has happened, what matters, who is responsible, and how one ought to respond. Emotional life is therefore inseparable from morality. Social worlds cultivate some forms of feeling as signs of maturity, care, dignity, or self-command, while condemning others as selfish, unstable, childish, excessive, or dangerous. The distinction between proper feeling and pathological feeling is never only medical. It depends on assumptions about personhood, conduct, and social order.</w:t>
      </w:r>
    </w:p>
    <w:p w14:paraId="48B6A865" w14:textId="77777777" w:rsidR="00E02096" w:rsidRPr="00E02096" w:rsidRDefault="00E02096" w:rsidP="00E02096">
      <w:pPr>
        <w:jc w:val="both"/>
      </w:pPr>
    </w:p>
    <w:p w14:paraId="2E15EBD8" w14:textId="77777777" w:rsidR="00E02096" w:rsidRPr="00E02096" w:rsidRDefault="00E02096" w:rsidP="00E02096">
      <w:pPr>
        <w:jc w:val="both"/>
      </w:pPr>
      <w:r w:rsidRPr="00E02096">
        <w:t>Lutz does not deny bodily intensity. Emotions are felt in trembling, nausea, tears, racing hearts, exhaustion, and muscular tension. Her point is that bodily sensation does not by itself determine meaning. A rapid heartbeat may be lived as fear, anticipation, shame, excitement, or spiritual presence depending on the interpretive world in which it occurs. Psychological anthropology therefore does not treat emotional life as a biological core underneath culture. It treats emotion as one of the ways culture enters inner life.</w:t>
      </w:r>
    </w:p>
    <w:p w14:paraId="6FE1FB59" w14:textId="77777777" w:rsidR="00C54B3C" w:rsidRDefault="00C54B3C" w:rsidP="006D60C2">
      <w:pPr>
        <w:jc w:val="both"/>
        <w:rPr>
          <w:b/>
          <w:bCs/>
        </w:rPr>
      </w:pPr>
    </w:p>
    <w:p w14:paraId="6D9A3F2C" w14:textId="797370A7" w:rsidR="006D60C2" w:rsidRPr="006D60C2" w:rsidRDefault="00C54B3C" w:rsidP="00C54B3C">
      <w:pPr>
        <w:pStyle w:val="Heading3"/>
      </w:pPr>
      <w:r>
        <w:t>2.</w:t>
      </w:r>
      <w:r w:rsidR="006D60C2" w:rsidRPr="006D60C2">
        <w:t xml:space="preserve"> Moral subjectivity</w:t>
      </w:r>
    </w:p>
    <w:p w14:paraId="0B452C17" w14:textId="77777777" w:rsidR="00DF2A37" w:rsidRDefault="00DF2A37" w:rsidP="00DF2A37">
      <w:pPr>
        <w:jc w:val="both"/>
      </w:pPr>
      <w:r w:rsidRPr="00DF2A37">
        <w:t>Joel Robbins shows that subjectivity is culturally organised as well. In his work on conversion, inward life does not appear as a private depth that religion later influences from the outside. Conversion is a moral project through which people try to become different kinds of persons: to discipline desire, reorder conduct, reinterpret the past, and live under sharper forms of judgement and aspiration (Robbins, 2004). The anthropological importance of this argument goes beyond Christianity. It shows that inner life is formed through models of what a person should be.</w:t>
      </w:r>
    </w:p>
    <w:p w14:paraId="1E3DE8F0" w14:textId="77777777" w:rsidR="00DF2A37" w:rsidRPr="00DF2A37" w:rsidRDefault="00DF2A37" w:rsidP="00DF2A37">
      <w:pPr>
        <w:jc w:val="both"/>
      </w:pPr>
    </w:p>
    <w:p w14:paraId="77B924C0" w14:textId="77777777" w:rsidR="00DF2A37" w:rsidRDefault="00DF2A37" w:rsidP="00DF2A37">
      <w:pPr>
        <w:jc w:val="both"/>
      </w:pPr>
      <w:r w:rsidRPr="00DF2A37">
        <w:t xml:space="preserve">Moral worlds shape more than explicit belief. They shape self-examination, guilt, hope, temptation, repentance, aspiration, and the sense of what counts as transformation. They determine what kind of inner conflict is morally serious and what kind of </w:t>
      </w:r>
      <w:proofErr w:type="spellStart"/>
      <w:r w:rsidRPr="00DF2A37">
        <w:t>self one</w:t>
      </w:r>
      <w:proofErr w:type="spellEnd"/>
      <w:r w:rsidRPr="00DF2A37">
        <w:t xml:space="preserve"> is expected to cultivate. Subjectivity is therefore not a private interior zone left untouched by the social world. It is worked on through ritual, language, confession, memory, discipline, and collective expectation. The self becomes intelligible to itself through culturally available forms.</w:t>
      </w:r>
    </w:p>
    <w:p w14:paraId="404F314B" w14:textId="77777777" w:rsidR="00DF2A37" w:rsidRPr="00DF2A37" w:rsidRDefault="00DF2A37" w:rsidP="00DF2A37">
      <w:pPr>
        <w:jc w:val="both"/>
      </w:pPr>
    </w:p>
    <w:p w14:paraId="14C3D503" w14:textId="77777777" w:rsidR="00DF2A37" w:rsidRPr="00DF2A37" w:rsidRDefault="00DF2A37" w:rsidP="00DF2A37">
      <w:pPr>
        <w:jc w:val="both"/>
      </w:pPr>
      <w:r w:rsidRPr="00DF2A37">
        <w:t>This is why psychological anthropology cannot stop at asking what people believe. It also has to ask what kinds of selves particular moral worlds produce. A converted person is not simply someone who now accepts a new doctrine. They may come to monitor desire differently, remember the past differently, narrate wrongdoing differently, and imagine the future differently. Subjectivity here is not hidden beneath culture. It is one of the places where culture becomes most demanding, because it shapes how people judge themselves from within.</w:t>
      </w:r>
    </w:p>
    <w:p w14:paraId="0630EFBE" w14:textId="77777777" w:rsidR="00C54B3C" w:rsidRDefault="00C54B3C" w:rsidP="006D60C2">
      <w:pPr>
        <w:jc w:val="both"/>
        <w:rPr>
          <w:b/>
          <w:bCs/>
        </w:rPr>
      </w:pPr>
    </w:p>
    <w:p w14:paraId="0BE893D9" w14:textId="0EE2A634" w:rsidR="006D60C2" w:rsidRPr="006D60C2" w:rsidRDefault="00C54B3C" w:rsidP="00C54B3C">
      <w:pPr>
        <w:pStyle w:val="Heading3"/>
      </w:pPr>
      <w:r>
        <w:t>3.</w:t>
      </w:r>
      <w:r w:rsidR="006D60C2" w:rsidRPr="006D60C2">
        <w:t xml:space="preserve"> Anthropology Today connections </w:t>
      </w:r>
      <w:r w:rsidR="006C59A9">
        <w:t>2</w:t>
      </w:r>
    </w:p>
    <w:p w14:paraId="207EDADF" w14:textId="77777777" w:rsidR="00DF2A37" w:rsidRDefault="00DF2A37" w:rsidP="00DF2A37">
      <w:pPr>
        <w:jc w:val="both"/>
      </w:pPr>
      <w:r w:rsidRPr="00DF2A37">
        <w:t>Recent Anthropology Today pieces show the same problem in contemporary mental-health discourse. Mindfulness, psychotherapy, trauma language, and diagnostic categories are often presented as if they circulate globally because they describe a universal human mind more accurately than older local understandings. The contemporary material shows something else. These forms travel through class formation, ethical projects, institutional settings, and unequal access rather than across a flat human landscape. Mental-health language acquires authority in specific social worlds, not in a cultural vacuum.</w:t>
      </w:r>
    </w:p>
    <w:p w14:paraId="49B4E3CB" w14:textId="77777777" w:rsidR="00DF2A37" w:rsidRPr="00DF2A37" w:rsidRDefault="00DF2A37" w:rsidP="00DF2A37">
      <w:pPr>
        <w:jc w:val="both"/>
      </w:pPr>
    </w:p>
    <w:p w14:paraId="3D9F5848" w14:textId="77777777" w:rsidR="00DF2A37" w:rsidRDefault="00DF2A37" w:rsidP="00DF2A37">
      <w:pPr>
        <w:jc w:val="both"/>
      </w:pPr>
      <w:r w:rsidRPr="00DF2A37">
        <w:t xml:space="preserve">Cook and </w:t>
      </w:r>
      <w:proofErr w:type="spellStart"/>
      <w:r w:rsidRPr="00DF2A37">
        <w:t>Cassaniti</w:t>
      </w:r>
      <w:proofErr w:type="spellEnd"/>
      <w:r w:rsidRPr="00DF2A37">
        <w:t xml:space="preserve"> make this clear in their discussion of mindfulness. Mindfulness is often marketed as a portable technique for calming the mind and improving wellbeing, but its meaning changes as it moves across Buddhist traditions, therapeutic programmes, corporate wellness, and public mental-health discourse (Cook and </w:t>
      </w:r>
      <w:proofErr w:type="spellStart"/>
      <w:r w:rsidRPr="00DF2A37">
        <w:t>Cassaniti</w:t>
      </w:r>
      <w:proofErr w:type="spellEnd"/>
      <w:r w:rsidRPr="00DF2A37">
        <w:t>, 2022). It carries assumptions about suffering, selfhood, attention, discipline, and the good life, and those assumptions are neither universal nor politically innocent. What appears as a neutral technique is always embedded in a broader account of what kind of self should be cultivated and for what purpose.</w:t>
      </w:r>
    </w:p>
    <w:p w14:paraId="2C38495E" w14:textId="77777777" w:rsidR="00DF2A37" w:rsidRPr="00DF2A37" w:rsidRDefault="00DF2A37" w:rsidP="00DF2A37">
      <w:pPr>
        <w:jc w:val="both"/>
      </w:pPr>
    </w:p>
    <w:p w14:paraId="250A8FA2" w14:textId="77777777" w:rsidR="00DF2A37" w:rsidRDefault="00DF2A37" w:rsidP="00DF2A37">
      <w:pPr>
        <w:jc w:val="both"/>
      </w:pPr>
      <w:r w:rsidRPr="00DF2A37">
        <w:t>Martin and Roy show the same point through psychotherapy. In China, psychotherapy is tied to urban middle-class formation, generational change, and aspirations to reflexive selfhood rather than spreading into an undifferentiated population (Martin, 2024). In India, psychotherapy becomes entangled with decolonisation, caste, queer politics, and middle-class authority rather than appearing as a neutral transfer of scientific care (Roy, 2025). These are not minor contextual variations around a stable core. They show that therapeutic categories acquire force through local histories, institutional inequalities, and contested moral projects.</w:t>
      </w:r>
    </w:p>
    <w:p w14:paraId="2C616F90" w14:textId="77777777" w:rsidR="00DF2A37" w:rsidRPr="00DF2A37" w:rsidRDefault="00DF2A37" w:rsidP="00DF2A37">
      <w:pPr>
        <w:jc w:val="both"/>
      </w:pPr>
    </w:p>
    <w:p w14:paraId="1E5330C0" w14:textId="073D93C4" w:rsidR="00C54B3C" w:rsidRDefault="00DF2A37" w:rsidP="006D60C2">
      <w:pPr>
        <w:jc w:val="both"/>
      </w:pPr>
      <w:r w:rsidRPr="00DF2A37">
        <w:t>These contemporary cases return us to the lecture’s central problem: distress is never simply discovered as a universal inner fact. It is interpreted through local explanatory worlds, organised through diagnostic categories, and distributed through unequal systems of care. Kleinman helps explain why suffering is always mediated by interpretation rather than encountered as raw pathology alone (Kleinman, 1980). Foucault helps explain why diagnostic language does not merely describe mental states but also produces normalising categories and governable populations (Foucault, 1978). Farmer helps explain why therapeutic attention is distributed unevenly, so that some populations are invited into expensive projects of self-work while others still encounter coercion, sedation, neglect, or no care at all (Farmer, 2004). The question is therefore not whether mental-health categories are simply true or false. It is what kinds of subjects they produce, what forms of authority they carry, and whose suffering they make visible, manageable, or obscure.</w:t>
      </w:r>
    </w:p>
    <w:p w14:paraId="50A2CDC1" w14:textId="77777777" w:rsidR="00DF2A37" w:rsidRPr="006D60C2" w:rsidRDefault="00DF2A37" w:rsidP="006D60C2">
      <w:pPr>
        <w:jc w:val="both"/>
      </w:pPr>
    </w:p>
    <w:p w14:paraId="6F55DF8D" w14:textId="77777777" w:rsidR="00144668" w:rsidRPr="004F0548" w:rsidRDefault="00460264" w:rsidP="00144668">
      <w:pPr>
        <w:jc w:val="both"/>
      </w:pPr>
      <w:r>
        <w:pict w14:anchorId="0C6B70C2">
          <v:rect id="_x0000_i1042" style="width:0;height:1.5pt" o:hralign="center" o:hrstd="t" o:hr="t" fillcolor="#a0a0a0" stroked="f"/>
        </w:pict>
      </w:r>
    </w:p>
    <w:p w14:paraId="4C6E05B4" w14:textId="09587115" w:rsidR="00144668" w:rsidRPr="004F0548" w:rsidRDefault="009D151B" w:rsidP="000129E1">
      <w:pPr>
        <w:pStyle w:val="Heading2"/>
      </w:pPr>
      <w:r>
        <w:t>2</w:t>
      </w:r>
      <w:r w:rsidR="004D3F38" w:rsidRPr="004F0548">
        <w:t>:</w:t>
      </w:r>
      <w:r>
        <w:t>0</w:t>
      </w:r>
      <w:r w:rsidR="004D3F38" w:rsidRPr="004F0548">
        <w:t>5–2:</w:t>
      </w:r>
      <w:r>
        <w:t>1</w:t>
      </w:r>
      <w:r w:rsidR="004D3F38" w:rsidRPr="004F0548">
        <w:t>0</w:t>
      </w:r>
      <w:r w:rsidR="004D3F38">
        <w:t xml:space="preserve">: </w:t>
      </w:r>
      <w:r w:rsidR="00144668" w:rsidRPr="004F0548">
        <w:t xml:space="preserve">FINAL SYNTHESIS </w:t>
      </w:r>
    </w:p>
    <w:p w14:paraId="12008DAC" w14:textId="77777777" w:rsidR="00460264" w:rsidRDefault="00460264" w:rsidP="00460264">
      <w:pPr>
        <w:jc w:val="both"/>
      </w:pPr>
      <w:r w:rsidRPr="00460264">
        <w:t>This lecture has rejected the standard separations through which modern common sense organises health. Illness is not only biology. Medicine is not only technique. The body is not only flesh. The mind is not only private interiority. Health has to be analysed at the intersection of meaning, power, inequality, capital, history, reproduction, violence, and subjectivity. The point of the lecture’s structure has been to keep those dimensions in the same analytic field rather than splitting them into separate topics.</w:t>
      </w:r>
    </w:p>
    <w:p w14:paraId="44EEF50B" w14:textId="77777777" w:rsidR="00460264" w:rsidRPr="00460264" w:rsidRDefault="00460264" w:rsidP="00460264">
      <w:pPr>
        <w:jc w:val="both"/>
      </w:pPr>
    </w:p>
    <w:p w14:paraId="3A47A792" w14:textId="77777777" w:rsidR="00460264" w:rsidRDefault="00460264" w:rsidP="00460264">
      <w:pPr>
        <w:jc w:val="both"/>
      </w:pPr>
      <w:r w:rsidRPr="00460264">
        <w:t>Kleinman opened the argument by showing that disease, illness, and sickness are not identical: pathology matters, but so do lived experience, moral interpretation, and social recognition (Kleinman, 1980). Foucault then showed that medicine cannot be treated as a neutral encounter between expert and patient, because diagnosis, classification, and public health also govern populations (Foucault, 1973; 1978). Farmer pushed that argument into political economy by showing that health is governed unevenly, so that tuberculosis, HIV, and cholera follow the lines of poverty, abandonment, and colonial history (Farmer, 1999; 2003; 2004). Dumit traced the same problem into contemporary capitalism, where pharmaceutical regimes increasingly organise people as subjects of risk, monitoring, and optimisation (Dumit, 2012). Lock then disrupted any residual universalism by showing that biology itself is historically and socially shaped, so the body cannot be treated as a stable natural substrate beneath culture (Lock, 1993).</w:t>
      </w:r>
    </w:p>
    <w:p w14:paraId="6C4BBD98" w14:textId="77777777" w:rsidR="00460264" w:rsidRPr="00460264" w:rsidRDefault="00460264" w:rsidP="00460264">
      <w:pPr>
        <w:jc w:val="both"/>
      </w:pPr>
    </w:p>
    <w:p w14:paraId="69F46CB2" w14:textId="77777777" w:rsidR="00460264" w:rsidRDefault="00460264" w:rsidP="00460264">
      <w:pPr>
        <w:jc w:val="both"/>
      </w:pPr>
      <w:r w:rsidRPr="00460264">
        <w:t>Reproduction made biopolitics concrete. Ginsburg showed that abortion, pregnancy, and motherhood are not merely private or biological matters, but sites where morality, kinship, law, and state power struggle over the meaning of life and legitimate personhood (Ginsburg, 1989). Scheper-Hughes and Lock then re-centred the body as biological, social, and political at once, while Das showed that suffering does not always appear as spectacular crisis. Violence can settle into domestic life, care, relation, and endurance, becoming part of the ordinary worlds people still have to inhabit (Scheper-Hughes and Lock, 1987; Das, 2007). Lutz and Robbins carried that insistence into psychological life: emotion is culturally organised rather than universally given, and subjectivity is formed through moral worlds that shape what people feel, fear, desire, and try to become (Lutz, 1988; Robbins, 2004).</w:t>
      </w:r>
    </w:p>
    <w:p w14:paraId="36CA090E" w14:textId="77777777" w:rsidR="00460264" w:rsidRPr="00460264" w:rsidRDefault="00460264" w:rsidP="00460264">
      <w:pPr>
        <w:jc w:val="both"/>
      </w:pPr>
    </w:p>
    <w:p w14:paraId="60FACEA4" w14:textId="77777777" w:rsidR="00460264" w:rsidRDefault="00460264" w:rsidP="00460264">
      <w:pPr>
        <w:jc w:val="both"/>
      </w:pPr>
      <w:r w:rsidRPr="00460264">
        <w:t xml:space="preserve">The </w:t>
      </w:r>
      <w:r w:rsidRPr="00460264">
        <w:rPr>
          <w:i/>
          <w:iCs/>
        </w:rPr>
        <w:t>Anthropology Today</w:t>
      </w:r>
      <w:r w:rsidRPr="00460264">
        <w:t xml:space="preserve"> pieces showed that these arguments are not confined to classic texts. Pandemic vulnerability, food and health, mindfulness, psychotherapy, and global mental-health discourse all demonstrate that medicine never acts on a flat social world. Categories travel unevenly. Care is distributed unevenly. Exposure is distributed unevenly. Anthropology’s holism therefore does not mean a vague claim that everything is connected. It means a methodological refusal to isolate bodies and minds from labour, kinship, history, infrastructure, morality, and political power.</w:t>
      </w:r>
    </w:p>
    <w:p w14:paraId="0B09F9B2" w14:textId="77777777" w:rsidR="00460264" w:rsidRPr="00460264" w:rsidRDefault="00460264" w:rsidP="00460264">
      <w:pPr>
        <w:jc w:val="both"/>
      </w:pPr>
    </w:p>
    <w:p w14:paraId="427D84B2" w14:textId="36B82C51" w:rsidR="00144668" w:rsidRDefault="00460264" w:rsidP="00144668">
      <w:pPr>
        <w:jc w:val="both"/>
      </w:pPr>
      <w:r w:rsidRPr="00460264">
        <w:t>Bodies and minds are not only biological entities. They are social, political, moral, and economic sites through which inequality and meaning are organised, lived, and contested. Later lectures will return to that problem from other angles by asking how institutions and identities continue to shape lived experience</w:t>
      </w:r>
      <w:r w:rsidR="000612CF" w:rsidRPr="000612CF">
        <w:t>.</w:t>
      </w:r>
    </w:p>
    <w:p w14:paraId="645874CF" w14:textId="77777777" w:rsidR="00144668" w:rsidRDefault="00460264" w:rsidP="00144668">
      <w:pPr>
        <w:jc w:val="both"/>
      </w:pPr>
      <w:r>
        <w:pict w14:anchorId="10D182EB">
          <v:rect id="_x0000_i1043" style="width:0;height:1.5pt" o:hralign="center" o:hrstd="t" o:hr="t" fillcolor="#a0a0a0" stroked="f"/>
        </w:pict>
      </w:r>
    </w:p>
    <w:p w14:paraId="79ACAFB9" w14:textId="100C109B" w:rsidR="00305046" w:rsidRDefault="00DF5F0C" w:rsidP="00DF5F0C">
      <w:pPr>
        <w:pStyle w:val="Heading1"/>
      </w:pPr>
      <w:r>
        <w:t>References</w:t>
      </w:r>
    </w:p>
    <w:p w14:paraId="141146E1" w14:textId="77777777" w:rsidR="002F7FE3" w:rsidRDefault="002F7FE3" w:rsidP="002F7FE3">
      <w:pPr>
        <w:jc w:val="both"/>
      </w:pPr>
      <w:r w:rsidRPr="00631751">
        <w:t xml:space="preserve">Asad, T. (1993) ‘Remarks on the anthropology of the body’, in </w:t>
      </w:r>
      <w:r w:rsidRPr="00631751">
        <w:rPr>
          <w:i/>
          <w:iCs/>
        </w:rPr>
        <w:t>Genealogies of Religion: Discipline and Reasons of Power in Christianity and Islam</w:t>
      </w:r>
      <w:r w:rsidRPr="00631751">
        <w:t>. Baltimore: Johns Hopkins University Press, pp. 42–54.</w:t>
      </w:r>
    </w:p>
    <w:p w14:paraId="3ADD15B9" w14:textId="0A44F748" w:rsidR="008D67BF" w:rsidRDefault="008D67BF" w:rsidP="002F7FE3">
      <w:pPr>
        <w:jc w:val="both"/>
      </w:pPr>
      <w:proofErr w:type="spellStart"/>
      <w:r w:rsidRPr="007832E5">
        <w:t>Capocasa</w:t>
      </w:r>
      <w:proofErr w:type="spellEnd"/>
      <w:r w:rsidRPr="007832E5">
        <w:t xml:space="preserve">, M. (2024) ‘Food, culture and health: An anthropological perspective’, </w:t>
      </w:r>
      <w:r w:rsidRPr="007832E5">
        <w:rPr>
          <w:i/>
          <w:iCs/>
        </w:rPr>
        <w:t>Anthropology Today</w:t>
      </w:r>
      <w:r w:rsidRPr="007832E5">
        <w:t>.</w:t>
      </w:r>
    </w:p>
    <w:p w14:paraId="5A8E6590" w14:textId="31B5FF18" w:rsidR="00A23F05" w:rsidRDefault="00A23F05" w:rsidP="002F7FE3">
      <w:pPr>
        <w:jc w:val="both"/>
      </w:pPr>
      <w:r w:rsidRPr="006D60C2">
        <w:t xml:space="preserve">Cook, J. and </w:t>
      </w:r>
      <w:proofErr w:type="spellStart"/>
      <w:r w:rsidRPr="006D60C2">
        <w:t>Cassaniti</w:t>
      </w:r>
      <w:proofErr w:type="spellEnd"/>
      <w:r w:rsidRPr="006D60C2">
        <w:t xml:space="preserve">, J. (2022) ‘Mindfulness and culture’, </w:t>
      </w:r>
      <w:r w:rsidRPr="006D60C2">
        <w:rPr>
          <w:i/>
          <w:iCs/>
        </w:rPr>
        <w:t>Anthropology Today</w:t>
      </w:r>
      <w:r w:rsidRPr="006D60C2">
        <w:t>, 38(2), pp. 1–2.</w:t>
      </w:r>
    </w:p>
    <w:p w14:paraId="3273C78A" w14:textId="64EC51E8" w:rsidR="00862E27" w:rsidRDefault="00862E27" w:rsidP="002F7FE3">
      <w:pPr>
        <w:jc w:val="both"/>
      </w:pPr>
      <w:r w:rsidRPr="00A225F1">
        <w:t xml:space="preserve">Csordas, T.J. (1994) </w:t>
      </w:r>
      <w:r w:rsidRPr="00A225F1">
        <w:rPr>
          <w:i/>
          <w:iCs/>
        </w:rPr>
        <w:t>Embodiment and Experience: The Existential Ground of Culture and Self</w:t>
      </w:r>
      <w:r w:rsidRPr="00A225F1">
        <w:t>. Cambridge: Cambridge University Press.</w:t>
      </w:r>
    </w:p>
    <w:p w14:paraId="07617057" w14:textId="77777777" w:rsidR="001D4132" w:rsidRPr="003007BB" w:rsidRDefault="001D4132" w:rsidP="001D4132">
      <w:pPr>
        <w:jc w:val="both"/>
      </w:pPr>
      <w:r w:rsidRPr="003007BB">
        <w:t xml:space="preserve">Das, V. (2007) </w:t>
      </w:r>
      <w:r w:rsidRPr="003007BB">
        <w:rPr>
          <w:i/>
          <w:iCs/>
        </w:rPr>
        <w:t>Life and Words: Violence and the Descent into the Ordinary</w:t>
      </w:r>
      <w:r w:rsidRPr="003007BB">
        <w:t>. Berkeley: University of California Press.</w:t>
      </w:r>
    </w:p>
    <w:p w14:paraId="1AD9A96B" w14:textId="13FEAB81" w:rsidR="000662E9" w:rsidRDefault="000662E9" w:rsidP="002F7FE3">
      <w:pPr>
        <w:jc w:val="both"/>
      </w:pPr>
      <w:r w:rsidRPr="00F2574C">
        <w:t xml:space="preserve">Dumit, J. (2012) </w:t>
      </w:r>
      <w:r w:rsidRPr="00F2574C">
        <w:rPr>
          <w:i/>
          <w:iCs/>
        </w:rPr>
        <w:t>Drugs for Life: How Pharmaceutical Companies Define Our Health</w:t>
      </w:r>
      <w:r w:rsidRPr="00F2574C">
        <w:t>. Durham, NC: Duke University Press.</w:t>
      </w:r>
    </w:p>
    <w:p w14:paraId="06845499" w14:textId="77777777" w:rsidR="00EC109D" w:rsidRPr="006F3332" w:rsidRDefault="00EC109D" w:rsidP="00EC109D">
      <w:pPr>
        <w:jc w:val="both"/>
      </w:pPr>
      <w:r w:rsidRPr="006F3332">
        <w:t xml:space="preserve">Farmer, P. (1999) </w:t>
      </w:r>
      <w:r w:rsidRPr="006F3332">
        <w:rPr>
          <w:i/>
          <w:iCs/>
        </w:rPr>
        <w:t>Infections and Inequalities: The Modern Plagues</w:t>
      </w:r>
      <w:r w:rsidRPr="006F3332">
        <w:t>. Berkeley: University of California Press.</w:t>
      </w:r>
    </w:p>
    <w:p w14:paraId="1DAE2AAE" w14:textId="77777777" w:rsidR="00EC109D" w:rsidRDefault="00EC109D" w:rsidP="00EC109D">
      <w:pPr>
        <w:jc w:val="both"/>
      </w:pPr>
      <w:r w:rsidRPr="006F3332">
        <w:t xml:space="preserve">Farmer, P. (2003) </w:t>
      </w:r>
      <w:r w:rsidRPr="006F3332">
        <w:rPr>
          <w:i/>
          <w:iCs/>
        </w:rPr>
        <w:t>Pathologies of Power: Health, Human Rights, and the New War on the Poor</w:t>
      </w:r>
      <w:r w:rsidRPr="006F3332">
        <w:t>. Berkeley: University of California Press.</w:t>
      </w:r>
    </w:p>
    <w:p w14:paraId="1F8CA756" w14:textId="76BB74BD" w:rsidR="00862ED3" w:rsidRPr="006F3332" w:rsidRDefault="00974307" w:rsidP="00EC109D">
      <w:pPr>
        <w:jc w:val="both"/>
      </w:pPr>
      <w:r w:rsidRPr="00974307">
        <w:t>Farmer, P. (2004) ‘An anthropology of structural violence’, Current Anthropology, 45(3), pp. 305–325.</w:t>
      </w:r>
    </w:p>
    <w:p w14:paraId="75D8D577" w14:textId="77777777" w:rsidR="002F7FE3" w:rsidRPr="00631751" w:rsidRDefault="002F7FE3" w:rsidP="002F7FE3">
      <w:pPr>
        <w:jc w:val="both"/>
      </w:pPr>
      <w:r w:rsidRPr="00631751">
        <w:t xml:space="preserve">Foucault, M. (1973) </w:t>
      </w:r>
      <w:r w:rsidRPr="00631751">
        <w:rPr>
          <w:i/>
          <w:iCs/>
        </w:rPr>
        <w:t>The Birth of the Clinic: An Archaeology of Medical Perception</w:t>
      </w:r>
      <w:r w:rsidRPr="00631751">
        <w:t>. Translated by A.M. Sheridan Smith. New York: Vintage.</w:t>
      </w:r>
    </w:p>
    <w:p w14:paraId="1A822B1F" w14:textId="77777777" w:rsidR="002F7FE3" w:rsidRDefault="002F7FE3" w:rsidP="002F7FE3">
      <w:pPr>
        <w:jc w:val="both"/>
      </w:pPr>
      <w:r w:rsidRPr="00631751">
        <w:t xml:space="preserve">Foucault, M. (1978) </w:t>
      </w:r>
      <w:r w:rsidRPr="00631751">
        <w:rPr>
          <w:i/>
          <w:iCs/>
        </w:rPr>
        <w:t>The History of Sexuality, Volume 1: An Introduction</w:t>
      </w:r>
      <w:r w:rsidRPr="00631751">
        <w:t>. Translated by R. Hurley. New York: Pantheon.</w:t>
      </w:r>
    </w:p>
    <w:p w14:paraId="2C3EF381" w14:textId="77777777" w:rsidR="002428B9" w:rsidRPr="007832E5" w:rsidRDefault="002428B9" w:rsidP="002428B9">
      <w:pPr>
        <w:jc w:val="both"/>
      </w:pPr>
      <w:r w:rsidRPr="007832E5">
        <w:t xml:space="preserve">Fróis, C. (2020) ‘Covid-19 pandemic and social distancing in prisons’, </w:t>
      </w:r>
      <w:r w:rsidRPr="007832E5">
        <w:rPr>
          <w:i/>
          <w:iCs/>
        </w:rPr>
        <w:t>Anthropology Today</w:t>
      </w:r>
      <w:r w:rsidRPr="007832E5">
        <w:t>, 36(3).</w:t>
      </w:r>
    </w:p>
    <w:p w14:paraId="19738073" w14:textId="67B9ABE0" w:rsidR="00EC109D" w:rsidRDefault="00EC109D" w:rsidP="002F7FE3">
      <w:pPr>
        <w:jc w:val="both"/>
      </w:pPr>
      <w:r w:rsidRPr="006F3332">
        <w:t xml:space="preserve">Galtung, J. (1969) ‘Violence, peace, and peace research’, </w:t>
      </w:r>
      <w:r w:rsidRPr="006F3332">
        <w:rPr>
          <w:i/>
          <w:iCs/>
        </w:rPr>
        <w:t>Journal of Peace Research</w:t>
      </w:r>
      <w:r w:rsidRPr="006F3332">
        <w:t>, 6(3), pp. 167–191</w:t>
      </w:r>
      <w:r w:rsidRPr="004F0548">
        <w:t>.</w:t>
      </w:r>
    </w:p>
    <w:p w14:paraId="598834B5" w14:textId="77777777" w:rsidR="001C1348" w:rsidRPr="00AD25D5" w:rsidRDefault="001C1348" w:rsidP="001C1348">
      <w:pPr>
        <w:jc w:val="both"/>
      </w:pPr>
      <w:r w:rsidRPr="00AD25D5">
        <w:t xml:space="preserve">Ginsburg, F.D. (1989) </w:t>
      </w:r>
      <w:r w:rsidRPr="00AD25D5">
        <w:rPr>
          <w:i/>
          <w:iCs/>
        </w:rPr>
        <w:t>Contested Lives: The Abortion Debate in an American Community</w:t>
      </w:r>
      <w:r w:rsidRPr="00AD25D5">
        <w:t>. Berkeley: University of California Press.</w:t>
      </w:r>
    </w:p>
    <w:p w14:paraId="1DA78826" w14:textId="32146C91" w:rsidR="002428B9" w:rsidRDefault="002428B9" w:rsidP="002F7FE3">
      <w:pPr>
        <w:jc w:val="both"/>
      </w:pPr>
      <w:r w:rsidRPr="007832E5">
        <w:t xml:space="preserve">González, R.J. and </w:t>
      </w:r>
      <w:proofErr w:type="spellStart"/>
      <w:r w:rsidRPr="007832E5">
        <w:t>Marlovits</w:t>
      </w:r>
      <w:proofErr w:type="spellEnd"/>
      <w:r w:rsidRPr="007832E5">
        <w:t xml:space="preserve">, J. (2020) ‘Struggling for food in a time of crisis: Responsibility and paradox’, </w:t>
      </w:r>
      <w:r w:rsidRPr="007832E5">
        <w:rPr>
          <w:i/>
          <w:iCs/>
        </w:rPr>
        <w:t>Anthropology Today</w:t>
      </w:r>
      <w:r w:rsidRPr="007832E5">
        <w:t>, 36(3), pp. 11–15.</w:t>
      </w:r>
    </w:p>
    <w:p w14:paraId="3F29846A" w14:textId="77777777" w:rsidR="00BE38AC" w:rsidRPr="00944941" w:rsidRDefault="00BE38AC" w:rsidP="00BE38AC">
      <w:pPr>
        <w:jc w:val="both"/>
      </w:pPr>
      <w:r w:rsidRPr="00944941">
        <w:t xml:space="preserve">Good, B.J. (1994) </w:t>
      </w:r>
      <w:r w:rsidRPr="00944941">
        <w:rPr>
          <w:i/>
          <w:iCs/>
        </w:rPr>
        <w:t>Medicine, Rationality and Experience: An Anthropological Perspective</w:t>
      </w:r>
      <w:r w:rsidRPr="00944941">
        <w:t>. Cambridge: Cambridge University Press.</w:t>
      </w:r>
    </w:p>
    <w:p w14:paraId="36C9A615" w14:textId="77777777" w:rsidR="00BE38AC" w:rsidRDefault="00BE38AC" w:rsidP="00BE38AC">
      <w:pPr>
        <w:jc w:val="both"/>
      </w:pPr>
      <w:r w:rsidRPr="00944941">
        <w:t xml:space="preserve">Kleinman, A. (1980) </w:t>
      </w:r>
      <w:r w:rsidRPr="00944941">
        <w:rPr>
          <w:i/>
          <w:iCs/>
        </w:rPr>
        <w:t>Patients and Healers in the Context of Culture: An Exploration of the Borderland between Anthropology, Medicine, and Psychiatry</w:t>
      </w:r>
      <w:r w:rsidRPr="00944941">
        <w:t>. Berkeley: University of California Press</w:t>
      </w:r>
      <w:r w:rsidRPr="004F0548">
        <w:t>.</w:t>
      </w:r>
    </w:p>
    <w:p w14:paraId="107FC6A9" w14:textId="77777777" w:rsidR="009D01B2" w:rsidRPr="00C45027" w:rsidRDefault="009D01B2" w:rsidP="009D01B2">
      <w:pPr>
        <w:jc w:val="both"/>
      </w:pPr>
      <w:r w:rsidRPr="00C45027">
        <w:t xml:space="preserve">Lock, M. (1993) </w:t>
      </w:r>
      <w:r w:rsidRPr="00C45027">
        <w:rPr>
          <w:i/>
          <w:iCs/>
        </w:rPr>
        <w:t>Encounters with Aging: Mythologies of Menopause in Japan and North America</w:t>
      </w:r>
      <w:r w:rsidRPr="00C45027">
        <w:t>. Berkeley: University of California Press.</w:t>
      </w:r>
    </w:p>
    <w:p w14:paraId="10F4F792" w14:textId="77777777" w:rsidR="009D01B2" w:rsidRDefault="009D01B2" w:rsidP="009D01B2">
      <w:pPr>
        <w:jc w:val="both"/>
      </w:pPr>
      <w:r w:rsidRPr="00C45027">
        <w:t xml:space="preserve">Lock, M. and Farquhar, J. (2007) </w:t>
      </w:r>
      <w:r w:rsidRPr="00C45027">
        <w:rPr>
          <w:i/>
          <w:iCs/>
        </w:rPr>
        <w:t>Beyond the Body Proper: Reading the Anthropology of Material Life</w:t>
      </w:r>
      <w:r w:rsidRPr="00C45027">
        <w:t>. Durham, NC: Duke University Press.</w:t>
      </w:r>
    </w:p>
    <w:p w14:paraId="49626606" w14:textId="77777777" w:rsidR="0023582D" w:rsidRPr="006D60C2" w:rsidRDefault="0023582D" w:rsidP="0023582D">
      <w:pPr>
        <w:jc w:val="both"/>
      </w:pPr>
      <w:r w:rsidRPr="006D60C2">
        <w:t xml:space="preserve">Lutz, C. (1988) </w:t>
      </w:r>
      <w:r w:rsidRPr="006D60C2">
        <w:rPr>
          <w:i/>
          <w:iCs/>
        </w:rPr>
        <w:t>Unnatural Emotions: Everyday Sentiments on a Micronesian Atoll and Their Challenge to Western Theory</w:t>
      </w:r>
      <w:r w:rsidRPr="006D60C2">
        <w:t>. Chicago: University of Chicago Press.</w:t>
      </w:r>
    </w:p>
    <w:p w14:paraId="13629E5F" w14:textId="14CE5F1B" w:rsidR="0023582D" w:rsidRPr="00C45027" w:rsidRDefault="0023582D" w:rsidP="009D01B2">
      <w:pPr>
        <w:jc w:val="both"/>
      </w:pPr>
      <w:r w:rsidRPr="006D60C2">
        <w:t xml:space="preserve">Martin, K. (2024) ‘Culture and class in contemporary Chinese psychotherapy’, </w:t>
      </w:r>
      <w:r w:rsidRPr="006D60C2">
        <w:rPr>
          <w:i/>
          <w:iCs/>
        </w:rPr>
        <w:t>Anthropology Today</w:t>
      </w:r>
      <w:r w:rsidRPr="006D60C2">
        <w:t>, 40(3), pp. 7–9.</w:t>
      </w:r>
    </w:p>
    <w:p w14:paraId="20CA5C08" w14:textId="77777777" w:rsidR="009D01B2" w:rsidRPr="00C45027" w:rsidRDefault="009D01B2" w:rsidP="009D01B2">
      <w:pPr>
        <w:jc w:val="both"/>
      </w:pPr>
      <w:r w:rsidRPr="00C45027">
        <w:t xml:space="preserve">Mauss, M. (1973) ‘Techniques of the body’, </w:t>
      </w:r>
      <w:r w:rsidRPr="00C45027">
        <w:rPr>
          <w:i/>
          <w:iCs/>
        </w:rPr>
        <w:t>Economy and Society</w:t>
      </w:r>
      <w:r w:rsidRPr="00C45027">
        <w:t>, 2(1), pp. 70–88.</w:t>
      </w:r>
    </w:p>
    <w:p w14:paraId="7E2EF0C1" w14:textId="77777777" w:rsidR="00B241C6" w:rsidRPr="004F0548" w:rsidRDefault="00B241C6" w:rsidP="00B241C6">
      <w:pPr>
        <w:jc w:val="both"/>
      </w:pPr>
      <w:r w:rsidRPr="007832E5">
        <w:t xml:space="preserve">Napier, A.D. (2020) ‘Rethinking vulnerability through Covid-19’, </w:t>
      </w:r>
      <w:r w:rsidRPr="007832E5">
        <w:rPr>
          <w:i/>
          <w:iCs/>
        </w:rPr>
        <w:t>Anthropology Today</w:t>
      </w:r>
      <w:r w:rsidRPr="007832E5">
        <w:t>, 36(3), pp. 1–3</w:t>
      </w:r>
      <w:r w:rsidRPr="004F0548">
        <w:t>.</w:t>
      </w:r>
    </w:p>
    <w:p w14:paraId="3308AAE5" w14:textId="77777777" w:rsidR="001C1348" w:rsidRDefault="001C1348" w:rsidP="001C1348">
      <w:pPr>
        <w:jc w:val="both"/>
      </w:pPr>
      <w:r w:rsidRPr="00AD25D5">
        <w:t xml:space="preserve">Rapp, R. (1999) </w:t>
      </w:r>
      <w:r w:rsidRPr="00AD25D5">
        <w:rPr>
          <w:i/>
          <w:iCs/>
        </w:rPr>
        <w:t xml:space="preserve">Testing Women, Testing the </w:t>
      </w:r>
      <w:proofErr w:type="spellStart"/>
      <w:r w:rsidRPr="00AD25D5">
        <w:rPr>
          <w:i/>
          <w:iCs/>
        </w:rPr>
        <w:t>Fetus</w:t>
      </w:r>
      <w:proofErr w:type="spellEnd"/>
      <w:r w:rsidRPr="00AD25D5">
        <w:rPr>
          <w:i/>
          <w:iCs/>
        </w:rPr>
        <w:t>: The Social Impact of Amniocentesis in America</w:t>
      </w:r>
      <w:r w:rsidRPr="00AD25D5">
        <w:t>. New York: Routledge</w:t>
      </w:r>
      <w:r w:rsidRPr="004F0548">
        <w:t>.</w:t>
      </w:r>
    </w:p>
    <w:p w14:paraId="3ED2761B" w14:textId="77777777" w:rsidR="00A3451D" w:rsidRPr="006D60C2" w:rsidRDefault="00A3451D" w:rsidP="00A3451D">
      <w:pPr>
        <w:jc w:val="both"/>
      </w:pPr>
      <w:r w:rsidRPr="006D60C2">
        <w:t xml:space="preserve">Robbins, J. (2004) </w:t>
      </w:r>
      <w:r w:rsidRPr="006D60C2">
        <w:rPr>
          <w:i/>
          <w:iCs/>
        </w:rPr>
        <w:t>Becoming Sinners: Christianity and Moral Torment in a Papua New Guinea Society</w:t>
      </w:r>
      <w:r w:rsidRPr="006D60C2">
        <w:t>. Berkeley: University of California Press.</w:t>
      </w:r>
    </w:p>
    <w:p w14:paraId="6754E497" w14:textId="3130E2E5" w:rsidR="00A3451D" w:rsidRDefault="00A3451D" w:rsidP="001C1348">
      <w:pPr>
        <w:jc w:val="both"/>
      </w:pPr>
      <w:r w:rsidRPr="006D60C2">
        <w:t xml:space="preserve">Roy, M. (2025) ‘Does India need saving from psychotherapy?’, </w:t>
      </w:r>
      <w:r w:rsidRPr="006D60C2">
        <w:rPr>
          <w:i/>
          <w:iCs/>
        </w:rPr>
        <w:t>Anthropology Today</w:t>
      </w:r>
      <w:r w:rsidRPr="006D60C2">
        <w:t>, 41(5), pp. 7–10.</w:t>
      </w:r>
    </w:p>
    <w:p w14:paraId="6113C80F" w14:textId="4E0F9D83" w:rsidR="002B4459" w:rsidRDefault="002B4459" w:rsidP="001C1348">
      <w:pPr>
        <w:jc w:val="both"/>
      </w:pPr>
      <w:r w:rsidRPr="002B4459">
        <w:t>Scarry, E., 2020. The body in pain: The making and unmaking of the world. In The body (pp. 324-326). Routledge.</w:t>
      </w:r>
    </w:p>
    <w:p w14:paraId="6A2368EF" w14:textId="77777777" w:rsidR="00D72491" w:rsidRPr="00A225F1" w:rsidRDefault="00D72491" w:rsidP="00D72491">
      <w:pPr>
        <w:jc w:val="both"/>
      </w:pPr>
      <w:r w:rsidRPr="00A225F1">
        <w:t xml:space="preserve">Scheper-Hughes, N. (1992) </w:t>
      </w:r>
      <w:r w:rsidRPr="00A225F1">
        <w:rPr>
          <w:i/>
          <w:iCs/>
        </w:rPr>
        <w:t>Death without Weeping: The Violence of Everyday Life in Brazil</w:t>
      </w:r>
      <w:r w:rsidRPr="00A225F1">
        <w:t>. Berkeley: University of California Press.</w:t>
      </w:r>
    </w:p>
    <w:p w14:paraId="6B7D7F40" w14:textId="77777777" w:rsidR="00D72491" w:rsidRPr="00A225F1" w:rsidRDefault="00D72491" w:rsidP="00D72491">
      <w:pPr>
        <w:jc w:val="both"/>
      </w:pPr>
      <w:r w:rsidRPr="00A225F1">
        <w:t xml:space="preserve">Scheper-Hughes, N. and Lock, M.M. (1987) ‘The mindful body: A prolegomenon to future work in medical anthropology’, </w:t>
      </w:r>
      <w:r w:rsidRPr="00A225F1">
        <w:rPr>
          <w:i/>
          <w:iCs/>
        </w:rPr>
        <w:t>Medical Anthropology Quarterly</w:t>
      </w:r>
      <w:r w:rsidRPr="00A225F1">
        <w:t>, 1(1), pp. 6–41.</w:t>
      </w:r>
    </w:p>
    <w:p w14:paraId="3D7DBBE4" w14:textId="77777777" w:rsidR="00DF5F0C" w:rsidRDefault="00DF5F0C"/>
    <w:sectPr w:rsidR="00DF5F0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A33958" w14:textId="77777777" w:rsidR="00F87FAB" w:rsidRDefault="00F87FAB" w:rsidP="007E2866">
      <w:pPr>
        <w:spacing w:after="0" w:line="240" w:lineRule="auto"/>
      </w:pPr>
      <w:r>
        <w:separator/>
      </w:r>
    </w:p>
  </w:endnote>
  <w:endnote w:type="continuationSeparator" w:id="0">
    <w:p w14:paraId="09DB9A6F" w14:textId="77777777" w:rsidR="00F87FAB" w:rsidRDefault="00F87FAB" w:rsidP="007E2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2597600"/>
      <w:docPartObj>
        <w:docPartGallery w:val="Page Numbers (Bottom of Page)"/>
        <w:docPartUnique/>
      </w:docPartObj>
    </w:sdtPr>
    <w:sdtEndPr>
      <w:rPr>
        <w:noProof/>
      </w:rPr>
    </w:sdtEndPr>
    <w:sdtContent>
      <w:p w14:paraId="5BF98769" w14:textId="6F4376EA" w:rsidR="007E2866" w:rsidRDefault="007E28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3807CF" w14:textId="77777777" w:rsidR="007E2866" w:rsidRDefault="007E28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4BBF0" w14:textId="77777777" w:rsidR="00F87FAB" w:rsidRDefault="00F87FAB" w:rsidP="007E2866">
      <w:pPr>
        <w:spacing w:after="0" w:line="240" w:lineRule="auto"/>
      </w:pPr>
      <w:r>
        <w:separator/>
      </w:r>
    </w:p>
  </w:footnote>
  <w:footnote w:type="continuationSeparator" w:id="0">
    <w:p w14:paraId="5009C376" w14:textId="77777777" w:rsidR="00F87FAB" w:rsidRDefault="00F87FAB" w:rsidP="007E28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F424B"/>
    <w:multiLevelType w:val="multilevel"/>
    <w:tmpl w:val="06FC5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5A29A3"/>
    <w:multiLevelType w:val="multilevel"/>
    <w:tmpl w:val="2AECE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446C86"/>
    <w:multiLevelType w:val="multilevel"/>
    <w:tmpl w:val="2F32F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5A03F4"/>
    <w:multiLevelType w:val="multilevel"/>
    <w:tmpl w:val="973A01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0B76E0"/>
    <w:multiLevelType w:val="multilevel"/>
    <w:tmpl w:val="9DD69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3C4B5C"/>
    <w:multiLevelType w:val="multilevel"/>
    <w:tmpl w:val="ACC45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4A37DC"/>
    <w:multiLevelType w:val="multilevel"/>
    <w:tmpl w:val="4684A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EE7B07"/>
    <w:multiLevelType w:val="multilevel"/>
    <w:tmpl w:val="0DCCC9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75265E2"/>
    <w:multiLevelType w:val="multilevel"/>
    <w:tmpl w:val="A1A261C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F5402A"/>
    <w:multiLevelType w:val="multilevel"/>
    <w:tmpl w:val="B5C86B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5B84EA8"/>
    <w:multiLevelType w:val="multilevel"/>
    <w:tmpl w:val="B30C6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FD4F33"/>
    <w:multiLevelType w:val="multilevel"/>
    <w:tmpl w:val="54325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C638C2"/>
    <w:multiLevelType w:val="multilevel"/>
    <w:tmpl w:val="522A9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3C3DF0"/>
    <w:multiLevelType w:val="multilevel"/>
    <w:tmpl w:val="A7806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AD7D27"/>
    <w:multiLevelType w:val="multilevel"/>
    <w:tmpl w:val="21DE9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8B369D"/>
    <w:multiLevelType w:val="multilevel"/>
    <w:tmpl w:val="C652E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ED3DF7"/>
    <w:multiLevelType w:val="multilevel"/>
    <w:tmpl w:val="F35470C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D6F58A1"/>
    <w:multiLevelType w:val="multilevel"/>
    <w:tmpl w:val="C9BA77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78132062">
    <w:abstractNumId w:val="13"/>
  </w:num>
  <w:num w:numId="2" w16cid:durableId="1555265250">
    <w:abstractNumId w:val="11"/>
  </w:num>
  <w:num w:numId="3" w16cid:durableId="745229108">
    <w:abstractNumId w:val="0"/>
  </w:num>
  <w:num w:numId="4" w16cid:durableId="2063409007">
    <w:abstractNumId w:val="12"/>
  </w:num>
  <w:num w:numId="5" w16cid:durableId="127170368">
    <w:abstractNumId w:val="1"/>
  </w:num>
  <w:num w:numId="6" w16cid:durableId="520123550">
    <w:abstractNumId w:val="4"/>
  </w:num>
  <w:num w:numId="7" w16cid:durableId="2012832291">
    <w:abstractNumId w:val="2"/>
  </w:num>
  <w:num w:numId="8" w16cid:durableId="762921131">
    <w:abstractNumId w:val="6"/>
  </w:num>
  <w:num w:numId="9" w16cid:durableId="2103641854">
    <w:abstractNumId w:val="5"/>
  </w:num>
  <w:num w:numId="10" w16cid:durableId="1654220319">
    <w:abstractNumId w:val="14"/>
  </w:num>
  <w:num w:numId="11" w16cid:durableId="1851941719">
    <w:abstractNumId w:val="15"/>
  </w:num>
  <w:num w:numId="12" w16cid:durableId="265119149">
    <w:abstractNumId w:val="10"/>
  </w:num>
  <w:num w:numId="13" w16cid:durableId="212274132">
    <w:abstractNumId w:val="17"/>
  </w:num>
  <w:num w:numId="14" w16cid:durableId="173492957">
    <w:abstractNumId w:val="3"/>
  </w:num>
  <w:num w:numId="15" w16cid:durableId="387923083">
    <w:abstractNumId w:val="7"/>
  </w:num>
  <w:num w:numId="16" w16cid:durableId="1201631800">
    <w:abstractNumId w:val="8"/>
  </w:num>
  <w:num w:numId="17" w16cid:durableId="1733456761">
    <w:abstractNumId w:val="9"/>
  </w:num>
  <w:num w:numId="18" w16cid:durableId="126171709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B59"/>
    <w:rsid w:val="000129E1"/>
    <w:rsid w:val="00021EA4"/>
    <w:rsid w:val="00025C97"/>
    <w:rsid w:val="000612CF"/>
    <w:rsid w:val="00062DFB"/>
    <w:rsid w:val="000662E9"/>
    <w:rsid w:val="00070521"/>
    <w:rsid w:val="000C74CF"/>
    <w:rsid w:val="000E57CE"/>
    <w:rsid w:val="000F2337"/>
    <w:rsid w:val="00114192"/>
    <w:rsid w:val="00114644"/>
    <w:rsid w:val="00132FB7"/>
    <w:rsid w:val="00144668"/>
    <w:rsid w:val="00182A0D"/>
    <w:rsid w:val="00191940"/>
    <w:rsid w:val="001C1348"/>
    <w:rsid w:val="001D4132"/>
    <w:rsid w:val="001D527A"/>
    <w:rsid w:val="0022609C"/>
    <w:rsid w:val="0023582D"/>
    <w:rsid w:val="002428B9"/>
    <w:rsid w:val="002A2699"/>
    <w:rsid w:val="002A69A2"/>
    <w:rsid w:val="002A720C"/>
    <w:rsid w:val="002B386A"/>
    <w:rsid w:val="002B4459"/>
    <w:rsid w:val="002D0344"/>
    <w:rsid w:val="002D3989"/>
    <w:rsid w:val="002F7FE3"/>
    <w:rsid w:val="003007BB"/>
    <w:rsid w:val="00302433"/>
    <w:rsid w:val="00305046"/>
    <w:rsid w:val="00315212"/>
    <w:rsid w:val="0038527E"/>
    <w:rsid w:val="003D3F9C"/>
    <w:rsid w:val="00401E49"/>
    <w:rsid w:val="00413E24"/>
    <w:rsid w:val="0043373F"/>
    <w:rsid w:val="00446812"/>
    <w:rsid w:val="00454628"/>
    <w:rsid w:val="00460264"/>
    <w:rsid w:val="00466FD6"/>
    <w:rsid w:val="00482C91"/>
    <w:rsid w:val="004A5AD5"/>
    <w:rsid w:val="004D3F38"/>
    <w:rsid w:val="004F691B"/>
    <w:rsid w:val="005059E6"/>
    <w:rsid w:val="005241F0"/>
    <w:rsid w:val="0053550E"/>
    <w:rsid w:val="00536C9E"/>
    <w:rsid w:val="005831C1"/>
    <w:rsid w:val="005840D5"/>
    <w:rsid w:val="005C7907"/>
    <w:rsid w:val="005D5D4E"/>
    <w:rsid w:val="005E7709"/>
    <w:rsid w:val="00606C74"/>
    <w:rsid w:val="00631751"/>
    <w:rsid w:val="00642A34"/>
    <w:rsid w:val="0067203B"/>
    <w:rsid w:val="006727DF"/>
    <w:rsid w:val="006774E7"/>
    <w:rsid w:val="006C59A9"/>
    <w:rsid w:val="006D60C2"/>
    <w:rsid w:val="006E38E3"/>
    <w:rsid w:val="006F3332"/>
    <w:rsid w:val="00700B5F"/>
    <w:rsid w:val="00717464"/>
    <w:rsid w:val="00736368"/>
    <w:rsid w:val="0074786C"/>
    <w:rsid w:val="007832E5"/>
    <w:rsid w:val="00785893"/>
    <w:rsid w:val="00787749"/>
    <w:rsid w:val="007933E4"/>
    <w:rsid w:val="007A7054"/>
    <w:rsid w:val="007C5FE9"/>
    <w:rsid w:val="007E2866"/>
    <w:rsid w:val="0080745C"/>
    <w:rsid w:val="00836673"/>
    <w:rsid w:val="00862E27"/>
    <w:rsid w:val="00862ED3"/>
    <w:rsid w:val="008D6711"/>
    <w:rsid w:val="008D67BF"/>
    <w:rsid w:val="00902155"/>
    <w:rsid w:val="0092428A"/>
    <w:rsid w:val="00944941"/>
    <w:rsid w:val="00956003"/>
    <w:rsid w:val="00971E71"/>
    <w:rsid w:val="00974307"/>
    <w:rsid w:val="009B0438"/>
    <w:rsid w:val="009B4CE8"/>
    <w:rsid w:val="009C579D"/>
    <w:rsid w:val="009D01B2"/>
    <w:rsid w:val="009D151B"/>
    <w:rsid w:val="009D66AB"/>
    <w:rsid w:val="009F18FF"/>
    <w:rsid w:val="00A05BA5"/>
    <w:rsid w:val="00A1053B"/>
    <w:rsid w:val="00A225F1"/>
    <w:rsid w:val="00A23B16"/>
    <w:rsid w:val="00A23F05"/>
    <w:rsid w:val="00A3451D"/>
    <w:rsid w:val="00A61D40"/>
    <w:rsid w:val="00A75FB7"/>
    <w:rsid w:val="00A90664"/>
    <w:rsid w:val="00AB70A5"/>
    <w:rsid w:val="00AD25D5"/>
    <w:rsid w:val="00B20FB8"/>
    <w:rsid w:val="00B23CEE"/>
    <w:rsid w:val="00B241C6"/>
    <w:rsid w:val="00B77B40"/>
    <w:rsid w:val="00BA3E01"/>
    <w:rsid w:val="00BA54A6"/>
    <w:rsid w:val="00BE38AC"/>
    <w:rsid w:val="00BE6C09"/>
    <w:rsid w:val="00BF77FE"/>
    <w:rsid w:val="00C02278"/>
    <w:rsid w:val="00C31F3B"/>
    <w:rsid w:val="00C45027"/>
    <w:rsid w:val="00C54B3C"/>
    <w:rsid w:val="00D17FAD"/>
    <w:rsid w:val="00D53DC7"/>
    <w:rsid w:val="00D72491"/>
    <w:rsid w:val="00DB3C84"/>
    <w:rsid w:val="00DC6434"/>
    <w:rsid w:val="00DD1B59"/>
    <w:rsid w:val="00DE324D"/>
    <w:rsid w:val="00DE535A"/>
    <w:rsid w:val="00DF2A37"/>
    <w:rsid w:val="00DF5F0C"/>
    <w:rsid w:val="00E02096"/>
    <w:rsid w:val="00E6047E"/>
    <w:rsid w:val="00E72845"/>
    <w:rsid w:val="00E764A4"/>
    <w:rsid w:val="00E76E48"/>
    <w:rsid w:val="00EA5DC0"/>
    <w:rsid w:val="00EC109D"/>
    <w:rsid w:val="00EE4287"/>
    <w:rsid w:val="00EF1A07"/>
    <w:rsid w:val="00F2574C"/>
    <w:rsid w:val="00F8448B"/>
    <w:rsid w:val="00F87FAB"/>
    <w:rsid w:val="00F95817"/>
    <w:rsid w:val="00F96652"/>
    <w:rsid w:val="00FD7C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45"/>
    <o:shapelayout v:ext="edit">
      <o:idmap v:ext="edit" data="1"/>
    </o:shapelayout>
  </w:shapeDefaults>
  <w:decimalSymbol w:val="."/>
  <w:listSeparator w:val=","/>
  <w14:docId w14:val="3910CE28"/>
  <w15:chartTrackingRefBased/>
  <w15:docId w15:val="{6C6F5F75-F92C-414F-B259-A8D12DABC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668"/>
  </w:style>
  <w:style w:type="paragraph" w:styleId="Heading1">
    <w:name w:val="heading 1"/>
    <w:basedOn w:val="Normal"/>
    <w:next w:val="Normal"/>
    <w:link w:val="Heading1Char"/>
    <w:uiPriority w:val="9"/>
    <w:qFormat/>
    <w:rsid w:val="00DD1B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D1B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1B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D1B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1B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1B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1B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1B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1B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B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D1B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D1B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D1B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1B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1B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1B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1B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1B59"/>
    <w:rPr>
      <w:rFonts w:eastAsiaTheme="majorEastAsia" w:cstheme="majorBidi"/>
      <w:color w:val="272727" w:themeColor="text1" w:themeTint="D8"/>
    </w:rPr>
  </w:style>
  <w:style w:type="paragraph" w:styleId="Title">
    <w:name w:val="Title"/>
    <w:basedOn w:val="Normal"/>
    <w:next w:val="Normal"/>
    <w:link w:val="TitleChar"/>
    <w:uiPriority w:val="10"/>
    <w:qFormat/>
    <w:rsid w:val="00DD1B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1B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1B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1B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1B59"/>
    <w:pPr>
      <w:spacing w:before="160"/>
      <w:jc w:val="center"/>
    </w:pPr>
    <w:rPr>
      <w:i/>
      <w:iCs/>
      <w:color w:val="404040" w:themeColor="text1" w:themeTint="BF"/>
    </w:rPr>
  </w:style>
  <w:style w:type="character" w:customStyle="1" w:styleId="QuoteChar">
    <w:name w:val="Quote Char"/>
    <w:basedOn w:val="DefaultParagraphFont"/>
    <w:link w:val="Quote"/>
    <w:uiPriority w:val="29"/>
    <w:rsid w:val="00DD1B59"/>
    <w:rPr>
      <w:i/>
      <w:iCs/>
      <w:color w:val="404040" w:themeColor="text1" w:themeTint="BF"/>
    </w:rPr>
  </w:style>
  <w:style w:type="paragraph" w:styleId="ListParagraph">
    <w:name w:val="List Paragraph"/>
    <w:basedOn w:val="Normal"/>
    <w:uiPriority w:val="34"/>
    <w:qFormat/>
    <w:rsid w:val="00DD1B59"/>
    <w:pPr>
      <w:ind w:left="720"/>
      <w:contextualSpacing/>
    </w:pPr>
  </w:style>
  <w:style w:type="character" w:styleId="IntenseEmphasis">
    <w:name w:val="Intense Emphasis"/>
    <w:basedOn w:val="DefaultParagraphFont"/>
    <w:uiPriority w:val="21"/>
    <w:qFormat/>
    <w:rsid w:val="00DD1B59"/>
    <w:rPr>
      <w:i/>
      <w:iCs/>
      <w:color w:val="0F4761" w:themeColor="accent1" w:themeShade="BF"/>
    </w:rPr>
  </w:style>
  <w:style w:type="paragraph" w:styleId="IntenseQuote">
    <w:name w:val="Intense Quote"/>
    <w:basedOn w:val="Normal"/>
    <w:next w:val="Normal"/>
    <w:link w:val="IntenseQuoteChar"/>
    <w:uiPriority w:val="30"/>
    <w:qFormat/>
    <w:rsid w:val="00DD1B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1B59"/>
    <w:rPr>
      <w:i/>
      <w:iCs/>
      <w:color w:val="0F4761" w:themeColor="accent1" w:themeShade="BF"/>
    </w:rPr>
  </w:style>
  <w:style w:type="character" w:styleId="IntenseReference">
    <w:name w:val="Intense Reference"/>
    <w:basedOn w:val="DefaultParagraphFont"/>
    <w:uiPriority w:val="32"/>
    <w:qFormat/>
    <w:rsid w:val="00DD1B59"/>
    <w:rPr>
      <w:b/>
      <w:bCs/>
      <w:smallCaps/>
      <w:color w:val="0F4761" w:themeColor="accent1" w:themeShade="BF"/>
      <w:spacing w:val="5"/>
    </w:rPr>
  </w:style>
  <w:style w:type="paragraph" w:styleId="Header">
    <w:name w:val="header"/>
    <w:basedOn w:val="Normal"/>
    <w:link w:val="HeaderChar"/>
    <w:uiPriority w:val="99"/>
    <w:unhideWhenUsed/>
    <w:rsid w:val="007E2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866"/>
  </w:style>
  <w:style w:type="paragraph" w:styleId="Footer">
    <w:name w:val="footer"/>
    <w:basedOn w:val="Normal"/>
    <w:link w:val="FooterChar"/>
    <w:uiPriority w:val="99"/>
    <w:unhideWhenUsed/>
    <w:rsid w:val="007E2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8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10445</Words>
  <Characters>59542</Characters>
  <Application>Microsoft Office Word</Application>
  <DocSecurity>0</DocSecurity>
  <Lines>496</Lines>
  <Paragraphs>139</Paragraphs>
  <ScaleCrop>false</ScaleCrop>
  <Company>University of Wales Trinity Saint David</Company>
  <LinksUpToDate>false</LinksUpToDate>
  <CharactersWithSpaces>69848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O'Byrne</dc:creator>
  <cp:keywords/>
  <dc:description/>
  <cp:lastModifiedBy>Ryan O'Byrne</cp:lastModifiedBy>
  <cp:revision>97</cp:revision>
  <dcterms:created xsi:type="dcterms:W3CDTF">2026-03-25T15:05:00Z</dcterms:created>
  <dcterms:modified xsi:type="dcterms:W3CDTF">2026-04-27T13:01:00Z</dcterms:modified>
</cp:coreProperties>
</file>