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17A24" w14:textId="2C2C1CB0" w:rsidR="00A47F97" w:rsidRPr="0011526C" w:rsidRDefault="00A47F97" w:rsidP="00A47F97">
      <w:r w:rsidRPr="0011526C">
        <w:rPr>
          <w:b/>
          <w:bCs/>
        </w:rPr>
        <w:t>Name:</w:t>
      </w:r>
      <w:r w:rsidRPr="0011526C">
        <w:t xml:space="preserve"> </w:t>
      </w:r>
      <w:r>
        <w:t>Sabina Kauser</w:t>
      </w:r>
      <w:r w:rsidRPr="0011526C">
        <w:br/>
      </w:r>
      <w:r w:rsidRPr="0011526C">
        <w:rPr>
          <w:b/>
          <w:bCs/>
        </w:rPr>
        <w:t>Student Number:</w:t>
      </w:r>
      <w:r w:rsidRPr="0011526C">
        <w:t xml:space="preserve"> </w:t>
      </w:r>
      <w:r>
        <w:t>2212416</w:t>
      </w:r>
      <w:r w:rsidRPr="0011526C">
        <w:br/>
      </w:r>
      <w:r w:rsidRPr="0011526C">
        <w:rPr>
          <w:b/>
          <w:bCs/>
        </w:rPr>
        <w:t>Module Code &amp; Title:</w:t>
      </w:r>
      <w:r w:rsidRPr="0011526C">
        <w:t xml:space="preserve"> [BMHP6020 – Health and Social Care]</w:t>
      </w:r>
      <w:r w:rsidRPr="0011526C">
        <w:br/>
      </w:r>
      <w:r w:rsidRPr="0011526C">
        <w:rPr>
          <w:b/>
          <w:bCs/>
        </w:rPr>
        <w:t>Assignment Title:</w:t>
      </w:r>
      <w:r w:rsidRPr="0011526C">
        <w:t xml:space="preserve"> Critical Analysis of Generalized Anxiety Disorder</w:t>
      </w:r>
    </w:p>
    <w:p w14:paraId="0BD19453" w14:textId="1E27B5C9" w:rsidR="00306DC5" w:rsidRDefault="00A47F97" w:rsidP="00A47F97">
      <w:r w:rsidRPr="0011526C">
        <w:pict w14:anchorId="239383BC">
          <v:rect id="_x0000_i1025" style="width:0;height:1.5pt" o:hralign="center" o:hrstd="t" o:hr="t" fillcolor="#a0a0a0" stroked="f"/>
        </w:pict>
      </w:r>
    </w:p>
    <w:p w14:paraId="6A5A2110" w14:textId="5E343323" w:rsidR="00A47F97" w:rsidRDefault="00A47F97" w:rsidP="00A47F97">
      <w:pPr>
        <w:tabs>
          <w:tab w:val="left" w:pos="3670"/>
        </w:tabs>
      </w:pPr>
      <w:r>
        <w:tab/>
      </w:r>
    </w:p>
    <w:p w14:paraId="139AB403" w14:textId="77777777" w:rsidR="00A47F97" w:rsidRDefault="00A47F97">
      <w:r>
        <w:br w:type="page"/>
      </w:r>
    </w:p>
    <w:p w14:paraId="0421C2C0" w14:textId="2EFB4D7B" w:rsidR="00A47F97" w:rsidRPr="004F4F18" w:rsidRDefault="00A47F97" w:rsidP="00A47F97">
      <w:pPr>
        <w:rPr>
          <w:rFonts w:ascii="Arial" w:hAnsi="Arial" w:cs="Arial"/>
          <w:sz w:val="24"/>
          <w:szCs w:val="24"/>
        </w:rPr>
      </w:pPr>
      <w:r w:rsidRPr="0011526C">
        <w:rPr>
          <w:rFonts w:ascii="Arial" w:hAnsi="Arial" w:cs="Arial"/>
          <w:sz w:val="24"/>
          <w:szCs w:val="24"/>
        </w:rPr>
        <w:lastRenderedPageBreak/>
        <w:t xml:space="preserve">Table of Contents </w:t>
      </w:r>
    </w:p>
    <w:p w14:paraId="737CBB38" w14:textId="4D22FB57" w:rsidR="00A47F97" w:rsidRPr="004F4F18" w:rsidRDefault="00A47F97" w:rsidP="00A47F97">
      <w:pPr>
        <w:rPr>
          <w:rFonts w:ascii="Arial" w:hAnsi="Arial" w:cs="Arial"/>
          <w:sz w:val="24"/>
          <w:szCs w:val="24"/>
        </w:rPr>
      </w:pPr>
    </w:p>
    <w:p w14:paraId="36866D58" w14:textId="77777777" w:rsidR="003A7C12" w:rsidRPr="0011526C" w:rsidRDefault="003A7C12" w:rsidP="003A7C12">
      <w:pPr>
        <w:numPr>
          <w:ilvl w:val="0"/>
          <w:numId w:val="1"/>
        </w:numPr>
        <w:rPr>
          <w:rFonts w:ascii="Arial" w:hAnsi="Arial" w:cs="Arial"/>
          <w:sz w:val="24"/>
          <w:szCs w:val="24"/>
        </w:rPr>
      </w:pPr>
      <w:r w:rsidRPr="0011526C">
        <w:rPr>
          <w:rFonts w:ascii="Arial" w:hAnsi="Arial" w:cs="Arial"/>
          <w:sz w:val="24"/>
          <w:szCs w:val="24"/>
        </w:rPr>
        <w:t>Introduction</w:t>
      </w:r>
    </w:p>
    <w:p w14:paraId="5E1D9AA4" w14:textId="77777777" w:rsidR="003A7C12" w:rsidRPr="0011526C" w:rsidRDefault="003A7C12" w:rsidP="003A7C12">
      <w:pPr>
        <w:numPr>
          <w:ilvl w:val="0"/>
          <w:numId w:val="1"/>
        </w:numPr>
        <w:rPr>
          <w:rFonts w:ascii="Arial" w:hAnsi="Arial" w:cs="Arial"/>
          <w:sz w:val="24"/>
          <w:szCs w:val="24"/>
        </w:rPr>
      </w:pPr>
      <w:r w:rsidRPr="0011526C">
        <w:rPr>
          <w:rFonts w:ascii="Arial" w:hAnsi="Arial" w:cs="Arial"/>
          <w:sz w:val="24"/>
          <w:szCs w:val="24"/>
        </w:rPr>
        <w:t>Classification and Diagnosis</w:t>
      </w:r>
    </w:p>
    <w:p w14:paraId="30C25EF8" w14:textId="77777777" w:rsidR="003A7C12" w:rsidRPr="0011526C" w:rsidRDefault="003A7C12" w:rsidP="003A7C12">
      <w:pPr>
        <w:numPr>
          <w:ilvl w:val="0"/>
          <w:numId w:val="1"/>
        </w:numPr>
        <w:rPr>
          <w:rFonts w:ascii="Arial" w:hAnsi="Arial" w:cs="Arial"/>
          <w:sz w:val="24"/>
          <w:szCs w:val="24"/>
        </w:rPr>
      </w:pPr>
      <w:r w:rsidRPr="0011526C">
        <w:rPr>
          <w:rFonts w:ascii="Arial" w:hAnsi="Arial" w:cs="Arial"/>
          <w:sz w:val="24"/>
          <w:szCs w:val="24"/>
        </w:rPr>
        <w:t>Treatment and Rehabilitation</w:t>
      </w:r>
    </w:p>
    <w:p w14:paraId="2BC21E52" w14:textId="77777777" w:rsidR="003A7C12" w:rsidRPr="0011526C" w:rsidRDefault="003A7C12" w:rsidP="003A7C12">
      <w:pPr>
        <w:numPr>
          <w:ilvl w:val="0"/>
          <w:numId w:val="1"/>
        </w:numPr>
        <w:rPr>
          <w:rFonts w:ascii="Arial" w:hAnsi="Arial" w:cs="Arial"/>
          <w:sz w:val="24"/>
          <w:szCs w:val="24"/>
        </w:rPr>
      </w:pPr>
      <w:r w:rsidRPr="0011526C">
        <w:rPr>
          <w:rFonts w:ascii="Arial" w:hAnsi="Arial" w:cs="Arial"/>
          <w:sz w:val="24"/>
          <w:szCs w:val="24"/>
        </w:rPr>
        <w:t>Current Debates and Emerging Issues</w:t>
      </w:r>
    </w:p>
    <w:p w14:paraId="5111FB8A" w14:textId="77777777" w:rsidR="003A7C12" w:rsidRPr="0011526C" w:rsidRDefault="003A7C12" w:rsidP="003A7C12">
      <w:pPr>
        <w:numPr>
          <w:ilvl w:val="0"/>
          <w:numId w:val="1"/>
        </w:numPr>
        <w:rPr>
          <w:rFonts w:ascii="Arial" w:hAnsi="Arial" w:cs="Arial"/>
          <w:sz w:val="24"/>
          <w:szCs w:val="24"/>
        </w:rPr>
      </w:pPr>
      <w:r w:rsidRPr="0011526C">
        <w:rPr>
          <w:rFonts w:ascii="Arial" w:hAnsi="Arial" w:cs="Arial"/>
          <w:sz w:val="24"/>
          <w:szCs w:val="24"/>
        </w:rPr>
        <w:t>Recommendations</w:t>
      </w:r>
    </w:p>
    <w:p w14:paraId="39EBCF79" w14:textId="77777777" w:rsidR="003A7C12" w:rsidRPr="0011526C" w:rsidRDefault="003A7C12" w:rsidP="003A7C12">
      <w:pPr>
        <w:numPr>
          <w:ilvl w:val="0"/>
          <w:numId w:val="1"/>
        </w:numPr>
        <w:rPr>
          <w:rFonts w:ascii="Arial" w:hAnsi="Arial" w:cs="Arial"/>
          <w:sz w:val="24"/>
          <w:szCs w:val="24"/>
        </w:rPr>
      </w:pPr>
      <w:r w:rsidRPr="0011526C">
        <w:rPr>
          <w:rFonts w:ascii="Arial" w:hAnsi="Arial" w:cs="Arial"/>
          <w:sz w:val="24"/>
          <w:szCs w:val="24"/>
        </w:rPr>
        <w:t>Conclusion</w:t>
      </w:r>
    </w:p>
    <w:p w14:paraId="268335D7" w14:textId="77777777" w:rsidR="003A7C12" w:rsidRPr="0011526C" w:rsidRDefault="003A7C12" w:rsidP="003A7C12">
      <w:pPr>
        <w:numPr>
          <w:ilvl w:val="0"/>
          <w:numId w:val="1"/>
        </w:numPr>
        <w:rPr>
          <w:rFonts w:ascii="Arial" w:hAnsi="Arial" w:cs="Arial"/>
          <w:sz w:val="24"/>
          <w:szCs w:val="24"/>
        </w:rPr>
      </w:pPr>
      <w:r w:rsidRPr="0011526C">
        <w:rPr>
          <w:rFonts w:ascii="Arial" w:hAnsi="Arial" w:cs="Arial"/>
          <w:sz w:val="24"/>
          <w:szCs w:val="24"/>
        </w:rPr>
        <w:t>References</w:t>
      </w:r>
    </w:p>
    <w:p w14:paraId="12B54DA1" w14:textId="77777777" w:rsidR="003A7C12" w:rsidRPr="004F4F18" w:rsidRDefault="003A7C12" w:rsidP="003A7C12">
      <w:pPr>
        <w:tabs>
          <w:tab w:val="left" w:pos="3670"/>
        </w:tabs>
        <w:rPr>
          <w:rFonts w:ascii="Arial" w:hAnsi="Arial" w:cs="Arial"/>
          <w:sz w:val="24"/>
          <w:szCs w:val="24"/>
        </w:rPr>
      </w:pPr>
    </w:p>
    <w:p w14:paraId="521128C6" w14:textId="77777777" w:rsidR="00A47F97" w:rsidRPr="004F4F18" w:rsidRDefault="00A47F97">
      <w:pPr>
        <w:rPr>
          <w:rFonts w:ascii="Arial" w:hAnsi="Arial" w:cs="Arial"/>
          <w:sz w:val="24"/>
          <w:szCs w:val="24"/>
        </w:rPr>
      </w:pPr>
      <w:r w:rsidRPr="004F4F18">
        <w:rPr>
          <w:rFonts w:ascii="Arial" w:hAnsi="Arial" w:cs="Arial"/>
          <w:sz w:val="24"/>
          <w:szCs w:val="24"/>
        </w:rPr>
        <w:br w:type="page"/>
      </w:r>
    </w:p>
    <w:p w14:paraId="65114E1E" w14:textId="44DCB701" w:rsidR="00A47F97" w:rsidRPr="00A47F97" w:rsidRDefault="00A47F97" w:rsidP="00A47F97">
      <w:pPr>
        <w:spacing w:before="100" w:beforeAutospacing="1" w:after="100" w:afterAutospacing="1" w:line="240" w:lineRule="auto"/>
        <w:outlineLvl w:val="1"/>
        <w:rPr>
          <w:rFonts w:ascii="Arial" w:eastAsia="Times New Roman" w:hAnsi="Arial" w:cs="Arial"/>
          <w:kern w:val="0"/>
          <w:sz w:val="24"/>
          <w:szCs w:val="24"/>
          <w:lang w:eastAsia="en-GB"/>
          <w14:ligatures w14:val="none"/>
        </w:rPr>
      </w:pPr>
      <w:r w:rsidRPr="00A47F97">
        <w:rPr>
          <w:rFonts w:ascii="Arial" w:eastAsia="Times New Roman" w:hAnsi="Arial" w:cs="Arial"/>
          <w:kern w:val="0"/>
          <w:sz w:val="24"/>
          <w:szCs w:val="24"/>
          <w:lang w:eastAsia="en-GB"/>
          <w14:ligatures w14:val="none"/>
        </w:rPr>
        <w:lastRenderedPageBreak/>
        <w:t>Introduction</w:t>
      </w:r>
    </w:p>
    <w:p w14:paraId="63EECE48" w14:textId="77777777" w:rsidR="00A47F97" w:rsidRPr="00A47F97" w:rsidRDefault="00A47F97" w:rsidP="00A47F97">
      <w:pPr>
        <w:spacing w:before="100" w:beforeAutospacing="1" w:after="100" w:afterAutospacing="1" w:line="240" w:lineRule="auto"/>
        <w:rPr>
          <w:rFonts w:ascii="Arial" w:eastAsia="Times New Roman" w:hAnsi="Arial" w:cs="Arial"/>
          <w:kern w:val="0"/>
          <w:sz w:val="24"/>
          <w:szCs w:val="24"/>
          <w:lang w:eastAsia="en-GB"/>
          <w14:ligatures w14:val="none"/>
        </w:rPr>
      </w:pPr>
      <w:r w:rsidRPr="00A47F97">
        <w:rPr>
          <w:rFonts w:ascii="Arial" w:eastAsia="Times New Roman" w:hAnsi="Arial" w:cs="Arial"/>
          <w:kern w:val="0"/>
          <w:sz w:val="24"/>
          <w:szCs w:val="24"/>
          <w:lang w:eastAsia="en-GB"/>
          <w14:ligatures w14:val="none"/>
        </w:rPr>
        <w:t>Generalized Anxiety Disorder (GAD) is a mental health condition characterised by persistent and excessive worry about everyday activities or events. People with GAD often find it difficult to control their anxiety, which can lead to physical symptoms such as tension, restlessness, fatigue, and sleep difficulties (WHO, 2019). Unlike normal anxiety, which usually fades after a stressful event passes, the anxiety in GAD is long-lasting, pervasive, and often disproportionate to the situation.</w:t>
      </w:r>
    </w:p>
    <w:p w14:paraId="5B6C83E2" w14:textId="77777777" w:rsidR="00A47F97" w:rsidRPr="00A47F97" w:rsidRDefault="00A47F97" w:rsidP="00A47F97">
      <w:pPr>
        <w:spacing w:before="100" w:beforeAutospacing="1" w:after="100" w:afterAutospacing="1" w:line="240" w:lineRule="auto"/>
        <w:rPr>
          <w:rFonts w:ascii="Arial" w:eastAsia="Times New Roman" w:hAnsi="Arial" w:cs="Arial"/>
          <w:kern w:val="0"/>
          <w:sz w:val="24"/>
          <w:szCs w:val="24"/>
          <w:lang w:eastAsia="en-GB"/>
          <w14:ligatures w14:val="none"/>
        </w:rPr>
      </w:pPr>
      <w:r w:rsidRPr="00A47F97">
        <w:rPr>
          <w:rFonts w:ascii="Arial" w:eastAsia="Times New Roman" w:hAnsi="Arial" w:cs="Arial"/>
          <w:kern w:val="0"/>
          <w:sz w:val="24"/>
          <w:szCs w:val="24"/>
          <w:lang w:eastAsia="en-GB"/>
          <w14:ligatures w14:val="none"/>
        </w:rPr>
        <w:t>GAD is a common disorder worldwide and has significant clinical implications. According to the World Health Organization (2023), approximately 4% of adults globally are affected by anxiety disorders each year, making them one of the most frequently diagnosed mental health conditions. In the United Kingdom, studies indicate that around 5% of adults experience symptoms consistent with GAD, with higher rates observed among women and younger age groups. The disorder can cause substantial disruption to daily life, affecting work, relationships, and overall wellbeing. It is also frequently accompanied by other mental health problems, including depression and substance use disorders.</w:t>
      </w:r>
    </w:p>
    <w:p w14:paraId="1321306C" w14:textId="01C21746" w:rsidR="00A47F97" w:rsidRPr="00A47F97" w:rsidRDefault="00A47F97" w:rsidP="004F4F18">
      <w:pPr>
        <w:spacing w:before="100" w:beforeAutospacing="1" w:after="100" w:afterAutospacing="1" w:line="240" w:lineRule="auto"/>
        <w:rPr>
          <w:rFonts w:ascii="Arial" w:eastAsia="Times New Roman" w:hAnsi="Arial" w:cs="Arial"/>
          <w:kern w:val="0"/>
          <w:sz w:val="24"/>
          <w:szCs w:val="24"/>
          <w:lang w:eastAsia="en-GB"/>
          <w14:ligatures w14:val="none"/>
        </w:rPr>
      </w:pPr>
      <w:r w:rsidRPr="00A47F97">
        <w:rPr>
          <w:rFonts w:ascii="Arial" w:eastAsia="Times New Roman" w:hAnsi="Arial" w:cs="Arial"/>
          <w:kern w:val="0"/>
          <w:sz w:val="24"/>
          <w:szCs w:val="24"/>
          <w:lang w:eastAsia="en-GB"/>
          <w14:ligatures w14:val="none"/>
        </w:rPr>
        <w:t>This report critically examines GAD, focusing on its classification and diagnostic criteria in ICD-11, current treatment and rehabilitation approaches, contemporary debates and emerging issues, and practical recommendations for improving care. The aim is to provide a thorough, evidence-based understanding of the condition to support clinical practice, policy development, and future research.</w:t>
      </w:r>
    </w:p>
    <w:p w14:paraId="200568D6" w14:textId="18AB07E2" w:rsidR="00A47F97" w:rsidRPr="00A47F97" w:rsidRDefault="00A47F97" w:rsidP="00A47F97">
      <w:pPr>
        <w:spacing w:before="100" w:beforeAutospacing="1" w:after="100" w:afterAutospacing="1" w:line="240" w:lineRule="auto"/>
        <w:outlineLvl w:val="1"/>
        <w:rPr>
          <w:rFonts w:ascii="Arial" w:eastAsia="Times New Roman" w:hAnsi="Arial" w:cs="Arial"/>
          <w:kern w:val="0"/>
          <w:sz w:val="24"/>
          <w:szCs w:val="24"/>
          <w:lang w:eastAsia="en-GB"/>
          <w14:ligatures w14:val="none"/>
        </w:rPr>
      </w:pPr>
      <w:r w:rsidRPr="00A47F97">
        <w:rPr>
          <w:rFonts w:ascii="Arial" w:eastAsia="Times New Roman" w:hAnsi="Arial" w:cs="Arial"/>
          <w:kern w:val="0"/>
          <w:sz w:val="24"/>
          <w:szCs w:val="24"/>
          <w:lang w:eastAsia="en-GB"/>
          <w14:ligatures w14:val="none"/>
        </w:rPr>
        <w:t xml:space="preserve">Classification and Diagnosis </w:t>
      </w:r>
    </w:p>
    <w:p w14:paraId="0A93A460" w14:textId="77777777" w:rsidR="00A47F97" w:rsidRPr="00A47F97" w:rsidRDefault="00A47F97" w:rsidP="00A47F97">
      <w:pPr>
        <w:spacing w:before="100" w:beforeAutospacing="1" w:after="100" w:afterAutospacing="1" w:line="240" w:lineRule="auto"/>
        <w:rPr>
          <w:rFonts w:ascii="Arial" w:eastAsia="Times New Roman" w:hAnsi="Arial" w:cs="Arial"/>
          <w:kern w:val="0"/>
          <w:sz w:val="24"/>
          <w:szCs w:val="24"/>
          <w:lang w:eastAsia="en-GB"/>
          <w14:ligatures w14:val="none"/>
        </w:rPr>
      </w:pPr>
      <w:r w:rsidRPr="00A47F97">
        <w:rPr>
          <w:rFonts w:ascii="Arial" w:eastAsia="Times New Roman" w:hAnsi="Arial" w:cs="Arial"/>
          <w:kern w:val="0"/>
          <w:sz w:val="24"/>
          <w:szCs w:val="24"/>
          <w:lang w:eastAsia="en-GB"/>
          <w14:ligatures w14:val="none"/>
        </w:rPr>
        <w:t>Generalized Anxiety Disorder (GAD) is classified in ICD-11 Chapter 6, under Anxiety or fear-related disorders, which is part of the broader category of mental, behavioural or neurodevelopmental disorders (WHO, 2019). In ICD-11, the terminology “disorder” is deliberately used to describe GAD, rather than “condition” or “illness,” reflecting a neutral and descriptive approach aimed at reducing stigma while standardising clinical communication. The classification provides clinicians with a clear framework to identify, diagnose, and differentiate GAD from other psychiatric disorders.</w:t>
      </w:r>
    </w:p>
    <w:p w14:paraId="58DE78C9" w14:textId="77777777" w:rsidR="00A47F97" w:rsidRPr="004F4F18" w:rsidRDefault="00A47F97" w:rsidP="00A47F97">
      <w:pPr>
        <w:pStyle w:val="NormalWeb"/>
        <w:rPr>
          <w:rFonts w:ascii="Arial" w:hAnsi="Arial" w:cs="Arial"/>
        </w:rPr>
      </w:pPr>
      <w:r w:rsidRPr="00A47F97">
        <w:rPr>
          <w:rFonts w:ascii="Arial" w:hAnsi="Arial" w:cs="Arial"/>
        </w:rPr>
        <w:t xml:space="preserve">According to ICD-11, the diagnostic criteria for GAD include persistent and excessive anxiety and worry occurring on most days for at least six months. Individuals with GAD </w:t>
      </w:r>
      <w:proofErr w:type="gramStart"/>
      <w:r w:rsidRPr="00A47F97">
        <w:rPr>
          <w:rFonts w:ascii="Arial" w:hAnsi="Arial" w:cs="Arial"/>
        </w:rPr>
        <w:t>experience difficulty</w:t>
      </w:r>
      <w:proofErr w:type="gramEnd"/>
      <w:r w:rsidRPr="00A47F97">
        <w:rPr>
          <w:rFonts w:ascii="Arial" w:hAnsi="Arial" w:cs="Arial"/>
        </w:rPr>
        <w:t xml:space="preserve"> controlling their worry, which may relate to multiple aspects of everyday life, such as work, social interactions, and personal responsibilities. Additional symptoms often include restlessness, fatigue, poor concentration, irritability, muscle</w:t>
      </w:r>
      <w:r w:rsidRPr="004F4F18">
        <w:rPr>
          <w:rFonts w:ascii="Arial" w:hAnsi="Arial" w:cs="Arial"/>
        </w:rPr>
        <w:t xml:space="preserve"> </w:t>
      </w:r>
      <w:r w:rsidRPr="004F4F18">
        <w:rPr>
          <w:rStyle w:val="Strong"/>
          <w:rFonts w:ascii="Arial" w:eastAsiaTheme="majorEastAsia" w:hAnsi="Arial" w:cs="Arial"/>
          <w:b w:val="0"/>
          <w:bCs w:val="0"/>
        </w:rPr>
        <w:t>tension, and sleep disturbances</w:t>
      </w:r>
      <w:r w:rsidRPr="004F4F18">
        <w:rPr>
          <w:rFonts w:ascii="Arial" w:hAnsi="Arial" w:cs="Arial"/>
        </w:rPr>
        <w:t>. The combination of psychological and physical symptoms contributes to significant functional impairment, making accurate diagnosis essential (NICE, 2022).</w:t>
      </w:r>
    </w:p>
    <w:p w14:paraId="69CCA4CA" w14:textId="77777777" w:rsidR="00A47F97" w:rsidRPr="004F4F18" w:rsidRDefault="00A47F97" w:rsidP="00A47F97">
      <w:pPr>
        <w:pStyle w:val="NormalWeb"/>
        <w:rPr>
          <w:rFonts w:ascii="Arial" w:hAnsi="Arial" w:cs="Arial"/>
        </w:rPr>
      </w:pPr>
      <w:r w:rsidRPr="004F4F18">
        <w:rPr>
          <w:rFonts w:ascii="Arial" w:hAnsi="Arial" w:cs="Arial"/>
        </w:rPr>
        <w:t xml:space="preserve">The process of diagnosis typically begins with a </w:t>
      </w:r>
      <w:r w:rsidRPr="004F4F18">
        <w:rPr>
          <w:rStyle w:val="Strong"/>
          <w:rFonts w:ascii="Arial" w:eastAsiaTheme="majorEastAsia" w:hAnsi="Arial" w:cs="Arial"/>
          <w:b w:val="0"/>
          <w:bCs w:val="0"/>
        </w:rPr>
        <w:t>comprehensive clinical interview</w:t>
      </w:r>
      <w:r w:rsidRPr="004F4F18">
        <w:rPr>
          <w:rFonts w:ascii="Arial" w:hAnsi="Arial" w:cs="Arial"/>
        </w:rPr>
        <w:t xml:space="preserve"> guided by ICD-11 criteria. Clinicians assess the duration, intensity, and impact of symptoms while exploring the individual’s personal, social, and medical history. </w:t>
      </w:r>
      <w:r w:rsidRPr="004F4F18">
        <w:rPr>
          <w:rStyle w:val="Strong"/>
          <w:rFonts w:ascii="Arial" w:eastAsiaTheme="majorEastAsia" w:hAnsi="Arial" w:cs="Arial"/>
          <w:b w:val="0"/>
          <w:bCs w:val="0"/>
        </w:rPr>
        <w:t>Self-report questionnaires</w:t>
      </w:r>
      <w:r w:rsidRPr="004F4F18">
        <w:rPr>
          <w:rFonts w:ascii="Arial" w:hAnsi="Arial" w:cs="Arial"/>
        </w:rPr>
        <w:t xml:space="preserve">, such as the </w:t>
      </w:r>
      <w:r w:rsidRPr="004F4F18">
        <w:rPr>
          <w:rStyle w:val="Strong"/>
          <w:rFonts w:ascii="Arial" w:eastAsiaTheme="majorEastAsia" w:hAnsi="Arial" w:cs="Arial"/>
          <w:b w:val="0"/>
          <w:bCs w:val="0"/>
        </w:rPr>
        <w:t>GAD-7</w:t>
      </w:r>
      <w:r w:rsidRPr="004F4F18">
        <w:rPr>
          <w:rFonts w:ascii="Arial" w:hAnsi="Arial" w:cs="Arial"/>
        </w:rPr>
        <w:t xml:space="preserve">, are frequently used to quantify symptom severity and monitor changes over time. An essential part of diagnosis is </w:t>
      </w:r>
      <w:r w:rsidRPr="004F4F18">
        <w:rPr>
          <w:rStyle w:val="Strong"/>
          <w:rFonts w:ascii="Arial" w:eastAsiaTheme="majorEastAsia" w:hAnsi="Arial" w:cs="Arial"/>
          <w:b w:val="0"/>
          <w:bCs w:val="0"/>
        </w:rPr>
        <w:t xml:space="preserve">differential </w:t>
      </w:r>
      <w:r w:rsidRPr="004F4F18">
        <w:rPr>
          <w:rStyle w:val="Strong"/>
          <w:rFonts w:ascii="Arial" w:eastAsiaTheme="majorEastAsia" w:hAnsi="Arial" w:cs="Arial"/>
          <w:b w:val="0"/>
          <w:bCs w:val="0"/>
        </w:rPr>
        <w:lastRenderedPageBreak/>
        <w:t>assessment</w:t>
      </w:r>
      <w:r w:rsidRPr="004F4F18">
        <w:rPr>
          <w:rFonts w:ascii="Arial" w:hAnsi="Arial" w:cs="Arial"/>
        </w:rPr>
        <w:t>, which involves ruling out other anxiety disorders, depression, or medical conditions that may present with overlapping symptoms (APA, 2022).</w:t>
      </w:r>
    </w:p>
    <w:p w14:paraId="71B7032F" w14:textId="6EE1596A" w:rsidR="003A7C12" w:rsidRPr="003A7C12" w:rsidRDefault="00A47F97" w:rsidP="003A7C12">
      <w:pPr>
        <w:pStyle w:val="NormalWeb"/>
        <w:rPr>
          <w:rFonts w:ascii="Arial" w:hAnsi="Arial" w:cs="Arial"/>
        </w:rPr>
      </w:pPr>
      <w:r w:rsidRPr="004F4F18">
        <w:rPr>
          <w:rFonts w:ascii="Arial" w:hAnsi="Arial" w:cs="Arial"/>
        </w:rPr>
        <w:t xml:space="preserve">Language plays a crucial role in classification. The ICD-11’s use of </w:t>
      </w:r>
      <w:r w:rsidRPr="004F4F18">
        <w:rPr>
          <w:rStyle w:val="Strong"/>
          <w:rFonts w:ascii="Arial" w:eastAsiaTheme="majorEastAsia" w:hAnsi="Arial" w:cs="Arial"/>
          <w:b w:val="0"/>
          <w:bCs w:val="0"/>
        </w:rPr>
        <w:t>“disorder”</w:t>
      </w:r>
      <w:r w:rsidRPr="004F4F18">
        <w:rPr>
          <w:rFonts w:ascii="Arial" w:hAnsi="Arial" w:cs="Arial"/>
        </w:rPr>
        <w:t xml:space="preserve"> rather than more loaded terms like “mental illness” aims to communicate a medical understanding of GAD without implying moral judgment or weakness. This approach also facilitates </w:t>
      </w:r>
      <w:r w:rsidRPr="004F4F18">
        <w:rPr>
          <w:rStyle w:val="Strong"/>
          <w:rFonts w:ascii="Arial" w:eastAsiaTheme="majorEastAsia" w:hAnsi="Arial" w:cs="Arial"/>
          <w:b w:val="0"/>
          <w:bCs w:val="0"/>
        </w:rPr>
        <w:t>evidence-based practice</w:t>
      </w:r>
      <w:r w:rsidRPr="004F4F18">
        <w:rPr>
          <w:rFonts w:ascii="Arial" w:hAnsi="Arial" w:cs="Arial"/>
        </w:rPr>
        <w:t xml:space="preserve"> by providing clinicians with standardised criteria while promoting</w:t>
      </w:r>
      <w:r w:rsidRPr="004F4F18">
        <w:rPr>
          <w:rFonts w:ascii="Arial" w:hAnsi="Arial" w:cs="Arial"/>
        </w:rPr>
        <w:t xml:space="preserve"> </w:t>
      </w:r>
      <w:r w:rsidRPr="004F4F18">
        <w:rPr>
          <w:rFonts w:ascii="Arial" w:hAnsi="Arial" w:cs="Arial"/>
        </w:rPr>
        <w:t>a stigma-free discussion with patients (WHO, 2019). By combining structured classification, careful assessment, and standardised diagnostic tools, clinicians can ensure that GAD is recognised accurately and managed appropriately.</w:t>
      </w:r>
    </w:p>
    <w:p w14:paraId="15021312" w14:textId="755B8684" w:rsidR="003A7C12" w:rsidRPr="003A7C12" w:rsidRDefault="003A7C12" w:rsidP="003A7C12">
      <w:pPr>
        <w:spacing w:before="100" w:beforeAutospacing="1" w:after="100" w:afterAutospacing="1" w:line="240" w:lineRule="auto"/>
        <w:outlineLvl w:val="1"/>
        <w:rPr>
          <w:rFonts w:ascii="Arial" w:eastAsia="Times New Roman" w:hAnsi="Arial" w:cs="Arial"/>
          <w:kern w:val="0"/>
          <w:sz w:val="24"/>
          <w:szCs w:val="24"/>
          <w:lang w:eastAsia="en-GB"/>
          <w14:ligatures w14:val="none"/>
        </w:rPr>
      </w:pPr>
      <w:r w:rsidRPr="003A7C12">
        <w:rPr>
          <w:rFonts w:ascii="Arial" w:eastAsia="Times New Roman" w:hAnsi="Arial" w:cs="Arial"/>
          <w:kern w:val="0"/>
          <w:sz w:val="24"/>
          <w:szCs w:val="24"/>
          <w:lang w:eastAsia="en-GB"/>
          <w14:ligatures w14:val="none"/>
        </w:rPr>
        <w:t xml:space="preserve">3. Treatment and Rehabilitation </w:t>
      </w:r>
    </w:p>
    <w:p w14:paraId="0BA249B9" w14:textId="77777777" w:rsidR="003A7C12" w:rsidRPr="003A7C12" w:rsidRDefault="003A7C12" w:rsidP="003A7C12">
      <w:pPr>
        <w:spacing w:before="100" w:beforeAutospacing="1" w:after="100" w:afterAutospacing="1" w:line="240" w:lineRule="auto"/>
        <w:rPr>
          <w:rFonts w:ascii="Arial" w:eastAsia="Times New Roman" w:hAnsi="Arial" w:cs="Arial"/>
          <w:kern w:val="0"/>
          <w:sz w:val="24"/>
          <w:szCs w:val="24"/>
          <w:lang w:eastAsia="en-GB"/>
          <w14:ligatures w14:val="none"/>
        </w:rPr>
      </w:pPr>
      <w:r w:rsidRPr="003A7C12">
        <w:rPr>
          <w:rFonts w:ascii="Arial" w:eastAsia="Times New Roman" w:hAnsi="Arial" w:cs="Arial"/>
          <w:kern w:val="0"/>
          <w:sz w:val="24"/>
          <w:szCs w:val="24"/>
          <w:lang w:eastAsia="en-GB"/>
          <w14:ligatures w14:val="none"/>
        </w:rPr>
        <w:t>The management of Generalized Anxiety Disorder (GAD) involves a multimodal approach incorporating psychological therapies, pharmacological treatment, and rehabilitation strategies. The goal is to reduce anxiety symptoms, improve daily functioning, and prevent relapse, while tailoring interventions to individual needs and preferences (NICE, 2022).</w:t>
      </w:r>
    </w:p>
    <w:p w14:paraId="6BF2E9D0" w14:textId="77777777" w:rsidR="003A7C12" w:rsidRPr="003A7C12" w:rsidRDefault="003A7C12" w:rsidP="003A7C12">
      <w:pPr>
        <w:spacing w:before="100" w:beforeAutospacing="1" w:after="100" w:afterAutospacing="1" w:line="240" w:lineRule="auto"/>
        <w:rPr>
          <w:rFonts w:ascii="Arial" w:eastAsia="Times New Roman" w:hAnsi="Arial" w:cs="Arial"/>
          <w:kern w:val="0"/>
          <w:sz w:val="24"/>
          <w:szCs w:val="24"/>
          <w:lang w:eastAsia="en-GB"/>
          <w14:ligatures w14:val="none"/>
        </w:rPr>
      </w:pPr>
      <w:r w:rsidRPr="003A7C12">
        <w:rPr>
          <w:rFonts w:ascii="Arial" w:eastAsia="Times New Roman" w:hAnsi="Arial" w:cs="Arial"/>
          <w:kern w:val="0"/>
          <w:sz w:val="24"/>
          <w:szCs w:val="24"/>
          <w:lang w:eastAsia="en-GB"/>
          <w14:ligatures w14:val="none"/>
        </w:rPr>
        <w:t>Psychological therapies are widely recognised as the first-line intervention for GAD. Cognitive Behavioural Therapy (CBT) is the most evidence-based approach, helping individuals identify and challenge unhelpful thought patterns, develop coping strategies, and gradually confront feared situations in a controlled manner. CBT has consistently demonstrated effectiveness in reducing anxiety symptoms and improving overall functioning, both in the short and long term (Clark, 2018). Additionally, mindfulness-based interventions and Acceptance and Commitment Therapy (ACT) are increasingly used. These approaches encourage individuals to focus on the present moment, accept uncomfortable thoughts and feelings without judgment, and engage in value-driven behaviours. Studies suggest that these therapies can improve resilience and reduce the chronic impact of anxiety (Hofmann et al., 2012).</w:t>
      </w:r>
    </w:p>
    <w:p w14:paraId="6100C5D3" w14:textId="77777777" w:rsidR="003A7C12" w:rsidRPr="003A7C12" w:rsidRDefault="003A7C12" w:rsidP="003A7C12">
      <w:pPr>
        <w:spacing w:before="100" w:beforeAutospacing="1" w:after="100" w:afterAutospacing="1" w:line="240" w:lineRule="auto"/>
        <w:rPr>
          <w:rFonts w:ascii="Arial" w:eastAsia="Times New Roman" w:hAnsi="Arial" w:cs="Arial"/>
          <w:kern w:val="0"/>
          <w:sz w:val="24"/>
          <w:szCs w:val="24"/>
          <w:lang w:eastAsia="en-GB"/>
          <w14:ligatures w14:val="none"/>
        </w:rPr>
      </w:pPr>
      <w:r w:rsidRPr="003A7C12">
        <w:rPr>
          <w:rFonts w:ascii="Arial" w:eastAsia="Times New Roman" w:hAnsi="Arial" w:cs="Arial"/>
          <w:kern w:val="0"/>
          <w:sz w:val="24"/>
          <w:szCs w:val="24"/>
          <w:lang w:eastAsia="en-GB"/>
          <w14:ligatures w14:val="none"/>
        </w:rPr>
        <w:t>Pharmacological treatments are often combined with therapy, particularly for moderate to severe GAD. Selective serotonin reuptake inhibitors (SSRIs), such as sertraline and escitalopram, and serotonin-noradrenaline reuptake inhibitors (SNRIs), such as venlafaxine, are recommended for symptom reduction. Medication can be effective in decreasing physiological symptoms such as restlessness, muscle tension, and sleep disturbance, but it may not address cognitive or behavioural patterns that maintain anxiety. As a result, combined therapy (psychological plus pharmacological) is frequently the most effective approach (NICE, 2022).</w:t>
      </w:r>
    </w:p>
    <w:p w14:paraId="75B213D4" w14:textId="77777777" w:rsidR="003A7C12" w:rsidRPr="003A7C12" w:rsidRDefault="003A7C12" w:rsidP="003A7C12">
      <w:pPr>
        <w:spacing w:before="100" w:beforeAutospacing="1" w:after="100" w:afterAutospacing="1" w:line="240" w:lineRule="auto"/>
        <w:rPr>
          <w:rFonts w:ascii="Arial" w:eastAsia="Times New Roman" w:hAnsi="Arial" w:cs="Arial"/>
          <w:kern w:val="0"/>
          <w:sz w:val="24"/>
          <w:szCs w:val="24"/>
          <w:lang w:eastAsia="en-GB"/>
          <w14:ligatures w14:val="none"/>
        </w:rPr>
      </w:pPr>
      <w:r w:rsidRPr="003A7C12">
        <w:rPr>
          <w:rFonts w:ascii="Arial" w:eastAsia="Times New Roman" w:hAnsi="Arial" w:cs="Arial"/>
          <w:kern w:val="0"/>
          <w:sz w:val="24"/>
          <w:szCs w:val="24"/>
          <w:lang w:eastAsia="en-GB"/>
          <w14:ligatures w14:val="none"/>
        </w:rPr>
        <w:t>Rehabilitation strategies focus on restoring functional abilities and supporting long-term recovery. Techniques include gradual exposure to feared situations, development of practical coping strategies, and structured psychoeducation. Encouraging social support, engagement with peer groups, and access to self-help interventions can improve adherence and enhance recovery outcomes. Digital interventions, such as online CBT programs and mental health apps, are emerging as additional tools to increase accessibility, particularly where face-to-face services are limited (Hofmann et al., 2012).</w:t>
      </w:r>
    </w:p>
    <w:p w14:paraId="4BAFA699" w14:textId="77777777" w:rsidR="003A7C12" w:rsidRPr="003A7C12" w:rsidRDefault="003A7C12" w:rsidP="003A7C12">
      <w:pPr>
        <w:spacing w:before="100" w:beforeAutospacing="1" w:after="100" w:afterAutospacing="1" w:line="240" w:lineRule="auto"/>
        <w:rPr>
          <w:rFonts w:ascii="Arial" w:eastAsia="Times New Roman" w:hAnsi="Arial" w:cs="Arial"/>
          <w:kern w:val="0"/>
          <w:sz w:val="24"/>
          <w:szCs w:val="24"/>
          <w:lang w:eastAsia="en-GB"/>
          <w14:ligatures w14:val="none"/>
        </w:rPr>
      </w:pPr>
      <w:r w:rsidRPr="003A7C12">
        <w:rPr>
          <w:rFonts w:ascii="Arial" w:eastAsia="Times New Roman" w:hAnsi="Arial" w:cs="Arial"/>
          <w:kern w:val="0"/>
          <w:sz w:val="24"/>
          <w:szCs w:val="24"/>
          <w:lang w:eastAsia="en-GB"/>
          <w14:ligatures w14:val="none"/>
        </w:rPr>
        <w:lastRenderedPageBreak/>
        <w:t>Despite the effectiveness of these interventions, limitations exist. Not all individuals respond equally to CBT or medication, and treatment adherence can be influenced by personal, social, or cultural factors. Barriers such as stigma, limited access to services, and variability in response can reduce effectiveness. Rehabilitation efforts may require long-term follow-up to prevent relapse and ensure sustained functional improvement (Clark, 2018).</w:t>
      </w:r>
    </w:p>
    <w:p w14:paraId="2C971BB7" w14:textId="77777777" w:rsidR="003A7C12" w:rsidRPr="003A7C12" w:rsidRDefault="003A7C12" w:rsidP="003A7C12">
      <w:pPr>
        <w:spacing w:before="100" w:beforeAutospacing="1" w:after="100" w:afterAutospacing="1" w:line="240" w:lineRule="auto"/>
        <w:rPr>
          <w:rFonts w:ascii="Arial" w:eastAsia="Times New Roman" w:hAnsi="Arial" w:cs="Arial"/>
          <w:kern w:val="0"/>
          <w:sz w:val="24"/>
          <w:szCs w:val="24"/>
          <w:lang w:eastAsia="en-GB"/>
          <w14:ligatures w14:val="none"/>
        </w:rPr>
      </w:pPr>
      <w:r w:rsidRPr="003A7C12">
        <w:rPr>
          <w:rFonts w:ascii="Arial" w:eastAsia="Times New Roman" w:hAnsi="Arial" w:cs="Arial"/>
          <w:kern w:val="0"/>
          <w:sz w:val="24"/>
          <w:szCs w:val="24"/>
          <w:lang w:eastAsia="en-GB"/>
          <w14:ligatures w14:val="none"/>
        </w:rPr>
        <w:t>In conclusion, effective GAD management requires a person-centred, evidence-based approach, combining psychological therapies, medication, and rehabilitation. While CBT and SSRIs provide substantial benefit, addressing accessibility, adherence, and long-term support is essential for optimising outcomes and enhancing quality of life for individuals living with GAD.</w:t>
      </w:r>
    </w:p>
    <w:p w14:paraId="5B6E02C8" w14:textId="71965968" w:rsidR="00A47F97" w:rsidRPr="00A47F97" w:rsidRDefault="00A47F97" w:rsidP="003A7C12">
      <w:pPr>
        <w:spacing w:after="0" w:line="240" w:lineRule="auto"/>
        <w:rPr>
          <w:rFonts w:ascii="Arial" w:eastAsia="Times New Roman" w:hAnsi="Arial" w:cs="Arial"/>
          <w:kern w:val="0"/>
          <w:sz w:val="24"/>
          <w:szCs w:val="24"/>
          <w:lang w:eastAsia="en-GB"/>
          <w14:ligatures w14:val="none"/>
        </w:rPr>
      </w:pPr>
    </w:p>
    <w:p w14:paraId="266D9B1C" w14:textId="0E037B80" w:rsidR="00A47F97" w:rsidRPr="00A47F97" w:rsidRDefault="00A47F97" w:rsidP="00A47F97">
      <w:pPr>
        <w:spacing w:after="0" w:line="240" w:lineRule="auto"/>
        <w:rPr>
          <w:rFonts w:ascii="Arial" w:eastAsia="Times New Roman" w:hAnsi="Arial" w:cs="Arial"/>
          <w:kern w:val="0"/>
          <w:sz w:val="24"/>
          <w:szCs w:val="24"/>
          <w:lang w:eastAsia="en-GB"/>
          <w14:ligatures w14:val="none"/>
        </w:rPr>
      </w:pPr>
    </w:p>
    <w:p w14:paraId="55E43C97" w14:textId="26575896" w:rsidR="00A47F97" w:rsidRPr="00A47F97" w:rsidRDefault="00A47F97" w:rsidP="00A47F97">
      <w:pPr>
        <w:spacing w:before="100" w:beforeAutospacing="1" w:after="100" w:afterAutospacing="1" w:line="240" w:lineRule="auto"/>
        <w:outlineLvl w:val="1"/>
        <w:rPr>
          <w:rFonts w:ascii="Arial" w:eastAsia="Times New Roman" w:hAnsi="Arial" w:cs="Arial"/>
          <w:kern w:val="0"/>
          <w:sz w:val="24"/>
          <w:szCs w:val="24"/>
          <w:lang w:eastAsia="en-GB"/>
          <w14:ligatures w14:val="none"/>
        </w:rPr>
      </w:pPr>
      <w:r w:rsidRPr="00A47F97">
        <w:rPr>
          <w:rFonts w:ascii="Arial" w:eastAsia="Times New Roman" w:hAnsi="Arial" w:cs="Arial"/>
          <w:kern w:val="0"/>
          <w:sz w:val="24"/>
          <w:szCs w:val="24"/>
          <w:lang w:eastAsia="en-GB"/>
          <w14:ligatures w14:val="none"/>
        </w:rPr>
        <w:t xml:space="preserve">4. Current Debates and Emerging Issues </w:t>
      </w:r>
    </w:p>
    <w:p w14:paraId="2FF54845" w14:textId="77777777" w:rsidR="00A47F97" w:rsidRPr="00A47F97" w:rsidRDefault="00A47F97" w:rsidP="00A47F97">
      <w:pPr>
        <w:spacing w:before="100" w:beforeAutospacing="1" w:after="100" w:afterAutospacing="1" w:line="240" w:lineRule="auto"/>
        <w:rPr>
          <w:rFonts w:ascii="Arial" w:eastAsia="Times New Roman" w:hAnsi="Arial" w:cs="Arial"/>
          <w:kern w:val="0"/>
          <w:sz w:val="24"/>
          <w:szCs w:val="24"/>
          <w:lang w:eastAsia="en-GB"/>
          <w14:ligatures w14:val="none"/>
        </w:rPr>
      </w:pPr>
      <w:r w:rsidRPr="00A47F97">
        <w:rPr>
          <w:rFonts w:ascii="Arial" w:eastAsia="Times New Roman" w:hAnsi="Arial" w:cs="Arial"/>
          <w:kern w:val="0"/>
          <w:sz w:val="24"/>
          <w:szCs w:val="24"/>
          <w:lang w:eastAsia="en-GB"/>
          <w14:ligatures w14:val="none"/>
        </w:rPr>
        <w:t>Generalized Anxiety Disorder (GAD) has been the focus of ongoing discussion within clinical and academic communities, particularly regarding its classification, diagnosis, and treatment approaches. One key debate concerns the overlap between GAD and other mental health conditions, including depression, panic disorder, and other anxiety disorders. Some researchers argue that the broad diagnostic criteria for GAD may result in overdiagnosis or misdiagnosis, potentially leading to unnecessary treatment or overlooking coexisting conditions (Craske et al., 2017). Conversely, others contend that strict differentiation can risk underdiagnosing individuals whose symptoms do not perfectly match ICD-11 criteria, highlighting the need for clinician judgment and a flexible, patient-centred approach.</w:t>
      </w:r>
    </w:p>
    <w:p w14:paraId="6FE2499E" w14:textId="77777777" w:rsidR="00A47F97" w:rsidRPr="00A47F97" w:rsidRDefault="00A47F97" w:rsidP="00A47F97">
      <w:pPr>
        <w:spacing w:before="100" w:beforeAutospacing="1" w:after="100" w:afterAutospacing="1" w:line="240" w:lineRule="auto"/>
        <w:rPr>
          <w:rFonts w:ascii="Arial" w:eastAsia="Times New Roman" w:hAnsi="Arial" w:cs="Arial"/>
          <w:kern w:val="0"/>
          <w:sz w:val="24"/>
          <w:szCs w:val="24"/>
          <w:lang w:eastAsia="en-GB"/>
          <w14:ligatures w14:val="none"/>
        </w:rPr>
      </w:pPr>
      <w:r w:rsidRPr="00A47F97">
        <w:rPr>
          <w:rFonts w:ascii="Arial" w:eastAsia="Times New Roman" w:hAnsi="Arial" w:cs="Arial"/>
          <w:kern w:val="0"/>
          <w:sz w:val="24"/>
          <w:szCs w:val="24"/>
          <w:lang w:eastAsia="en-GB"/>
          <w14:ligatures w14:val="none"/>
        </w:rPr>
        <w:t>Another emerging discussion relates to neurodivergence and dimensional perspectives in mental health. Traditionally, GAD has been conceptualised as a discrete “disorder,” but some academics argue that anxiety exists on a continuum, with high-trait anxiety representing a normal variation in human cognition and emotion (Pilgrim, 2014). Recognising neurodiverse presentations may reduce stigma and support more personalised interventions, though it also raises questions about where to draw the line between clinical disorder and typical behaviour.</w:t>
      </w:r>
    </w:p>
    <w:p w14:paraId="572F2856" w14:textId="77777777" w:rsidR="00A47F97" w:rsidRPr="00A47F97" w:rsidRDefault="00A47F97" w:rsidP="00A47F97">
      <w:pPr>
        <w:spacing w:before="100" w:beforeAutospacing="1" w:after="100" w:afterAutospacing="1" w:line="240" w:lineRule="auto"/>
        <w:rPr>
          <w:rFonts w:ascii="Arial" w:eastAsia="Times New Roman" w:hAnsi="Arial" w:cs="Arial"/>
          <w:kern w:val="0"/>
          <w:sz w:val="24"/>
          <w:szCs w:val="24"/>
          <w:lang w:eastAsia="en-GB"/>
          <w14:ligatures w14:val="none"/>
        </w:rPr>
      </w:pPr>
      <w:r w:rsidRPr="00A47F97">
        <w:rPr>
          <w:rFonts w:ascii="Arial" w:eastAsia="Times New Roman" w:hAnsi="Arial" w:cs="Arial"/>
          <w:kern w:val="0"/>
          <w:sz w:val="24"/>
          <w:szCs w:val="24"/>
          <w:lang w:eastAsia="en-GB"/>
          <w14:ligatures w14:val="none"/>
        </w:rPr>
        <w:t xml:space="preserve">The role of digital interventions has also generated significant interest. Online Cognitive Behavioural Therapy (CBT) programs, mental health apps, and telehealth consultations have been proposed as accessible alternatives or adjuncts to traditional therapy. While preliminary research indicates that these tools can reduce anxiety symptoms and improve engagement, concerns remain about data privacy, digital literacy, and long-term efficacy (Hofmann &amp; </w:t>
      </w:r>
      <w:proofErr w:type="spellStart"/>
      <w:r w:rsidRPr="00A47F97">
        <w:rPr>
          <w:rFonts w:ascii="Arial" w:eastAsia="Times New Roman" w:hAnsi="Arial" w:cs="Arial"/>
          <w:kern w:val="0"/>
          <w:sz w:val="24"/>
          <w:szCs w:val="24"/>
          <w:lang w:eastAsia="en-GB"/>
          <w14:ligatures w14:val="none"/>
        </w:rPr>
        <w:t>Asnaani</w:t>
      </w:r>
      <w:proofErr w:type="spellEnd"/>
      <w:r w:rsidRPr="00A47F97">
        <w:rPr>
          <w:rFonts w:ascii="Arial" w:eastAsia="Times New Roman" w:hAnsi="Arial" w:cs="Arial"/>
          <w:kern w:val="0"/>
          <w:sz w:val="24"/>
          <w:szCs w:val="24"/>
          <w:lang w:eastAsia="en-GB"/>
          <w14:ligatures w14:val="none"/>
        </w:rPr>
        <w:t>, 2017). Policy frameworks must address these challenges to ensure equitable and safe access to technology-based care.</w:t>
      </w:r>
    </w:p>
    <w:p w14:paraId="472B417C" w14:textId="77777777" w:rsidR="00A47F97" w:rsidRPr="00A47F97" w:rsidRDefault="00A47F97" w:rsidP="00A47F97">
      <w:pPr>
        <w:spacing w:before="100" w:beforeAutospacing="1" w:after="100" w:afterAutospacing="1" w:line="240" w:lineRule="auto"/>
        <w:rPr>
          <w:rFonts w:ascii="Arial" w:eastAsia="Times New Roman" w:hAnsi="Arial" w:cs="Arial"/>
          <w:kern w:val="0"/>
          <w:sz w:val="24"/>
          <w:szCs w:val="24"/>
          <w:lang w:eastAsia="en-GB"/>
          <w14:ligatures w14:val="none"/>
        </w:rPr>
      </w:pPr>
      <w:r w:rsidRPr="00A47F97">
        <w:rPr>
          <w:rFonts w:ascii="Arial" w:eastAsia="Times New Roman" w:hAnsi="Arial" w:cs="Arial"/>
          <w:kern w:val="0"/>
          <w:sz w:val="24"/>
          <w:szCs w:val="24"/>
          <w:lang w:eastAsia="en-GB"/>
          <w14:ligatures w14:val="none"/>
        </w:rPr>
        <w:t xml:space="preserve">Additionally, there is ongoing debate regarding pharmacological versus psychological treatment prioritisation. Some guidelines emphasise CBT as first-line therapy, while others advocate for combined treatment when symptoms are severe </w:t>
      </w:r>
      <w:r w:rsidRPr="00A47F97">
        <w:rPr>
          <w:rFonts w:ascii="Arial" w:eastAsia="Times New Roman" w:hAnsi="Arial" w:cs="Arial"/>
          <w:kern w:val="0"/>
          <w:sz w:val="24"/>
          <w:szCs w:val="24"/>
          <w:lang w:eastAsia="en-GB"/>
          <w14:ligatures w14:val="none"/>
        </w:rPr>
        <w:lastRenderedPageBreak/>
        <w:t>or chronic. This debate reflects the complexity of treatment planning and highlights the importance of tailoring care to individual patient needs (NICE, 2022).</w:t>
      </w:r>
    </w:p>
    <w:p w14:paraId="617C0E82" w14:textId="77777777" w:rsidR="00A47F97" w:rsidRPr="00A47F97" w:rsidRDefault="00A47F97" w:rsidP="00A47F97">
      <w:pPr>
        <w:spacing w:before="100" w:beforeAutospacing="1" w:after="100" w:afterAutospacing="1" w:line="240" w:lineRule="auto"/>
        <w:rPr>
          <w:rFonts w:ascii="Arial" w:eastAsia="Times New Roman" w:hAnsi="Arial" w:cs="Arial"/>
          <w:kern w:val="0"/>
          <w:sz w:val="24"/>
          <w:szCs w:val="24"/>
          <w:lang w:eastAsia="en-GB"/>
          <w14:ligatures w14:val="none"/>
        </w:rPr>
      </w:pPr>
      <w:r w:rsidRPr="00A47F97">
        <w:rPr>
          <w:rFonts w:ascii="Arial" w:eastAsia="Times New Roman" w:hAnsi="Arial" w:cs="Arial"/>
          <w:kern w:val="0"/>
          <w:sz w:val="24"/>
          <w:szCs w:val="24"/>
          <w:lang w:eastAsia="en-GB"/>
          <w14:ligatures w14:val="none"/>
        </w:rPr>
        <w:t>Finally, GAD management raises important policy implications, particularly regarding early intervention and service accessibility. Advocates emphasise that waiting lists, geographic disparities in service provision, and insufficient funding can exacerbate outcomes and inequality in care. Contemporary debates therefore underscore the need to align research evidence, clinical practice, and health policy to optimise outcomes for individuals with GAD.</w:t>
      </w:r>
    </w:p>
    <w:p w14:paraId="6F45709C" w14:textId="77777777" w:rsidR="00A47F97" w:rsidRPr="00A47F97" w:rsidRDefault="00A47F97" w:rsidP="00A47F97">
      <w:pPr>
        <w:spacing w:before="100" w:beforeAutospacing="1" w:after="100" w:afterAutospacing="1" w:line="240" w:lineRule="auto"/>
        <w:rPr>
          <w:rFonts w:ascii="Arial" w:eastAsia="Times New Roman" w:hAnsi="Arial" w:cs="Arial"/>
          <w:kern w:val="0"/>
          <w:sz w:val="24"/>
          <w:szCs w:val="24"/>
          <w:lang w:eastAsia="en-GB"/>
          <w14:ligatures w14:val="none"/>
        </w:rPr>
      </w:pPr>
      <w:r w:rsidRPr="00A47F97">
        <w:rPr>
          <w:rFonts w:ascii="Arial" w:eastAsia="Times New Roman" w:hAnsi="Arial" w:cs="Arial"/>
          <w:kern w:val="0"/>
          <w:sz w:val="24"/>
          <w:szCs w:val="24"/>
          <w:lang w:eastAsia="en-GB"/>
          <w14:ligatures w14:val="none"/>
        </w:rPr>
        <w:t>In summary, current debates around GAD focus on diagnostic boundaries, dimensional versus categorical conceptualisations, digital interventions, and optimal treatment strategies. These discussions reflect evolving knowledge of anxiety disorders and emphasise the importance of flexible, evidence-informed, and person-centred care.</w:t>
      </w:r>
    </w:p>
    <w:p w14:paraId="04E131B6" w14:textId="765D1484" w:rsidR="00FD6493" w:rsidRPr="00FD6493" w:rsidRDefault="00FD6493" w:rsidP="00FD6493">
      <w:pPr>
        <w:spacing w:before="100" w:beforeAutospacing="1" w:after="100" w:afterAutospacing="1" w:line="240" w:lineRule="auto"/>
        <w:rPr>
          <w:rFonts w:ascii="Arial" w:eastAsia="Times New Roman" w:hAnsi="Arial" w:cs="Arial"/>
          <w:kern w:val="0"/>
          <w:sz w:val="24"/>
          <w:szCs w:val="24"/>
          <w:lang w:eastAsia="en-GB"/>
          <w14:ligatures w14:val="none"/>
        </w:rPr>
      </w:pPr>
      <w:r w:rsidRPr="00FD6493">
        <w:rPr>
          <w:rFonts w:ascii="Arial" w:eastAsia="Times New Roman" w:hAnsi="Arial" w:cs="Arial"/>
          <w:kern w:val="0"/>
          <w:sz w:val="24"/>
          <w:szCs w:val="24"/>
          <w:lang w:eastAsia="en-GB"/>
          <w14:ligatures w14:val="none"/>
        </w:rPr>
        <w:t xml:space="preserve">5. Recommendations </w:t>
      </w:r>
    </w:p>
    <w:p w14:paraId="4E3CBE80" w14:textId="77777777" w:rsidR="00FD6493" w:rsidRPr="00FD6493" w:rsidRDefault="00FD6493" w:rsidP="00FD6493">
      <w:pPr>
        <w:spacing w:before="100" w:beforeAutospacing="1" w:after="100" w:afterAutospacing="1" w:line="240" w:lineRule="auto"/>
        <w:rPr>
          <w:rFonts w:ascii="Arial" w:eastAsia="Times New Roman" w:hAnsi="Arial" w:cs="Arial"/>
          <w:kern w:val="0"/>
          <w:sz w:val="24"/>
          <w:szCs w:val="24"/>
          <w:lang w:eastAsia="en-GB"/>
          <w14:ligatures w14:val="none"/>
        </w:rPr>
      </w:pPr>
      <w:r w:rsidRPr="00FD6493">
        <w:rPr>
          <w:rFonts w:ascii="Arial" w:eastAsia="Times New Roman" w:hAnsi="Arial" w:cs="Arial"/>
          <w:kern w:val="0"/>
          <w:sz w:val="24"/>
          <w:szCs w:val="24"/>
          <w:lang w:eastAsia="en-GB"/>
          <w14:ligatures w14:val="none"/>
        </w:rPr>
        <w:t>Based on the review of evidence surrounding Generalized Anxiety Disorder (GAD), several recommendations can be made to enhance classification, diagnosis, treatment, and rehabilitation, thereby improving patient outcomes and service provision.</w:t>
      </w:r>
    </w:p>
    <w:p w14:paraId="0B6514DC" w14:textId="77777777" w:rsidR="00FD6493" w:rsidRPr="00FD6493" w:rsidRDefault="00FD6493" w:rsidP="00FD6493">
      <w:pPr>
        <w:spacing w:before="100" w:beforeAutospacing="1" w:after="100" w:afterAutospacing="1" w:line="240" w:lineRule="auto"/>
        <w:rPr>
          <w:rFonts w:ascii="Arial" w:eastAsia="Times New Roman" w:hAnsi="Arial" w:cs="Arial"/>
          <w:kern w:val="0"/>
          <w:sz w:val="24"/>
          <w:szCs w:val="24"/>
          <w:lang w:eastAsia="en-GB"/>
          <w14:ligatures w14:val="none"/>
        </w:rPr>
      </w:pPr>
      <w:r w:rsidRPr="00FD6493">
        <w:rPr>
          <w:rFonts w:ascii="Arial" w:eastAsia="Times New Roman" w:hAnsi="Arial" w:cs="Arial"/>
          <w:kern w:val="0"/>
          <w:sz w:val="24"/>
          <w:szCs w:val="24"/>
          <w:lang w:eastAsia="en-GB"/>
          <w14:ligatures w14:val="none"/>
        </w:rPr>
        <w:t>1. Expand Access to Psychological Therapies</w:t>
      </w:r>
      <w:r w:rsidRPr="00FD6493">
        <w:rPr>
          <w:rFonts w:ascii="Arial" w:eastAsia="Times New Roman" w:hAnsi="Arial" w:cs="Arial"/>
          <w:kern w:val="0"/>
          <w:sz w:val="24"/>
          <w:szCs w:val="24"/>
          <w:lang w:eastAsia="en-GB"/>
          <w14:ligatures w14:val="none"/>
        </w:rPr>
        <w:br/>
        <w:t>Early intervention is critical in GAD management. Expanding availability of evidence-based therapies, particularly Cognitive Behavioural Therapy (CBT) and mindfulness-based interventions, can reduce symptom severity and prevent chronicity. This may involve increasing funding for community mental health services and integrating digital therapy platforms for greater reach (Clark, 2018; NICE, 2022).</w:t>
      </w:r>
    </w:p>
    <w:p w14:paraId="3FDE0607" w14:textId="77777777" w:rsidR="00FD6493" w:rsidRPr="00FD6493" w:rsidRDefault="00FD6493" w:rsidP="00FD6493">
      <w:pPr>
        <w:spacing w:before="100" w:beforeAutospacing="1" w:after="100" w:afterAutospacing="1" w:line="240" w:lineRule="auto"/>
        <w:rPr>
          <w:rFonts w:ascii="Arial" w:eastAsia="Times New Roman" w:hAnsi="Arial" w:cs="Arial"/>
          <w:kern w:val="0"/>
          <w:sz w:val="24"/>
          <w:szCs w:val="24"/>
          <w:lang w:eastAsia="en-GB"/>
          <w14:ligatures w14:val="none"/>
        </w:rPr>
      </w:pPr>
      <w:r w:rsidRPr="00FD6493">
        <w:rPr>
          <w:rFonts w:ascii="Arial" w:eastAsia="Times New Roman" w:hAnsi="Arial" w:cs="Arial"/>
          <w:kern w:val="0"/>
          <w:sz w:val="24"/>
          <w:szCs w:val="24"/>
          <w:lang w:eastAsia="en-GB"/>
          <w14:ligatures w14:val="none"/>
        </w:rPr>
        <w:t>2. Develop Culturally Sensitive Care</w:t>
      </w:r>
      <w:r w:rsidRPr="00FD6493">
        <w:rPr>
          <w:rFonts w:ascii="Arial" w:eastAsia="Times New Roman" w:hAnsi="Arial" w:cs="Arial"/>
          <w:kern w:val="0"/>
          <w:sz w:val="24"/>
          <w:szCs w:val="24"/>
          <w:lang w:eastAsia="en-GB"/>
          <w14:ligatures w14:val="none"/>
        </w:rPr>
        <w:br/>
        <w:t>GAD presents differently across populations, and cultural beliefs influence symptom recognition and help-seeking. Mental health services should incorporate culturally tailored interventions and training for clinicians to ensure equitable care for diverse communities (Mind, 2023).</w:t>
      </w:r>
    </w:p>
    <w:p w14:paraId="439A06AC" w14:textId="77777777" w:rsidR="00FD6493" w:rsidRPr="00FD6493" w:rsidRDefault="00FD6493" w:rsidP="00FD6493">
      <w:pPr>
        <w:spacing w:before="100" w:beforeAutospacing="1" w:after="100" w:afterAutospacing="1" w:line="240" w:lineRule="auto"/>
        <w:rPr>
          <w:rFonts w:ascii="Arial" w:eastAsia="Times New Roman" w:hAnsi="Arial" w:cs="Arial"/>
          <w:kern w:val="0"/>
          <w:sz w:val="24"/>
          <w:szCs w:val="24"/>
          <w:lang w:eastAsia="en-GB"/>
          <w14:ligatures w14:val="none"/>
        </w:rPr>
      </w:pPr>
      <w:r w:rsidRPr="00FD6493">
        <w:rPr>
          <w:rFonts w:ascii="Arial" w:eastAsia="Times New Roman" w:hAnsi="Arial" w:cs="Arial"/>
          <w:kern w:val="0"/>
          <w:sz w:val="24"/>
          <w:szCs w:val="24"/>
          <w:lang w:eastAsia="en-GB"/>
          <w14:ligatures w14:val="none"/>
        </w:rPr>
        <w:t>3. Promote Digital and Telehealth Interventions</w:t>
      </w:r>
      <w:r w:rsidRPr="00FD6493">
        <w:rPr>
          <w:rFonts w:ascii="Arial" w:eastAsia="Times New Roman" w:hAnsi="Arial" w:cs="Arial"/>
          <w:kern w:val="0"/>
          <w:sz w:val="24"/>
          <w:szCs w:val="24"/>
          <w:lang w:eastAsia="en-GB"/>
          <w14:ligatures w14:val="none"/>
        </w:rPr>
        <w:br/>
        <w:t xml:space="preserve">Digital CBT programs, mental health apps, and telehealth consultations can overcome barriers such as geography or limited clinician availability. Policy and service frameworks should ensure safe, accessible, and evidence-based digital interventions while addressing issues of digital literacy and privacy (Hofmann &amp; </w:t>
      </w:r>
      <w:proofErr w:type="spellStart"/>
      <w:r w:rsidRPr="00FD6493">
        <w:rPr>
          <w:rFonts w:ascii="Arial" w:eastAsia="Times New Roman" w:hAnsi="Arial" w:cs="Arial"/>
          <w:kern w:val="0"/>
          <w:sz w:val="24"/>
          <w:szCs w:val="24"/>
          <w:lang w:eastAsia="en-GB"/>
          <w14:ligatures w14:val="none"/>
        </w:rPr>
        <w:t>Asnaani</w:t>
      </w:r>
      <w:proofErr w:type="spellEnd"/>
      <w:r w:rsidRPr="00FD6493">
        <w:rPr>
          <w:rFonts w:ascii="Arial" w:eastAsia="Times New Roman" w:hAnsi="Arial" w:cs="Arial"/>
          <w:kern w:val="0"/>
          <w:sz w:val="24"/>
          <w:szCs w:val="24"/>
          <w:lang w:eastAsia="en-GB"/>
          <w14:ligatures w14:val="none"/>
        </w:rPr>
        <w:t>, 2017).</w:t>
      </w:r>
    </w:p>
    <w:p w14:paraId="06FEBCF2" w14:textId="77777777" w:rsidR="00FD6493" w:rsidRPr="00FD6493" w:rsidRDefault="00FD6493" w:rsidP="00FD6493">
      <w:pPr>
        <w:spacing w:before="100" w:beforeAutospacing="1" w:after="100" w:afterAutospacing="1" w:line="240" w:lineRule="auto"/>
        <w:rPr>
          <w:rFonts w:ascii="Arial" w:eastAsia="Times New Roman" w:hAnsi="Arial" w:cs="Arial"/>
          <w:kern w:val="0"/>
          <w:sz w:val="24"/>
          <w:szCs w:val="24"/>
          <w:lang w:eastAsia="en-GB"/>
          <w14:ligatures w14:val="none"/>
        </w:rPr>
      </w:pPr>
      <w:r w:rsidRPr="00FD6493">
        <w:rPr>
          <w:rFonts w:ascii="Arial" w:eastAsia="Times New Roman" w:hAnsi="Arial" w:cs="Arial"/>
          <w:kern w:val="0"/>
          <w:sz w:val="24"/>
          <w:szCs w:val="24"/>
          <w:lang w:eastAsia="en-GB"/>
          <w14:ligatures w14:val="none"/>
        </w:rPr>
        <w:t>4. Refine Diagnostic Practices</w:t>
      </w:r>
      <w:r w:rsidRPr="00FD6493">
        <w:rPr>
          <w:rFonts w:ascii="Arial" w:eastAsia="Times New Roman" w:hAnsi="Arial" w:cs="Arial"/>
          <w:kern w:val="0"/>
          <w:sz w:val="24"/>
          <w:szCs w:val="24"/>
          <w:lang w:eastAsia="en-GB"/>
          <w14:ligatures w14:val="none"/>
        </w:rPr>
        <w:br/>
        <w:t>Improved clarity in diagnostic criteria, combined with dimensional assessments, can help distinguish GAD from overlapping conditions such as depression or other anxiety disorders. This may enhance treatment targeting and reduce over- or under-diagnosis (Pilgrim, 2014).</w:t>
      </w:r>
    </w:p>
    <w:p w14:paraId="75A335D3" w14:textId="77777777" w:rsidR="00FD6493" w:rsidRPr="00FD6493" w:rsidRDefault="00FD6493" w:rsidP="00FD6493">
      <w:pPr>
        <w:spacing w:before="100" w:beforeAutospacing="1" w:after="100" w:afterAutospacing="1" w:line="240" w:lineRule="auto"/>
        <w:rPr>
          <w:rFonts w:ascii="Arial" w:eastAsia="Times New Roman" w:hAnsi="Arial" w:cs="Arial"/>
          <w:kern w:val="0"/>
          <w:sz w:val="24"/>
          <w:szCs w:val="24"/>
          <w:lang w:eastAsia="en-GB"/>
          <w14:ligatures w14:val="none"/>
        </w:rPr>
      </w:pPr>
      <w:r w:rsidRPr="00FD6493">
        <w:rPr>
          <w:rFonts w:ascii="Arial" w:eastAsia="Times New Roman" w:hAnsi="Arial" w:cs="Arial"/>
          <w:kern w:val="0"/>
          <w:sz w:val="24"/>
          <w:szCs w:val="24"/>
          <w:lang w:eastAsia="en-GB"/>
          <w14:ligatures w14:val="none"/>
        </w:rPr>
        <w:lastRenderedPageBreak/>
        <w:t>5. Strengthen Rehabilitation and Social Support</w:t>
      </w:r>
      <w:r w:rsidRPr="00FD6493">
        <w:rPr>
          <w:rFonts w:ascii="Arial" w:eastAsia="Times New Roman" w:hAnsi="Arial" w:cs="Arial"/>
          <w:kern w:val="0"/>
          <w:sz w:val="24"/>
          <w:szCs w:val="24"/>
          <w:lang w:eastAsia="en-GB"/>
          <w14:ligatures w14:val="none"/>
        </w:rPr>
        <w:br/>
        <w:t>Rehabilitation programs should emphasise functional recovery, including workplace support, stress management, and peer support groups. Integrating social support into care plans can improve long-term outcomes and reduce relapse rates (Craske et al., 2017).</w:t>
      </w:r>
    </w:p>
    <w:p w14:paraId="157DD7BA" w14:textId="359525D6" w:rsidR="00FD6493" w:rsidRPr="00FD6493" w:rsidRDefault="004F4F18" w:rsidP="00FD6493">
      <w:pPr>
        <w:spacing w:before="100" w:beforeAutospacing="1" w:after="100" w:afterAutospacing="1" w:line="240" w:lineRule="auto"/>
        <w:rPr>
          <w:rFonts w:ascii="Arial" w:eastAsia="Times New Roman" w:hAnsi="Arial" w:cs="Arial"/>
          <w:kern w:val="0"/>
          <w:sz w:val="24"/>
          <w:szCs w:val="24"/>
          <w:lang w:eastAsia="en-GB"/>
          <w14:ligatures w14:val="none"/>
        </w:rPr>
      </w:pPr>
      <w:r w:rsidRPr="004F4F18">
        <w:rPr>
          <w:rFonts w:ascii="Arial" w:hAnsi="Arial" w:cs="Arial"/>
          <w:sz w:val="24"/>
          <w:szCs w:val="24"/>
        </w:rPr>
        <w:t xml:space="preserve">The implementation of these recommendations has significant implications for </w:t>
      </w:r>
      <w:r w:rsidRPr="004F4F18">
        <w:rPr>
          <w:rStyle w:val="Strong"/>
          <w:rFonts w:ascii="Arial" w:hAnsi="Arial" w:cs="Arial"/>
          <w:b w:val="0"/>
          <w:bCs w:val="0"/>
          <w:sz w:val="24"/>
          <w:szCs w:val="24"/>
        </w:rPr>
        <w:t>clinical practice, policy, and</w:t>
      </w:r>
      <w:r w:rsidRPr="004F4F18">
        <w:rPr>
          <w:rStyle w:val="Strong"/>
          <w:rFonts w:ascii="Arial" w:hAnsi="Arial" w:cs="Arial"/>
          <w:sz w:val="24"/>
          <w:szCs w:val="24"/>
        </w:rPr>
        <w:t xml:space="preserve"> </w:t>
      </w:r>
      <w:r w:rsidRPr="004F4F18">
        <w:rPr>
          <w:rStyle w:val="Strong"/>
          <w:rFonts w:ascii="Arial" w:hAnsi="Arial" w:cs="Arial"/>
          <w:b w:val="0"/>
          <w:bCs w:val="0"/>
          <w:sz w:val="24"/>
          <w:szCs w:val="24"/>
        </w:rPr>
        <w:t>research</w:t>
      </w:r>
      <w:r w:rsidRPr="004F4F18">
        <w:rPr>
          <w:rFonts w:ascii="Arial" w:hAnsi="Arial" w:cs="Arial"/>
          <w:sz w:val="24"/>
          <w:szCs w:val="24"/>
        </w:rPr>
        <w:t xml:space="preserve">. In practice, they can help ensure that interventions for GAD are </w:t>
      </w:r>
      <w:r w:rsidRPr="004F4F18">
        <w:rPr>
          <w:rStyle w:val="Strong"/>
          <w:rFonts w:ascii="Arial" w:hAnsi="Arial" w:cs="Arial"/>
          <w:b w:val="0"/>
          <w:bCs w:val="0"/>
          <w:sz w:val="24"/>
          <w:szCs w:val="24"/>
        </w:rPr>
        <w:t>evidence-based, person-centred, and tailored</w:t>
      </w:r>
      <w:r w:rsidRPr="004F4F18">
        <w:rPr>
          <w:rFonts w:ascii="Arial" w:hAnsi="Arial" w:cs="Arial"/>
          <w:sz w:val="24"/>
          <w:szCs w:val="24"/>
        </w:rPr>
        <w:t xml:space="preserve"> to individual needs, enhancing treatment effectiveness and long-term outcomes. At the policy level, these strategies can support the development of </w:t>
      </w:r>
      <w:r w:rsidRPr="004F4F18">
        <w:rPr>
          <w:rStyle w:val="Strong"/>
          <w:rFonts w:ascii="Arial" w:hAnsi="Arial" w:cs="Arial"/>
          <w:b w:val="0"/>
          <w:bCs w:val="0"/>
          <w:sz w:val="24"/>
          <w:szCs w:val="24"/>
        </w:rPr>
        <w:t>equitable mental</w:t>
      </w:r>
      <w:r w:rsidRPr="004F4F18">
        <w:rPr>
          <w:rStyle w:val="Strong"/>
          <w:rFonts w:ascii="Arial" w:hAnsi="Arial" w:cs="Arial"/>
          <w:sz w:val="24"/>
          <w:szCs w:val="24"/>
        </w:rPr>
        <w:t xml:space="preserve"> </w:t>
      </w:r>
      <w:r w:rsidRPr="004F4F18">
        <w:rPr>
          <w:rStyle w:val="Strong"/>
          <w:rFonts w:ascii="Arial" w:hAnsi="Arial" w:cs="Arial"/>
          <w:b w:val="0"/>
          <w:bCs w:val="0"/>
          <w:sz w:val="24"/>
          <w:szCs w:val="24"/>
        </w:rPr>
        <w:t>health</w:t>
      </w:r>
      <w:r w:rsidRPr="004F4F18">
        <w:rPr>
          <w:rStyle w:val="Strong"/>
          <w:rFonts w:ascii="Arial" w:hAnsi="Arial" w:cs="Arial"/>
          <w:sz w:val="24"/>
          <w:szCs w:val="24"/>
        </w:rPr>
        <w:t xml:space="preserve"> </w:t>
      </w:r>
      <w:r w:rsidRPr="004F4F18">
        <w:rPr>
          <w:rStyle w:val="Strong"/>
          <w:rFonts w:ascii="Arial" w:hAnsi="Arial" w:cs="Arial"/>
          <w:b w:val="0"/>
          <w:bCs w:val="0"/>
          <w:sz w:val="24"/>
          <w:szCs w:val="24"/>
        </w:rPr>
        <w:t>services</w:t>
      </w:r>
      <w:r w:rsidRPr="004F4F18">
        <w:rPr>
          <w:rFonts w:ascii="Arial" w:hAnsi="Arial" w:cs="Arial"/>
          <w:sz w:val="24"/>
          <w:szCs w:val="24"/>
        </w:rPr>
        <w:t xml:space="preserve">, reduce disparities in access, and promote the integration of digital and culturally sensitive approaches. For research, the recommendations highlight areas for further investigation, such as the long-term efficacy of digital interventions, strategies to improve treatment adherence, and methods to refine diagnostic criteria. Overall, applying these recommendations can contribute to </w:t>
      </w:r>
      <w:r w:rsidRPr="004F4F18">
        <w:rPr>
          <w:rStyle w:val="Strong"/>
          <w:rFonts w:ascii="Arial" w:hAnsi="Arial" w:cs="Arial"/>
          <w:b w:val="0"/>
          <w:bCs w:val="0"/>
          <w:sz w:val="24"/>
          <w:szCs w:val="24"/>
        </w:rPr>
        <w:t>more effective</w:t>
      </w:r>
      <w:r w:rsidRPr="004F4F18">
        <w:rPr>
          <w:rStyle w:val="Strong"/>
          <w:rFonts w:ascii="Arial" w:hAnsi="Arial" w:cs="Arial"/>
          <w:sz w:val="24"/>
          <w:szCs w:val="24"/>
        </w:rPr>
        <w:t xml:space="preserve">, </w:t>
      </w:r>
      <w:r w:rsidRPr="004F4F18">
        <w:rPr>
          <w:rStyle w:val="Strong"/>
          <w:rFonts w:ascii="Arial" w:hAnsi="Arial" w:cs="Arial"/>
          <w:b w:val="0"/>
          <w:bCs w:val="0"/>
          <w:sz w:val="24"/>
          <w:szCs w:val="24"/>
        </w:rPr>
        <w:t>accessible, and inclusive care</w:t>
      </w:r>
      <w:r w:rsidRPr="004F4F18">
        <w:rPr>
          <w:rFonts w:ascii="Arial" w:hAnsi="Arial" w:cs="Arial"/>
          <w:sz w:val="24"/>
          <w:szCs w:val="24"/>
        </w:rPr>
        <w:t>, improving the quality of life for individuals living with GAD.</w:t>
      </w:r>
    </w:p>
    <w:p w14:paraId="43B702C2" w14:textId="77777777" w:rsidR="00A47F97" w:rsidRPr="004F4F18" w:rsidRDefault="00A47F97" w:rsidP="00A47F97">
      <w:pPr>
        <w:spacing w:before="100" w:beforeAutospacing="1" w:after="100" w:afterAutospacing="1" w:line="240" w:lineRule="auto"/>
        <w:rPr>
          <w:rFonts w:ascii="Arial" w:eastAsia="Times New Roman" w:hAnsi="Arial" w:cs="Arial"/>
          <w:kern w:val="0"/>
          <w:sz w:val="24"/>
          <w:szCs w:val="24"/>
          <w:lang w:eastAsia="en-GB"/>
          <w14:ligatures w14:val="none"/>
        </w:rPr>
      </w:pPr>
    </w:p>
    <w:p w14:paraId="7630327C" w14:textId="77777777" w:rsidR="00A47F97" w:rsidRPr="004F4F18" w:rsidRDefault="00A47F97" w:rsidP="00A47F97">
      <w:pPr>
        <w:spacing w:before="100" w:beforeAutospacing="1" w:after="100" w:afterAutospacing="1" w:line="240" w:lineRule="auto"/>
        <w:rPr>
          <w:rFonts w:ascii="Arial" w:eastAsia="Times New Roman" w:hAnsi="Arial" w:cs="Arial"/>
          <w:kern w:val="0"/>
          <w:sz w:val="24"/>
          <w:szCs w:val="24"/>
          <w:lang w:eastAsia="en-GB"/>
          <w14:ligatures w14:val="none"/>
        </w:rPr>
      </w:pPr>
    </w:p>
    <w:p w14:paraId="531E7B34" w14:textId="77777777" w:rsidR="00A47F97" w:rsidRPr="004F4F18" w:rsidRDefault="00A47F97" w:rsidP="00A47F97">
      <w:pPr>
        <w:spacing w:before="100" w:beforeAutospacing="1" w:after="100" w:afterAutospacing="1" w:line="240" w:lineRule="auto"/>
        <w:rPr>
          <w:rFonts w:ascii="Arial" w:eastAsia="Times New Roman" w:hAnsi="Arial" w:cs="Arial"/>
          <w:kern w:val="0"/>
          <w:sz w:val="24"/>
          <w:szCs w:val="24"/>
          <w:lang w:eastAsia="en-GB"/>
          <w14:ligatures w14:val="none"/>
        </w:rPr>
      </w:pPr>
    </w:p>
    <w:p w14:paraId="0A4823E9" w14:textId="77777777" w:rsidR="00A47F97" w:rsidRPr="004F4F18" w:rsidRDefault="00A47F97" w:rsidP="00A47F97">
      <w:pPr>
        <w:spacing w:before="100" w:beforeAutospacing="1" w:after="100" w:afterAutospacing="1" w:line="240" w:lineRule="auto"/>
        <w:rPr>
          <w:rFonts w:ascii="Arial" w:eastAsia="Times New Roman" w:hAnsi="Arial" w:cs="Arial"/>
          <w:kern w:val="0"/>
          <w:sz w:val="24"/>
          <w:szCs w:val="24"/>
          <w:lang w:eastAsia="en-GB"/>
          <w14:ligatures w14:val="none"/>
        </w:rPr>
      </w:pPr>
    </w:p>
    <w:p w14:paraId="008E1DF1" w14:textId="77777777" w:rsidR="00A47F97" w:rsidRPr="004F4F18" w:rsidRDefault="00A47F97" w:rsidP="00A47F97">
      <w:pPr>
        <w:spacing w:before="100" w:beforeAutospacing="1" w:after="100" w:afterAutospacing="1" w:line="240" w:lineRule="auto"/>
        <w:rPr>
          <w:rFonts w:ascii="Arial" w:eastAsia="Times New Roman" w:hAnsi="Arial" w:cs="Arial"/>
          <w:kern w:val="0"/>
          <w:sz w:val="24"/>
          <w:szCs w:val="24"/>
          <w:lang w:eastAsia="en-GB"/>
          <w14:ligatures w14:val="none"/>
        </w:rPr>
      </w:pPr>
    </w:p>
    <w:p w14:paraId="3B1515F7" w14:textId="77777777" w:rsidR="00A47F97" w:rsidRPr="004F4F18" w:rsidRDefault="00A47F97" w:rsidP="00A47F97">
      <w:pPr>
        <w:spacing w:before="100" w:beforeAutospacing="1" w:after="100" w:afterAutospacing="1" w:line="240" w:lineRule="auto"/>
        <w:rPr>
          <w:rFonts w:ascii="Arial" w:eastAsia="Times New Roman" w:hAnsi="Arial" w:cs="Arial"/>
          <w:kern w:val="0"/>
          <w:sz w:val="24"/>
          <w:szCs w:val="24"/>
          <w:lang w:eastAsia="en-GB"/>
          <w14:ligatures w14:val="none"/>
        </w:rPr>
      </w:pPr>
    </w:p>
    <w:p w14:paraId="7F1FDB1C" w14:textId="77777777" w:rsidR="00A47F97" w:rsidRPr="004F4F18" w:rsidRDefault="00A47F97" w:rsidP="00A47F97">
      <w:pPr>
        <w:spacing w:before="100" w:beforeAutospacing="1" w:after="100" w:afterAutospacing="1" w:line="240" w:lineRule="auto"/>
        <w:rPr>
          <w:rFonts w:ascii="Arial" w:eastAsia="Times New Roman" w:hAnsi="Arial" w:cs="Arial"/>
          <w:kern w:val="0"/>
          <w:sz w:val="24"/>
          <w:szCs w:val="24"/>
          <w:lang w:eastAsia="en-GB"/>
          <w14:ligatures w14:val="none"/>
        </w:rPr>
      </w:pPr>
    </w:p>
    <w:p w14:paraId="34F46E97" w14:textId="77777777" w:rsidR="00A47F97" w:rsidRPr="004F4F18" w:rsidRDefault="00A47F97" w:rsidP="00A47F97">
      <w:pPr>
        <w:spacing w:before="100" w:beforeAutospacing="1" w:after="100" w:afterAutospacing="1" w:line="240" w:lineRule="auto"/>
        <w:rPr>
          <w:rFonts w:ascii="Arial" w:eastAsia="Times New Roman" w:hAnsi="Arial" w:cs="Arial"/>
          <w:kern w:val="0"/>
          <w:sz w:val="24"/>
          <w:szCs w:val="24"/>
          <w:lang w:eastAsia="en-GB"/>
          <w14:ligatures w14:val="none"/>
        </w:rPr>
      </w:pPr>
    </w:p>
    <w:p w14:paraId="579D3EF2" w14:textId="77777777" w:rsidR="00A47F97" w:rsidRPr="004F4F18" w:rsidRDefault="00A47F97" w:rsidP="00A47F97">
      <w:pPr>
        <w:spacing w:before="100" w:beforeAutospacing="1" w:after="100" w:afterAutospacing="1" w:line="240" w:lineRule="auto"/>
        <w:rPr>
          <w:rFonts w:ascii="Arial" w:eastAsia="Times New Roman" w:hAnsi="Arial" w:cs="Arial"/>
          <w:kern w:val="0"/>
          <w:sz w:val="24"/>
          <w:szCs w:val="24"/>
          <w:lang w:eastAsia="en-GB"/>
          <w14:ligatures w14:val="none"/>
        </w:rPr>
      </w:pPr>
    </w:p>
    <w:p w14:paraId="6AB8C734" w14:textId="77777777" w:rsidR="00A47F97" w:rsidRPr="004F4F18" w:rsidRDefault="00A47F97" w:rsidP="00A47F97">
      <w:pPr>
        <w:spacing w:before="100" w:beforeAutospacing="1" w:after="100" w:afterAutospacing="1" w:line="240" w:lineRule="auto"/>
        <w:rPr>
          <w:rFonts w:ascii="Arial" w:eastAsia="Times New Roman" w:hAnsi="Arial" w:cs="Arial"/>
          <w:kern w:val="0"/>
          <w:sz w:val="24"/>
          <w:szCs w:val="24"/>
          <w:lang w:eastAsia="en-GB"/>
          <w14:ligatures w14:val="none"/>
        </w:rPr>
      </w:pPr>
    </w:p>
    <w:p w14:paraId="35131BA9" w14:textId="77777777" w:rsidR="00A47F97" w:rsidRPr="004F4F18" w:rsidRDefault="00A47F97" w:rsidP="00A47F97">
      <w:pPr>
        <w:spacing w:before="100" w:beforeAutospacing="1" w:after="100" w:afterAutospacing="1" w:line="240" w:lineRule="auto"/>
        <w:rPr>
          <w:rFonts w:ascii="Arial" w:eastAsia="Times New Roman" w:hAnsi="Arial" w:cs="Arial"/>
          <w:kern w:val="0"/>
          <w:sz w:val="24"/>
          <w:szCs w:val="24"/>
          <w:lang w:eastAsia="en-GB"/>
          <w14:ligatures w14:val="none"/>
        </w:rPr>
      </w:pPr>
    </w:p>
    <w:p w14:paraId="0E88BBDC" w14:textId="77777777" w:rsidR="00A47F97" w:rsidRPr="004F4F18" w:rsidRDefault="00A47F97" w:rsidP="00A47F97">
      <w:pPr>
        <w:spacing w:before="100" w:beforeAutospacing="1" w:after="100" w:afterAutospacing="1" w:line="240" w:lineRule="auto"/>
        <w:rPr>
          <w:rFonts w:ascii="Arial" w:eastAsia="Times New Roman" w:hAnsi="Arial" w:cs="Arial"/>
          <w:kern w:val="0"/>
          <w:sz w:val="24"/>
          <w:szCs w:val="24"/>
          <w:lang w:eastAsia="en-GB"/>
          <w14:ligatures w14:val="none"/>
        </w:rPr>
      </w:pPr>
    </w:p>
    <w:p w14:paraId="2448182A" w14:textId="77777777" w:rsidR="00A47F97" w:rsidRPr="004F4F18" w:rsidRDefault="00A47F97" w:rsidP="00A47F97">
      <w:pPr>
        <w:spacing w:before="100" w:beforeAutospacing="1" w:after="100" w:afterAutospacing="1" w:line="240" w:lineRule="auto"/>
        <w:rPr>
          <w:rFonts w:ascii="Arial" w:eastAsia="Times New Roman" w:hAnsi="Arial" w:cs="Arial"/>
          <w:kern w:val="0"/>
          <w:sz w:val="24"/>
          <w:szCs w:val="24"/>
          <w:lang w:eastAsia="en-GB"/>
          <w14:ligatures w14:val="none"/>
        </w:rPr>
      </w:pPr>
    </w:p>
    <w:p w14:paraId="17A73B6F" w14:textId="77777777" w:rsidR="00A47F97" w:rsidRPr="004F4F18" w:rsidRDefault="00A47F97" w:rsidP="00A47F97">
      <w:pPr>
        <w:spacing w:before="100" w:beforeAutospacing="1" w:after="100" w:afterAutospacing="1" w:line="240" w:lineRule="auto"/>
        <w:rPr>
          <w:rFonts w:ascii="Arial" w:eastAsia="Times New Roman" w:hAnsi="Arial" w:cs="Arial"/>
          <w:kern w:val="0"/>
          <w:sz w:val="24"/>
          <w:szCs w:val="24"/>
          <w:lang w:eastAsia="en-GB"/>
          <w14:ligatures w14:val="none"/>
        </w:rPr>
      </w:pPr>
    </w:p>
    <w:p w14:paraId="78E841F4" w14:textId="77777777" w:rsidR="003A7C12" w:rsidRPr="004F4F18" w:rsidRDefault="003A7C12" w:rsidP="00A47F97">
      <w:pPr>
        <w:spacing w:before="100" w:beforeAutospacing="1" w:after="100" w:afterAutospacing="1" w:line="240" w:lineRule="auto"/>
        <w:rPr>
          <w:rFonts w:ascii="Arial" w:eastAsia="Times New Roman" w:hAnsi="Arial" w:cs="Arial"/>
          <w:kern w:val="0"/>
          <w:sz w:val="24"/>
          <w:szCs w:val="24"/>
          <w:lang w:eastAsia="en-GB"/>
          <w14:ligatures w14:val="none"/>
        </w:rPr>
      </w:pPr>
    </w:p>
    <w:p w14:paraId="08C32EFB" w14:textId="77777777" w:rsidR="004F4F18" w:rsidRDefault="004F4F18" w:rsidP="00A47F97">
      <w:pPr>
        <w:spacing w:before="100" w:beforeAutospacing="1" w:after="100" w:afterAutospacing="1" w:line="240" w:lineRule="auto"/>
        <w:rPr>
          <w:rFonts w:ascii="Arial" w:eastAsia="Times New Roman" w:hAnsi="Arial" w:cs="Arial"/>
          <w:kern w:val="0"/>
          <w:sz w:val="24"/>
          <w:szCs w:val="24"/>
          <w:lang w:eastAsia="en-GB"/>
          <w14:ligatures w14:val="none"/>
        </w:rPr>
      </w:pPr>
    </w:p>
    <w:p w14:paraId="7B4B6D75" w14:textId="36A59147" w:rsidR="00A47F97" w:rsidRPr="00A47F97" w:rsidRDefault="00A47F97" w:rsidP="00A47F97">
      <w:pPr>
        <w:spacing w:before="100" w:beforeAutospacing="1" w:after="100" w:afterAutospacing="1" w:line="240" w:lineRule="auto"/>
        <w:rPr>
          <w:rFonts w:ascii="Arial" w:eastAsia="Times New Roman" w:hAnsi="Arial" w:cs="Arial"/>
          <w:kern w:val="0"/>
          <w:sz w:val="24"/>
          <w:szCs w:val="24"/>
          <w:lang w:eastAsia="en-GB"/>
          <w14:ligatures w14:val="none"/>
        </w:rPr>
      </w:pPr>
      <w:r w:rsidRPr="00A47F97">
        <w:rPr>
          <w:rFonts w:ascii="Arial" w:eastAsia="Times New Roman" w:hAnsi="Arial" w:cs="Arial"/>
          <w:kern w:val="0"/>
          <w:sz w:val="24"/>
          <w:szCs w:val="24"/>
          <w:lang w:eastAsia="en-GB"/>
          <w14:ligatures w14:val="none"/>
        </w:rPr>
        <w:lastRenderedPageBreak/>
        <w:t xml:space="preserve">References </w:t>
      </w:r>
    </w:p>
    <w:p w14:paraId="17B3139F" w14:textId="77777777" w:rsidR="00A47F97" w:rsidRPr="00A47F97" w:rsidRDefault="00A47F97" w:rsidP="00A47F97">
      <w:pPr>
        <w:numPr>
          <w:ilvl w:val="0"/>
          <w:numId w:val="2"/>
        </w:numPr>
        <w:spacing w:before="100" w:beforeAutospacing="1" w:after="100" w:afterAutospacing="1" w:line="240" w:lineRule="auto"/>
        <w:rPr>
          <w:rFonts w:ascii="Arial" w:eastAsia="Times New Roman" w:hAnsi="Arial" w:cs="Arial"/>
          <w:kern w:val="0"/>
          <w:sz w:val="24"/>
          <w:szCs w:val="24"/>
          <w:lang w:eastAsia="en-GB"/>
          <w14:ligatures w14:val="none"/>
        </w:rPr>
      </w:pPr>
      <w:r w:rsidRPr="00A47F97">
        <w:rPr>
          <w:rFonts w:ascii="Arial" w:eastAsia="Times New Roman" w:hAnsi="Arial" w:cs="Arial"/>
          <w:kern w:val="0"/>
          <w:sz w:val="24"/>
          <w:szCs w:val="24"/>
          <w:lang w:eastAsia="en-GB"/>
          <w14:ligatures w14:val="none"/>
        </w:rPr>
        <w:t xml:space="preserve">WHO (2019) </w:t>
      </w:r>
      <w:r w:rsidRPr="00A47F97">
        <w:rPr>
          <w:rFonts w:ascii="Arial" w:eastAsia="Times New Roman" w:hAnsi="Arial" w:cs="Arial"/>
          <w:i/>
          <w:iCs/>
          <w:kern w:val="0"/>
          <w:sz w:val="24"/>
          <w:szCs w:val="24"/>
          <w:lang w:eastAsia="en-GB"/>
          <w14:ligatures w14:val="none"/>
        </w:rPr>
        <w:t>ICD-11 Chapter 6: Mental, behavioural or neurodevelopmental disorders</w:t>
      </w:r>
      <w:r w:rsidRPr="00A47F97">
        <w:rPr>
          <w:rFonts w:ascii="Arial" w:eastAsia="Times New Roman" w:hAnsi="Arial" w:cs="Arial"/>
          <w:kern w:val="0"/>
          <w:sz w:val="24"/>
          <w:szCs w:val="24"/>
          <w:lang w:eastAsia="en-GB"/>
          <w14:ligatures w14:val="none"/>
        </w:rPr>
        <w:t>. Geneva: World Health Organization.</w:t>
      </w:r>
    </w:p>
    <w:p w14:paraId="4C0486D0" w14:textId="77777777" w:rsidR="00A47F97" w:rsidRPr="00A47F97" w:rsidRDefault="00A47F97" w:rsidP="00A47F97">
      <w:pPr>
        <w:numPr>
          <w:ilvl w:val="0"/>
          <w:numId w:val="2"/>
        </w:numPr>
        <w:spacing w:before="100" w:beforeAutospacing="1" w:after="100" w:afterAutospacing="1" w:line="240" w:lineRule="auto"/>
        <w:rPr>
          <w:rFonts w:ascii="Arial" w:eastAsia="Times New Roman" w:hAnsi="Arial" w:cs="Arial"/>
          <w:kern w:val="0"/>
          <w:sz w:val="24"/>
          <w:szCs w:val="24"/>
          <w:lang w:eastAsia="en-GB"/>
          <w14:ligatures w14:val="none"/>
        </w:rPr>
      </w:pPr>
      <w:r w:rsidRPr="00A47F97">
        <w:rPr>
          <w:rFonts w:ascii="Arial" w:eastAsia="Times New Roman" w:hAnsi="Arial" w:cs="Arial"/>
          <w:kern w:val="0"/>
          <w:sz w:val="24"/>
          <w:szCs w:val="24"/>
          <w:lang w:eastAsia="en-GB"/>
          <w14:ligatures w14:val="none"/>
        </w:rPr>
        <w:t xml:space="preserve">WHO (2023) </w:t>
      </w:r>
      <w:proofErr w:type="gramStart"/>
      <w:r w:rsidRPr="00A47F97">
        <w:rPr>
          <w:rFonts w:ascii="Arial" w:eastAsia="Times New Roman" w:hAnsi="Arial" w:cs="Arial"/>
          <w:i/>
          <w:iCs/>
          <w:kern w:val="0"/>
          <w:sz w:val="24"/>
          <w:szCs w:val="24"/>
          <w:lang w:eastAsia="en-GB"/>
          <w14:ligatures w14:val="none"/>
        </w:rPr>
        <w:t>Anxiety disorders</w:t>
      </w:r>
      <w:proofErr w:type="gramEnd"/>
      <w:r w:rsidRPr="00A47F97">
        <w:rPr>
          <w:rFonts w:ascii="Arial" w:eastAsia="Times New Roman" w:hAnsi="Arial" w:cs="Arial"/>
          <w:i/>
          <w:iCs/>
          <w:kern w:val="0"/>
          <w:sz w:val="24"/>
          <w:szCs w:val="24"/>
          <w:lang w:eastAsia="en-GB"/>
          <w14:ligatures w14:val="none"/>
        </w:rPr>
        <w:t xml:space="preserve"> fact sheet</w:t>
      </w:r>
      <w:r w:rsidRPr="00A47F97">
        <w:rPr>
          <w:rFonts w:ascii="Arial" w:eastAsia="Times New Roman" w:hAnsi="Arial" w:cs="Arial"/>
          <w:kern w:val="0"/>
          <w:sz w:val="24"/>
          <w:szCs w:val="24"/>
          <w:lang w:eastAsia="en-GB"/>
          <w14:ligatures w14:val="none"/>
        </w:rPr>
        <w:t>. Geneva: World Health Organization.</w:t>
      </w:r>
    </w:p>
    <w:p w14:paraId="64B4C169" w14:textId="77777777" w:rsidR="00A47F97" w:rsidRPr="004F4F18" w:rsidRDefault="00A47F97" w:rsidP="00A47F97">
      <w:pPr>
        <w:numPr>
          <w:ilvl w:val="0"/>
          <w:numId w:val="2"/>
        </w:numPr>
        <w:spacing w:before="100" w:beforeAutospacing="1" w:after="100" w:afterAutospacing="1" w:line="240" w:lineRule="auto"/>
        <w:rPr>
          <w:rFonts w:ascii="Arial" w:eastAsia="Times New Roman" w:hAnsi="Arial" w:cs="Arial"/>
          <w:kern w:val="0"/>
          <w:sz w:val="24"/>
          <w:szCs w:val="24"/>
          <w:lang w:eastAsia="en-GB"/>
          <w14:ligatures w14:val="none"/>
        </w:rPr>
      </w:pPr>
      <w:r w:rsidRPr="00A47F97">
        <w:rPr>
          <w:rFonts w:ascii="Arial" w:eastAsia="Times New Roman" w:hAnsi="Arial" w:cs="Arial"/>
          <w:kern w:val="0"/>
          <w:sz w:val="24"/>
          <w:szCs w:val="24"/>
          <w:lang w:eastAsia="en-GB"/>
          <w14:ligatures w14:val="none"/>
        </w:rPr>
        <w:t xml:space="preserve">National Institute for Health and Care Excellence (NICE) (2022) </w:t>
      </w:r>
      <w:r w:rsidRPr="00A47F97">
        <w:rPr>
          <w:rFonts w:ascii="Arial" w:eastAsia="Times New Roman" w:hAnsi="Arial" w:cs="Arial"/>
          <w:i/>
          <w:iCs/>
          <w:kern w:val="0"/>
          <w:sz w:val="24"/>
          <w:szCs w:val="24"/>
          <w:lang w:eastAsia="en-GB"/>
          <w14:ligatures w14:val="none"/>
        </w:rPr>
        <w:t>Generalized anxiety disorder and panic disorder in adults: management</w:t>
      </w:r>
      <w:r w:rsidRPr="00A47F97">
        <w:rPr>
          <w:rFonts w:ascii="Arial" w:eastAsia="Times New Roman" w:hAnsi="Arial" w:cs="Arial"/>
          <w:kern w:val="0"/>
          <w:sz w:val="24"/>
          <w:szCs w:val="24"/>
          <w:lang w:eastAsia="en-GB"/>
          <w14:ligatures w14:val="none"/>
        </w:rPr>
        <w:t>. London: NICE.</w:t>
      </w:r>
    </w:p>
    <w:p w14:paraId="1A9DFE0E" w14:textId="77777777" w:rsidR="00A47F97" w:rsidRPr="00A47F97" w:rsidRDefault="00A47F97" w:rsidP="00A47F97">
      <w:pPr>
        <w:numPr>
          <w:ilvl w:val="0"/>
          <w:numId w:val="2"/>
        </w:numPr>
        <w:spacing w:before="100" w:beforeAutospacing="1" w:after="100" w:afterAutospacing="1" w:line="240" w:lineRule="auto"/>
        <w:rPr>
          <w:rFonts w:ascii="Arial" w:eastAsia="Times New Roman" w:hAnsi="Arial" w:cs="Arial"/>
          <w:kern w:val="0"/>
          <w:sz w:val="24"/>
          <w:szCs w:val="24"/>
          <w:lang w:eastAsia="en-GB"/>
          <w14:ligatures w14:val="none"/>
        </w:rPr>
      </w:pPr>
      <w:r w:rsidRPr="00A47F97">
        <w:rPr>
          <w:rFonts w:ascii="Arial" w:eastAsia="Times New Roman" w:hAnsi="Arial" w:cs="Arial"/>
          <w:kern w:val="0"/>
          <w:sz w:val="24"/>
          <w:szCs w:val="24"/>
          <w:lang w:eastAsia="en-GB"/>
          <w14:ligatures w14:val="none"/>
        </w:rPr>
        <w:t xml:space="preserve">Clark, D.M. (2018) ‘Realising the mass public benefit of evidence-based psychological therapies’, </w:t>
      </w:r>
      <w:r w:rsidRPr="00A47F97">
        <w:rPr>
          <w:rFonts w:ascii="Arial" w:eastAsia="Times New Roman" w:hAnsi="Arial" w:cs="Arial"/>
          <w:i/>
          <w:iCs/>
          <w:kern w:val="0"/>
          <w:sz w:val="24"/>
          <w:szCs w:val="24"/>
          <w:lang w:eastAsia="en-GB"/>
          <w14:ligatures w14:val="none"/>
        </w:rPr>
        <w:t>Annual Review of Clinical Psychology</w:t>
      </w:r>
      <w:r w:rsidRPr="00A47F97">
        <w:rPr>
          <w:rFonts w:ascii="Arial" w:eastAsia="Times New Roman" w:hAnsi="Arial" w:cs="Arial"/>
          <w:kern w:val="0"/>
          <w:sz w:val="24"/>
          <w:szCs w:val="24"/>
          <w:lang w:eastAsia="en-GB"/>
          <w14:ligatures w14:val="none"/>
        </w:rPr>
        <w:t>, 14, pp.159–183.</w:t>
      </w:r>
    </w:p>
    <w:p w14:paraId="3A2821BC" w14:textId="77777777" w:rsidR="00A47F97" w:rsidRPr="00A47F97" w:rsidRDefault="00A47F97" w:rsidP="00A47F97">
      <w:pPr>
        <w:numPr>
          <w:ilvl w:val="0"/>
          <w:numId w:val="2"/>
        </w:numPr>
        <w:spacing w:before="100" w:beforeAutospacing="1" w:after="100" w:afterAutospacing="1" w:line="240" w:lineRule="auto"/>
        <w:rPr>
          <w:rFonts w:ascii="Arial" w:eastAsia="Times New Roman" w:hAnsi="Arial" w:cs="Arial"/>
          <w:kern w:val="0"/>
          <w:sz w:val="24"/>
          <w:szCs w:val="24"/>
          <w:lang w:eastAsia="en-GB"/>
          <w14:ligatures w14:val="none"/>
        </w:rPr>
      </w:pPr>
      <w:r w:rsidRPr="00A47F97">
        <w:rPr>
          <w:rFonts w:ascii="Arial" w:eastAsia="Times New Roman" w:hAnsi="Arial" w:cs="Arial"/>
          <w:kern w:val="0"/>
          <w:sz w:val="24"/>
          <w:szCs w:val="24"/>
          <w:lang w:eastAsia="en-GB"/>
          <w14:ligatures w14:val="none"/>
        </w:rPr>
        <w:t xml:space="preserve">Craske, M.G., Stein, M.B., Eley, T.C., et al. (2017) ‘Anxiety disorders’, </w:t>
      </w:r>
      <w:r w:rsidRPr="00A47F97">
        <w:rPr>
          <w:rFonts w:ascii="Arial" w:eastAsia="Times New Roman" w:hAnsi="Arial" w:cs="Arial"/>
          <w:i/>
          <w:iCs/>
          <w:kern w:val="0"/>
          <w:sz w:val="24"/>
          <w:szCs w:val="24"/>
          <w:lang w:eastAsia="en-GB"/>
          <w14:ligatures w14:val="none"/>
        </w:rPr>
        <w:t>Nature Reviews Disease Primers</w:t>
      </w:r>
      <w:r w:rsidRPr="00A47F97">
        <w:rPr>
          <w:rFonts w:ascii="Arial" w:eastAsia="Times New Roman" w:hAnsi="Arial" w:cs="Arial"/>
          <w:kern w:val="0"/>
          <w:sz w:val="24"/>
          <w:szCs w:val="24"/>
          <w:lang w:eastAsia="en-GB"/>
          <w14:ligatures w14:val="none"/>
        </w:rPr>
        <w:t>, 3, p.17024.</w:t>
      </w:r>
    </w:p>
    <w:p w14:paraId="7B048C84" w14:textId="2E0F328F" w:rsidR="00FD6493" w:rsidRPr="00A47F97" w:rsidRDefault="00A47F97" w:rsidP="00FD6493">
      <w:pPr>
        <w:numPr>
          <w:ilvl w:val="0"/>
          <w:numId w:val="2"/>
        </w:numPr>
        <w:spacing w:before="100" w:beforeAutospacing="1" w:after="100" w:afterAutospacing="1" w:line="240" w:lineRule="auto"/>
        <w:rPr>
          <w:rFonts w:ascii="Arial" w:eastAsia="Times New Roman" w:hAnsi="Arial" w:cs="Arial"/>
          <w:kern w:val="0"/>
          <w:sz w:val="24"/>
          <w:szCs w:val="24"/>
          <w:lang w:eastAsia="en-GB"/>
          <w14:ligatures w14:val="none"/>
        </w:rPr>
      </w:pPr>
      <w:r w:rsidRPr="00A47F97">
        <w:rPr>
          <w:rFonts w:ascii="Arial" w:eastAsia="Times New Roman" w:hAnsi="Arial" w:cs="Arial"/>
          <w:kern w:val="0"/>
          <w:sz w:val="24"/>
          <w:szCs w:val="24"/>
          <w:lang w:eastAsia="en-GB"/>
          <w14:ligatures w14:val="none"/>
        </w:rPr>
        <w:t xml:space="preserve">Hofmann, S.G. &amp; </w:t>
      </w:r>
      <w:proofErr w:type="spellStart"/>
      <w:r w:rsidRPr="00A47F97">
        <w:rPr>
          <w:rFonts w:ascii="Arial" w:eastAsia="Times New Roman" w:hAnsi="Arial" w:cs="Arial"/>
          <w:kern w:val="0"/>
          <w:sz w:val="24"/>
          <w:szCs w:val="24"/>
          <w:lang w:eastAsia="en-GB"/>
          <w14:ligatures w14:val="none"/>
        </w:rPr>
        <w:t>Asnaani</w:t>
      </w:r>
      <w:proofErr w:type="spellEnd"/>
      <w:r w:rsidRPr="00A47F97">
        <w:rPr>
          <w:rFonts w:ascii="Arial" w:eastAsia="Times New Roman" w:hAnsi="Arial" w:cs="Arial"/>
          <w:kern w:val="0"/>
          <w:sz w:val="24"/>
          <w:szCs w:val="24"/>
          <w:lang w:eastAsia="en-GB"/>
          <w14:ligatures w14:val="none"/>
        </w:rPr>
        <w:t>, A. (2017) ‘</w:t>
      </w:r>
      <w:r w:rsidR="00FD6493" w:rsidRPr="004F4F18">
        <w:rPr>
          <w:rFonts w:ascii="Arial" w:eastAsia="Times New Roman" w:hAnsi="Arial" w:cs="Arial"/>
          <w:kern w:val="0"/>
          <w:sz w:val="24"/>
          <w:szCs w:val="24"/>
          <w:lang w:eastAsia="en-GB"/>
          <w14:ligatures w14:val="none"/>
        </w:rPr>
        <w:t>Cognitive-behavioural</w:t>
      </w:r>
      <w:r w:rsidRPr="00A47F97">
        <w:rPr>
          <w:rFonts w:ascii="Arial" w:eastAsia="Times New Roman" w:hAnsi="Arial" w:cs="Arial"/>
          <w:kern w:val="0"/>
          <w:sz w:val="24"/>
          <w:szCs w:val="24"/>
          <w:lang w:eastAsia="en-GB"/>
          <w14:ligatures w14:val="none"/>
        </w:rPr>
        <w:t xml:space="preserve"> therapy for adult anxiety disorders’, </w:t>
      </w:r>
      <w:r w:rsidRPr="00A47F97">
        <w:rPr>
          <w:rFonts w:ascii="Arial" w:eastAsia="Times New Roman" w:hAnsi="Arial" w:cs="Arial"/>
          <w:i/>
          <w:iCs/>
          <w:kern w:val="0"/>
          <w:sz w:val="24"/>
          <w:szCs w:val="24"/>
          <w:lang w:eastAsia="en-GB"/>
          <w14:ligatures w14:val="none"/>
        </w:rPr>
        <w:t>World Psychiatry</w:t>
      </w:r>
      <w:r w:rsidRPr="00A47F97">
        <w:rPr>
          <w:rFonts w:ascii="Arial" w:eastAsia="Times New Roman" w:hAnsi="Arial" w:cs="Arial"/>
          <w:kern w:val="0"/>
          <w:sz w:val="24"/>
          <w:szCs w:val="24"/>
          <w:lang w:eastAsia="en-GB"/>
          <w14:ligatures w14:val="none"/>
        </w:rPr>
        <w:t>, 16(2), pp.179–188.</w:t>
      </w:r>
    </w:p>
    <w:p w14:paraId="788F93D1" w14:textId="77777777" w:rsidR="00FD6493" w:rsidRPr="00A47F97" w:rsidRDefault="00FD6493" w:rsidP="00FD6493">
      <w:pPr>
        <w:numPr>
          <w:ilvl w:val="0"/>
          <w:numId w:val="4"/>
        </w:numPr>
        <w:spacing w:before="100" w:beforeAutospacing="1" w:after="100" w:afterAutospacing="1" w:line="240" w:lineRule="auto"/>
        <w:rPr>
          <w:rFonts w:ascii="Arial" w:eastAsia="Times New Roman" w:hAnsi="Arial" w:cs="Arial"/>
          <w:kern w:val="0"/>
          <w:sz w:val="24"/>
          <w:szCs w:val="24"/>
          <w:lang w:eastAsia="en-GB"/>
          <w14:ligatures w14:val="none"/>
        </w:rPr>
      </w:pPr>
      <w:r w:rsidRPr="00A47F97">
        <w:rPr>
          <w:rFonts w:ascii="Arial" w:eastAsia="Times New Roman" w:hAnsi="Arial" w:cs="Arial"/>
          <w:kern w:val="0"/>
          <w:sz w:val="24"/>
          <w:szCs w:val="24"/>
          <w:lang w:eastAsia="en-GB"/>
          <w14:ligatures w14:val="none"/>
        </w:rPr>
        <w:t xml:space="preserve">Craske, M.G., Stein, M.B., Eley, T.C., et al. (2017) ‘Anxiety disorders’, </w:t>
      </w:r>
      <w:r w:rsidRPr="00A47F97">
        <w:rPr>
          <w:rFonts w:ascii="Arial" w:eastAsia="Times New Roman" w:hAnsi="Arial" w:cs="Arial"/>
          <w:i/>
          <w:iCs/>
          <w:kern w:val="0"/>
          <w:sz w:val="24"/>
          <w:szCs w:val="24"/>
          <w:lang w:eastAsia="en-GB"/>
          <w14:ligatures w14:val="none"/>
        </w:rPr>
        <w:t>Nature Reviews Disease Primers</w:t>
      </w:r>
      <w:r w:rsidRPr="00A47F97">
        <w:rPr>
          <w:rFonts w:ascii="Arial" w:eastAsia="Times New Roman" w:hAnsi="Arial" w:cs="Arial"/>
          <w:kern w:val="0"/>
          <w:sz w:val="24"/>
          <w:szCs w:val="24"/>
          <w:lang w:eastAsia="en-GB"/>
          <w14:ligatures w14:val="none"/>
        </w:rPr>
        <w:t>, 3, p.17024.</w:t>
      </w:r>
    </w:p>
    <w:p w14:paraId="3726C079" w14:textId="77777777" w:rsidR="00FD6493" w:rsidRPr="00A47F97" w:rsidRDefault="00FD6493" w:rsidP="00FD6493">
      <w:pPr>
        <w:numPr>
          <w:ilvl w:val="0"/>
          <w:numId w:val="4"/>
        </w:numPr>
        <w:spacing w:before="100" w:beforeAutospacing="1" w:after="100" w:afterAutospacing="1" w:line="240" w:lineRule="auto"/>
        <w:rPr>
          <w:rFonts w:ascii="Arial" w:eastAsia="Times New Roman" w:hAnsi="Arial" w:cs="Arial"/>
          <w:kern w:val="0"/>
          <w:sz w:val="24"/>
          <w:szCs w:val="24"/>
          <w:lang w:eastAsia="en-GB"/>
          <w14:ligatures w14:val="none"/>
        </w:rPr>
      </w:pPr>
      <w:r w:rsidRPr="00A47F97">
        <w:rPr>
          <w:rFonts w:ascii="Arial" w:eastAsia="Times New Roman" w:hAnsi="Arial" w:cs="Arial"/>
          <w:kern w:val="0"/>
          <w:sz w:val="24"/>
          <w:szCs w:val="24"/>
          <w:lang w:eastAsia="en-GB"/>
          <w14:ligatures w14:val="none"/>
        </w:rPr>
        <w:t xml:space="preserve">Pilgrim, D. (2014) </w:t>
      </w:r>
      <w:r w:rsidRPr="00A47F97">
        <w:rPr>
          <w:rFonts w:ascii="Arial" w:eastAsia="Times New Roman" w:hAnsi="Arial" w:cs="Arial"/>
          <w:i/>
          <w:iCs/>
          <w:kern w:val="0"/>
          <w:sz w:val="24"/>
          <w:szCs w:val="24"/>
          <w:lang w:eastAsia="en-GB"/>
          <w14:ligatures w14:val="none"/>
        </w:rPr>
        <w:t>Key Concepts in Mental Health</w:t>
      </w:r>
      <w:r w:rsidRPr="00A47F97">
        <w:rPr>
          <w:rFonts w:ascii="Arial" w:eastAsia="Times New Roman" w:hAnsi="Arial" w:cs="Arial"/>
          <w:kern w:val="0"/>
          <w:sz w:val="24"/>
          <w:szCs w:val="24"/>
          <w:lang w:eastAsia="en-GB"/>
          <w14:ligatures w14:val="none"/>
        </w:rPr>
        <w:t>. London: Sage.</w:t>
      </w:r>
    </w:p>
    <w:p w14:paraId="64B2AC0F" w14:textId="77777777" w:rsidR="00FD6493" w:rsidRPr="00A47F97" w:rsidRDefault="00FD6493" w:rsidP="00FD6493">
      <w:pPr>
        <w:numPr>
          <w:ilvl w:val="0"/>
          <w:numId w:val="4"/>
        </w:numPr>
        <w:spacing w:before="100" w:beforeAutospacing="1" w:after="100" w:afterAutospacing="1" w:line="240" w:lineRule="auto"/>
        <w:rPr>
          <w:rFonts w:ascii="Arial" w:eastAsia="Times New Roman" w:hAnsi="Arial" w:cs="Arial"/>
          <w:kern w:val="0"/>
          <w:sz w:val="24"/>
          <w:szCs w:val="24"/>
          <w:lang w:eastAsia="en-GB"/>
          <w14:ligatures w14:val="none"/>
        </w:rPr>
      </w:pPr>
      <w:r w:rsidRPr="00A47F97">
        <w:rPr>
          <w:rFonts w:ascii="Arial" w:eastAsia="Times New Roman" w:hAnsi="Arial" w:cs="Arial"/>
          <w:kern w:val="0"/>
          <w:sz w:val="24"/>
          <w:szCs w:val="24"/>
          <w:lang w:eastAsia="en-GB"/>
          <w14:ligatures w14:val="none"/>
        </w:rPr>
        <w:t xml:space="preserve">Hofmann, S.G. &amp; </w:t>
      </w:r>
      <w:proofErr w:type="spellStart"/>
      <w:r w:rsidRPr="00A47F97">
        <w:rPr>
          <w:rFonts w:ascii="Arial" w:eastAsia="Times New Roman" w:hAnsi="Arial" w:cs="Arial"/>
          <w:kern w:val="0"/>
          <w:sz w:val="24"/>
          <w:szCs w:val="24"/>
          <w:lang w:eastAsia="en-GB"/>
          <w14:ligatures w14:val="none"/>
        </w:rPr>
        <w:t>Asnaani</w:t>
      </w:r>
      <w:proofErr w:type="spellEnd"/>
      <w:r w:rsidRPr="00A47F97">
        <w:rPr>
          <w:rFonts w:ascii="Arial" w:eastAsia="Times New Roman" w:hAnsi="Arial" w:cs="Arial"/>
          <w:kern w:val="0"/>
          <w:sz w:val="24"/>
          <w:szCs w:val="24"/>
          <w:lang w:eastAsia="en-GB"/>
          <w14:ligatures w14:val="none"/>
        </w:rPr>
        <w:t>, A. (2017) ‘Cognitive-</w:t>
      </w:r>
      <w:proofErr w:type="spellStart"/>
      <w:r w:rsidRPr="00A47F97">
        <w:rPr>
          <w:rFonts w:ascii="Arial" w:eastAsia="Times New Roman" w:hAnsi="Arial" w:cs="Arial"/>
          <w:kern w:val="0"/>
          <w:sz w:val="24"/>
          <w:szCs w:val="24"/>
          <w:lang w:eastAsia="en-GB"/>
          <w14:ligatures w14:val="none"/>
        </w:rPr>
        <w:t>behavioral</w:t>
      </w:r>
      <w:proofErr w:type="spellEnd"/>
      <w:r w:rsidRPr="00A47F97">
        <w:rPr>
          <w:rFonts w:ascii="Arial" w:eastAsia="Times New Roman" w:hAnsi="Arial" w:cs="Arial"/>
          <w:kern w:val="0"/>
          <w:sz w:val="24"/>
          <w:szCs w:val="24"/>
          <w:lang w:eastAsia="en-GB"/>
          <w14:ligatures w14:val="none"/>
        </w:rPr>
        <w:t xml:space="preserve"> therapy for adult anxiety disorders’, </w:t>
      </w:r>
      <w:r w:rsidRPr="00A47F97">
        <w:rPr>
          <w:rFonts w:ascii="Arial" w:eastAsia="Times New Roman" w:hAnsi="Arial" w:cs="Arial"/>
          <w:i/>
          <w:iCs/>
          <w:kern w:val="0"/>
          <w:sz w:val="24"/>
          <w:szCs w:val="24"/>
          <w:lang w:eastAsia="en-GB"/>
          <w14:ligatures w14:val="none"/>
        </w:rPr>
        <w:t>World Psychiatry</w:t>
      </w:r>
      <w:r w:rsidRPr="00A47F97">
        <w:rPr>
          <w:rFonts w:ascii="Arial" w:eastAsia="Times New Roman" w:hAnsi="Arial" w:cs="Arial"/>
          <w:kern w:val="0"/>
          <w:sz w:val="24"/>
          <w:szCs w:val="24"/>
          <w:lang w:eastAsia="en-GB"/>
          <w14:ligatures w14:val="none"/>
        </w:rPr>
        <w:t>, 16(2), pp.179–188.</w:t>
      </w:r>
    </w:p>
    <w:p w14:paraId="357FADF1" w14:textId="77777777" w:rsidR="00FD6493" w:rsidRPr="004F4F18" w:rsidRDefault="00FD6493" w:rsidP="00FD6493">
      <w:pPr>
        <w:numPr>
          <w:ilvl w:val="0"/>
          <w:numId w:val="4"/>
        </w:numPr>
        <w:spacing w:before="100" w:beforeAutospacing="1" w:after="100" w:afterAutospacing="1" w:line="240" w:lineRule="auto"/>
        <w:rPr>
          <w:rFonts w:ascii="Arial" w:eastAsia="Times New Roman" w:hAnsi="Arial" w:cs="Arial"/>
          <w:kern w:val="0"/>
          <w:sz w:val="24"/>
          <w:szCs w:val="24"/>
          <w:lang w:eastAsia="en-GB"/>
          <w14:ligatures w14:val="none"/>
        </w:rPr>
      </w:pPr>
      <w:r w:rsidRPr="00A47F97">
        <w:rPr>
          <w:rFonts w:ascii="Arial" w:eastAsia="Times New Roman" w:hAnsi="Arial" w:cs="Arial"/>
          <w:kern w:val="0"/>
          <w:sz w:val="24"/>
          <w:szCs w:val="24"/>
          <w:lang w:eastAsia="en-GB"/>
          <w14:ligatures w14:val="none"/>
        </w:rPr>
        <w:t xml:space="preserve">National Institute for Health and Care Excellence (NICE) (2022) </w:t>
      </w:r>
      <w:r w:rsidRPr="00A47F97">
        <w:rPr>
          <w:rFonts w:ascii="Arial" w:eastAsia="Times New Roman" w:hAnsi="Arial" w:cs="Arial"/>
          <w:i/>
          <w:iCs/>
          <w:kern w:val="0"/>
          <w:sz w:val="24"/>
          <w:szCs w:val="24"/>
          <w:lang w:eastAsia="en-GB"/>
          <w14:ligatures w14:val="none"/>
        </w:rPr>
        <w:t>Generalized anxiety disorder and panic disorder in adults: management</w:t>
      </w:r>
      <w:r w:rsidRPr="00A47F97">
        <w:rPr>
          <w:rFonts w:ascii="Arial" w:eastAsia="Times New Roman" w:hAnsi="Arial" w:cs="Arial"/>
          <w:kern w:val="0"/>
          <w:sz w:val="24"/>
          <w:szCs w:val="24"/>
          <w:lang w:eastAsia="en-GB"/>
          <w14:ligatures w14:val="none"/>
        </w:rPr>
        <w:t>. London: NICE.</w:t>
      </w:r>
    </w:p>
    <w:p w14:paraId="54E87B06" w14:textId="77777777" w:rsidR="00FD6493" w:rsidRPr="00FD6493" w:rsidRDefault="00FD6493" w:rsidP="00FD6493">
      <w:pPr>
        <w:numPr>
          <w:ilvl w:val="0"/>
          <w:numId w:val="4"/>
        </w:numPr>
        <w:spacing w:before="100" w:beforeAutospacing="1" w:after="100" w:afterAutospacing="1" w:line="240" w:lineRule="auto"/>
        <w:rPr>
          <w:rFonts w:ascii="Arial" w:eastAsia="Times New Roman" w:hAnsi="Arial" w:cs="Arial"/>
          <w:kern w:val="0"/>
          <w:sz w:val="24"/>
          <w:szCs w:val="24"/>
          <w:lang w:eastAsia="en-GB"/>
          <w14:ligatures w14:val="none"/>
        </w:rPr>
      </w:pPr>
      <w:r w:rsidRPr="00FD6493">
        <w:rPr>
          <w:rFonts w:ascii="Arial" w:eastAsia="Times New Roman" w:hAnsi="Arial" w:cs="Arial"/>
          <w:kern w:val="0"/>
          <w:sz w:val="24"/>
          <w:szCs w:val="24"/>
          <w:lang w:eastAsia="en-GB"/>
          <w14:ligatures w14:val="none"/>
        </w:rPr>
        <w:t xml:space="preserve">Clark, D.M. (2018) ‘Realising the mass public benefit of evidence-based psychological therapies’, </w:t>
      </w:r>
      <w:r w:rsidRPr="00FD6493">
        <w:rPr>
          <w:rFonts w:ascii="Arial" w:eastAsia="Times New Roman" w:hAnsi="Arial" w:cs="Arial"/>
          <w:i/>
          <w:iCs/>
          <w:kern w:val="0"/>
          <w:sz w:val="24"/>
          <w:szCs w:val="24"/>
          <w:lang w:eastAsia="en-GB"/>
          <w14:ligatures w14:val="none"/>
        </w:rPr>
        <w:t>Annual Review of Clinical Psychology</w:t>
      </w:r>
      <w:r w:rsidRPr="00FD6493">
        <w:rPr>
          <w:rFonts w:ascii="Arial" w:eastAsia="Times New Roman" w:hAnsi="Arial" w:cs="Arial"/>
          <w:kern w:val="0"/>
          <w:sz w:val="24"/>
          <w:szCs w:val="24"/>
          <w:lang w:eastAsia="en-GB"/>
          <w14:ligatures w14:val="none"/>
        </w:rPr>
        <w:t>, 14, pp.159–183.</w:t>
      </w:r>
    </w:p>
    <w:p w14:paraId="75C4795B" w14:textId="77777777" w:rsidR="00FD6493" w:rsidRPr="00FD6493" w:rsidRDefault="00FD6493" w:rsidP="00FD6493">
      <w:pPr>
        <w:numPr>
          <w:ilvl w:val="0"/>
          <w:numId w:val="4"/>
        </w:numPr>
        <w:spacing w:before="100" w:beforeAutospacing="1" w:after="100" w:afterAutospacing="1" w:line="240" w:lineRule="auto"/>
        <w:rPr>
          <w:rFonts w:ascii="Arial" w:eastAsia="Times New Roman" w:hAnsi="Arial" w:cs="Arial"/>
          <w:kern w:val="0"/>
          <w:sz w:val="24"/>
          <w:szCs w:val="24"/>
          <w:lang w:eastAsia="en-GB"/>
          <w14:ligatures w14:val="none"/>
        </w:rPr>
      </w:pPr>
      <w:r w:rsidRPr="00FD6493">
        <w:rPr>
          <w:rFonts w:ascii="Arial" w:eastAsia="Times New Roman" w:hAnsi="Arial" w:cs="Arial"/>
          <w:kern w:val="0"/>
          <w:sz w:val="24"/>
          <w:szCs w:val="24"/>
          <w:lang w:eastAsia="en-GB"/>
          <w14:ligatures w14:val="none"/>
        </w:rPr>
        <w:t xml:space="preserve">Craske, M.G., Stein, M.B., Eley, T.C., et al. (2017) ‘Anxiety disorders’, </w:t>
      </w:r>
      <w:r w:rsidRPr="00FD6493">
        <w:rPr>
          <w:rFonts w:ascii="Arial" w:eastAsia="Times New Roman" w:hAnsi="Arial" w:cs="Arial"/>
          <w:i/>
          <w:iCs/>
          <w:kern w:val="0"/>
          <w:sz w:val="24"/>
          <w:szCs w:val="24"/>
          <w:lang w:eastAsia="en-GB"/>
          <w14:ligatures w14:val="none"/>
        </w:rPr>
        <w:t>Nature Reviews Disease Primers</w:t>
      </w:r>
      <w:r w:rsidRPr="00FD6493">
        <w:rPr>
          <w:rFonts w:ascii="Arial" w:eastAsia="Times New Roman" w:hAnsi="Arial" w:cs="Arial"/>
          <w:kern w:val="0"/>
          <w:sz w:val="24"/>
          <w:szCs w:val="24"/>
          <w:lang w:eastAsia="en-GB"/>
          <w14:ligatures w14:val="none"/>
        </w:rPr>
        <w:t>, 3, p.17024.</w:t>
      </w:r>
    </w:p>
    <w:p w14:paraId="0D7092A5" w14:textId="77777777" w:rsidR="00FD6493" w:rsidRPr="00FD6493" w:rsidRDefault="00FD6493" w:rsidP="00FD6493">
      <w:pPr>
        <w:numPr>
          <w:ilvl w:val="0"/>
          <w:numId w:val="4"/>
        </w:numPr>
        <w:spacing w:before="100" w:beforeAutospacing="1" w:after="100" w:afterAutospacing="1" w:line="240" w:lineRule="auto"/>
        <w:rPr>
          <w:rFonts w:ascii="Arial" w:eastAsia="Times New Roman" w:hAnsi="Arial" w:cs="Arial"/>
          <w:kern w:val="0"/>
          <w:sz w:val="24"/>
          <w:szCs w:val="24"/>
          <w:lang w:eastAsia="en-GB"/>
          <w14:ligatures w14:val="none"/>
        </w:rPr>
      </w:pPr>
      <w:r w:rsidRPr="00FD6493">
        <w:rPr>
          <w:rFonts w:ascii="Arial" w:eastAsia="Times New Roman" w:hAnsi="Arial" w:cs="Arial"/>
          <w:kern w:val="0"/>
          <w:sz w:val="24"/>
          <w:szCs w:val="24"/>
          <w:lang w:eastAsia="en-GB"/>
          <w14:ligatures w14:val="none"/>
        </w:rPr>
        <w:t xml:space="preserve">Hofmann, S.G. &amp; </w:t>
      </w:r>
      <w:proofErr w:type="spellStart"/>
      <w:r w:rsidRPr="00FD6493">
        <w:rPr>
          <w:rFonts w:ascii="Arial" w:eastAsia="Times New Roman" w:hAnsi="Arial" w:cs="Arial"/>
          <w:kern w:val="0"/>
          <w:sz w:val="24"/>
          <w:szCs w:val="24"/>
          <w:lang w:eastAsia="en-GB"/>
          <w14:ligatures w14:val="none"/>
        </w:rPr>
        <w:t>Asnaani</w:t>
      </w:r>
      <w:proofErr w:type="spellEnd"/>
      <w:r w:rsidRPr="00FD6493">
        <w:rPr>
          <w:rFonts w:ascii="Arial" w:eastAsia="Times New Roman" w:hAnsi="Arial" w:cs="Arial"/>
          <w:kern w:val="0"/>
          <w:sz w:val="24"/>
          <w:szCs w:val="24"/>
          <w:lang w:eastAsia="en-GB"/>
          <w14:ligatures w14:val="none"/>
        </w:rPr>
        <w:t>, A. (2017) ‘Cognitive-</w:t>
      </w:r>
      <w:proofErr w:type="spellStart"/>
      <w:r w:rsidRPr="00FD6493">
        <w:rPr>
          <w:rFonts w:ascii="Arial" w:eastAsia="Times New Roman" w:hAnsi="Arial" w:cs="Arial"/>
          <w:kern w:val="0"/>
          <w:sz w:val="24"/>
          <w:szCs w:val="24"/>
          <w:lang w:eastAsia="en-GB"/>
          <w14:ligatures w14:val="none"/>
        </w:rPr>
        <w:t>behavioral</w:t>
      </w:r>
      <w:proofErr w:type="spellEnd"/>
      <w:r w:rsidRPr="00FD6493">
        <w:rPr>
          <w:rFonts w:ascii="Arial" w:eastAsia="Times New Roman" w:hAnsi="Arial" w:cs="Arial"/>
          <w:kern w:val="0"/>
          <w:sz w:val="24"/>
          <w:szCs w:val="24"/>
          <w:lang w:eastAsia="en-GB"/>
          <w14:ligatures w14:val="none"/>
        </w:rPr>
        <w:t xml:space="preserve"> therapy for adult anxiety disorders’, </w:t>
      </w:r>
      <w:r w:rsidRPr="00FD6493">
        <w:rPr>
          <w:rFonts w:ascii="Arial" w:eastAsia="Times New Roman" w:hAnsi="Arial" w:cs="Arial"/>
          <w:i/>
          <w:iCs/>
          <w:kern w:val="0"/>
          <w:sz w:val="24"/>
          <w:szCs w:val="24"/>
          <w:lang w:eastAsia="en-GB"/>
          <w14:ligatures w14:val="none"/>
        </w:rPr>
        <w:t>World Psychiatry</w:t>
      </w:r>
      <w:r w:rsidRPr="00FD6493">
        <w:rPr>
          <w:rFonts w:ascii="Arial" w:eastAsia="Times New Roman" w:hAnsi="Arial" w:cs="Arial"/>
          <w:kern w:val="0"/>
          <w:sz w:val="24"/>
          <w:szCs w:val="24"/>
          <w:lang w:eastAsia="en-GB"/>
          <w14:ligatures w14:val="none"/>
        </w:rPr>
        <w:t>, 16(2), pp.179–188.</w:t>
      </w:r>
    </w:p>
    <w:p w14:paraId="32B67DB6" w14:textId="77777777" w:rsidR="00FD6493" w:rsidRPr="00FD6493" w:rsidRDefault="00FD6493" w:rsidP="00FD6493">
      <w:pPr>
        <w:numPr>
          <w:ilvl w:val="0"/>
          <w:numId w:val="4"/>
        </w:numPr>
        <w:spacing w:before="100" w:beforeAutospacing="1" w:after="100" w:afterAutospacing="1" w:line="240" w:lineRule="auto"/>
        <w:rPr>
          <w:rFonts w:ascii="Arial" w:eastAsia="Times New Roman" w:hAnsi="Arial" w:cs="Arial"/>
          <w:kern w:val="0"/>
          <w:sz w:val="24"/>
          <w:szCs w:val="24"/>
          <w:lang w:eastAsia="en-GB"/>
          <w14:ligatures w14:val="none"/>
        </w:rPr>
      </w:pPr>
      <w:r w:rsidRPr="00FD6493">
        <w:rPr>
          <w:rFonts w:ascii="Arial" w:eastAsia="Times New Roman" w:hAnsi="Arial" w:cs="Arial"/>
          <w:kern w:val="0"/>
          <w:sz w:val="24"/>
          <w:szCs w:val="24"/>
          <w:lang w:eastAsia="en-GB"/>
          <w14:ligatures w14:val="none"/>
        </w:rPr>
        <w:t xml:space="preserve">Mind (2023) </w:t>
      </w:r>
      <w:r w:rsidRPr="00FD6493">
        <w:rPr>
          <w:rFonts w:ascii="Arial" w:eastAsia="Times New Roman" w:hAnsi="Arial" w:cs="Arial"/>
          <w:i/>
          <w:iCs/>
          <w:kern w:val="0"/>
          <w:sz w:val="24"/>
          <w:szCs w:val="24"/>
          <w:lang w:eastAsia="en-GB"/>
          <w14:ligatures w14:val="none"/>
        </w:rPr>
        <w:t>Understanding anxiety disorders</w:t>
      </w:r>
      <w:r w:rsidRPr="00FD6493">
        <w:rPr>
          <w:rFonts w:ascii="Arial" w:eastAsia="Times New Roman" w:hAnsi="Arial" w:cs="Arial"/>
          <w:kern w:val="0"/>
          <w:sz w:val="24"/>
          <w:szCs w:val="24"/>
          <w:lang w:eastAsia="en-GB"/>
          <w14:ligatures w14:val="none"/>
        </w:rPr>
        <w:t>. London: Mind.</w:t>
      </w:r>
    </w:p>
    <w:p w14:paraId="1E018AAF" w14:textId="77777777" w:rsidR="00FD6493" w:rsidRPr="00FD6493" w:rsidRDefault="00FD6493" w:rsidP="00FD6493">
      <w:pPr>
        <w:numPr>
          <w:ilvl w:val="0"/>
          <w:numId w:val="4"/>
        </w:numPr>
        <w:spacing w:before="100" w:beforeAutospacing="1" w:after="100" w:afterAutospacing="1" w:line="240" w:lineRule="auto"/>
        <w:rPr>
          <w:rFonts w:ascii="Arial" w:eastAsia="Times New Roman" w:hAnsi="Arial" w:cs="Arial"/>
          <w:kern w:val="0"/>
          <w:sz w:val="24"/>
          <w:szCs w:val="24"/>
          <w:lang w:eastAsia="en-GB"/>
          <w14:ligatures w14:val="none"/>
        </w:rPr>
      </w:pPr>
      <w:r w:rsidRPr="00FD6493">
        <w:rPr>
          <w:rFonts w:ascii="Arial" w:eastAsia="Times New Roman" w:hAnsi="Arial" w:cs="Arial"/>
          <w:kern w:val="0"/>
          <w:sz w:val="24"/>
          <w:szCs w:val="24"/>
          <w:lang w:eastAsia="en-GB"/>
          <w14:ligatures w14:val="none"/>
        </w:rPr>
        <w:t xml:space="preserve">National Institute for Health and Care Excellence (NICE) (2022) </w:t>
      </w:r>
      <w:r w:rsidRPr="00FD6493">
        <w:rPr>
          <w:rFonts w:ascii="Arial" w:eastAsia="Times New Roman" w:hAnsi="Arial" w:cs="Arial"/>
          <w:i/>
          <w:iCs/>
          <w:kern w:val="0"/>
          <w:sz w:val="24"/>
          <w:szCs w:val="24"/>
          <w:lang w:eastAsia="en-GB"/>
          <w14:ligatures w14:val="none"/>
        </w:rPr>
        <w:t>Generalized anxiety disorder and panic disorder in adults: management</w:t>
      </w:r>
      <w:r w:rsidRPr="00FD6493">
        <w:rPr>
          <w:rFonts w:ascii="Arial" w:eastAsia="Times New Roman" w:hAnsi="Arial" w:cs="Arial"/>
          <w:kern w:val="0"/>
          <w:sz w:val="24"/>
          <w:szCs w:val="24"/>
          <w:lang w:eastAsia="en-GB"/>
          <w14:ligatures w14:val="none"/>
        </w:rPr>
        <w:t>. London: NICE.</w:t>
      </w:r>
    </w:p>
    <w:p w14:paraId="3C320DB4" w14:textId="77777777" w:rsidR="00FD6493" w:rsidRPr="00FD6493" w:rsidRDefault="00FD6493" w:rsidP="00FD6493">
      <w:pPr>
        <w:numPr>
          <w:ilvl w:val="0"/>
          <w:numId w:val="4"/>
        </w:numPr>
        <w:spacing w:before="100" w:beforeAutospacing="1" w:after="100" w:afterAutospacing="1" w:line="240" w:lineRule="auto"/>
        <w:rPr>
          <w:rFonts w:ascii="Arial" w:eastAsia="Times New Roman" w:hAnsi="Arial" w:cs="Arial"/>
          <w:kern w:val="0"/>
          <w:sz w:val="24"/>
          <w:szCs w:val="24"/>
          <w:lang w:eastAsia="en-GB"/>
          <w14:ligatures w14:val="none"/>
        </w:rPr>
      </w:pPr>
      <w:r w:rsidRPr="00FD6493">
        <w:rPr>
          <w:rFonts w:ascii="Arial" w:eastAsia="Times New Roman" w:hAnsi="Arial" w:cs="Arial"/>
          <w:kern w:val="0"/>
          <w:sz w:val="24"/>
          <w:szCs w:val="24"/>
          <w:lang w:eastAsia="en-GB"/>
          <w14:ligatures w14:val="none"/>
        </w:rPr>
        <w:t xml:space="preserve">Pilgrim, D. (2014) </w:t>
      </w:r>
      <w:r w:rsidRPr="00FD6493">
        <w:rPr>
          <w:rFonts w:ascii="Arial" w:eastAsia="Times New Roman" w:hAnsi="Arial" w:cs="Arial"/>
          <w:i/>
          <w:iCs/>
          <w:kern w:val="0"/>
          <w:sz w:val="24"/>
          <w:szCs w:val="24"/>
          <w:lang w:eastAsia="en-GB"/>
          <w14:ligatures w14:val="none"/>
        </w:rPr>
        <w:t>Key Concepts in Mental Health</w:t>
      </w:r>
      <w:r w:rsidRPr="00FD6493">
        <w:rPr>
          <w:rFonts w:ascii="Arial" w:eastAsia="Times New Roman" w:hAnsi="Arial" w:cs="Arial"/>
          <w:kern w:val="0"/>
          <w:sz w:val="24"/>
          <w:szCs w:val="24"/>
          <w:lang w:eastAsia="en-GB"/>
          <w14:ligatures w14:val="none"/>
        </w:rPr>
        <w:t>. London: Sage.</w:t>
      </w:r>
    </w:p>
    <w:p w14:paraId="2F051F64" w14:textId="77777777" w:rsidR="00FD6493" w:rsidRPr="00A47F97" w:rsidRDefault="00FD6493" w:rsidP="00FD6493">
      <w:pPr>
        <w:spacing w:before="100" w:beforeAutospacing="1" w:after="100" w:afterAutospacing="1" w:line="240" w:lineRule="auto"/>
        <w:ind w:left="720"/>
        <w:rPr>
          <w:rFonts w:ascii="Arial" w:eastAsia="Times New Roman" w:hAnsi="Arial" w:cs="Arial"/>
          <w:kern w:val="0"/>
          <w:sz w:val="24"/>
          <w:szCs w:val="24"/>
          <w:lang w:eastAsia="en-GB"/>
          <w14:ligatures w14:val="none"/>
        </w:rPr>
      </w:pPr>
    </w:p>
    <w:p w14:paraId="3ADF75CD" w14:textId="373A282E" w:rsidR="00A47F97" w:rsidRPr="0011526C" w:rsidRDefault="00A47F97" w:rsidP="00A47F97">
      <w:pPr>
        <w:rPr>
          <w:rFonts w:ascii="Arial" w:hAnsi="Arial" w:cs="Arial"/>
          <w:sz w:val="24"/>
          <w:szCs w:val="24"/>
        </w:rPr>
      </w:pPr>
    </w:p>
    <w:sectPr w:rsidR="00A47F97" w:rsidRPr="001152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D36F3"/>
    <w:multiLevelType w:val="multilevel"/>
    <w:tmpl w:val="A51EF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6947B4"/>
    <w:multiLevelType w:val="multilevel"/>
    <w:tmpl w:val="256E5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7823CB"/>
    <w:multiLevelType w:val="multilevel"/>
    <w:tmpl w:val="9A867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CB4618"/>
    <w:multiLevelType w:val="multilevel"/>
    <w:tmpl w:val="A97C9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E0E46D2"/>
    <w:multiLevelType w:val="multilevel"/>
    <w:tmpl w:val="2EE69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EA678A"/>
    <w:multiLevelType w:val="multilevel"/>
    <w:tmpl w:val="B3903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920256"/>
    <w:multiLevelType w:val="multilevel"/>
    <w:tmpl w:val="B3EC1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8756003">
    <w:abstractNumId w:val="3"/>
  </w:num>
  <w:num w:numId="2" w16cid:durableId="855919529">
    <w:abstractNumId w:val="5"/>
  </w:num>
  <w:num w:numId="3" w16cid:durableId="1452281646">
    <w:abstractNumId w:val="1"/>
  </w:num>
  <w:num w:numId="4" w16cid:durableId="1471359502">
    <w:abstractNumId w:val="0"/>
  </w:num>
  <w:num w:numId="5" w16cid:durableId="1463690573">
    <w:abstractNumId w:val="2"/>
  </w:num>
  <w:num w:numId="6" w16cid:durableId="1588658255">
    <w:abstractNumId w:val="6"/>
  </w:num>
  <w:num w:numId="7" w16cid:durableId="16291607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F97"/>
    <w:rsid w:val="002D6BE4"/>
    <w:rsid w:val="00306DC5"/>
    <w:rsid w:val="003A7C12"/>
    <w:rsid w:val="004F4F18"/>
    <w:rsid w:val="007059A3"/>
    <w:rsid w:val="0077441A"/>
    <w:rsid w:val="00A47F97"/>
    <w:rsid w:val="00AA3CEE"/>
    <w:rsid w:val="00F17CEA"/>
    <w:rsid w:val="00FD6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FCE2B"/>
  <w15:chartTrackingRefBased/>
  <w15:docId w15:val="{5B8A62DA-0825-4213-9E2E-8F74BA70A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F97"/>
  </w:style>
  <w:style w:type="paragraph" w:styleId="Heading1">
    <w:name w:val="heading 1"/>
    <w:basedOn w:val="Normal"/>
    <w:next w:val="Normal"/>
    <w:link w:val="Heading1Char"/>
    <w:uiPriority w:val="9"/>
    <w:qFormat/>
    <w:rsid w:val="00A47F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7F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7F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7F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7F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7F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7F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7F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7F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7F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7F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7F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7F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7F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7F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7F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7F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7F97"/>
    <w:rPr>
      <w:rFonts w:eastAsiaTheme="majorEastAsia" w:cstheme="majorBidi"/>
      <w:color w:val="272727" w:themeColor="text1" w:themeTint="D8"/>
    </w:rPr>
  </w:style>
  <w:style w:type="paragraph" w:styleId="Title">
    <w:name w:val="Title"/>
    <w:basedOn w:val="Normal"/>
    <w:next w:val="Normal"/>
    <w:link w:val="TitleChar"/>
    <w:uiPriority w:val="10"/>
    <w:qFormat/>
    <w:rsid w:val="00A47F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7F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7F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7F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7F97"/>
    <w:pPr>
      <w:spacing w:before="160"/>
      <w:jc w:val="center"/>
    </w:pPr>
    <w:rPr>
      <w:i/>
      <w:iCs/>
      <w:color w:val="404040" w:themeColor="text1" w:themeTint="BF"/>
    </w:rPr>
  </w:style>
  <w:style w:type="character" w:customStyle="1" w:styleId="QuoteChar">
    <w:name w:val="Quote Char"/>
    <w:basedOn w:val="DefaultParagraphFont"/>
    <w:link w:val="Quote"/>
    <w:uiPriority w:val="29"/>
    <w:rsid w:val="00A47F97"/>
    <w:rPr>
      <w:i/>
      <w:iCs/>
      <w:color w:val="404040" w:themeColor="text1" w:themeTint="BF"/>
    </w:rPr>
  </w:style>
  <w:style w:type="paragraph" w:styleId="ListParagraph">
    <w:name w:val="List Paragraph"/>
    <w:basedOn w:val="Normal"/>
    <w:uiPriority w:val="34"/>
    <w:qFormat/>
    <w:rsid w:val="00A47F97"/>
    <w:pPr>
      <w:ind w:left="720"/>
      <w:contextualSpacing/>
    </w:pPr>
  </w:style>
  <w:style w:type="character" w:styleId="IntenseEmphasis">
    <w:name w:val="Intense Emphasis"/>
    <w:basedOn w:val="DefaultParagraphFont"/>
    <w:uiPriority w:val="21"/>
    <w:qFormat/>
    <w:rsid w:val="00A47F97"/>
    <w:rPr>
      <w:i/>
      <w:iCs/>
      <w:color w:val="0F4761" w:themeColor="accent1" w:themeShade="BF"/>
    </w:rPr>
  </w:style>
  <w:style w:type="paragraph" w:styleId="IntenseQuote">
    <w:name w:val="Intense Quote"/>
    <w:basedOn w:val="Normal"/>
    <w:next w:val="Normal"/>
    <w:link w:val="IntenseQuoteChar"/>
    <w:uiPriority w:val="30"/>
    <w:qFormat/>
    <w:rsid w:val="00A47F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7F97"/>
    <w:rPr>
      <w:i/>
      <w:iCs/>
      <w:color w:val="0F4761" w:themeColor="accent1" w:themeShade="BF"/>
    </w:rPr>
  </w:style>
  <w:style w:type="character" w:styleId="IntenseReference">
    <w:name w:val="Intense Reference"/>
    <w:basedOn w:val="DefaultParagraphFont"/>
    <w:uiPriority w:val="32"/>
    <w:qFormat/>
    <w:rsid w:val="00A47F97"/>
    <w:rPr>
      <w:b/>
      <w:bCs/>
      <w:smallCaps/>
      <w:color w:val="0F4761" w:themeColor="accent1" w:themeShade="BF"/>
      <w:spacing w:val="5"/>
    </w:rPr>
  </w:style>
  <w:style w:type="paragraph" w:styleId="NormalWeb">
    <w:name w:val="Normal (Web)"/>
    <w:basedOn w:val="Normal"/>
    <w:uiPriority w:val="99"/>
    <w:unhideWhenUsed/>
    <w:rsid w:val="00A47F9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A47F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8</Pages>
  <Words>2331</Words>
  <Characters>13289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sabina kauser</dc:creator>
  <cp:keywords/>
  <dc:description/>
  <cp:lastModifiedBy>sabina kauser</cp:lastModifiedBy>
  <cp:revision>1</cp:revision>
  <dcterms:created xsi:type="dcterms:W3CDTF">2026-03-10T15:46:00Z</dcterms:created>
  <dcterms:modified xsi:type="dcterms:W3CDTF">2026-03-10T16:34:00Z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ae538063-daa4-47bd-b01d-b421c7347fef</vt:lpwstr>
  </property>
</Properties>
</file>