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0F6D3" w14:textId="77777777" w:rsidR="00DB1A70" w:rsidRPr="00DB1A70" w:rsidRDefault="001449FA" w:rsidP="00DB1A70">
      <w:pPr>
        <w:spacing w:after="64" w:line="360" w:lineRule="auto"/>
        <w:jc w:val="center"/>
        <w:rPr>
          <w:rFonts w:asciiTheme="minorHAnsi" w:hAnsiTheme="minorHAnsi" w:cstheme="minorHAnsi"/>
          <w:spacing w:val="-3"/>
          <w:sz w:val="22"/>
          <w:szCs w:val="22"/>
        </w:rPr>
      </w:pPr>
      <w:r>
        <w:rPr>
          <w:rFonts w:asciiTheme="minorHAnsi" w:hAnsiTheme="minorHAnsi" w:cstheme="minorHAnsi"/>
        </w:rPr>
        <w:t xml:space="preserve"> </w:t>
      </w:r>
      <w:r w:rsidR="00DB1A70" w:rsidRPr="00DB1A70">
        <w:rPr>
          <w:rFonts w:asciiTheme="minorHAnsi" w:hAnsiTheme="minorHAnsi" w:cstheme="minorHAnsi"/>
          <w:spacing w:val="-3"/>
          <w:sz w:val="22"/>
          <w:szCs w:val="22"/>
        </w:rPr>
        <w:t>What features of medieval books of hours might explain their popularity in the Middle Ages?</w:t>
      </w:r>
    </w:p>
    <w:p w14:paraId="7319C45B" w14:textId="77777777" w:rsidR="00DB1A70" w:rsidRPr="00DB1A70" w:rsidRDefault="00DB1A70" w:rsidP="00DB1A70">
      <w:pPr>
        <w:spacing w:line="360" w:lineRule="auto"/>
        <w:rPr>
          <w:rFonts w:asciiTheme="minorHAnsi" w:hAnsiTheme="minorHAnsi" w:cstheme="minorHAnsi"/>
          <w:sz w:val="22"/>
          <w:szCs w:val="22"/>
        </w:rPr>
      </w:pPr>
    </w:p>
    <w:p w14:paraId="3E8ED0BE"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noProof/>
          <w:sz w:val="22"/>
          <w:szCs w:val="22"/>
        </w:rPr>
        <w:drawing>
          <wp:inline distT="0" distB="0" distL="0" distR="0" wp14:anchorId="6FCF485B" wp14:editId="7E17C351">
            <wp:extent cx="1859915" cy="1772222"/>
            <wp:effectExtent l="0" t="0" r="6985" b="0"/>
            <wp:docPr id="4" name="Picture 4" descr="A lady pra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lady prayi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812" t="18079" r="49730" b="36641"/>
                    <a:stretch/>
                  </pic:blipFill>
                  <pic:spPr bwMode="auto">
                    <a:xfrm>
                      <a:off x="0" y="0"/>
                      <a:ext cx="1860324" cy="1772612"/>
                    </a:xfrm>
                    <a:prstGeom prst="rect">
                      <a:avLst/>
                    </a:prstGeom>
                    <a:noFill/>
                    <a:ln>
                      <a:noFill/>
                    </a:ln>
                    <a:extLst>
                      <a:ext uri="{53640926-AAD7-44D8-BBD7-CCE9431645EC}">
                        <a14:shadowObscured xmlns:a14="http://schemas.microsoft.com/office/drawing/2010/main"/>
                      </a:ext>
                    </a:extLst>
                  </pic:spPr>
                </pic:pic>
              </a:graphicData>
            </a:graphic>
          </wp:inline>
        </w:drawing>
      </w:r>
    </w:p>
    <w:p w14:paraId="07EAE244" w14:textId="77777777" w:rsidR="00DB1A70" w:rsidRPr="00DB1A70" w:rsidRDefault="00DB1A70" w:rsidP="00DB1A70">
      <w:pPr>
        <w:widowControl/>
        <w:autoSpaceDE/>
        <w:autoSpaceDN/>
        <w:adjustRightInd/>
        <w:spacing w:after="200"/>
        <w:jc w:val="center"/>
        <w:rPr>
          <w:rFonts w:asciiTheme="minorHAnsi" w:hAnsiTheme="minorHAnsi" w:cstheme="minorHAnsi"/>
          <w:i/>
          <w:iCs/>
          <w:color w:val="44546A" w:themeColor="text2"/>
          <w:sz w:val="18"/>
          <w:szCs w:val="18"/>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1</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xml:space="preserve">: A lady (perhaps the owner) from the de </w:t>
      </w:r>
      <w:proofErr w:type="spellStart"/>
      <w:r w:rsidRPr="00DB1A70">
        <w:rPr>
          <w:rFonts w:asciiTheme="minorHAnsi" w:eastAsiaTheme="minorHAnsi" w:hAnsiTheme="minorHAnsi" w:cstheme="minorBidi"/>
          <w:i/>
          <w:iCs/>
          <w:color w:val="44546A" w:themeColor="text2"/>
          <w:sz w:val="18"/>
          <w:szCs w:val="18"/>
          <w:lang w:val="en-GB"/>
        </w:rPr>
        <w:t>Brailes</w:t>
      </w:r>
      <w:proofErr w:type="spellEnd"/>
      <w:r w:rsidRPr="00DB1A70">
        <w:rPr>
          <w:rFonts w:asciiTheme="minorHAnsi" w:eastAsiaTheme="minorHAnsi" w:hAnsiTheme="minorHAnsi" w:cstheme="minorBidi"/>
          <w:i/>
          <w:iCs/>
          <w:color w:val="44546A" w:themeColor="text2"/>
          <w:sz w:val="18"/>
          <w:szCs w:val="18"/>
          <w:lang w:val="en-GB"/>
        </w:rPr>
        <w:t xml:space="preserve"> Hours. BL Additional 49999 f. 64v. England, c. 1240.</w:t>
      </w:r>
      <w:r w:rsidRPr="00DB1A70">
        <w:rPr>
          <w:rFonts w:asciiTheme="minorHAnsi" w:eastAsiaTheme="minorHAnsi" w:hAnsiTheme="minorHAnsi" w:cstheme="minorBidi"/>
          <w:i/>
          <w:iCs/>
          <w:color w:val="44546A" w:themeColor="text2"/>
          <w:sz w:val="18"/>
          <w:szCs w:val="18"/>
          <w:vertAlign w:val="superscript"/>
          <w:lang w:val="en-GB"/>
        </w:rPr>
        <w:footnoteReference w:id="1"/>
      </w:r>
    </w:p>
    <w:p w14:paraId="58F70AFE" w14:textId="77777777" w:rsidR="00DB1A70" w:rsidRPr="00DB1A70" w:rsidRDefault="00DB1A70" w:rsidP="00DB1A70">
      <w:pPr>
        <w:spacing w:line="360" w:lineRule="auto"/>
        <w:jc w:val="center"/>
        <w:rPr>
          <w:rFonts w:asciiTheme="minorHAnsi" w:hAnsiTheme="minorHAnsi" w:cstheme="minorHAnsi"/>
          <w:sz w:val="22"/>
          <w:szCs w:val="22"/>
        </w:rPr>
      </w:pPr>
    </w:p>
    <w:p w14:paraId="186D8645"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 xml:space="preserve">Looking at Books of Hours from </w:t>
      </w:r>
      <w:proofErr w:type="gramStart"/>
      <w:r w:rsidRPr="00DB1A70">
        <w:rPr>
          <w:rFonts w:asciiTheme="minorHAnsi" w:hAnsiTheme="minorHAnsi" w:cstheme="minorHAnsi"/>
          <w:sz w:val="22"/>
          <w:szCs w:val="22"/>
        </w:rPr>
        <w:t>a distance of several</w:t>
      </w:r>
      <w:proofErr w:type="gramEnd"/>
      <w:r w:rsidRPr="00DB1A70">
        <w:rPr>
          <w:rFonts w:asciiTheme="minorHAnsi" w:hAnsiTheme="minorHAnsi" w:cstheme="minorHAnsi"/>
          <w:sz w:val="22"/>
          <w:szCs w:val="22"/>
        </w:rPr>
        <w:t xml:space="preserve"> hundred years and from a more secular age, it would be easy to say that what made Books of Hours popular was their beauty and indeed they are now regarded principally as works of art. While this must in part be true, the ornamentation is </w:t>
      </w:r>
      <w:proofErr w:type="gramStart"/>
      <w:r w:rsidRPr="00DB1A70">
        <w:rPr>
          <w:rFonts w:asciiTheme="minorHAnsi" w:hAnsiTheme="minorHAnsi" w:cstheme="minorHAnsi"/>
          <w:sz w:val="22"/>
          <w:szCs w:val="22"/>
        </w:rPr>
        <w:t>really only</w:t>
      </w:r>
      <w:proofErr w:type="gramEnd"/>
      <w:r w:rsidRPr="00DB1A70">
        <w:rPr>
          <w:rFonts w:asciiTheme="minorHAnsi" w:hAnsiTheme="minorHAnsi" w:cstheme="minorHAnsi"/>
          <w:sz w:val="22"/>
          <w:szCs w:val="22"/>
        </w:rPr>
        <w:t xml:space="preserve"> an optional extra: surely the real point was the text. They were personal devotional texts, aids to devotion, rather than books to be used in church (although they sometimes were) and were owned mainly by those with the means to purchase them. Janet Backhouse has called them ‘the standard book of popular devotion in western Europe during the late Middle Ages and Renaissance’</w:t>
      </w:r>
      <w:r w:rsidRPr="00DB1A70">
        <w:rPr>
          <w:rFonts w:asciiTheme="minorHAnsi" w:hAnsiTheme="minorHAnsi" w:cstheme="minorHAnsi"/>
          <w:sz w:val="22"/>
          <w:szCs w:val="22"/>
          <w:vertAlign w:val="superscript"/>
        </w:rPr>
        <w:footnoteReference w:id="2"/>
      </w:r>
      <w:r w:rsidRPr="00DB1A70">
        <w:rPr>
          <w:rFonts w:asciiTheme="minorHAnsi" w:hAnsiTheme="minorHAnsi" w:cstheme="minorHAnsi"/>
          <w:sz w:val="22"/>
          <w:szCs w:val="22"/>
        </w:rPr>
        <w:t xml:space="preserve"> and they are often referred to as medieval best-sellers, following Dr. L. M. J. </w:t>
      </w:r>
      <w:proofErr w:type="spellStart"/>
      <w:r w:rsidRPr="00DB1A70">
        <w:rPr>
          <w:rFonts w:asciiTheme="minorHAnsi" w:hAnsiTheme="minorHAnsi" w:cstheme="minorHAnsi"/>
          <w:sz w:val="22"/>
          <w:szCs w:val="22"/>
        </w:rPr>
        <w:t>Delaissé</w:t>
      </w:r>
      <w:proofErr w:type="spellEnd"/>
      <w:r w:rsidRPr="00DB1A70">
        <w:rPr>
          <w:rFonts w:asciiTheme="minorHAnsi" w:hAnsiTheme="minorHAnsi" w:cstheme="minorHAnsi"/>
          <w:sz w:val="22"/>
          <w:szCs w:val="22"/>
        </w:rPr>
        <w:t>.</w:t>
      </w:r>
      <w:r w:rsidRPr="00DB1A70">
        <w:rPr>
          <w:rFonts w:asciiTheme="minorHAnsi" w:hAnsiTheme="minorHAnsi" w:cstheme="minorHAnsi"/>
          <w:sz w:val="22"/>
          <w:szCs w:val="22"/>
          <w:vertAlign w:val="superscript"/>
        </w:rPr>
        <w:footnoteReference w:id="3"/>
      </w:r>
      <w:r w:rsidRPr="00DB1A70">
        <w:rPr>
          <w:rFonts w:asciiTheme="minorHAnsi" w:hAnsiTheme="minorHAnsi" w:cstheme="minorHAnsi"/>
          <w:sz w:val="22"/>
          <w:szCs w:val="22"/>
        </w:rPr>
        <w:t xml:space="preserve"> Judging from the numbers still extant this is probably true. Where ownership is known, many were owned by women, whether they had commissioned the books themselves or had acquired them by gift or inheritance.</w:t>
      </w:r>
      <w:r w:rsidRPr="00DB1A70">
        <w:rPr>
          <w:rFonts w:asciiTheme="minorHAnsi" w:hAnsiTheme="minorHAnsi" w:cstheme="minorHAnsi"/>
          <w:sz w:val="22"/>
          <w:szCs w:val="22"/>
          <w:vertAlign w:val="superscript"/>
        </w:rPr>
        <w:footnoteReference w:id="4"/>
      </w:r>
      <w:r w:rsidRPr="00DB1A70">
        <w:rPr>
          <w:rFonts w:asciiTheme="minorHAnsi" w:hAnsiTheme="minorHAnsi" w:cstheme="minorHAnsi"/>
          <w:sz w:val="22"/>
          <w:szCs w:val="22"/>
        </w:rPr>
        <w:t xml:space="preserve"> </w:t>
      </w:r>
      <w:r w:rsidRPr="00DB1A70">
        <w:rPr>
          <w:rFonts w:asciiTheme="minorHAnsi" w:hAnsiTheme="minorHAnsi" w:cstheme="minorHAnsi"/>
          <w:spacing w:val="-3"/>
          <w:sz w:val="22"/>
          <w:szCs w:val="22"/>
        </w:rPr>
        <w:t>To quote Susan Groag Bell: “…because organized medieval Christian ritual revolved around the greatest artistic treasures, perhaps laywomen, excluded from immediate contact with these treasures during Christian liturgical celebrations, wished their one item of devotion to be as beautiful as possible.”</w:t>
      </w:r>
      <w:r w:rsidRPr="00DB1A70">
        <w:rPr>
          <w:rFonts w:asciiTheme="minorHAnsi" w:hAnsiTheme="minorHAnsi" w:cstheme="minorHAnsi"/>
          <w:spacing w:val="-3"/>
          <w:sz w:val="22"/>
          <w:szCs w:val="22"/>
          <w:vertAlign w:val="superscript"/>
        </w:rPr>
        <w:footnoteReference w:id="5"/>
      </w:r>
      <w:r w:rsidRPr="00DB1A70">
        <w:rPr>
          <w:rFonts w:asciiTheme="minorHAnsi" w:hAnsiTheme="minorHAnsi" w:cstheme="minorHAnsi"/>
          <w:noProof/>
          <w:sz w:val="22"/>
          <w:szCs w:val="22"/>
        </w:rPr>
        <w:t xml:space="preserve"> </w:t>
      </w:r>
      <w:r w:rsidRPr="00DB1A70">
        <w:rPr>
          <w:rFonts w:asciiTheme="minorHAnsi" w:hAnsiTheme="minorHAnsi" w:cstheme="minorHAnsi"/>
          <w:sz w:val="22"/>
          <w:szCs w:val="22"/>
        </w:rPr>
        <w:t xml:space="preserve">Some of the best-known Books of Hours were, however, commissioned and owned by men: the Duke of Bedford’s Hours and the </w:t>
      </w:r>
      <w:proofErr w:type="spellStart"/>
      <w:r w:rsidRPr="00DB1A70">
        <w:rPr>
          <w:rFonts w:asciiTheme="minorHAnsi" w:hAnsiTheme="minorHAnsi" w:cstheme="minorHAnsi"/>
          <w:i/>
          <w:sz w:val="22"/>
          <w:szCs w:val="22"/>
        </w:rPr>
        <w:t>Très</w:t>
      </w:r>
      <w:proofErr w:type="spellEnd"/>
      <w:r w:rsidRPr="00DB1A70">
        <w:rPr>
          <w:rFonts w:asciiTheme="minorHAnsi" w:hAnsiTheme="minorHAnsi" w:cstheme="minorHAnsi"/>
          <w:i/>
          <w:sz w:val="22"/>
          <w:szCs w:val="22"/>
        </w:rPr>
        <w:t xml:space="preserve"> Riches Heures du Duc de Berry</w:t>
      </w:r>
      <w:r w:rsidRPr="00DB1A70">
        <w:rPr>
          <w:rFonts w:asciiTheme="minorHAnsi" w:hAnsiTheme="minorHAnsi" w:cstheme="minorHAnsi"/>
          <w:sz w:val="22"/>
          <w:szCs w:val="22"/>
        </w:rPr>
        <w:t xml:space="preserve"> to name only two. While many had full page miniatures, marginal ornament and illuminated and historiated initial letters, plainer volumes existed, and towards the end of the medieval period much less expensive printed volumes were available, proving their popularity. The more luxurious a book was, the more it</w:t>
      </w:r>
    </w:p>
    <w:p w14:paraId="3CC4D04C"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lastRenderedPageBreak/>
        <w:t>reflected the wealth and taste of its patron or owner,</w:t>
      </w:r>
      <w:r w:rsidRPr="00DB1A70">
        <w:rPr>
          <w:rFonts w:asciiTheme="minorHAnsi" w:hAnsiTheme="minorHAnsi" w:cstheme="minorHAnsi"/>
          <w:sz w:val="22"/>
          <w:szCs w:val="22"/>
          <w:vertAlign w:val="superscript"/>
        </w:rPr>
        <w:footnoteReference w:id="6"/>
      </w:r>
      <w:r w:rsidRPr="00DB1A70">
        <w:rPr>
          <w:rFonts w:asciiTheme="minorHAnsi" w:hAnsiTheme="minorHAnsi" w:cstheme="minorHAnsi"/>
          <w:sz w:val="22"/>
          <w:szCs w:val="22"/>
        </w:rPr>
        <w:t xml:space="preserve"> but that could have been displayed in any book. The reason for the original popularity of the Book of Hours must lay elsewhere. </w:t>
      </w:r>
    </w:p>
    <w:p w14:paraId="6577B52B" w14:textId="77777777" w:rsidR="00DB1A70" w:rsidRPr="00DB1A70" w:rsidRDefault="00DB1A70" w:rsidP="00DB1A70">
      <w:pPr>
        <w:spacing w:line="360" w:lineRule="auto"/>
        <w:rPr>
          <w:rFonts w:asciiTheme="minorHAnsi" w:hAnsiTheme="minorHAnsi" w:cstheme="minorHAnsi"/>
          <w:sz w:val="22"/>
          <w:szCs w:val="22"/>
        </w:rPr>
      </w:pPr>
    </w:p>
    <w:p w14:paraId="3C6E305A" w14:textId="4F562548"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 xml:space="preserve">Features under discussion here fall into two categories: the tangible (calendars, the Office etc.) and the intangible. The first group is obvious, but the second appears only on reflection, and includes such things as feelings of proximity to Mary and the saints and the </w:t>
      </w:r>
      <w:r w:rsidR="00972E2B">
        <w:rPr>
          <w:rFonts w:asciiTheme="minorHAnsi" w:hAnsiTheme="minorHAnsi" w:cstheme="minorHAnsi"/>
          <w:sz w:val="22"/>
          <w:szCs w:val="22"/>
        </w:rPr>
        <w:t xml:space="preserve">meditative nature of the </w:t>
      </w:r>
      <w:r w:rsidR="0003233C">
        <w:rPr>
          <w:rFonts w:asciiTheme="minorHAnsi" w:hAnsiTheme="minorHAnsi" w:cstheme="minorHAnsi"/>
          <w:sz w:val="22"/>
          <w:szCs w:val="22"/>
        </w:rPr>
        <w:t>miniatures</w:t>
      </w:r>
      <w:r w:rsidRPr="00DB1A70">
        <w:rPr>
          <w:rFonts w:asciiTheme="minorHAnsi" w:hAnsiTheme="minorHAnsi" w:cstheme="minorHAnsi"/>
          <w:sz w:val="22"/>
          <w:szCs w:val="22"/>
        </w:rPr>
        <w:t>.</w:t>
      </w:r>
      <w:r w:rsidRPr="00DB1A70">
        <w:rPr>
          <w:rFonts w:asciiTheme="minorHAnsi" w:hAnsiTheme="minorHAnsi" w:cstheme="minorHAnsi"/>
          <w:sz w:val="22"/>
          <w:szCs w:val="22"/>
          <w:vertAlign w:val="superscript"/>
        </w:rPr>
        <w:footnoteReference w:id="7"/>
      </w:r>
      <w:r w:rsidRPr="00DB1A70">
        <w:rPr>
          <w:rFonts w:asciiTheme="minorHAnsi" w:hAnsiTheme="minorHAnsi" w:cstheme="minorHAnsi"/>
          <w:sz w:val="22"/>
          <w:szCs w:val="22"/>
        </w:rPr>
        <w:t xml:space="preserve"> These books developed from the Psalters used in monasteries and churches to become a text for personal and domestic use and were often small enough to be wrapped in a </w:t>
      </w:r>
      <w:r w:rsidRPr="00DB1A70">
        <w:rPr>
          <w:rFonts w:asciiTheme="minorHAnsi" w:hAnsiTheme="minorHAnsi" w:cstheme="minorHAnsi"/>
          <w:i/>
          <w:sz w:val="22"/>
          <w:szCs w:val="22"/>
        </w:rPr>
        <w:t>chemisette</w:t>
      </w:r>
      <w:r w:rsidRPr="00DB1A70">
        <w:rPr>
          <w:rFonts w:asciiTheme="minorHAnsi" w:hAnsiTheme="minorHAnsi" w:cstheme="minorHAnsi"/>
          <w:sz w:val="22"/>
          <w:szCs w:val="22"/>
        </w:rPr>
        <w:t xml:space="preserve"> (a wrapper, often made of silk) and suspended from the girdle.</w:t>
      </w:r>
      <w:r w:rsidR="002E3D29">
        <w:rPr>
          <w:rStyle w:val="FootnoteReference"/>
          <w:rFonts w:asciiTheme="minorHAnsi" w:hAnsiTheme="minorHAnsi" w:cstheme="minorHAnsi"/>
          <w:sz w:val="22"/>
          <w:szCs w:val="22"/>
        </w:rPr>
        <w:footnoteReference w:id="8"/>
      </w:r>
      <w:r w:rsidRPr="00DB1A70">
        <w:rPr>
          <w:rFonts w:asciiTheme="minorHAnsi" w:hAnsiTheme="minorHAnsi" w:cstheme="minorHAnsi"/>
          <w:sz w:val="22"/>
          <w:szCs w:val="22"/>
        </w:rPr>
        <w:t xml:space="preserve"> It is widely believed that medieval people attended church frequently, but they were bound to go only once a year</w:t>
      </w:r>
      <w:r w:rsidR="00953B86">
        <w:rPr>
          <w:rStyle w:val="FootnoteReference"/>
          <w:rFonts w:asciiTheme="minorHAnsi" w:hAnsiTheme="minorHAnsi" w:cstheme="minorHAnsi"/>
          <w:sz w:val="22"/>
          <w:szCs w:val="22"/>
        </w:rPr>
        <w:footnoteReference w:id="9"/>
      </w:r>
      <w:r w:rsidRPr="00DB1A70">
        <w:rPr>
          <w:rFonts w:asciiTheme="minorHAnsi" w:hAnsiTheme="minorHAnsi" w:cstheme="minorHAnsi"/>
          <w:sz w:val="22"/>
          <w:szCs w:val="22"/>
        </w:rPr>
        <w:t xml:space="preserve"> and, when attendance was difficult Books of Hours would be the next best thing, whether read to oneself or used in a household setting, read aloud. John </w:t>
      </w:r>
      <w:proofErr w:type="spellStart"/>
      <w:r w:rsidRPr="00DB1A70">
        <w:rPr>
          <w:rFonts w:asciiTheme="minorHAnsi" w:hAnsiTheme="minorHAnsi" w:cstheme="minorHAnsi"/>
          <w:sz w:val="22"/>
          <w:szCs w:val="22"/>
        </w:rPr>
        <w:t>Harthan</w:t>
      </w:r>
      <w:proofErr w:type="spellEnd"/>
      <w:r w:rsidRPr="00DB1A70">
        <w:rPr>
          <w:rFonts w:asciiTheme="minorHAnsi" w:hAnsiTheme="minorHAnsi" w:cstheme="minorHAnsi"/>
          <w:sz w:val="22"/>
          <w:szCs w:val="22"/>
        </w:rPr>
        <w:t xml:space="preserve"> tells us that they were also used in church: whether to add to the service, or to distract from it is unknown.</w:t>
      </w:r>
      <w:r w:rsidRPr="00DB1A70">
        <w:rPr>
          <w:rFonts w:asciiTheme="minorHAnsi" w:hAnsiTheme="minorHAnsi" w:cstheme="minorHAnsi"/>
          <w:sz w:val="22"/>
          <w:szCs w:val="22"/>
          <w:vertAlign w:val="superscript"/>
        </w:rPr>
        <w:footnoteReference w:id="10"/>
      </w:r>
      <w:r w:rsidRPr="00DB1A70">
        <w:rPr>
          <w:rFonts w:asciiTheme="minorHAnsi" w:hAnsiTheme="minorHAnsi" w:cstheme="minorHAnsi"/>
          <w:sz w:val="22"/>
          <w:szCs w:val="22"/>
        </w:rPr>
        <w:t xml:space="preserve"> This small-scale use must often have made the small dimensions of the book a benefit and given the feeling of having a church in one’s purse. A Book of Hours would consist of the Little Office of the Blessed Virgin Mary with other items such as a calendar, the Office of the Dead, the Office of the Cross, the Office of the Holy Spirit, the Penitential Psalms, the Gradual Psalms, a Litany of saints and prayers to those saints and to Mary as well as other things. Each book did not necessarily have all these parts: </w:t>
      </w:r>
      <w:proofErr w:type="gramStart"/>
      <w:r w:rsidRPr="00DB1A70">
        <w:rPr>
          <w:rFonts w:asciiTheme="minorHAnsi" w:hAnsiTheme="minorHAnsi" w:cstheme="minorHAnsi"/>
          <w:sz w:val="22"/>
          <w:szCs w:val="22"/>
        </w:rPr>
        <w:t>the</w:t>
      </w:r>
      <w:proofErr w:type="gramEnd"/>
      <w:r w:rsidRPr="00DB1A70">
        <w:rPr>
          <w:rFonts w:asciiTheme="minorHAnsi" w:hAnsiTheme="minorHAnsi" w:cstheme="minorHAnsi"/>
          <w:sz w:val="22"/>
          <w:szCs w:val="22"/>
        </w:rPr>
        <w:t xml:space="preserve"> Office of the Virgin was always there, but other parts were optional, although the calendar and the Office of the Dead are frequent inclusions. The selectable nature of the contents must also be a reason for popularity: </w:t>
      </w:r>
      <w:proofErr w:type="gramStart"/>
      <w:r w:rsidRPr="00DB1A70">
        <w:rPr>
          <w:rFonts w:asciiTheme="minorHAnsi" w:hAnsiTheme="minorHAnsi" w:cstheme="minorHAnsi"/>
          <w:sz w:val="22"/>
          <w:szCs w:val="22"/>
        </w:rPr>
        <w:t>a</w:t>
      </w:r>
      <w:proofErr w:type="gramEnd"/>
      <w:r w:rsidRPr="00DB1A70">
        <w:rPr>
          <w:rFonts w:asciiTheme="minorHAnsi" w:hAnsiTheme="minorHAnsi" w:cstheme="minorHAnsi"/>
          <w:sz w:val="22"/>
          <w:szCs w:val="22"/>
        </w:rPr>
        <w:t xml:space="preserve"> Book of Hours could be tailored to the needs of the individual.</w:t>
      </w:r>
    </w:p>
    <w:p w14:paraId="6A41BE97" w14:textId="77777777" w:rsidR="00DB1A70" w:rsidRPr="00DB1A70" w:rsidRDefault="00DB1A70" w:rsidP="00DB1A70">
      <w:pPr>
        <w:spacing w:line="360" w:lineRule="auto"/>
        <w:rPr>
          <w:rFonts w:asciiTheme="minorHAnsi" w:hAnsiTheme="minorHAnsi" w:cstheme="minorHAnsi"/>
          <w:sz w:val="22"/>
          <w:szCs w:val="22"/>
        </w:rPr>
      </w:pPr>
    </w:p>
    <w:p w14:paraId="77399526"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Usually, the first section of any Book of Hours was the calendar, with one or two pages for each month, often ornamented with the zodiac sign and labour for that month as shown in Plate 2. The calendar listed saints’ days and other religious anniversaries and feasts and so was invaluable in a pious household. The saints included varied: the list could be regional or even personal, according to the wish of the owner although many Books of Hours carried only a standardized selection of saints.</w:t>
      </w:r>
      <w:r w:rsidRPr="00DB1A70">
        <w:rPr>
          <w:rFonts w:asciiTheme="minorHAnsi" w:hAnsiTheme="minorHAnsi" w:cstheme="minorHAnsi"/>
          <w:sz w:val="22"/>
          <w:szCs w:val="22"/>
          <w:vertAlign w:val="superscript"/>
        </w:rPr>
        <w:footnoteReference w:id="11"/>
      </w:r>
      <w:r w:rsidRPr="00DB1A70">
        <w:rPr>
          <w:rFonts w:asciiTheme="minorHAnsi" w:hAnsiTheme="minorHAnsi" w:cstheme="minorHAnsi"/>
          <w:sz w:val="22"/>
          <w:szCs w:val="22"/>
        </w:rPr>
        <w:t xml:space="preserve"> By the fifteenth century many of these books were produced in workshops for sale, rather than having been individually commissioned, making this understandable. Many of the commissioned books must also have been produced in this way by making selections from examples, </w:t>
      </w:r>
      <w:r w:rsidRPr="00DB1A70">
        <w:rPr>
          <w:rFonts w:asciiTheme="minorHAnsi" w:hAnsiTheme="minorHAnsi" w:cstheme="minorHAnsi"/>
          <w:sz w:val="22"/>
          <w:szCs w:val="22"/>
        </w:rPr>
        <w:lastRenderedPageBreak/>
        <w:t xml:space="preserve">but with the option of including other saints and extra offices and prayers. This is a practical almanack, often also highlighting inauspicious days to help guard against beginning an enterprise or </w:t>
      </w:r>
    </w:p>
    <w:p w14:paraId="771BBB07"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noProof/>
          <w:sz w:val="22"/>
          <w:szCs w:val="22"/>
        </w:rPr>
        <w:drawing>
          <wp:inline distT="0" distB="0" distL="0" distR="0" wp14:anchorId="70ACE8CB" wp14:editId="346BA304">
            <wp:extent cx="2889250" cy="4296410"/>
            <wp:effectExtent l="0" t="0" r="6350" b="8890"/>
            <wp:docPr id="2" name="Picture 2" descr="M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ch"/>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760" t="6217" r="16112" b="17164"/>
                    <a:stretch/>
                  </pic:blipFill>
                  <pic:spPr bwMode="auto">
                    <a:xfrm>
                      <a:off x="0" y="0"/>
                      <a:ext cx="2889250" cy="4296410"/>
                    </a:xfrm>
                    <a:prstGeom prst="rect">
                      <a:avLst/>
                    </a:prstGeom>
                    <a:noFill/>
                    <a:ln>
                      <a:noFill/>
                    </a:ln>
                    <a:extLst>
                      <a:ext uri="{53640926-AAD7-44D8-BBD7-CCE9431645EC}">
                        <a14:shadowObscured xmlns:a14="http://schemas.microsoft.com/office/drawing/2010/main"/>
                      </a:ext>
                    </a:extLst>
                  </pic:spPr>
                </pic:pic>
              </a:graphicData>
            </a:graphic>
          </wp:inline>
        </w:drawing>
      </w:r>
    </w:p>
    <w:p w14:paraId="7DE2EEDB" w14:textId="77777777" w:rsidR="00DB1A70" w:rsidRPr="00DB1A70" w:rsidRDefault="00DB1A70" w:rsidP="00DB1A70">
      <w:pPr>
        <w:widowControl/>
        <w:autoSpaceDE/>
        <w:autoSpaceDN/>
        <w:adjustRightInd/>
        <w:spacing w:after="200"/>
        <w:jc w:val="center"/>
        <w:rPr>
          <w:rFonts w:asciiTheme="minorHAnsi" w:eastAsiaTheme="minorHAnsi" w:hAnsiTheme="minorHAnsi" w:cstheme="minorBidi"/>
          <w:i/>
          <w:iCs/>
          <w:color w:val="44546A" w:themeColor="text2"/>
          <w:sz w:val="18"/>
          <w:szCs w:val="18"/>
          <w:lang w:val="en-GB"/>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2</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xml:space="preserve">: March. This shows the figure of Mars to the right, with a man cutting vines (the labour for the month) and Aries the Ram at the bottom. </w:t>
      </w:r>
      <w:bookmarkStart w:id="0" w:name="_Hlk512961895"/>
      <w:r w:rsidRPr="00DB1A70">
        <w:rPr>
          <w:rFonts w:asciiTheme="minorHAnsi" w:eastAsiaTheme="minorHAnsi" w:hAnsiTheme="minorHAnsi" w:cstheme="minorBidi"/>
          <w:i/>
          <w:iCs/>
          <w:color w:val="44546A" w:themeColor="text2"/>
          <w:sz w:val="18"/>
          <w:szCs w:val="18"/>
          <w:lang w:val="en-GB"/>
        </w:rPr>
        <w:t>Bedford Hours: BL Additional 18850 f. 3. France, 1410-1430</w:t>
      </w:r>
      <w:bookmarkEnd w:id="0"/>
      <w:r w:rsidRPr="00DB1A70">
        <w:rPr>
          <w:rFonts w:asciiTheme="minorHAnsi" w:eastAsiaTheme="minorHAnsi" w:hAnsiTheme="minorHAnsi" w:cstheme="minorBidi"/>
          <w:i/>
          <w:iCs/>
          <w:color w:val="44546A" w:themeColor="text2"/>
          <w:sz w:val="18"/>
          <w:szCs w:val="18"/>
          <w:lang w:val="en-GB"/>
        </w:rPr>
        <w:t>.</w:t>
      </w:r>
      <w:r w:rsidRPr="00DB1A70">
        <w:rPr>
          <w:rFonts w:asciiTheme="minorHAnsi" w:eastAsiaTheme="minorHAnsi" w:hAnsiTheme="minorHAnsi" w:cstheme="minorBidi"/>
          <w:i/>
          <w:iCs/>
          <w:color w:val="44546A" w:themeColor="text2"/>
          <w:sz w:val="18"/>
          <w:szCs w:val="18"/>
          <w:vertAlign w:val="superscript"/>
          <w:lang w:val="en-GB"/>
        </w:rPr>
        <w:footnoteReference w:id="12"/>
      </w:r>
    </w:p>
    <w:p w14:paraId="05F23662" w14:textId="77777777" w:rsidR="00DB1A70" w:rsidRPr="00DB1A70" w:rsidRDefault="00DB1A70" w:rsidP="00DB1A70">
      <w:pPr>
        <w:spacing w:line="360" w:lineRule="auto"/>
        <w:rPr>
          <w:rFonts w:asciiTheme="minorHAnsi" w:hAnsiTheme="minorHAnsi" w:cstheme="minorHAnsi"/>
          <w:sz w:val="22"/>
          <w:szCs w:val="22"/>
        </w:rPr>
      </w:pPr>
    </w:p>
    <w:p w14:paraId="381CF397"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Undertaking medical treatment on a bad day. These were called the dog days (</w:t>
      </w:r>
      <w:r w:rsidRPr="00DB1A70">
        <w:rPr>
          <w:rFonts w:asciiTheme="minorHAnsi" w:hAnsiTheme="minorHAnsi" w:cstheme="minorHAnsi"/>
          <w:i/>
          <w:sz w:val="22"/>
          <w:szCs w:val="22"/>
        </w:rPr>
        <w:t xml:space="preserve">dies </w:t>
      </w:r>
      <w:proofErr w:type="spellStart"/>
      <w:r w:rsidRPr="00DB1A70">
        <w:rPr>
          <w:rFonts w:asciiTheme="minorHAnsi" w:hAnsiTheme="minorHAnsi" w:cstheme="minorHAnsi"/>
          <w:i/>
          <w:sz w:val="22"/>
          <w:szCs w:val="22"/>
        </w:rPr>
        <w:t>caniculares</w:t>
      </w:r>
      <w:proofErr w:type="spellEnd"/>
      <w:r w:rsidRPr="00DB1A70">
        <w:rPr>
          <w:rFonts w:asciiTheme="minorHAnsi" w:hAnsiTheme="minorHAnsi" w:cstheme="minorHAnsi"/>
          <w:sz w:val="22"/>
          <w:szCs w:val="22"/>
        </w:rPr>
        <w:t>, the hottest of the year and considered unhealthy) and the Egyptian days (</w:t>
      </w:r>
      <w:r w:rsidRPr="00DB1A70">
        <w:rPr>
          <w:rFonts w:asciiTheme="minorHAnsi" w:hAnsiTheme="minorHAnsi" w:cstheme="minorHAnsi"/>
          <w:i/>
          <w:sz w:val="22"/>
          <w:szCs w:val="22"/>
        </w:rPr>
        <w:t xml:space="preserve">dies </w:t>
      </w:r>
      <w:proofErr w:type="spellStart"/>
      <w:r w:rsidRPr="00DB1A70">
        <w:rPr>
          <w:rFonts w:asciiTheme="minorHAnsi" w:hAnsiTheme="minorHAnsi" w:cstheme="minorHAnsi"/>
          <w:i/>
          <w:sz w:val="22"/>
          <w:szCs w:val="22"/>
        </w:rPr>
        <w:t>Aegyptici</w:t>
      </w:r>
      <w:proofErr w:type="spellEnd"/>
      <w:r w:rsidRPr="00DB1A70">
        <w:rPr>
          <w:rFonts w:asciiTheme="minorHAnsi" w:hAnsiTheme="minorHAnsi" w:cstheme="minorHAnsi"/>
          <w:i/>
          <w:sz w:val="22"/>
          <w:szCs w:val="22"/>
        </w:rPr>
        <w:t>,</w:t>
      </w:r>
      <w:r w:rsidRPr="00DB1A70">
        <w:rPr>
          <w:rFonts w:asciiTheme="minorHAnsi" w:hAnsiTheme="minorHAnsi" w:cstheme="minorHAnsi"/>
          <w:sz w:val="22"/>
          <w:szCs w:val="22"/>
        </w:rPr>
        <w:t xml:space="preserve"> perhaps because of their superstitious nature), usually two each month and considered to be best avoided when beginning an undertaking or </w:t>
      </w:r>
      <w:proofErr w:type="gramStart"/>
      <w:r w:rsidRPr="00DB1A70">
        <w:rPr>
          <w:rFonts w:asciiTheme="minorHAnsi" w:hAnsiTheme="minorHAnsi" w:cstheme="minorHAnsi"/>
          <w:sz w:val="22"/>
          <w:szCs w:val="22"/>
        </w:rPr>
        <w:t>making a decision</w:t>
      </w:r>
      <w:proofErr w:type="gramEnd"/>
      <w:r w:rsidRPr="00DB1A70">
        <w:rPr>
          <w:rFonts w:asciiTheme="minorHAnsi" w:hAnsiTheme="minorHAnsi" w:cstheme="minorHAnsi"/>
          <w:sz w:val="22"/>
          <w:szCs w:val="22"/>
        </w:rPr>
        <w:t>.</w:t>
      </w:r>
      <w:r w:rsidRPr="00DB1A70">
        <w:rPr>
          <w:rFonts w:asciiTheme="minorHAnsi" w:hAnsiTheme="minorHAnsi" w:cstheme="minorHAnsi"/>
          <w:sz w:val="22"/>
          <w:szCs w:val="22"/>
          <w:vertAlign w:val="superscript"/>
        </w:rPr>
        <w:footnoteReference w:id="13"/>
      </w:r>
      <w:r w:rsidRPr="00DB1A70">
        <w:rPr>
          <w:rFonts w:asciiTheme="minorHAnsi" w:hAnsiTheme="minorHAnsi" w:cstheme="minorHAnsi"/>
          <w:sz w:val="22"/>
          <w:szCs w:val="22"/>
        </w:rPr>
        <w:t xml:space="preserve"> Although the calendar could be relatively plain, in extreme examples such as the </w:t>
      </w:r>
      <w:proofErr w:type="spellStart"/>
      <w:r w:rsidRPr="00DB1A70">
        <w:rPr>
          <w:rFonts w:asciiTheme="minorHAnsi" w:hAnsiTheme="minorHAnsi" w:cstheme="minorHAnsi"/>
          <w:i/>
          <w:sz w:val="22"/>
          <w:szCs w:val="22"/>
        </w:rPr>
        <w:t>Très</w:t>
      </w:r>
      <w:proofErr w:type="spellEnd"/>
      <w:r w:rsidRPr="00DB1A70">
        <w:rPr>
          <w:rFonts w:asciiTheme="minorHAnsi" w:hAnsiTheme="minorHAnsi" w:cstheme="minorHAnsi"/>
          <w:i/>
          <w:sz w:val="22"/>
          <w:szCs w:val="22"/>
        </w:rPr>
        <w:t xml:space="preserve"> Riches Heures du Duc de Berry</w:t>
      </w:r>
      <w:r w:rsidRPr="00DB1A70">
        <w:rPr>
          <w:rFonts w:asciiTheme="minorHAnsi" w:hAnsiTheme="minorHAnsi" w:cstheme="minorHAnsi"/>
          <w:sz w:val="22"/>
          <w:szCs w:val="22"/>
        </w:rPr>
        <w:t xml:space="preserve"> the calendar reached heights of extraordinary beauty.</w:t>
      </w:r>
    </w:p>
    <w:p w14:paraId="49B9C537" w14:textId="77777777" w:rsidR="00DB1A70" w:rsidRPr="00DB1A70" w:rsidRDefault="00DB1A70" w:rsidP="00DB1A70">
      <w:pPr>
        <w:spacing w:line="360" w:lineRule="auto"/>
        <w:rPr>
          <w:rFonts w:asciiTheme="minorHAnsi" w:hAnsiTheme="minorHAnsi" w:cstheme="minorHAnsi"/>
          <w:sz w:val="22"/>
          <w:szCs w:val="22"/>
        </w:rPr>
      </w:pPr>
    </w:p>
    <w:p w14:paraId="76CFB541"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 xml:space="preserve">The one thing that all Books of Hours held in common at their heart was the Little Office of the Blessed Virgin Mary, giving a guide to the spiritual path of each day which could be followed in the home or wherever the reader found themselves and following the hours used in religious </w:t>
      </w:r>
      <w:r w:rsidRPr="00DB1A70">
        <w:rPr>
          <w:rFonts w:asciiTheme="minorHAnsi" w:hAnsiTheme="minorHAnsi" w:cstheme="minorHAnsi"/>
          <w:sz w:val="22"/>
          <w:szCs w:val="22"/>
        </w:rPr>
        <w:lastRenderedPageBreak/>
        <w:t xml:space="preserve">institutions: Matins, Lauds, Prime, Tierce, Sext, None, Vespers and Compline. Although it fulfilled its purpose of leading the worshipper through the Christian day, it is a text of Marian devotion, perhaps making it more meaningful to women, although it was popular with men as has been said. Much has been written about the perceived appeal of Books of Hours to women and some analysis of wills has </w:t>
      </w:r>
    </w:p>
    <w:p w14:paraId="19697C7F" w14:textId="77777777" w:rsidR="00DB1A70" w:rsidRPr="00DB1A70" w:rsidRDefault="00DB1A70" w:rsidP="00DB1A70">
      <w:pPr>
        <w:spacing w:line="360" w:lineRule="auto"/>
        <w:jc w:val="center"/>
        <w:rPr>
          <w:rFonts w:asciiTheme="minorHAnsi" w:hAnsiTheme="minorHAnsi" w:cstheme="minorHAnsi"/>
          <w:u w:val="single"/>
        </w:rPr>
      </w:pPr>
    </w:p>
    <w:p w14:paraId="7ED9CD9A"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noProof/>
          <w:sz w:val="22"/>
          <w:szCs w:val="22"/>
        </w:rPr>
        <w:drawing>
          <wp:inline distT="0" distB="0" distL="0" distR="0" wp14:anchorId="2059A041" wp14:editId="2965A240">
            <wp:extent cx="2980955" cy="4411814"/>
            <wp:effectExtent l="0" t="0" r="0" b="8255"/>
            <wp:docPr id="7" name="Picture 7" descr="Visi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isitat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992" r="2856" b="13602"/>
                    <a:stretch/>
                  </pic:blipFill>
                  <pic:spPr bwMode="auto">
                    <a:xfrm>
                      <a:off x="0" y="0"/>
                      <a:ext cx="2986841" cy="4420526"/>
                    </a:xfrm>
                    <a:prstGeom prst="rect">
                      <a:avLst/>
                    </a:prstGeom>
                    <a:noFill/>
                    <a:ln>
                      <a:noFill/>
                    </a:ln>
                    <a:extLst>
                      <a:ext uri="{53640926-AAD7-44D8-BBD7-CCE9431645EC}">
                        <a14:shadowObscured xmlns:a14="http://schemas.microsoft.com/office/drawing/2010/main"/>
                      </a:ext>
                    </a:extLst>
                  </pic:spPr>
                </pic:pic>
              </a:graphicData>
            </a:graphic>
          </wp:inline>
        </w:drawing>
      </w:r>
    </w:p>
    <w:p w14:paraId="04B1995D" w14:textId="77777777" w:rsidR="00DB1A70" w:rsidRPr="00DB1A70" w:rsidRDefault="00DB1A70" w:rsidP="00DB1A70">
      <w:pPr>
        <w:widowControl/>
        <w:autoSpaceDE/>
        <w:autoSpaceDN/>
        <w:adjustRightInd/>
        <w:spacing w:after="200"/>
        <w:jc w:val="center"/>
        <w:rPr>
          <w:rFonts w:asciiTheme="minorHAnsi" w:hAnsiTheme="minorHAnsi" w:cstheme="minorHAnsi"/>
          <w:i/>
          <w:iCs/>
          <w:color w:val="44546A" w:themeColor="text2"/>
          <w:u w:val="single"/>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3</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The Visitation from the Harley Book of Hours, BL Harley 928 f. 4. England, last quarter of the 13th century.</w:t>
      </w:r>
      <w:r w:rsidRPr="00DB1A70">
        <w:rPr>
          <w:rFonts w:asciiTheme="minorHAnsi" w:eastAsiaTheme="minorHAnsi" w:hAnsiTheme="minorHAnsi" w:cstheme="minorBidi"/>
          <w:i/>
          <w:iCs/>
          <w:color w:val="44546A" w:themeColor="text2"/>
          <w:sz w:val="18"/>
          <w:szCs w:val="18"/>
          <w:vertAlign w:val="superscript"/>
          <w:lang w:val="en-GB"/>
        </w:rPr>
        <w:footnoteReference w:id="14"/>
      </w:r>
    </w:p>
    <w:p w14:paraId="2C55478C" w14:textId="77777777" w:rsidR="00DB1A70" w:rsidRPr="00DB1A70" w:rsidRDefault="00DB1A70" w:rsidP="00DB1A70">
      <w:pPr>
        <w:spacing w:line="360" w:lineRule="auto"/>
        <w:ind w:left="4320" w:hanging="4320"/>
        <w:jc w:val="center"/>
        <w:rPr>
          <w:rFonts w:asciiTheme="minorHAnsi" w:hAnsiTheme="minorHAnsi" w:cstheme="minorHAnsi"/>
          <w:noProof/>
          <w:sz w:val="20"/>
          <w:szCs w:val="20"/>
        </w:rPr>
      </w:pPr>
    </w:p>
    <w:p w14:paraId="5EA699A1" w14:textId="77777777" w:rsidR="00DB1A70" w:rsidRPr="00DB1A70" w:rsidRDefault="00DB1A70" w:rsidP="00DB1A70">
      <w:pPr>
        <w:widowControl/>
        <w:autoSpaceDE/>
        <w:adjustRightInd/>
        <w:spacing w:after="64" w:line="360" w:lineRule="auto"/>
        <w:rPr>
          <w:rFonts w:asciiTheme="minorHAnsi" w:hAnsiTheme="minorHAnsi" w:cstheme="minorHAnsi"/>
          <w:noProof/>
          <w:sz w:val="22"/>
          <w:szCs w:val="22"/>
        </w:rPr>
      </w:pPr>
      <w:r w:rsidRPr="00DB1A70">
        <w:rPr>
          <w:rFonts w:asciiTheme="minorHAnsi" w:hAnsiTheme="minorHAnsi" w:cstheme="minorHAnsi"/>
          <w:sz w:val="22"/>
          <w:szCs w:val="22"/>
        </w:rPr>
        <w:t>been made to back this up</w:t>
      </w:r>
      <w:r w:rsidRPr="00DB1A70">
        <w:rPr>
          <w:rFonts w:asciiTheme="minorHAnsi" w:hAnsiTheme="minorHAnsi" w:cstheme="minorHAnsi"/>
          <w:sz w:val="22"/>
          <w:szCs w:val="22"/>
          <w:vertAlign w:val="superscript"/>
        </w:rPr>
        <w:footnoteReference w:id="15"/>
      </w:r>
      <w:r w:rsidRPr="00DB1A70">
        <w:rPr>
          <w:rFonts w:asciiTheme="minorHAnsi" w:hAnsiTheme="minorHAnsi" w:cstheme="minorHAnsi"/>
          <w:sz w:val="22"/>
          <w:szCs w:val="22"/>
        </w:rPr>
        <w:t xml:space="preserve"> although wider research would be helpful.</w:t>
      </w:r>
      <w:r w:rsidRPr="00DB1A70">
        <w:rPr>
          <w:rFonts w:asciiTheme="minorHAnsi" w:hAnsiTheme="minorHAnsi" w:cstheme="minorHAnsi"/>
          <w:spacing w:val="-3"/>
          <w:sz w:val="22"/>
          <w:szCs w:val="22"/>
        </w:rPr>
        <w:t xml:space="preserve"> </w:t>
      </w:r>
      <w:r w:rsidRPr="00DB1A70">
        <w:rPr>
          <w:rFonts w:asciiTheme="minorHAnsi" w:hAnsiTheme="minorHAnsi" w:cstheme="minorHAnsi"/>
          <w:noProof/>
          <w:sz w:val="22"/>
          <w:szCs w:val="22"/>
        </w:rPr>
        <w:t xml:space="preserve">Of course, Mary did not only appeal to women: one has only to consider the </w:t>
      </w:r>
      <w:r w:rsidRPr="00DB1A70">
        <w:rPr>
          <w:rFonts w:asciiTheme="minorHAnsi" w:hAnsiTheme="minorHAnsi" w:cstheme="minorHAnsi"/>
          <w:i/>
          <w:noProof/>
          <w:sz w:val="22"/>
          <w:szCs w:val="22"/>
        </w:rPr>
        <w:t>Cantigas de Santa Maria</w:t>
      </w:r>
      <w:r w:rsidRPr="00DB1A70">
        <w:rPr>
          <w:rFonts w:asciiTheme="minorHAnsi" w:hAnsiTheme="minorHAnsi" w:cstheme="minorHAnsi"/>
          <w:noProof/>
          <w:sz w:val="22"/>
          <w:szCs w:val="22"/>
        </w:rPr>
        <w:t>, compiled in the thirteenth century by Alfonso X (</w:t>
      </w:r>
      <w:r w:rsidRPr="00DB1A70">
        <w:rPr>
          <w:rFonts w:asciiTheme="minorHAnsi" w:hAnsiTheme="minorHAnsi" w:cstheme="minorHAnsi"/>
          <w:i/>
          <w:noProof/>
          <w:sz w:val="22"/>
          <w:szCs w:val="22"/>
        </w:rPr>
        <w:t>el Sabio</w:t>
      </w:r>
      <w:r w:rsidRPr="00DB1A70">
        <w:rPr>
          <w:rFonts w:asciiTheme="minorHAnsi" w:hAnsiTheme="minorHAnsi" w:cstheme="minorHAnsi"/>
          <w:noProof/>
          <w:sz w:val="22"/>
          <w:szCs w:val="22"/>
        </w:rPr>
        <w:t>) of Castile. Although the Cantigas is not a Book of Hours, its place here is justified by its focus on Marian devotion.</w:t>
      </w:r>
      <w:r w:rsidRPr="00DB1A70">
        <w:rPr>
          <w:rFonts w:asciiTheme="minorHAnsi" w:hAnsiTheme="minorHAnsi" w:cstheme="minorHAnsi"/>
          <w:sz w:val="22"/>
          <w:szCs w:val="22"/>
        </w:rPr>
        <w:t xml:space="preserve"> In most Books of Hours, the Office was prefaced by a miniature showing the Annunciation and many had one at the beginning of each hour showing further events her life up to the crucifixion and her eventual coronation. Shown above in Plate 3 is the Visitation of Mary to her cousin Elizabeth to announce her pregnancy. Other Books show, </w:t>
      </w:r>
      <w:r w:rsidRPr="00DB1A70">
        <w:rPr>
          <w:rFonts w:asciiTheme="minorHAnsi" w:hAnsiTheme="minorHAnsi" w:cstheme="minorHAnsi"/>
          <w:sz w:val="22"/>
          <w:szCs w:val="22"/>
        </w:rPr>
        <w:lastRenderedPageBreak/>
        <w:t>instead of events from the life of Mary, stages of the Easter story</w:t>
      </w:r>
      <w:r w:rsidRPr="00DB1A70">
        <w:rPr>
          <w:rFonts w:asciiTheme="minorHAnsi" w:hAnsiTheme="minorHAnsi" w:cstheme="minorHAnsi"/>
          <w:sz w:val="22"/>
          <w:szCs w:val="22"/>
          <w:vertAlign w:val="superscript"/>
        </w:rPr>
        <w:footnoteReference w:id="16"/>
      </w:r>
      <w:r w:rsidRPr="00DB1A70">
        <w:rPr>
          <w:rFonts w:asciiTheme="minorHAnsi" w:hAnsiTheme="minorHAnsi" w:cstheme="minorHAnsi"/>
          <w:sz w:val="22"/>
          <w:szCs w:val="22"/>
        </w:rPr>
        <w:t xml:space="preserve"> as seen in Plate 4. </w:t>
      </w:r>
      <w:r w:rsidRPr="00DB1A70">
        <w:rPr>
          <w:rFonts w:asciiTheme="minorHAnsi" w:hAnsiTheme="minorHAnsi" w:cstheme="minorHAnsi"/>
          <w:noProof/>
          <w:sz w:val="22"/>
          <w:szCs w:val="22"/>
        </w:rPr>
        <w:t>One of Mary’s most important roles was that of intercessor between God and the</w:t>
      </w:r>
      <w:r w:rsidRPr="00DB1A70">
        <w:rPr>
          <w:noProof/>
          <w:sz w:val="22"/>
          <w:szCs w:val="22"/>
        </w:rPr>
        <w:t xml:space="preserve"> </w:t>
      </w:r>
      <w:r w:rsidRPr="00DB1A70">
        <w:rPr>
          <w:rFonts w:asciiTheme="minorHAnsi" w:hAnsiTheme="minorHAnsi" w:cstheme="minorHAnsi"/>
          <w:noProof/>
          <w:sz w:val="22"/>
          <w:szCs w:val="22"/>
        </w:rPr>
        <w:t>supplicant and in an age when most people were conscious of living in a state of sin this was believed to be essential. Without intercession by Mary and other saints, time in Purgatory would be lengthened and access to Heaven made more difficult. One could also hope to intercede on behalf of the dead to shorten their time in Purgatory, an act benefitting not only the dead but also oneself. The Book of Hours give a method of access to Mary and the saints: surely a major selling point. Other Offices sometimes included were those of the Cross and of the Holy Spirit which were were shorter and usually less well illustrated.</w:t>
      </w:r>
      <w:r w:rsidRPr="00DB1A70">
        <w:rPr>
          <w:rFonts w:asciiTheme="minorHAnsi" w:hAnsiTheme="minorHAnsi" w:cstheme="minorHAnsi"/>
          <w:noProof/>
          <w:sz w:val="22"/>
          <w:szCs w:val="22"/>
          <w:vertAlign w:val="superscript"/>
        </w:rPr>
        <w:footnoteReference w:id="17"/>
      </w:r>
    </w:p>
    <w:p w14:paraId="3860922D" w14:textId="77777777" w:rsidR="00DB1A70" w:rsidRPr="00DB1A70" w:rsidRDefault="00DB1A70" w:rsidP="00DB1A70">
      <w:pPr>
        <w:keepNext/>
        <w:widowControl/>
        <w:autoSpaceDE/>
        <w:adjustRightInd/>
        <w:spacing w:after="64" w:line="360" w:lineRule="auto"/>
        <w:jc w:val="center"/>
        <w:rPr>
          <w:rFonts w:asciiTheme="minorHAnsi" w:eastAsiaTheme="minorHAnsi" w:hAnsiTheme="minorHAnsi" w:cstheme="minorBidi"/>
          <w:sz w:val="22"/>
          <w:szCs w:val="22"/>
          <w:lang w:val="en-GB"/>
        </w:rPr>
      </w:pPr>
      <w:r w:rsidRPr="00DB1A70">
        <w:rPr>
          <w:rFonts w:asciiTheme="minorHAnsi" w:eastAsiaTheme="minorHAnsi" w:hAnsiTheme="minorHAnsi" w:cstheme="minorBidi"/>
          <w:noProof/>
          <w:sz w:val="22"/>
          <w:szCs w:val="22"/>
          <w:lang w:val="en-GB"/>
        </w:rPr>
        <w:drawing>
          <wp:inline distT="0" distB="0" distL="0" distR="0" wp14:anchorId="3B0E336A" wp14:editId="2AD72BE5">
            <wp:extent cx="3266538" cy="5005137"/>
            <wp:effectExtent l="0" t="0" r="0" b="5080"/>
            <wp:docPr id="10" name="Picture 10" descr="The Crucifixion; St Helena and the True Cro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Crucifixion; St Helena and the True Cros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80" t="-2669" r="18752" b="2669"/>
                    <a:stretch/>
                  </pic:blipFill>
                  <pic:spPr bwMode="auto">
                    <a:xfrm>
                      <a:off x="0" y="0"/>
                      <a:ext cx="3271090" cy="5012112"/>
                    </a:xfrm>
                    <a:prstGeom prst="rect">
                      <a:avLst/>
                    </a:prstGeom>
                    <a:noFill/>
                    <a:ln>
                      <a:noFill/>
                    </a:ln>
                    <a:extLst>
                      <a:ext uri="{53640926-AAD7-44D8-BBD7-CCE9431645EC}">
                        <a14:shadowObscured xmlns:a14="http://schemas.microsoft.com/office/drawing/2010/main"/>
                      </a:ext>
                    </a:extLst>
                  </pic:spPr>
                </pic:pic>
              </a:graphicData>
            </a:graphic>
          </wp:inline>
        </w:drawing>
      </w:r>
    </w:p>
    <w:p w14:paraId="6BD49645" w14:textId="77777777" w:rsidR="00DB1A70" w:rsidRPr="00DB1A70" w:rsidRDefault="00DB1A70" w:rsidP="00DB1A70">
      <w:pPr>
        <w:widowControl/>
        <w:autoSpaceDE/>
        <w:autoSpaceDN/>
        <w:adjustRightInd/>
        <w:spacing w:after="200"/>
        <w:jc w:val="center"/>
        <w:rPr>
          <w:rFonts w:asciiTheme="minorHAnsi" w:hAnsiTheme="minorHAnsi" w:cstheme="minorHAnsi"/>
          <w:i/>
          <w:iCs/>
          <w:noProof/>
          <w:color w:val="44546A" w:themeColor="text2"/>
          <w:sz w:val="18"/>
          <w:szCs w:val="18"/>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4</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xml:space="preserve">: The Crucifixion from the </w:t>
      </w:r>
      <w:proofErr w:type="spellStart"/>
      <w:r w:rsidRPr="00DB1A70">
        <w:rPr>
          <w:rFonts w:asciiTheme="minorHAnsi" w:eastAsiaTheme="minorHAnsi" w:hAnsiTheme="minorHAnsi" w:cstheme="minorBidi"/>
          <w:i/>
          <w:iCs/>
          <w:color w:val="44546A" w:themeColor="text2"/>
          <w:sz w:val="18"/>
          <w:szCs w:val="18"/>
          <w:lang w:val="en-GB"/>
        </w:rPr>
        <w:t>Mirandola</w:t>
      </w:r>
      <w:proofErr w:type="spellEnd"/>
      <w:r w:rsidRPr="00DB1A70">
        <w:rPr>
          <w:rFonts w:asciiTheme="minorHAnsi" w:eastAsiaTheme="minorHAnsi" w:hAnsiTheme="minorHAnsi" w:cstheme="minorBidi"/>
          <w:i/>
          <w:iCs/>
          <w:color w:val="44546A" w:themeColor="text2"/>
          <w:sz w:val="18"/>
          <w:szCs w:val="18"/>
          <w:lang w:val="en-GB"/>
        </w:rPr>
        <w:t xml:space="preserve"> Hours. BL Additional 50002 f. 79. Italy, late 15th century.</w:t>
      </w:r>
      <w:r w:rsidRPr="00DB1A70">
        <w:rPr>
          <w:rFonts w:asciiTheme="minorHAnsi" w:eastAsiaTheme="minorHAnsi" w:hAnsiTheme="minorHAnsi" w:cstheme="minorBidi"/>
          <w:i/>
          <w:iCs/>
          <w:color w:val="44546A" w:themeColor="text2"/>
          <w:sz w:val="18"/>
          <w:szCs w:val="18"/>
          <w:vertAlign w:val="superscript"/>
          <w:lang w:val="en-GB"/>
        </w:rPr>
        <w:footnoteReference w:id="18"/>
      </w:r>
    </w:p>
    <w:p w14:paraId="5595D1AC" w14:textId="77777777" w:rsidR="00DB1A70" w:rsidRPr="00DB1A70" w:rsidRDefault="00DB1A70" w:rsidP="007D5FCC">
      <w:pPr>
        <w:widowControl/>
        <w:autoSpaceDE/>
        <w:adjustRightInd/>
        <w:spacing w:after="64" w:line="360" w:lineRule="auto"/>
        <w:rPr>
          <w:rFonts w:asciiTheme="minorHAnsi" w:hAnsiTheme="minorHAnsi" w:cstheme="minorHAnsi"/>
          <w:noProof/>
          <w:sz w:val="22"/>
          <w:szCs w:val="22"/>
        </w:rPr>
      </w:pPr>
    </w:p>
    <w:p w14:paraId="6F999005" w14:textId="0EADFD9D" w:rsidR="00DB1A70" w:rsidRPr="00DB1A70" w:rsidRDefault="00DB1A70" w:rsidP="00DB1A70">
      <w:pPr>
        <w:widowControl/>
        <w:autoSpaceDE/>
        <w:adjustRightInd/>
        <w:spacing w:after="64" w:line="360" w:lineRule="auto"/>
        <w:rPr>
          <w:rFonts w:asciiTheme="minorHAnsi" w:hAnsiTheme="minorHAnsi" w:cstheme="minorHAnsi"/>
          <w:sz w:val="22"/>
          <w:szCs w:val="22"/>
        </w:rPr>
      </w:pPr>
      <w:r w:rsidRPr="00DB1A70">
        <w:rPr>
          <w:rFonts w:asciiTheme="minorHAnsi" w:hAnsiTheme="minorHAnsi" w:cstheme="minorHAnsi"/>
          <w:sz w:val="22"/>
          <w:szCs w:val="22"/>
        </w:rPr>
        <w:lastRenderedPageBreak/>
        <w:t xml:space="preserve">Many Books of Hours contained the Office of the Dead, a set of services to be read over the corpse and the coffin as in Plate </w:t>
      </w:r>
      <w:r w:rsidR="007D5FCC">
        <w:rPr>
          <w:rFonts w:asciiTheme="minorHAnsi" w:hAnsiTheme="minorHAnsi" w:cstheme="minorHAnsi"/>
          <w:sz w:val="22"/>
          <w:szCs w:val="22"/>
        </w:rPr>
        <w:t>6</w:t>
      </w:r>
      <w:r w:rsidRPr="00DB1A70">
        <w:rPr>
          <w:rFonts w:asciiTheme="minorHAnsi" w:hAnsiTheme="minorHAnsi" w:cstheme="minorHAnsi"/>
          <w:sz w:val="22"/>
          <w:szCs w:val="22"/>
        </w:rPr>
        <w:t xml:space="preserve">, rather than </w:t>
      </w:r>
      <w:r w:rsidRPr="00DB1A70">
        <w:rPr>
          <w:rFonts w:asciiTheme="minorHAnsi" w:hAnsiTheme="minorHAnsi" w:cstheme="minorHAnsi"/>
          <w:i/>
          <w:sz w:val="22"/>
          <w:szCs w:val="22"/>
        </w:rPr>
        <w:t>in memoriam</w:t>
      </w:r>
      <w:r w:rsidRPr="00DB1A70">
        <w:rPr>
          <w:rFonts w:asciiTheme="minorHAnsi" w:hAnsiTheme="minorHAnsi" w:cstheme="minorHAnsi"/>
          <w:sz w:val="22"/>
          <w:szCs w:val="22"/>
        </w:rPr>
        <w:t xml:space="preserve">. In a time when death was closer to home it must have acted as spiritual balm for the bereaved and one can imagine a bereft mother reading the </w:t>
      </w:r>
    </w:p>
    <w:p w14:paraId="7136F62A" w14:textId="163B9F67" w:rsidR="00DB1A70" w:rsidRPr="00DB1A70" w:rsidRDefault="00DB1A70" w:rsidP="00DB1A70">
      <w:pPr>
        <w:widowControl/>
        <w:autoSpaceDE/>
        <w:adjustRightInd/>
        <w:spacing w:after="64" w:line="360" w:lineRule="auto"/>
        <w:rPr>
          <w:rFonts w:asciiTheme="minorHAnsi" w:hAnsiTheme="minorHAnsi" w:cstheme="minorHAnsi"/>
          <w:spacing w:val="-3"/>
          <w:sz w:val="22"/>
          <w:szCs w:val="22"/>
        </w:rPr>
      </w:pPr>
      <w:r w:rsidRPr="00DB1A70">
        <w:rPr>
          <w:rFonts w:asciiTheme="minorHAnsi" w:hAnsiTheme="minorHAnsi" w:cstheme="minorHAnsi"/>
          <w:sz w:val="22"/>
          <w:szCs w:val="22"/>
        </w:rPr>
        <w:t xml:space="preserve">text while grieving over a lost child and finding solace. Images such as Plate </w:t>
      </w:r>
      <w:r w:rsidR="007D5FCC">
        <w:rPr>
          <w:rFonts w:asciiTheme="minorHAnsi" w:hAnsiTheme="minorHAnsi" w:cstheme="minorHAnsi"/>
          <w:sz w:val="22"/>
          <w:szCs w:val="22"/>
        </w:rPr>
        <w:t>5</w:t>
      </w:r>
      <w:r w:rsidRPr="00DB1A70">
        <w:rPr>
          <w:rFonts w:asciiTheme="minorHAnsi" w:hAnsiTheme="minorHAnsi" w:cstheme="minorHAnsi"/>
          <w:sz w:val="22"/>
          <w:szCs w:val="22"/>
        </w:rPr>
        <w:t>, which shows souls being borne up to God, must have been comforting. Perhaps the Black Death and other recurrent plagues made this inclusion crucial for many owners. To quote Susan Groag Bell: “</w:t>
      </w:r>
      <w:r w:rsidRPr="00DB1A70">
        <w:rPr>
          <w:rFonts w:asciiTheme="minorHAnsi" w:hAnsiTheme="minorHAnsi" w:cstheme="minorHAnsi"/>
          <w:spacing w:val="-3"/>
          <w:sz w:val="22"/>
          <w:szCs w:val="22"/>
        </w:rPr>
        <w:t>Repeated natural disasters (plagues and famines) created hysteria and an emotional need for religious support.”</w:t>
      </w:r>
      <w:r w:rsidRPr="00DB1A70">
        <w:rPr>
          <w:rFonts w:asciiTheme="minorHAnsi" w:hAnsiTheme="minorHAnsi" w:cstheme="minorHAnsi"/>
          <w:spacing w:val="-3"/>
          <w:sz w:val="22"/>
          <w:szCs w:val="22"/>
          <w:vertAlign w:val="superscript"/>
        </w:rPr>
        <w:footnoteReference w:id="19"/>
      </w:r>
      <w:r w:rsidRPr="00DB1A70">
        <w:rPr>
          <w:rFonts w:asciiTheme="minorHAnsi" w:hAnsiTheme="minorHAnsi" w:cstheme="minorHAnsi"/>
          <w:spacing w:val="-3"/>
          <w:sz w:val="22"/>
          <w:szCs w:val="22"/>
        </w:rPr>
        <w:t xml:space="preserve"> Although Books of Hours flourished some years after the largest outbreaks of plague, the disease recurred several times and there were frequent wars bringing more deaths.</w:t>
      </w:r>
    </w:p>
    <w:p w14:paraId="648EAE41"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rFonts w:asciiTheme="minorHAnsi" w:eastAsiaTheme="minorHAnsi" w:hAnsiTheme="minorHAnsi" w:cstheme="minorBidi"/>
          <w:noProof/>
          <w:sz w:val="22"/>
          <w:szCs w:val="22"/>
          <w:lang w:val="en-GB"/>
        </w:rPr>
        <w:drawing>
          <wp:inline distT="0" distB="0" distL="0" distR="0" wp14:anchorId="1BBBC77C" wp14:editId="0DE0AAFB">
            <wp:extent cx="3793067" cy="4815455"/>
            <wp:effectExtent l="0" t="0" r="0" b="4445"/>
            <wp:docPr id="3" name="Picture 3" descr="Three Sou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ree Soul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602" t="3694" r="5456" b="8447"/>
                    <a:stretch/>
                  </pic:blipFill>
                  <pic:spPr bwMode="auto">
                    <a:xfrm>
                      <a:off x="0" y="0"/>
                      <a:ext cx="3829079" cy="4861174"/>
                    </a:xfrm>
                    <a:prstGeom prst="rect">
                      <a:avLst/>
                    </a:prstGeom>
                    <a:noFill/>
                    <a:ln>
                      <a:noFill/>
                    </a:ln>
                    <a:extLst>
                      <a:ext uri="{53640926-AAD7-44D8-BBD7-CCE9431645EC}">
                        <a14:shadowObscured xmlns:a14="http://schemas.microsoft.com/office/drawing/2010/main"/>
                      </a:ext>
                    </a:extLst>
                  </pic:spPr>
                </pic:pic>
              </a:graphicData>
            </a:graphic>
          </wp:inline>
        </w:drawing>
      </w:r>
    </w:p>
    <w:p w14:paraId="50BFDD56" w14:textId="77777777" w:rsidR="00DB1A70" w:rsidRPr="00DB1A70" w:rsidRDefault="00DB1A70" w:rsidP="00DB1A70">
      <w:pPr>
        <w:widowControl/>
        <w:autoSpaceDE/>
        <w:autoSpaceDN/>
        <w:adjustRightInd/>
        <w:spacing w:after="200"/>
        <w:jc w:val="center"/>
        <w:rPr>
          <w:rFonts w:asciiTheme="minorHAnsi" w:eastAsiaTheme="minorHAnsi" w:hAnsiTheme="minorHAnsi" w:cstheme="minorBidi"/>
          <w:i/>
          <w:iCs/>
          <w:color w:val="44546A" w:themeColor="text2"/>
          <w:sz w:val="18"/>
          <w:szCs w:val="18"/>
          <w:lang w:val="en-GB"/>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5</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Souls being borne to Heaven. The Hours of Elizabeth the Queen. BL Additional 50001 f. 67v. England 1420-1430.</w:t>
      </w:r>
      <w:r w:rsidRPr="00DB1A70">
        <w:rPr>
          <w:rFonts w:asciiTheme="minorHAnsi" w:eastAsiaTheme="minorHAnsi" w:hAnsiTheme="minorHAnsi" w:cstheme="minorBidi"/>
          <w:i/>
          <w:iCs/>
          <w:color w:val="44546A" w:themeColor="text2"/>
          <w:sz w:val="18"/>
          <w:szCs w:val="18"/>
          <w:vertAlign w:val="superscript"/>
          <w:lang w:val="en-GB"/>
        </w:rPr>
        <w:footnoteReference w:id="20"/>
      </w:r>
    </w:p>
    <w:p w14:paraId="6B9B1165" w14:textId="77777777" w:rsidR="00DB1A70" w:rsidRPr="00DB1A70" w:rsidRDefault="00DB1A70" w:rsidP="00DB1A70">
      <w:pPr>
        <w:spacing w:line="360" w:lineRule="auto"/>
        <w:jc w:val="center"/>
        <w:rPr>
          <w:rFonts w:asciiTheme="minorHAnsi" w:hAnsiTheme="minorHAnsi" w:cstheme="minorHAnsi"/>
          <w:sz w:val="20"/>
          <w:szCs w:val="20"/>
        </w:rPr>
      </w:pPr>
      <w:r w:rsidRPr="00DB1A70">
        <w:rPr>
          <w:rFonts w:asciiTheme="minorHAnsi" w:hAnsiTheme="minorHAnsi" w:cstheme="minorHAnsi"/>
          <w:sz w:val="20"/>
          <w:szCs w:val="20"/>
        </w:rPr>
        <w:t xml:space="preserve"> </w:t>
      </w:r>
    </w:p>
    <w:p w14:paraId="36F731C6" w14:textId="77777777" w:rsidR="00DB1A70" w:rsidRPr="00DB1A70" w:rsidRDefault="00DB1A70" w:rsidP="00DB1A70">
      <w:pPr>
        <w:widowControl/>
        <w:autoSpaceDE/>
        <w:adjustRightInd/>
        <w:spacing w:after="64" w:line="360" w:lineRule="auto"/>
        <w:rPr>
          <w:rFonts w:asciiTheme="minorHAnsi" w:hAnsiTheme="minorHAnsi" w:cstheme="minorHAnsi"/>
          <w:noProof/>
          <w:sz w:val="22"/>
          <w:szCs w:val="22"/>
        </w:rPr>
      </w:pPr>
    </w:p>
    <w:p w14:paraId="443D49ED" w14:textId="77777777" w:rsidR="00DB1A70" w:rsidRPr="00DB1A70" w:rsidRDefault="00DB1A70" w:rsidP="00DB1A70">
      <w:pPr>
        <w:widowControl/>
        <w:autoSpaceDE/>
        <w:adjustRightInd/>
        <w:spacing w:after="64" w:line="360" w:lineRule="auto"/>
        <w:rPr>
          <w:rFonts w:asciiTheme="minorHAnsi" w:hAnsiTheme="minorHAnsi" w:cstheme="minorHAnsi"/>
          <w:noProof/>
          <w:sz w:val="22"/>
          <w:szCs w:val="22"/>
        </w:rPr>
      </w:pPr>
    </w:p>
    <w:p w14:paraId="7E49F07F" w14:textId="77777777" w:rsidR="00DB1A70" w:rsidRPr="00DB1A70" w:rsidRDefault="00DB1A70" w:rsidP="00DB1A70">
      <w:pPr>
        <w:keepNext/>
        <w:widowControl/>
        <w:autoSpaceDE/>
        <w:adjustRightInd/>
        <w:spacing w:after="64" w:line="360" w:lineRule="auto"/>
        <w:jc w:val="center"/>
        <w:rPr>
          <w:rFonts w:asciiTheme="minorHAnsi" w:eastAsiaTheme="minorHAnsi" w:hAnsiTheme="minorHAnsi" w:cstheme="minorBidi"/>
          <w:sz w:val="22"/>
          <w:szCs w:val="22"/>
          <w:lang w:val="en-GB"/>
        </w:rPr>
      </w:pPr>
      <w:r w:rsidRPr="00DB1A70">
        <w:rPr>
          <w:rFonts w:asciiTheme="minorHAnsi" w:eastAsiaTheme="minorHAnsi" w:hAnsiTheme="minorHAnsi" w:cstheme="minorBidi"/>
          <w:noProof/>
          <w:sz w:val="20"/>
          <w:szCs w:val="20"/>
          <w:lang w:val="en-GB"/>
        </w:rPr>
        <w:drawing>
          <wp:inline distT="0" distB="0" distL="0" distR="0" wp14:anchorId="7F0C04DE" wp14:editId="0B23C6DE">
            <wp:extent cx="3640508" cy="4878725"/>
            <wp:effectExtent l="0" t="0" r="0" b="0"/>
            <wp:docPr id="6" name="Picture 6" descr="http://www.themorgan.org/sites/default/files/styles/collection_image/public/images/collection/m493_098v_099r.jpg?itok=7q_sgOq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themorgan.org/sites/default/files/styles/collection_image/public/images/collection/m493_098v_099r.jpg?itok=7q_sgOqb"/>
                    <pic:cNvPicPr>
                      <a:picLocks noChangeAspect="1" noChangeArrowheads="1"/>
                    </pic:cNvPicPr>
                  </pic:nvPicPr>
                  <pic:blipFill rotWithShape="1">
                    <a:blip r:embed="rId13">
                      <a:extLst>
                        <a:ext uri="{28A0092B-C50C-407E-A947-70E740481C1C}">
                          <a14:useLocalDpi xmlns:a14="http://schemas.microsoft.com/office/drawing/2010/main" val="0"/>
                        </a:ext>
                      </a:extLst>
                    </a:blip>
                    <a:srcRect r="49601" b="4640"/>
                    <a:stretch/>
                  </pic:blipFill>
                  <pic:spPr bwMode="auto">
                    <a:xfrm>
                      <a:off x="0" y="0"/>
                      <a:ext cx="3691771" cy="4947423"/>
                    </a:xfrm>
                    <a:prstGeom prst="rect">
                      <a:avLst/>
                    </a:prstGeom>
                    <a:noFill/>
                    <a:ln>
                      <a:noFill/>
                    </a:ln>
                    <a:extLst>
                      <a:ext uri="{53640926-AAD7-44D8-BBD7-CCE9431645EC}">
                        <a14:shadowObscured xmlns:a14="http://schemas.microsoft.com/office/drawing/2010/main"/>
                      </a:ext>
                    </a:extLst>
                  </pic:spPr>
                </pic:pic>
              </a:graphicData>
            </a:graphic>
          </wp:inline>
        </w:drawing>
      </w:r>
    </w:p>
    <w:p w14:paraId="759C2B73" w14:textId="77777777" w:rsidR="00DB1A70" w:rsidRPr="00DB1A70" w:rsidRDefault="00DB1A70" w:rsidP="00DB1A70">
      <w:pPr>
        <w:widowControl/>
        <w:autoSpaceDE/>
        <w:autoSpaceDN/>
        <w:adjustRightInd/>
        <w:spacing w:after="200"/>
        <w:jc w:val="center"/>
        <w:rPr>
          <w:rFonts w:asciiTheme="minorHAnsi" w:hAnsiTheme="minorHAnsi" w:cstheme="minorHAnsi"/>
          <w:i/>
          <w:iCs/>
          <w:color w:val="44546A" w:themeColor="text2"/>
          <w:sz w:val="18"/>
          <w:szCs w:val="18"/>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6</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Chanting of the Office of the Dead. The Black Hours. Morgan Library and Museum, MS M493, f. 98v. Brussels, c. 1480.</w:t>
      </w:r>
      <w:r w:rsidRPr="00DB1A70">
        <w:rPr>
          <w:rFonts w:asciiTheme="minorHAnsi" w:eastAsiaTheme="minorHAnsi" w:hAnsiTheme="minorHAnsi" w:cstheme="minorBidi"/>
          <w:i/>
          <w:iCs/>
          <w:color w:val="44546A" w:themeColor="text2"/>
          <w:sz w:val="18"/>
          <w:szCs w:val="18"/>
          <w:vertAlign w:val="superscript"/>
          <w:lang w:val="en-GB"/>
        </w:rPr>
        <w:footnoteReference w:id="21"/>
      </w:r>
    </w:p>
    <w:p w14:paraId="033BC99A" w14:textId="77777777" w:rsidR="00DB1A70" w:rsidRPr="00DB1A70" w:rsidRDefault="00DB1A70" w:rsidP="00DB1A70">
      <w:pPr>
        <w:widowControl/>
        <w:shd w:val="clear" w:color="auto" w:fill="FFFFFF"/>
        <w:autoSpaceDE/>
        <w:autoSpaceDN/>
        <w:adjustRightInd/>
        <w:spacing w:after="150" w:line="259" w:lineRule="auto"/>
        <w:rPr>
          <w:rFonts w:asciiTheme="minorHAnsi" w:hAnsiTheme="minorHAnsi" w:cstheme="minorHAnsi"/>
          <w:color w:val="333333"/>
          <w:sz w:val="20"/>
          <w:szCs w:val="20"/>
          <w:lang w:val="en-GB" w:eastAsia="en-GB"/>
        </w:rPr>
      </w:pPr>
    </w:p>
    <w:p w14:paraId="27B1BEF0" w14:textId="77777777" w:rsidR="00DB1A70" w:rsidRPr="00DB1A70" w:rsidRDefault="00DB1A70" w:rsidP="00DB1A70">
      <w:pPr>
        <w:widowControl/>
        <w:autoSpaceDE/>
        <w:adjustRightInd/>
        <w:spacing w:after="64" w:line="360" w:lineRule="auto"/>
        <w:rPr>
          <w:rFonts w:asciiTheme="minorHAnsi" w:hAnsiTheme="minorHAnsi" w:cstheme="minorHAnsi"/>
          <w:sz w:val="22"/>
          <w:szCs w:val="22"/>
        </w:rPr>
      </w:pPr>
      <w:r w:rsidRPr="00DB1A70">
        <w:rPr>
          <w:rFonts w:asciiTheme="minorHAnsi" w:hAnsiTheme="minorHAnsi" w:cstheme="minorHAnsi"/>
          <w:sz w:val="22"/>
          <w:szCs w:val="22"/>
        </w:rPr>
        <w:t xml:space="preserve">Illustrations featuring Mary reading (see Plate 7) or being taught to read by her mother, St Anne, featured in the Little Office in many Books of Hours. Since the Bible has no mention of this, were the pictures created to appeal to the owners? St Jerome had encouraged women to learn to read and perhaps this image </w:t>
      </w:r>
      <w:proofErr w:type="gramStart"/>
      <w:r w:rsidRPr="00DB1A70">
        <w:rPr>
          <w:rFonts w:asciiTheme="minorHAnsi" w:hAnsiTheme="minorHAnsi" w:cstheme="minorHAnsi"/>
          <w:sz w:val="22"/>
          <w:szCs w:val="22"/>
        </w:rPr>
        <w:t>is a reflection of</w:t>
      </w:r>
      <w:proofErr w:type="gramEnd"/>
      <w:r w:rsidRPr="00DB1A70">
        <w:rPr>
          <w:rFonts w:asciiTheme="minorHAnsi" w:hAnsiTheme="minorHAnsi" w:cstheme="minorHAnsi"/>
          <w:sz w:val="22"/>
          <w:szCs w:val="22"/>
        </w:rPr>
        <w:t xml:space="preserve"> that teaching.</w:t>
      </w:r>
      <w:r w:rsidRPr="00DB1A70">
        <w:rPr>
          <w:rFonts w:asciiTheme="minorHAnsi" w:hAnsiTheme="minorHAnsi" w:cstheme="minorHAnsi"/>
          <w:sz w:val="22"/>
          <w:szCs w:val="22"/>
          <w:vertAlign w:val="superscript"/>
        </w:rPr>
        <w:footnoteReference w:id="22"/>
      </w:r>
      <w:r w:rsidRPr="00DB1A70">
        <w:rPr>
          <w:rFonts w:asciiTheme="minorHAnsi" w:hAnsiTheme="minorHAnsi" w:cstheme="minorHAnsi"/>
          <w:sz w:val="22"/>
          <w:szCs w:val="22"/>
        </w:rPr>
        <w:t xml:space="preserve"> The inclusion of these images may have made the books more attractive to female owners, creating a holy precedent and giving a feeling of </w:t>
      </w:r>
    </w:p>
    <w:p w14:paraId="68F6B42F"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connection with Mary, especially if they used the book as a primer to teach children (especially daughters) to read. In her article of 1982 Susan Groag Bell shows two miniatures: one of Mary, in bed and reading a book while Joseph holds the baby,</w:t>
      </w:r>
      <w:r w:rsidRPr="00DB1A70">
        <w:rPr>
          <w:rFonts w:asciiTheme="minorHAnsi" w:hAnsiTheme="minorHAnsi" w:cstheme="minorHAnsi"/>
          <w:sz w:val="22"/>
          <w:szCs w:val="22"/>
          <w:vertAlign w:val="superscript"/>
        </w:rPr>
        <w:footnoteReference w:id="23"/>
      </w:r>
      <w:r w:rsidRPr="00DB1A70">
        <w:rPr>
          <w:rFonts w:asciiTheme="minorHAnsi" w:hAnsiTheme="minorHAnsi" w:cstheme="minorHAnsi"/>
          <w:sz w:val="22"/>
          <w:szCs w:val="22"/>
        </w:rPr>
        <w:t xml:space="preserve"> and another of the Flight into Egypt with </w:t>
      </w:r>
      <w:r w:rsidRPr="00DB1A70">
        <w:rPr>
          <w:rFonts w:asciiTheme="minorHAnsi" w:hAnsiTheme="minorHAnsi" w:cstheme="minorHAnsi"/>
          <w:sz w:val="22"/>
          <w:szCs w:val="22"/>
        </w:rPr>
        <w:lastRenderedPageBreak/>
        <w:t>Mary reading while riding and Joseph again carrying the baby while leading the donkey.</w:t>
      </w:r>
      <w:r w:rsidRPr="00DB1A70">
        <w:rPr>
          <w:rFonts w:asciiTheme="minorHAnsi" w:hAnsiTheme="minorHAnsi" w:cstheme="minorHAnsi"/>
          <w:sz w:val="22"/>
          <w:szCs w:val="22"/>
          <w:vertAlign w:val="superscript"/>
        </w:rPr>
        <w:footnoteReference w:id="24"/>
      </w:r>
      <w:r w:rsidRPr="00DB1A70">
        <w:rPr>
          <w:rFonts w:asciiTheme="minorHAnsi" w:hAnsiTheme="minorHAnsi" w:cstheme="minorHAnsi"/>
          <w:sz w:val="22"/>
          <w:szCs w:val="22"/>
        </w:rPr>
        <w:t xml:space="preserve"> Sadly I was unable to download these images, but Bell refers to them as being from unnamed Books of Hours, held in Baltimore and Brussels respectively.</w:t>
      </w:r>
      <w:r w:rsidRPr="00DB1A70">
        <w:rPr>
          <w:rFonts w:asciiTheme="minorHAnsi" w:hAnsiTheme="minorHAnsi" w:cstheme="minorHAnsi"/>
          <w:sz w:val="22"/>
          <w:szCs w:val="22"/>
          <w:vertAlign w:val="superscript"/>
        </w:rPr>
        <w:footnoteReference w:id="25"/>
      </w:r>
      <w:r w:rsidRPr="00DB1A70">
        <w:rPr>
          <w:rFonts w:asciiTheme="minorHAnsi" w:hAnsiTheme="minorHAnsi" w:cstheme="minorHAnsi"/>
          <w:sz w:val="22"/>
          <w:szCs w:val="22"/>
        </w:rPr>
        <w:t xml:space="preserve"> This kind of image was surely attractive to women, especially those who did not have the services of a wet-nurse or who considered reading as important as motherhood. Was this the choice of the artist or of the book’s sponsor?</w:t>
      </w:r>
    </w:p>
    <w:p w14:paraId="5B6B6C5A" w14:textId="77777777" w:rsidR="00DB1A70" w:rsidRPr="00DB1A70" w:rsidRDefault="00DB1A70" w:rsidP="00DB1A70">
      <w:pPr>
        <w:spacing w:line="360" w:lineRule="auto"/>
        <w:rPr>
          <w:rFonts w:asciiTheme="minorHAnsi" w:hAnsiTheme="minorHAnsi" w:cstheme="minorHAnsi"/>
          <w:sz w:val="22"/>
          <w:szCs w:val="22"/>
        </w:rPr>
      </w:pPr>
    </w:p>
    <w:p w14:paraId="4328AD82" w14:textId="77777777" w:rsidR="00DB1A70" w:rsidRPr="00DB1A70" w:rsidRDefault="00DB1A70" w:rsidP="00DB1A70">
      <w:pPr>
        <w:spacing w:line="360" w:lineRule="auto"/>
        <w:rPr>
          <w:rFonts w:asciiTheme="minorHAnsi" w:hAnsiTheme="minorHAnsi" w:cstheme="minorHAnsi"/>
          <w:sz w:val="20"/>
          <w:szCs w:val="20"/>
        </w:rPr>
      </w:pPr>
    </w:p>
    <w:p w14:paraId="0A9534E3"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noProof/>
          <w:sz w:val="22"/>
          <w:szCs w:val="22"/>
        </w:rPr>
        <w:drawing>
          <wp:inline distT="0" distB="0" distL="0" distR="0" wp14:anchorId="7690DCD4" wp14:editId="2E74BB56">
            <wp:extent cx="3657600" cy="5305016"/>
            <wp:effectExtent l="0" t="0" r="0" b="0"/>
            <wp:docPr id="1" name="Picture 1" descr="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60066" cy="5308593"/>
                    </a:xfrm>
                    <a:prstGeom prst="rect">
                      <a:avLst/>
                    </a:prstGeom>
                    <a:noFill/>
                    <a:ln>
                      <a:noFill/>
                    </a:ln>
                  </pic:spPr>
                </pic:pic>
              </a:graphicData>
            </a:graphic>
          </wp:inline>
        </w:drawing>
      </w:r>
    </w:p>
    <w:p w14:paraId="191AA815" w14:textId="77777777" w:rsidR="00DB1A70" w:rsidRPr="00DB1A70" w:rsidRDefault="00DB1A70" w:rsidP="00DB1A70">
      <w:pPr>
        <w:widowControl/>
        <w:autoSpaceDE/>
        <w:autoSpaceDN/>
        <w:adjustRightInd/>
        <w:spacing w:after="200"/>
        <w:jc w:val="center"/>
        <w:rPr>
          <w:rFonts w:asciiTheme="minorHAnsi" w:hAnsiTheme="minorHAnsi" w:cstheme="minorHAnsi"/>
          <w:i/>
          <w:iCs/>
          <w:color w:val="44546A" w:themeColor="text2"/>
          <w:sz w:val="18"/>
          <w:szCs w:val="18"/>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7</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The Annunciation from the Burney Book of Hours. BL Burney 332 f. 53. France: late 15th century.</w:t>
      </w:r>
      <w:r w:rsidRPr="00DB1A70">
        <w:rPr>
          <w:rFonts w:asciiTheme="minorHAnsi" w:eastAsiaTheme="minorHAnsi" w:hAnsiTheme="minorHAnsi" w:cstheme="minorBidi"/>
          <w:i/>
          <w:iCs/>
          <w:color w:val="44546A" w:themeColor="text2"/>
          <w:sz w:val="18"/>
          <w:szCs w:val="18"/>
          <w:vertAlign w:val="superscript"/>
          <w:lang w:val="en-GB"/>
        </w:rPr>
        <w:footnoteReference w:id="26"/>
      </w:r>
    </w:p>
    <w:p w14:paraId="2EAEE946" w14:textId="77777777" w:rsidR="00DB1A70" w:rsidRPr="00DB1A70" w:rsidRDefault="00DB1A70" w:rsidP="00DB1A70">
      <w:pPr>
        <w:spacing w:line="360" w:lineRule="auto"/>
        <w:rPr>
          <w:rFonts w:asciiTheme="minorHAnsi" w:hAnsiTheme="minorHAnsi" w:cstheme="minorHAnsi"/>
        </w:rPr>
      </w:pPr>
    </w:p>
    <w:p w14:paraId="0737EC63"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 xml:space="preserve">One of the intangible features of Books of Hours is the feeling of inclusion that could be given to the owner </w:t>
      </w:r>
      <w:proofErr w:type="gramStart"/>
      <w:r w:rsidRPr="00DB1A70">
        <w:rPr>
          <w:rFonts w:asciiTheme="minorHAnsi" w:hAnsiTheme="minorHAnsi" w:cstheme="minorHAnsi"/>
          <w:sz w:val="22"/>
          <w:szCs w:val="22"/>
        </w:rPr>
        <w:t>by the use of</w:t>
      </w:r>
      <w:proofErr w:type="gramEnd"/>
      <w:r w:rsidRPr="00DB1A70">
        <w:rPr>
          <w:rFonts w:asciiTheme="minorHAnsi" w:hAnsiTheme="minorHAnsi" w:cstheme="minorHAnsi"/>
          <w:sz w:val="22"/>
          <w:szCs w:val="22"/>
        </w:rPr>
        <w:t xml:space="preserve"> a personal portrait as part of a miniature. This is one area where the patron and </w:t>
      </w:r>
      <w:r w:rsidRPr="00DB1A70">
        <w:rPr>
          <w:rFonts w:asciiTheme="minorHAnsi" w:hAnsiTheme="minorHAnsi" w:cstheme="minorHAnsi"/>
          <w:sz w:val="22"/>
          <w:szCs w:val="22"/>
        </w:rPr>
        <w:lastRenderedPageBreak/>
        <w:t xml:space="preserve">the artist would work together: the patron could be the subject of the portrait or could commission the portrait of the recipient of the book. Such a picture would bring to life an owner’s imaginative view of themselves taking part in a holy scene, much as Margery Kempe was to do in her visions of </w:t>
      </w:r>
    </w:p>
    <w:p w14:paraId="07745029"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 xml:space="preserve">participating at the birth of Jesus. In Plate 8 Anne of Bedford is kneeling before the Virgin and Child with her open Book of Hours before her. </w:t>
      </w:r>
    </w:p>
    <w:p w14:paraId="1433DF3B" w14:textId="77777777" w:rsidR="00DB1A70" w:rsidRPr="00DB1A70" w:rsidRDefault="00DB1A70" w:rsidP="00DB1A70">
      <w:pPr>
        <w:spacing w:line="360" w:lineRule="auto"/>
        <w:rPr>
          <w:rFonts w:asciiTheme="minorHAnsi" w:hAnsiTheme="minorHAnsi" w:cstheme="minorHAnsi"/>
        </w:rPr>
      </w:pPr>
    </w:p>
    <w:p w14:paraId="2507A5F7"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noProof/>
          <w:sz w:val="22"/>
          <w:szCs w:val="22"/>
        </w:rPr>
        <w:drawing>
          <wp:inline distT="0" distB="0" distL="0" distR="0" wp14:anchorId="4F4391B5" wp14:editId="6E39A0D2">
            <wp:extent cx="3384550" cy="4881245"/>
            <wp:effectExtent l="0" t="0" r="6350" b="0"/>
            <wp:docPr id="5" name="Picture 5" descr="Image result for anne bedford h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nne bedford hou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84550" cy="4881245"/>
                    </a:xfrm>
                    <a:prstGeom prst="rect">
                      <a:avLst/>
                    </a:prstGeom>
                    <a:noFill/>
                    <a:ln>
                      <a:noFill/>
                    </a:ln>
                  </pic:spPr>
                </pic:pic>
              </a:graphicData>
            </a:graphic>
          </wp:inline>
        </w:drawing>
      </w:r>
    </w:p>
    <w:p w14:paraId="3176ABCE" w14:textId="77777777" w:rsidR="00DB1A70" w:rsidRPr="00DB1A70" w:rsidRDefault="00DB1A70" w:rsidP="00DB1A70">
      <w:pPr>
        <w:widowControl/>
        <w:autoSpaceDE/>
        <w:autoSpaceDN/>
        <w:adjustRightInd/>
        <w:spacing w:after="200"/>
        <w:jc w:val="center"/>
        <w:rPr>
          <w:rFonts w:asciiTheme="minorHAnsi" w:hAnsiTheme="minorHAnsi" w:cstheme="minorHAnsi"/>
          <w:i/>
          <w:iCs/>
          <w:color w:val="44546A" w:themeColor="text2"/>
          <w:sz w:val="18"/>
          <w:szCs w:val="18"/>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8</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Anne, Duchess of Bedford, praying to St Anne. Bedford Hours. BL Additional 16997 f. 257v. France, early 15th century.</w:t>
      </w:r>
      <w:r w:rsidRPr="00DB1A70">
        <w:rPr>
          <w:rFonts w:asciiTheme="minorHAnsi" w:eastAsiaTheme="minorHAnsi" w:hAnsiTheme="minorHAnsi" w:cstheme="minorBidi"/>
          <w:i/>
          <w:iCs/>
          <w:color w:val="44546A" w:themeColor="text2"/>
          <w:sz w:val="18"/>
          <w:szCs w:val="18"/>
          <w:vertAlign w:val="superscript"/>
          <w:lang w:val="en-GB"/>
        </w:rPr>
        <w:footnoteReference w:id="27"/>
      </w:r>
    </w:p>
    <w:p w14:paraId="30A9C4B8" w14:textId="77777777" w:rsidR="00DB1A70" w:rsidRPr="00DB1A70" w:rsidRDefault="00DB1A70" w:rsidP="00DB1A70">
      <w:pPr>
        <w:spacing w:line="360" w:lineRule="auto"/>
        <w:jc w:val="center"/>
        <w:rPr>
          <w:rFonts w:asciiTheme="minorHAnsi" w:hAnsiTheme="minorHAnsi" w:cstheme="minorHAnsi"/>
          <w:sz w:val="20"/>
          <w:szCs w:val="20"/>
        </w:rPr>
      </w:pPr>
    </w:p>
    <w:p w14:paraId="7BEC9A3C" w14:textId="7B10BAED" w:rsidR="00DB1A70" w:rsidRPr="00DB1A70" w:rsidRDefault="00074507" w:rsidP="00DB1A70">
      <w:pPr>
        <w:spacing w:line="360" w:lineRule="auto"/>
        <w:rPr>
          <w:rFonts w:asciiTheme="minorHAnsi" w:hAnsiTheme="minorHAnsi" w:cstheme="minorHAnsi"/>
          <w:sz w:val="22"/>
          <w:szCs w:val="22"/>
        </w:rPr>
      </w:pPr>
      <w:r>
        <w:rPr>
          <w:rFonts w:asciiTheme="minorHAnsi" w:hAnsiTheme="minorHAnsi" w:cstheme="minorHAnsi"/>
          <w:sz w:val="22"/>
          <w:szCs w:val="22"/>
        </w:rPr>
        <w:t>Canons 10 and 11 of the</w:t>
      </w:r>
      <w:r w:rsidR="00DB1A70" w:rsidRPr="00DB1A70">
        <w:rPr>
          <w:rFonts w:asciiTheme="minorHAnsi" w:hAnsiTheme="minorHAnsi" w:cstheme="minorHAnsi"/>
          <w:sz w:val="22"/>
          <w:szCs w:val="22"/>
        </w:rPr>
        <w:t xml:space="preserve"> Fourth Lateran Council of 1215 </w:t>
      </w:r>
      <w:r>
        <w:rPr>
          <w:rFonts w:asciiTheme="minorHAnsi" w:hAnsiTheme="minorHAnsi" w:cstheme="minorHAnsi"/>
          <w:sz w:val="22"/>
          <w:szCs w:val="22"/>
        </w:rPr>
        <w:t>can be read to indicate</w:t>
      </w:r>
      <w:r w:rsidR="00DB1A70" w:rsidRPr="00DB1A70">
        <w:rPr>
          <w:rFonts w:asciiTheme="minorHAnsi" w:hAnsiTheme="minorHAnsi" w:cstheme="minorHAnsi"/>
          <w:sz w:val="22"/>
          <w:szCs w:val="22"/>
        </w:rPr>
        <w:t xml:space="preserve"> that clergy should promote the reading of religious works amongst their flocks</w:t>
      </w:r>
      <w:r w:rsidR="00DB1A70" w:rsidRPr="00DB1A70">
        <w:rPr>
          <w:rFonts w:asciiTheme="minorHAnsi" w:hAnsiTheme="minorHAnsi" w:cstheme="minorHAnsi"/>
          <w:sz w:val="22"/>
          <w:szCs w:val="22"/>
          <w:vertAlign w:val="superscript"/>
        </w:rPr>
        <w:footnoteReference w:id="28"/>
      </w:r>
      <w:r w:rsidR="00DB1A70" w:rsidRPr="00DB1A70">
        <w:rPr>
          <w:rFonts w:asciiTheme="minorHAnsi" w:hAnsiTheme="minorHAnsi" w:cstheme="minorHAnsi"/>
          <w:sz w:val="22"/>
          <w:szCs w:val="22"/>
        </w:rPr>
        <w:t xml:space="preserve"> </w:t>
      </w:r>
      <w:r>
        <w:rPr>
          <w:rFonts w:asciiTheme="minorHAnsi" w:hAnsiTheme="minorHAnsi" w:cstheme="minorHAnsi"/>
          <w:sz w:val="22"/>
          <w:szCs w:val="22"/>
        </w:rPr>
        <w:t>and i</w:t>
      </w:r>
      <w:r w:rsidR="00DB1A70" w:rsidRPr="00DB1A70">
        <w:rPr>
          <w:rFonts w:asciiTheme="minorHAnsi" w:hAnsiTheme="minorHAnsi" w:cstheme="minorHAnsi"/>
          <w:sz w:val="22"/>
          <w:szCs w:val="22"/>
        </w:rPr>
        <w:t xml:space="preserve">t can be no coincidence that the De </w:t>
      </w:r>
      <w:proofErr w:type="spellStart"/>
      <w:r w:rsidR="00DB1A70" w:rsidRPr="00DB1A70">
        <w:rPr>
          <w:rFonts w:asciiTheme="minorHAnsi" w:hAnsiTheme="minorHAnsi" w:cstheme="minorHAnsi"/>
          <w:sz w:val="22"/>
          <w:szCs w:val="22"/>
        </w:rPr>
        <w:t>Brailes</w:t>
      </w:r>
      <w:proofErr w:type="spellEnd"/>
      <w:r w:rsidR="00DB1A70" w:rsidRPr="00DB1A70">
        <w:rPr>
          <w:rFonts w:asciiTheme="minorHAnsi" w:hAnsiTheme="minorHAnsi" w:cstheme="minorHAnsi"/>
          <w:sz w:val="22"/>
          <w:szCs w:val="22"/>
        </w:rPr>
        <w:t xml:space="preserve"> Hours, the first known Book of Hours to have survived was created soon after that in about 1240, heralding the great flourishing of these books through the fourteenth and fifteenth </w:t>
      </w:r>
      <w:r w:rsidR="00DB1A70" w:rsidRPr="00DB1A70">
        <w:rPr>
          <w:rFonts w:asciiTheme="minorHAnsi" w:hAnsiTheme="minorHAnsi" w:cstheme="minorHAnsi"/>
          <w:sz w:val="22"/>
          <w:szCs w:val="22"/>
        </w:rPr>
        <w:lastRenderedPageBreak/>
        <w:t>centuries. The decision of 1215 gives them a ‘seal of approval’ from the Pope, and thus from God. What Christian home could be without one?</w:t>
      </w:r>
    </w:p>
    <w:p w14:paraId="3EE5F65E" w14:textId="77777777" w:rsidR="00DB1A70" w:rsidRPr="00DB1A70" w:rsidRDefault="00DB1A70" w:rsidP="00DB1A70">
      <w:pPr>
        <w:spacing w:line="360" w:lineRule="auto"/>
        <w:rPr>
          <w:rFonts w:asciiTheme="minorHAnsi" w:hAnsiTheme="minorHAnsi" w:cstheme="minorHAnsi"/>
          <w:sz w:val="22"/>
          <w:szCs w:val="22"/>
        </w:rPr>
      </w:pPr>
    </w:p>
    <w:p w14:paraId="172956AF" w14:textId="77777777"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 xml:space="preserve">Prayers to specific saints were often included, either in the Suffrages of the saints or separately, each saint having a </w:t>
      </w:r>
      <w:proofErr w:type="gramStart"/>
      <w:r w:rsidRPr="00DB1A70">
        <w:rPr>
          <w:rFonts w:asciiTheme="minorHAnsi" w:hAnsiTheme="minorHAnsi" w:cstheme="minorHAnsi"/>
          <w:sz w:val="22"/>
          <w:szCs w:val="22"/>
        </w:rPr>
        <w:t>particular benefit</w:t>
      </w:r>
      <w:proofErr w:type="gramEnd"/>
      <w:r w:rsidRPr="00DB1A70">
        <w:rPr>
          <w:rFonts w:asciiTheme="minorHAnsi" w:hAnsiTheme="minorHAnsi" w:cstheme="minorHAnsi"/>
          <w:sz w:val="22"/>
          <w:szCs w:val="22"/>
        </w:rPr>
        <w:t xml:space="preserve">. Medicinal help was often asked in the inclusion of prayers to saints such as St </w:t>
      </w:r>
      <w:proofErr w:type="spellStart"/>
      <w:r w:rsidRPr="00DB1A70">
        <w:rPr>
          <w:rFonts w:asciiTheme="minorHAnsi" w:hAnsiTheme="minorHAnsi" w:cstheme="minorHAnsi"/>
          <w:sz w:val="22"/>
          <w:szCs w:val="22"/>
        </w:rPr>
        <w:t>Apolinaria</w:t>
      </w:r>
      <w:proofErr w:type="spellEnd"/>
      <w:r w:rsidRPr="00DB1A70">
        <w:rPr>
          <w:rFonts w:asciiTheme="minorHAnsi" w:hAnsiTheme="minorHAnsi" w:cstheme="minorHAnsi"/>
          <w:sz w:val="22"/>
          <w:szCs w:val="22"/>
        </w:rPr>
        <w:t xml:space="preserve"> for toothache or St Margaret of Antioch for childbirth, sometimes included when the book was created, but often entered in the book by the owner. In Plate 9 Christ can be seen </w:t>
      </w:r>
      <w:r w:rsidRPr="00DB1A70">
        <w:rPr>
          <w:rFonts w:asciiTheme="minorHAnsi" w:hAnsiTheme="minorHAnsi" w:cstheme="minorHAnsi"/>
          <w:i/>
          <w:sz w:val="22"/>
          <w:szCs w:val="22"/>
        </w:rPr>
        <w:t>bas de page</w:t>
      </w:r>
      <w:r w:rsidRPr="00DB1A70">
        <w:rPr>
          <w:rFonts w:asciiTheme="minorHAnsi" w:hAnsiTheme="minorHAnsi" w:cstheme="minorHAnsi"/>
          <w:sz w:val="22"/>
          <w:szCs w:val="22"/>
        </w:rPr>
        <w:t xml:space="preserve"> in the act of healing. Books of Hours often had additions detailing family events such as births, marriages and deaths, rather like later family bibles, as well as prayers to saints such as that after whom one was named or who had links to the locality.</w:t>
      </w:r>
    </w:p>
    <w:p w14:paraId="27EF2595" w14:textId="77777777" w:rsidR="00DB1A70" w:rsidRPr="00DB1A70" w:rsidRDefault="00DB1A70" w:rsidP="00DB1A70">
      <w:pPr>
        <w:spacing w:line="360" w:lineRule="auto"/>
        <w:rPr>
          <w:rFonts w:asciiTheme="minorHAnsi" w:hAnsiTheme="minorHAnsi" w:cstheme="minorHAnsi"/>
        </w:rPr>
      </w:pPr>
    </w:p>
    <w:p w14:paraId="1C818CD6"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noProof/>
        </w:rPr>
        <w:drawing>
          <wp:inline distT="0" distB="0" distL="0" distR="0" wp14:anchorId="33DB90DA" wp14:editId="0950B8B7">
            <wp:extent cx="2674537" cy="4036906"/>
            <wp:effectExtent l="0" t="0" r="0" b="1905"/>
            <wp:docPr id="8" name="Picture 8" descr="Do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ctor"/>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6465" t="4640" r="17102" b="14590"/>
                    <a:stretch/>
                  </pic:blipFill>
                  <pic:spPr bwMode="auto">
                    <a:xfrm>
                      <a:off x="0" y="0"/>
                      <a:ext cx="2690056" cy="4060330"/>
                    </a:xfrm>
                    <a:prstGeom prst="rect">
                      <a:avLst/>
                    </a:prstGeom>
                    <a:noFill/>
                    <a:ln>
                      <a:noFill/>
                    </a:ln>
                    <a:extLst>
                      <a:ext uri="{53640926-AAD7-44D8-BBD7-CCE9431645EC}">
                        <a14:shadowObscured xmlns:a14="http://schemas.microsoft.com/office/drawing/2010/main"/>
                      </a:ext>
                    </a:extLst>
                  </pic:spPr>
                </pic:pic>
              </a:graphicData>
            </a:graphic>
          </wp:inline>
        </w:drawing>
      </w:r>
    </w:p>
    <w:p w14:paraId="3104C110" w14:textId="77777777" w:rsidR="00DB1A70" w:rsidRPr="00DB1A70" w:rsidRDefault="00DB1A70" w:rsidP="00DB1A70">
      <w:pPr>
        <w:widowControl/>
        <w:autoSpaceDE/>
        <w:autoSpaceDN/>
        <w:adjustRightInd/>
        <w:spacing w:after="200"/>
        <w:jc w:val="center"/>
        <w:rPr>
          <w:rFonts w:asciiTheme="minorHAnsi" w:hAnsiTheme="minorHAnsi" w:cstheme="minorHAnsi"/>
          <w:i/>
          <w:iCs/>
          <w:color w:val="44546A" w:themeColor="text2"/>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9</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xml:space="preserve">: A page showing, in the bas de page, Christ healing a boy and, in the roundel, a doctor dispensing medicine and the text 'de Dieu </w:t>
      </w:r>
      <w:proofErr w:type="spellStart"/>
      <w:r w:rsidRPr="00DB1A70">
        <w:rPr>
          <w:rFonts w:asciiTheme="minorHAnsi" w:eastAsiaTheme="minorHAnsi" w:hAnsiTheme="minorHAnsi" w:cstheme="minorBidi"/>
          <w:i/>
          <w:iCs/>
          <w:color w:val="44546A" w:themeColor="text2"/>
          <w:sz w:val="18"/>
          <w:szCs w:val="18"/>
          <w:lang w:val="en-GB"/>
        </w:rPr>
        <w:t>est</w:t>
      </w:r>
      <w:proofErr w:type="spellEnd"/>
      <w:r w:rsidRPr="00DB1A70">
        <w:rPr>
          <w:rFonts w:asciiTheme="minorHAnsi" w:eastAsiaTheme="minorHAnsi" w:hAnsiTheme="minorHAnsi" w:cstheme="minorBidi"/>
          <w:i/>
          <w:iCs/>
          <w:color w:val="44546A" w:themeColor="text2"/>
          <w:sz w:val="18"/>
          <w:szCs w:val="18"/>
          <w:lang w:val="en-GB"/>
        </w:rPr>
        <w:t xml:space="preserve"> </w:t>
      </w:r>
      <w:proofErr w:type="spellStart"/>
      <w:r w:rsidRPr="00DB1A70">
        <w:rPr>
          <w:rFonts w:asciiTheme="minorHAnsi" w:eastAsiaTheme="minorHAnsi" w:hAnsiTheme="minorHAnsi" w:cstheme="minorBidi"/>
          <w:i/>
          <w:iCs/>
          <w:color w:val="44546A" w:themeColor="text2"/>
          <w:sz w:val="18"/>
          <w:szCs w:val="18"/>
          <w:lang w:val="en-GB"/>
        </w:rPr>
        <w:t>toute</w:t>
      </w:r>
      <w:proofErr w:type="spellEnd"/>
      <w:r w:rsidRPr="00DB1A70">
        <w:rPr>
          <w:rFonts w:asciiTheme="minorHAnsi" w:eastAsiaTheme="minorHAnsi" w:hAnsiTheme="minorHAnsi" w:cstheme="minorBidi"/>
          <w:i/>
          <w:iCs/>
          <w:color w:val="44546A" w:themeColor="text2"/>
          <w:sz w:val="18"/>
          <w:szCs w:val="18"/>
          <w:lang w:val="en-GB"/>
        </w:rPr>
        <w:t xml:space="preserve"> </w:t>
      </w:r>
      <w:proofErr w:type="spellStart"/>
      <w:r w:rsidRPr="00DB1A70">
        <w:rPr>
          <w:rFonts w:asciiTheme="minorHAnsi" w:eastAsiaTheme="minorHAnsi" w:hAnsiTheme="minorHAnsi" w:cstheme="minorBidi"/>
          <w:i/>
          <w:iCs/>
          <w:color w:val="44546A" w:themeColor="text2"/>
          <w:sz w:val="18"/>
          <w:szCs w:val="18"/>
          <w:lang w:val="en-GB"/>
        </w:rPr>
        <w:t>medecine</w:t>
      </w:r>
      <w:proofErr w:type="spellEnd"/>
      <w:r w:rsidRPr="00DB1A70">
        <w:rPr>
          <w:rFonts w:asciiTheme="minorHAnsi" w:eastAsiaTheme="minorHAnsi" w:hAnsiTheme="minorHAnsi" w:cstheme="minorBidi"/>
          <w:i/>
          <w:iCs/>
          <w:color w:val="44546A" w:themeColor="text2"/>
          <w:sz w:val="18"/>
          <w:szCs w:val="18"/>
          <w:lang w:val="en-GB"/>
        </w:rPr>
        <w:t xml:space="preserve">'. Bedford Hours: BL Additional 18850 f. 59. France, 1410-1430. </w:t>
      </w:r>
      <w:r w:rsidRPr="00DB1A70">
        <w:rPr>
          <w:rFonts w:asciiTheme="minorHAnsi" w:eastAsiaTheme="minorHAnsi" w:hAnsiTheme="minorHAnsi" w:cstheme="minorBidi"/>
          <w:i/>
          <w:iCs/>
          <w:color w:val="44546A" w:themeColor="text2"/>
          <w:sz w:val="18"/>
          <w:szCs w:val="18"/>
          <w:vertAlign w:val="superscript"/>
          <w:lang w:val="en-GB"/>
        </w:rPr>
        <w:footnoteReference w:id="29"/>
      </w:r>
    </w:p>
    <w:p w14:paraId="1E6F5C0E" w14:textId="77777777" w:rsidR="00DB1A70" w:rsidRPr="00DB1A70" w:rsidRDefault="00DB1A70" w:rsidP="00DB1A70">
      <w:pPr>
        <w:spacing w:line="360" w:lineRule="auto"/>
        <w:rPr>
          <w:rFonts w:asciiTheme="minorHAnsi" w:hAnsiTheme="minorHAnsi" w:cstheme="minorHAnsi"/>
          <w:sz w:val="22"/>
          <w:szCs w:val="22"/>
        </w:rPr>
      </w:pPr>
    </w:p>
    <w:p w14:paraId="312B4560" w14:textId="0DE21933" w:rsidR="00DB1A70" w:rsidRPr="00DB1A70" w:rsidRDefault="00DB1A70" w:rsidP="00DB1A70">
      <w:pPr>
        <w:spacing w:line="360" w:lineRule="auto"/>
        <w:rPr>
          <w:rFonts w:asciiTheme="minorHAnsi" w:hAnsiTheme="minorHAnsi" w:cstheme="minorHAnsi"/>
          <w:sz w:val="22"/>
          <w:szCs w:val="22"/>
        </w:rPr>
      </w:pPr>
      <w:r w:rsidRPr="00DB1A70">
        <w:rPr>
          <w:rFonts w:asciiTheme="minorHAnsi" w:hAnsiTheme="minorHAnsi" w:cstheme="minorHAnsi"/>
          <w:sz w:val="22"/>
          <w:szCs w:val="22"/>
        </w:rPr>
        <w:t xml:space="preserve">There were so many reasons for owning a Book of Hours: practicality, in the inclusion of calendars; education in its use as a reader; demonstration of wisdom and wealth in its ornament and of piety in the whole volume. It was a handbook for a good life and a good death. That so many were made is </w:t>
      </w:r>
      <w:r w:rsidRPr="00DB1A70">
        <w:rPr>
          <w:rFonts w:asciiTheme="minorHAnsi" w:hAnsiTheme="minorHAnsi" w:cstheme="minorHAnsi"/>
          <w:sz w:val="22"/>
          <w:szCs w:val="22"/>
        </w:rPr>
        <w:lastRenderedPageBreak/>
        <w:t xml:space="preserve">no surprise in an age when religion was almost universal: these books were not only beautiful but necessary to the owner to enable them to lead a good life and to achieve a good death with the expected happy afterlife. The intercessory nature of Marian devotion and some of the saints’ cults must, I feel, have been the most important factors in the popularity of these usually small, often jewel-like books. I close with a personal </w:t>
      </w:r>
      <w:proofErr w:type="spellStart"/>
      <w:r w:rsidRPr="00DB1A70">
        <w:rPr>
          <w:rFonts w:asciiTheme="minorHAnsi" w:hAnsiTheme="minorHAnsi" w:cstheme="minorHAnsi"/>
          <w:sz w:val="22"/>
          <w:szCs w:val="22"/>
        </w:rPr>
        <w:t>favourite</w:t>
      </w:r>
      <w:proofErr w:type="spellEnd"/>
      <w:r w:rsidRPr="00DB1A70">
        <w:rPr>
          <w:rFonts w:asciiTheme="minorHAnsi" w:hAnsiTheme="minorHAnsi" w:cstheme="minorHAnsi"/>
          <w:sz w:val="22"/>
          <w:szCs w:val="22"/>
        </w:rPr>
        <w:t xml:space="preserve"> from, perhaps, the most famous of all Books of Hours: the </w:t>
      </w:r>
      <w:proofErr w:type="spellStart"/>
      <w:r w:rsidRPr="00DB1A70">
        <w:rPr>
          <w:rFonts w:asciiTheme="minorHAnsi" w:hAnsiTheme="minorHAnsi" w:cstheme="minorHAnsi"/>
          <w:i/>
          <w:sz w:val="22"/>
          <w:szCs w:val="22"/>
        </w:rPr>
        <w:t>Très</w:t>
      </w:r>
      <w:proofErr w:type="spellEnd"/>
      <w:r w:rsidRPr="00DB1A70">
        <w:rPr>
          <w:rFonts w:asciiTheme="minorHAnsi" w:hAnsiTheme="minorHAnsi" w:cstheme="minorHAnsi"/>
          <w:i/>
          <w:sz w:val="22"/>
          <w:szCs w:val="22"/>
        </w:rPr>
        <w:t xml:space="preserve"> Riches Heures du Dec de Berry</w:t>
      </w:r>
      <w:r w:rsidR="00027B1C">
        <w:rPr>
          <w:rFonts w:asciiTheme="minorHAnsi" w:hAnsiTheme="minorHAnsi" w:cstheme="minorHAnsi"/>
          <w:sz w:val="22"/>
          <w:szCs w:val="22"/>
        </w:rPr>
        <w:t xml:space="preserve">: the calendar page for </w:t>
      </w:r>
      <w:r w:rsidR="00027B1C" w:rsidRPr="00027B1C">
        <w:rPr>
          <w:rFonts w:asciiTheme="minorHAnsi" w:hAnsiTheme="minorHAnsi" w:cstheme="minorHAnsi"/>
          <w:i/>
          <w:sz w:val="22"/>
          <w:szCs w:val="22"/>
        </w:rPr>
        <w:t>Mai</w:t>
      </w:r>
      <w:r w:rsidR="00027B1C">
        <w:rPr>
          <w:rFonts w:asciiTheme="minorHAnsi" w:hAnsiTheme="minorHAnsi" w:cstheme="minorHAnsi"/>
          <w:sz w:val="22"/>
          <w:szCs w:val="22"/>
        </w:rPr>
        <w:t>.</w:t>
      </w:r>
    </w:p>
    <w:p w14:paraId="641147DE" w14:textId="77777777" w:rsidR="00DB1A70" w:rsidRPr="00DB1A70" w:rsidRDefault="00DB1A70" w:rsidP="00DB1A70">
      <w:pPr>
        <w:spacing w:line="360" w:lineRule="auto"/>
        <w:rPr>
          <w:rFonts w:asciiTheme="minorHAnsi" w:hAnsiTheme="minorHAnsi" w:cstheme="minorHAnsi"/>
          <w:sz w:val="22"/>
          <w:szCs w:val="22"/>
        </w:rPr>
      </w:pPr>
    </w:p>
    <w:p w14:paraId="05FF013E" w14:textId="77777777" w:rsidR="00DB1A70" w:rsidRPr="00DB1A70" w:rsidRDefault="00DB1A70" w:rsidP="00DB1A70">
      <w:pPr>
        <w:keepNext/>
        <w:spacing w:line="360" w:lineRule="auto"/>
        <w:jc w:val="center"/>
        <w:rPr>
          <w:rFonts w:asciiTheme="minorHAnsi" w:eastAsiaTheme="minorHAnsi" w:hAnsiTheme="minorHAnsi" w:cstheme="minorBidi"/>
          <w:sz w:val="22"/>
          <w:szCs w:val="22"/>
          <w:lang w:val="en-GB"/>
        </w:rPr>
      </w:pPr>
      <w:r w:rsidRPr="00DB1A70">
        <w:rPr>
          <w:rFonts w:asciiTheme="minorHAnsi" w:eastAsiaTheme="minorHAnsi" w:hAnsiTheme="minorHAnsi" w:cstheme="minorBidi"/>
          <w:noProof/>
          <w:sz w:val="22"/>
          <w:szCs w:val="22"/>
          <w:lang w:val="en-GB"/>
        </w:rPr>
        <w:drawing>
          <wp:inline distT="0" distB="0" distL="0" distR="0" wp14:anchorId="78CAFCD3" wp14:editId="1E521B46">
            <wp:extent cx="3996951" cy="6212205"/>
            <wp:effectExtent l="0" t="0" r="3810" b="0"/>
            <wp:docPr id="9" name="Picture 9" descr="https://upload.wikimedia.org/wikipedia/commons/d/d9/Fr%C3%A8res_Limbourg_-_Tr%C3%A8s_Riches_Heures_du_duc_de_Berry_-_mois_de_mai_-_Google_Art_Proj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d/d9/Fr%C3%A8res_Limbourg_-_Tr%C3%A8s_Riches_Heures_du_duc_de_Berry_-_mois_de_mai_-_Google_Art_Project.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07983" cy="6229351"/>
                    </a:xfrm>
                    <a:prstGeom prst="rect">
                      <a:avLst/>
                    </a:prstGeom>
                    <a:noFill/>
                    <a:ln>
                      <a:noFill/>
                    </a:ln>
                  </pic:spPr>
                </pic:pic>
              </a:graphicData>
            </a:graphic>
          </wp:inline>
        </w:drawing>
      </w:r>
    </w:p>
    <w:p w14:paraId="1EEF1F90" w14:textId="77777777" w:rsidR="0046704D" w:rsidRDefault="00DB1A70" w:rsidP="0046704D">
      <w:pPr>
        <w:widowControl/>
        <w:autoSpaceDE/>
        <w:autoSpaceDN/>
        <w:adjustRightInd/>
        <w:spacing w:after="200"/>
        <w:jc w:val="center"/>
        <w:rPr>
          <w:rFonts w:asciiTheme="minorHAnsi" w:eastAsiaTheme="minorHAnsi" w:hAnsiTheme="minorHAnsi" w:cstheme="minorBidi"/>
          <w:i/>
          <w:iCs/>
          <w:color w:val="44546A" w:themeColor="text2"/>
          <w:sz w:val="18"/>
          <w:szCs w:val="18"/>
          <w:lang w:val="en-GB"/>
        </w:rPr>
      </w:pPr>
      <w:r w:rsidRPr="00DB1A70">
        <w:rPr>
          <w:rFonts w:asciiTheme="minorHAnsi" w:eastAsiaTheme="minorHAnsi" w:hAnsiTheme="minorHAnsi" w:cstheme="minorBidi"/>
          <w:i/>
          <w:iCs/>
          <w:color w:val="44546A" w:themeColor="text2"/>
          <w:sz w:val="18"/>
          <w:szCs w:val="18"/>
          <w:lang w:val="en-GB"/>
        </w:rPr>
        <w:t xml:space="preserve">Plate </w:t>
      </w:r>
      <w:r w:rsidRPr="00DB1A70">
        <w:rPr>
          <w:rFonts w:asciiTheme="minorHAnsi" w:eastAsiaTheme="minorHAnsi" w:hAnsiTheme="minorHAnsi" w:cstheme="minorBidi"/>
          <w:i/>
          <w:iCs/>
          <w:color w:val="44546A" w:themeColor="text2"/>
          <w:sz w:val="18"/>
          <w:szCs w:val="18"/>
          <w:lang w:val="en-GB"/>
        </w:rPr>
        <w:fldChar w:fldCharType="begin"/>
      </w:r>
      <w:r w:rsidRPr="00DB1A70">
        <w:rPr>
          <w:rFonts w:asciiTheme="minorHAnsi" w:eastAsiaTheme="minorHAnsi" w:hAnsiTheme="minorHAnsi" w:cstheme="minorBidi"/>
          <w:i/>
          <w:iCs/>
          <w:color w:val="44546A" w:themeColor="text2"/>
          <w:sz w:val="18"/>
          <w:szCs w:val="18"/>
          <w:lang w:val="en-GB"/>
        </w:rPr>
        <w:instrText xml:space="preserve"> SEQ Figure \* ARABIC </w:instrText>
      </w:r>
      <w:r w:rsidRPr="00DB1A70">
        <w:rPr>
          <w:rFonts w:asciiTheme="minorHAnsi" w:eastAsiaTheme="minorHAnsi" w:hAnsiTheme="minorHAnsi" w:cstheme="minorBidi"/>
          <w:i/>
          <w:iCs/>
          <w:color w:val="44546A" w:themeColor="text2"/>
          <w:sz w:val="18"/>
          <w:szCs w:val="18"/>
          <w:lang w:val="en-GB"/>
        </w:rPr>
        <w:fldChar w:fldCharType="separate"/>
      </w:r>
      <w:r w:rsidRPr="00DB1A70">
        <w:rPr>
          <w:rFonts w:asciiTheme="minorHAnsi" w:eastAsiaTheme="minorHAnsi" w:hAnsiTheme="minorHAnsi" w:cstheme="minorBidi"/>
          <w:i/>
          <w:iCs/>
          <w:noProof/>
          <w:color w:val="44546A" w:themeColor="text2"/>
          <w:sz w:val="18"/>
          <w:szCs w:val="18"/>
          <w:lang w:val="en-GB"/>
        </w:rPr>
        <w:t>10</w:t>
      </w:r>
      <w:r w:rsidRPr="00DB1A70">
        <w:rPr>
          <w:rFonts w:asciiTheme="minorHAnsi" w:eastAsiaTheme="minorHAnsi" w:hAnsiTheme="minorHAnsi" w:cstheme="minorBidi"/>
          <w:i/>
          <w:iCs/>
          <w:noProof/>
          <w:color w:val="44546A" w:themeColor="text2"/>
          <w:sz w:val="18"/>
          <w:szCs w:val="18"/>
          <w:lang w:val="en-GB"/>
        </w:rPr>
        <w:fldChar w:fldCharType="end"/>
      </w:r>
      <w:r w:rsidRPr="00DB1A70">
        <w:rPr>
          <w:rFonts w:asciiTheme="minorHAnsi" w:eastAsiaTheme="minorHAnsi" w:hAnsiTheme="minorHAnsi" w:cstheme="minorBidi"/>
          <w:i/>
          <w:iCs/>
          <w:color w:val="44546A" w:themeColor="text2"/>
          <w:sz w:val="18"/>
          <w:szCs w:val="18"/>
          <w:lang w:val="en-GB"/>
        </w:rPr>
        <w:t xml:space="preserve">: May from the </w:t>
      </w:r>
      <w:proofErr w:type="spellStart"/>
      <w:r w:rsidRPr="00DB1A70">
        <w:rPr>
          <w:rFonts w:asciiTheme="minorHAnsi" w:eastAsiaTheme="minorHAnsi" w:hAnsiTheme="minorHAnsi" w:cstheme="minorBidi"/>
          <w:i/>
          <w:iCs/>
          <w:color w:val="44546A" w:themeColor="text2"/>
          <w:sz w:val="18"/>
          <w:szCs w:val="18"/>
          <w:lang w:val="en-GB"/>
        </w:rPr>
        <w:t>Tr</w:t>
      </w:r>
      <w:r w:rsidRPr="00DB1A70">
        <w:rPr>
          <w:rFonts w:asciiTheme="minorHAnsi" w:eastAsiaTheme="minorHAnsi" w:hAnsiTheme="minorHAnsi" w:cstheme="minorHAnsi"/>
          <w:i/>
          <w:iCs/>
          <w:color w:val="44546A" w:themeColor="text2"/>
          <w:sz w:val="18"/>
          <w:szCs w:val="18"/>
          <w:lang w:val="en-GB"/>
        </w:rPr>
        <w:t>è</w:t>
      </w:r>
      <w:r w:rsidRPr="00DB1A70">
        <w:rPr>
          <w:rFonts w:asciiTheme="minorHAnsi" w:eastAsiaTheme="minorHAnsi" w:hAnsiTheme="minorHAnsi" w:cstheme="minorBidi"/>
          <w:i/>
          <w:iCs/>
          <w:color w:val="44546A" w:themeColor="text2"/>
          <w:sz w:val="18"/>
          <w:szCs w:val="18"/>
          <w:lang w:val="en-GB"/>
        </w:rPr>
        <w:t>s</w:t>
      </w:r>
      <w:proofErr w:type="spellEnd"/>
      <w:r w:rsidRPr="00DB1A70">
        <w:rPr>
          <w:rFonts w:asciiTheme="minorHAnsi" w:eastAsiaTheme="minorHAnsi" w:hAnsiTheme="minorHAnsi" w:cstheme="minorBidi"/>
          <w:i/>
          <w:iCs/>
          <w:color w:val="44546A" w:themeColor="text2"/>
          <w:sz w:val="18"/>
          <w:szCs w:val="18"/>
          <w:lang w:val="en-GB"/>
        </w:rPr>
        <w:t xml:space="preserve"> Riches Heures du Duc de Berry. </w:t>
      </w:r>
      <w:proofErr w:type="spellStart"/>
      <w:r w:rsidRPr="00DB1A70">
        <w:rPr>
          <w:rFonts w:asciiTheme="minorHAnsi" w:eastAsiaTheme="minorHAnsi" w:hAnsiTheme="minorHAnsi" w:cstheme="minorBidi"/>
          <w:i/>
          <w:iCs/>
          <w:color w:val="44546A" w:themeColor="text2"/>
          <w:sz w:val="18"/>
          <w:szCs w:val="18"/>
          <w:lang w:val="en-GB"/>
        </w:rPr>
        <w:t>Mus</w:t>
      </w:r>
      <w:r w:rsidRPr="00DB1A70">
        <w:rPr>
          <w:rFonts w:asciiTheme="minorHAnsi" w:eastAsiaTheme="minorHAnsi" w:hAnsiTheme="minorHAnsi" w:cstheme="minorHAnsi"/>
          <w:i/>
          <w:iCs/>
          <w:color w:val="44546A" w:themeColor="text2"/>
          <w:sz w:val="18"/>
          <w:szCs w:val="18"/>
          <w:lang w:val="en-GB"/>
        </w:rPr>
        <w:t>é</w:t>
      </w:r>
      <w:r w:rsidRPr="00DB1A70">
        <w:rPr>
          <w:rFonts w:asciiTheme="minorHAnsi" w:eastAsiaTheme="minorHAnsi" w:hAnsiTheme="minorHAnsi" w:cstheme="minorBidi"/>
          <w:i/>
          <w:iCs/>
          <w:color w:val="44546A" w:themeColor="text2"/>
          <w:sz w:val="18"/>
          <w:szCs w:val="18"/>
          <w:lang w:val="en-GB"/>
        </w:rPr>
        <w:t>e</w:t>
      </w:r>
      <w:proofErr w:type="spellEnd"/>
      <w:r w:rsidRPr="00DB1A70">
        <w:rPr>
          <w:rFonts w:asciiTheme="minorHAnsi" w:eastAsiaTheme="minorHAnsi" w:hAnsiTheme="minorHAnsi" w:cstheme="minorBidi"/>
          <w:i/>
          <w:iCs/>
          <w:color w:val="44546A" w:themeColor="text2"/>
          <w:sz w:val="18"/>
          <w:szCs w:val="18"/>
          <w:lang w:val="en-GB"/>
        </w:rPr>
        <w:t xml:space="preserve"> Cond</w:t>
      </w:r>
      <w:r w:rsidRPr="00DB1A70">
        <w:rPr>
          <w:rFonts w:asciiTheme="minorHAnsi" w:eastAsiaTheme="minorHAnsi" w:hAnsiTheme="minorHAnsi" w:cstheme="minorHAnsi"/>
          <w:i/>
          <w:iCs/>
          <w:color w:val="44546A" w:themeColor="text2"/>
          <w:sz w:val="18"/>
          <w:szCs w:val="18"/>
          <w:lang w:val="en-GB"/>
        </w:rPr>
        <w:t>é</w:t>
      </w:r>
      <w:r w:rsidRPr="00DB1A70">
        <w:rPr>
          <w:rFonts w:asciiTheme="minorHAnsi" w:eastAsiaTheme="minorHAnsi" w:hAnsiTheme="minorHAnsi" w:cstheme="minorBidi"/>
          <w:i/>
          <w:iCs/>
          <w:color w:val="44546A" w:themeColor="text2"/>
          <w:sz w:val="18"/>
          <w:szCs w:val="18"/>
          <w:lang w:val="en-GB"/>
        </w:rPr>
        <w:t xml:space="preserve"> MS 65 f. 5v. France, 1412-1416.</w:t>
      </w:r>
      <w:r w:rsidRPr="00DB1A70">
        <w:rPr>
          <w:rFonts w:asciiTheme="minorHAnsi" w:eastAsiaTheme="minorHAnsi" w:hAnsiTheme="minorHAnsi" w:cstheme="minorBidi"/>
          <w:i/>
          <w:iCs/>
          <w:color w:val="44546A" w:themeColor="text2"/>
          <w:sz w:val="18"/>
          <w:szCs w:val="18"/>
          <w:vertAlign w:val="superscript"/>
          <w:lang w:val="en-GB"/>
        </w:rPr>
        <w:footnoteReference w:id="30"/>
      </w:r>
    </w:p>
    <w:p w14:paraId="2F01664D" w14:textId="31B24433" w:rsidR="00CF3E5E" w:rsidRPr="0046704D" w:rsidRDefault="00CF3E5E" w:rsidP="0046704D">
      <w:pPr>
        <w:widowControl/>
        <w:autoSpaceDE/>
        <w:autoSpaceDN/>
        <w:adjustRightInd/>
        <w:spacing w:after="200"/>
        <w:jc w:val="center"/>
        <w:rPr>
          <w:rFonts w:asciiTheme="minorHAnsi" w:hAnsiTheme="minorHAnsi" w:cstheme="minorHAnsi"/>
          <w:i/>
          <w:iCs/>
          <w:color w:val="44546A" w:themeColor="text2"/>
          <w:sz w:val="18"/>
          <w:szCs w:val="18"/>
        </w:rPr>
      </w:pPr>
      <w:r w:rsidRPr="00CF3E5E">
        <w:rPr>
          <w:rFonts w:asciiTheme="minorHAnsi" w:hAnsiTheme="minorHAnsi" w:cstheme="minorHAnsi"/>
          <w:sz w:val="20"/>
          <w:szCs w:val="20"/>
        </w:rPr>
        <w:lastRenderedPageBreak/>
        <w:t>Bibliography</w:t>
      </w:r>
    </w:p>
    <w:p w14:paraId="63BE6765" w14:textId="77777777" w:rsidR="00CF3E5E" w:rsidRPr="00CF3E5E" w:rsidRDefault="00CF3E5E" w:rsidP="00A044AF">
      <w:pPr>
        <w:rPr>
          <w:rFonts w:asciiTheme="minorHAnsi" w:hAnsiTheme="minorHAnsi" w:cstheme="minorHAnsi"/>
          <w:sz w:val="20"/>
          <w:szCs w:val="20"/>
        </w:rPr>
      </w:pPr>
      <w:r w:rsidRPr="00CF3E5E">
        <w:rPr>
          <w:rFonts w:asciiTheme="minorHAnsi" w:hAnsiTheme="minorHAnsi" w:cstheme="minorHAnsi"/>
          <w:sz w:val="20"/>
          <w:szCs w:val="20"/>
        </w:rPr>
        <w:t xml:space="preserve">Backhouse, Janet, </w:t>
      </w:r>
      <w:r w:rsidRPr="00CF3E5E">
        <w:rPr>
          <w:rFonts w:asciiTheme="minorHAnsi" w:hAnsiTheme="minorHAnsi" w:cstheme="minorHAnsi"/>
          <w:i/>
          <w:sz w:val="20"/>
          <w:szCs w:val="20"/>
        </w:rPr>
        <w:t>Books of Hours</w:t>
      </w:r>
      <w:r w:rsidRPr="00CF3E5E">
        <w:rPr>
          <w:rFonts w:asciiTheme="minorHAnsi" w:hAnsiTheme="minorHAnsi" w:cstheme="minorHAnsi"/>
          <w:sz w:val="20"/>
          <w:szCs w:val="20"/>
        </w:rPr>
        <w:t xml:space="preserve"> (London: The British Library, 1988)</w:t>
      </w:r>
    </w:p>
    <w:p w14:paraId="1A917C37" w14:textId="537F5683" w:rsidR="00CF3E5E" w:rsidRDefault="00CF3E5E" w:rsidP="00A044AF">
      <w:pPr>
        <w:rPr>
          <w:rFonts w:asciiTheme="minorHAnsi" w:hAnsiTheme="minorHAnsi" w:cstheme="minorHAnsi"/>
          <w:sz w:val="20"/>
          <w:szCs w:val="20"/>
        </w:rPr>
      </w:pPr>
      <w:r w:rsidRPr="00CF3E5E">
        <w:rPr>
          <w:rFonts w:asciiTheme="minorHAnsi" w:hAnsiTheme="minorHAnsi" w:cstheme="minorHAnsi"/>
          <w:sz w:val="20"/>
          <w:szCs w:val="20"/>
        </w:rPr>
        <w:tab/>
      </w:r>
      <w:r w:rsidRPr="00CF3E5E">
        <w:rPr>
          <w:rFonts w:asciiTheme="minorHAnsi" w:hAnsiTheme="minorHAnsi" w:cstheme="minorHAnsi"/>
          <w:i/>
          <w:sz w:val="20"/>
          <w:szCs w:val="20"/>
        </w:rPr>
        <w:t>Illuminations from Books of Hours</w:t>
      </w:r>
      <w:r w:rsidRPr="00CF3E5E">
        <w:rPr>
          <w:rFonts w:asciiTheme="minorHAnsi" w:hAnsiTheme="minorHAnsi" w:cstheme="minorHAnsi"/>
          <w:sz w:val="20"/>
          <w:szCs w:val="20"/>
        </w:rPr>
        <w:t xml:space="preserve"> (London: The British Library, 2004)</w:t>
      </w:r>
    </w:p>
    <w:p w14:paraId="5726B36F" w14:textId="77777777" w:rsidR="00B434D6" w:rsidRPr="00CF3E5E" w:rsidRDefault="00B434D6" w:rsidP="00A044AF">
      <w:pPr>
        <w:rPr>
          <w:rFonts w:asciiTheme="minorHAnsi" w:hAnsiTheme="minorHAnsi" w:cstheme="minorHAnsi"/>
          <w:sz w:val="20"/>
          <w:szCs w:val="20"/>
        </w:rPr>
      </w:pPr>
    </w:p>
    <w:p w14:paraId="5A56FA62" w14:textId="22960FAC" w:rsidR="00CF3E5E" w:rsidRDefault="00CF3E5E" w:rsidP="00A044AF">
      <w:pPr>
        <w:rPr>
          <w:rFonts w:asciiTheme="minorHAnsi" w:hAnsiTheme="minorHAnsi" w:cstheme="minorHAnsi"/>
          <w:sz w:val="20"/>
          <w:szCs w:val="20"/>
        </w:rPr>
      </w:pPr>
      <w:r w:rsidRPr="00CF3E5E">
        <w:rPr>
          <w:rFonts w:asciiTheme="minorHAnsi" w:hAnsiTheme="minorHAnsi" w:cstheme="minorHAnsi"/>
          <w:sz w:val="20"/>
          <w:szCs w:val="20"/>
        </w:rPr>
        <w:t xml:space="preserve">Beal, Peter &amp; Griffiths, Jeremy eds. </w:t>
      </w:r>
      <w:r w:rsidRPr="00CF3E5E">
        <w:rPr>
          <w:rFonts w:asciiTheme="minorHAnsi" w:hAnsiTheme="minorHAnsi" w:cstheme="minorHAnsi"/>
          <w:i/>
          <w:sz w:val="20"/>
          <w:szCs w:val="20"/>
        </w:rPr>
        <w:t>English Manuscript Studies 1100-1700</w:t>
      </w:r>
      <w:r w:rsidRPr="00CF3E5E">
        <w:rPr>
          <w:rFonts w:asciiTheme="minorHAnsi" w:hAnsiTheme="minorHAnsi" w:cstheme="minorHAnsi"/>
          <w:sz w:val="20"/>
          <w:szCs w:val="20"/>
        </w:rPr>
        <w:t xml:space="preserve"> (Oxford: Basil Blackwell Ltd, 1989)</w:t>
      </w:r>
    </w:p>
    <w:p w14:paraId="633342FC" w14:textId="77777777" w:rsidR="00B434D6" w:rsidRDefault="00B434D6" w:rsidP="00A044AF">
      <w:pPr>
        <w:rPr>
          <w:rFonts w:asciiTheme="minorHAnsi" w:hAnsiTheme="minorHAnsi" w:cstheme="minorHAnsi"/>
          <w:sz w:val="20"/>
          <w:szCs w:val="20"/>
        </w:rPr>
      </w:pPr>
    </w:p>
    <w:p w14:paraId="71E3F93F" w14:textId="02BE8CFC" w:rsidR="00B434D6" w:rsidRPr="00CF3E5E" w:rsidRDefault="00B434D6" w:rsidP="00A044AF">
      <w:pPr>
        <w:rPr>
          <w:rFonts w:asciiTheme="minorHAnsi" w:hAnsiTheme="minorHAnsi" w:cstheme="minorHAnsi"/>
          <w:sz w:val="20"/>
          <w:szCs w:val="20"/>
        </w:rPr>
      </w:pPr>
      <w:r>
        <w:rPr>
          <w:rFonts w:asciiTheme="minorHAnsi" w:hAnsiTheme="minorHAnsi" w:cstheme="minorHAnsi"/>
          <w:sz w:val="20"/>
          <w:szCs w:val="20"/>
        </w:rPr>
        <w:t>Bell, Susan G., ‘Medieval Women Book Owners: Arbiters of Lay Piety and Ambassadors of Culture’, Signs, 7 (1982), pp. 742-768</w:t>
      </w:r>
    </w:p>
    <w:p w14:paraId="7E09BCFB" w14:textId="77777777" w:rsidR="00B434D6" w:rsidRDefault="00B434D6" w:rsidP="00A044AF">
      <w:pPr>
        <w:rPr>
          <w:rFonts w:asciiTheme="minorHAnsi" w:hAnsiTheme="minorHAnsi" w:cstheme="minorHAnsi"/>
          <w:sz w:val="20"/>
          <w:szCs w:val="20"/>
        </w:rPr>
      </w:pPr>
    </w:p>
    <w:p w14:paraId="55D0687A" w14:textId="409DBA88" w:rsidR="00CF3E5E" w:rsidRPr="00CF3E5E" w:rsidRDefault="00CF3E5E" w:rsidP="00A044AF">
      <w:pPr>
        <w:rPr>
          <w:rFonts w:asciiTheme="minorHAnsi" w:hAnsiTheme="minorHAnsi" w:cstheme="minorHAnsi"/>
          <w:sz w:val="20"/>
          <w:szCs w:val="20"/>
        </w:rPr>
      </w:pPr>
      <w:r w:rsidRPr="00CF3E5E">
        <w:rPr>
          <w:rFonts w:asciiTheme="minorHAnsi" w:hAnsiTheme="minorHAnsi" w:cstheme="minorHAnsi"/>
          <w:sz w:val="20"/>
          <w:szCs w:val="20"/>
        </w:rPr>
        <w:t xml:space="preserve">Camille, Michael, </w:t>
      </w:r>
      <w:r w:rsidRPr="00CF3E5E">
        <w:rPr>
          <w:rFonts w:asciiTheme="minorHAnsi" w:hAnsiTheme="minorHAnsi" w:cstheme="minorHAnsi"/>
          <w:i/>
          <w:sz w:val="20"/>
          <w:szCs w:val="20"/>
        </w:rPr>
        <w:t>Gothic Art</w:t>
      </w:r>
      <w:r w:rsidRPr="00CF3E5E">
        <w:rPr>
          <w:rFonts w:asciiTheme="minorHAnsi" w:hAnsiTheme="minorHAnsi" w:cstheme="minorHAnsi"/>
          <w:sz w:val="20"/>
          <w:szCs w:val="20"/>
        </w:rPr>
        <w:t xml:space="preserve"> (London, Weidenfeld &amp; Nicholson, 1996)</w:t>
      </w:r>
    </w:p>
    <w:p w14:paraId="6B5F7423" w14:textId="77777777" w:rsidR="00B434D6" w:rsidRDefault="00B434D6" w:rsidP="00A044AF">
      <w:pPr>
        <w:rPr>
          <w:rFonts w:asciiTheme="minorHAnsi" w:hAnsiTheme="minorHAnsi" w:cstheme="minorHAnsi"/>
          <w:sz w:val="20"/>
          <w:szCs w:val="20"/>
        </w:rPr>
      </w:pPr>
    </w:p>
    <w:p w14:paraId="3744F939" w14:textId="56A3F79F" w:rsidR="00CF3E5E" w:rsidRPr="00CF3E5E" w:rsidRDefault="00CF3E5E" w:rsidP="00A044AF">
      <w:pPr>
        <w:rPr>
          <w:rFonts w:asciiTheme="minorHAnsi" w:hAnsiTheme="minorHAnsi" w:cstheme="minorHAnsi"/>
          <w:sz w:val="20"/>
          <w:szCs w:val="20"/>
        </w:rPr>
      </w:pPr>
      <w:r w:rsidRPr="00CF3E5E">
        <w:rPr>
          <w:rFonts w:asciiTheme="minorHAnsi" w:hAnsiTheme="minorHAnsi" w:cstheme="minorHAnsi"/>
          <w:sz w:val="20"/>
          <w:szCs w:val="20"/>
        </w:rPr>
        <w:t>Donovan, Claire,</w:t>
      </w:r>
      <w:r w:rsidRPr="00CF3E5E">
        <w:rPr>
          <w:rFonts w:asciiTheme="minorHAnsi" w:hAnsiTheme="minorHAnsi" w:cstheme="minorHAnsi"/>
          <w:i/>
          <w:sz w:val="20"/>
          <w:szCs w:val="20"/>
        </w:rPr>
        <w:t xml:space="preserve"> The de </w:t>
      </w:r>
      <w:proofErr w:type="spellStart"/>
      <w:r w:rsidRPr="00CF3E5E">
        <w:rPr>
          <w:rFonts w:asciiTheme="minorHAnsi" w:hAnsiTheme="minorHAnsi" w:cstheme="minorHAnsi"/>
          <w:i/>
          <w:sz w:val="20"/>
          <w:szCs w:val="20"/>
        </w:rPr>
        <w:t>Brailes</w:t>
      </w:r>
      <w:proofErr w:type="spellEnd"/>
      <w:r w:rsidRPr="00CF3E5E">
        <w:rPr>
          <w:rFonts w:asciiTheme="minorHAnsi" w:hAnsiTheme="minorHAnsi" w:cstheme="minorHAnsi"/>
          <w:i/>
          <w:sz w:val="20"/>
          <w:szCs w:val="20"/>
        </w:rPr>
        <w:t xml:space="preserve"> Hours: Shaping the Book of Hours in Thirteenth-Century Oxford </w:t>
      </w:r>
      <w:r w:rsidRPr="00CF3E5E">
        <w:rPr>
          <w:rFonts w:asciiTheme="minorHAnsi" w:hAnsiTheme="minorHAnsi" w:cstheme="minorHAnsi"/>
          <w:sz w:val="20"/>
          <w:szCs w:val="20"/>
        </w:rPr>
        <w:t xml:space="preserve">(London: The </w:t>
      </w:r>
    </w:p>
    <w:p w14:paraId="6C19BE92" w14:textId="77777777" w:rsidR="00CF3E5E" w:rsidRPr="00CF3E5E" w:rsidRDefault="00CF3E5E" w:rsidP="00A044AF">
      <w:pPr>
        <w:ind w:firstLine="720"/>
        <w:rPr>
          <w:rFonts w:asciiTheme="minorHAnsi" w:hAnsiTheme="minorHAnsi" w:cstheme="minorHAnsi"/>
          <w:sz w:val="20"/>
          <w:szCs w:val="20"/>
        </w:rPr>
      </w:pPr>
      <w:r w:rsidRPr="00CF3E5E">
        <w:rPr>
          <w:rFonts w:asciiTheme="minorHAnsi" w:hAnsiTheme="minorHAnsi" w:cstheme="minorHAnsi"/>
          <w:sz w:val="20"/>
          <w:szCs w:val="20"/>
        </w:rPr>
        <w:t>British Library, 1991)</w:t>
      </w:r>
    </w:p>
    <w:p w14:paraId="773912F2" w14:textId="77777777" w:rsidR="00B434D6" w:rsidRDefault="00B434D6" w:rsidP="00A044AF">
      <w:pPr>
        <w:rPr>
          <w:rFonts w:asciiTheme="minorHAnsi" w:hAnsiTheme="minorHAnsi" w:cstheme="minorHAnsi"/>
          <w:sz w:val="20"/>
          <w:szCs w:val="20"/>
        </w:rPr>
      </w:pPr>
    </w:p>
    <w:p w14:paraId="32B0D017" w14:textId="47F759B3" w:rsidR="00CF3E5E" w:rsidRPr="00CF3E5E" w:rsidRDefault="00CF3E5E" w:rsidP="00A044AF">
      <w:pPr>
        <w:rPr>
          <w:rFonts w:asciiTheme="minorHAnsi" w:hAnsiTheme="minorHAnsi" w:cstheme="minorHAnsi"/>
          <w:sz w:val="20"/>
          <w:szCs w:val="20"/>
        </w:rPr>
      </w:pPr>
      <w:proofErr w:type="spellStart"/>
      <w:r w:rsidRPr="00CF3E5E">
        <w:rPr>
          <w:rFonts w:asciiTheme="minorHAnsi" w:hAnsiTheme="minorHAnsi" w:cstheme="minorHAnsi"/>
          <w:sz w:val="20"/>
          <w:szCs w:val="20"/>
        </w:rPr>
        <w:t>Harthan</w:t>
      </w:r>
      <w:proofErr w:type="spellEnd"/>
      <w:r w:rsidRPr="00CF3E5E">
        <w:rPr>
          <w:rFonts w:asciiTheme="minorHAnsi" w:hAnsiTheme="minorHAnsi" w:cstheme="minorHAnsi"/>
          <w:sz w:val="20"/>
          <w:szCs w:val="20"/>
        </w:rPr>
        <w:t xml:space="preserve">, John, </w:t>
      </w:r>
      <w:r w:rsidRPr="00CF3E5E">
        <w:rPr>
          <w:rFonts w:asciiTheme="minorHAnsi" w:hAnsiTheme="minorHAnsi" w:cstheme="minorHAnsi"/>
          <w:i/>
          <w:sz w:val="20"/>
          <w:szCs w:val="20"/>
        </w:rPr>
        <w:t>Books of Hours</w:t>
      </w:r>
      <w:r w:rsidRPr="00CF3E5E">
        <w:rPr>
          <w:rFonts w:asciiTheme="minorHAnsi" w:hAnsiTheme="minorHAnsi" w:cstheme="minorHAnsi"/>
          <w:sz w:val="20"/>
          <w:szCs w:val="20"/>
        </w:rPr>
        <w:t xml:space="preserve"> (London: Thames &amp; Hudson, 1977)</w:t>
      </w:r>
    </w:p>
    <w:p w14:paraId="69254B90" w14:textId="77777777" w:rsidR="00A044AF" w:rsidRPr="00E203D2" w:rsidRDefault="00A044AF" w:rsidP="00A044AF">
      <w:pPr>
        <w:widowControl/>
        <w:autoSpaceDE/>
        <w:autoSpaceDN/>
        <w:adjustRightInd/>
        <w:spacing w:before="100" w:beforeAutospacing="1" w:after="100" w:afterAutospacing="1"/>
        <w:ind w:left="450" w:hanging="450"/>
        <w:rPr>
          <w:rFonts w:asciiTheme="minorHAnsi" w:hAnsiTheme="minorHAnsi" w:cstheme="minorHAnsi"/>
          <w:color w:val="000000"/>
          <w:sz w:val="20"/>
          <w:szCs w:val="20"/>
          <w:lang w:val="en-GB" w:eastAsia="en-GB"/>
        </w:rPr>
      </w:pPr>
      <w:r w:rsidRPr="00E203D2">
        <w:rPr>
          <w:rFonts w:asciiTheme="minorHAnsi" w:hAnsiTheme="minorHAnsi" w:cstheme="minorHAnsi"/>
          <w:color w:val="000000"/>
          <w:sz w:val="20"/>
          <w:szCs w:val="20"/>
          <w:lang w:val="en-GB" w:eastAsia="en-GB"/>
        </w:rPr>
        <w:t>Kennedy, Kathleen E., 'Reintroducing the English Books of Hours, Or "English Primers"', </w:t>
      </w:r>
      <w:r w:rsidRPr="00E203D2">
        <w:rPr>
          <w:rFonts w:asciiTheme="minorHAnsi" w:hAnsiTheme="minorHAnsi" w:cstheme="minorHAnsi"/>
          <w:i/>
          <w:iCs/>
          <w:color w:val="000000"/>
          <w:sz w:val="20"/>
          <w:szCs w:val="20"/>
          <w:lang w:val="en-GB" w:eastAsia="en-GB"/>
        </w:rPr>
        <w:t>Speculum, </w:t>
      </w:r>
      <w:r w:rsidRPr="00E203D2">
        <w:rPr>
          <w:rFonts w:asciiTheme="minorHAnsi" w:hAnsiTheme="minorHAnsi" w:cstheme="minorHAnsi"/>
          <w:color w:val="000000"/>
          <w:sz w:val="20"/>
          <w:szCs w:val="20"/>
          <w:lang w:val="en-GB" w:eastAsia="en-GB"/>
        </w:rPr>
        <w:t>89 (2014), 693-723</w:t>
      </w:r>
      <w:r w:rsidRPr="00E203D2">
        <w:rPr>
          <w:rFonts w:asciiTheme="minorHAnsi" w:hAnsiTheme="minorHAnsi" w:cstheme="minorHAnsi"/>
          <w:i/>
          <w:iCs/>
          <w:color w:val="000000"/>
          <w:sz w:val="20"/>
          <w:szCs w:val="20"/>
          <w:lang w:val="en-GB" w:eastAsia="en-GB"/>
        </w:rPr>
        <w:t xml:space="preserve"> </w:t>
      </w:r>
    </w:p>
    <w:p w14:paraId="442BCF4F" w14:textId="77777777" w:rsidR="00CF3E5E" w:rsidRPr="00CF3E5E" w:rsidRDefault="00CF3E5E" w:rsidP="00A044AF">
      <w:pPr>
        <w:rPr>
          <w:rFonts w:asciiTheme="minorHAnsi" w:hAnsiTheme="minorHAnsi" w:cstheme="minorHAnsi"/>
          <w:sz w:val="20"/>
          <w:szCs w:val="20"/>
        </w:rPr>
      </w:pPr>
      <w:r w:rsidRPr="00CF3E5E">
        <w:rPr>
          <w:rFonts w:asciiTheme="minorHAnsi" w:hAnsiTheme="minorHAnsi" w:cstheme="minorHAnsi"/>
          <w:sz w:val="20"/>
          <w:szCs w:val="20"/>
        </w:rPr>
        <w:t xml:space="preserve">Manion, Margaret, </w:t>
      </w:r>
      <w:r w:rsidRPr="00CF3E5E">
        <w:rPr>
          <w:rFonts w:asciiTheme="minorHAnsi" w:hAnsiTheme="minorHAnsi" w:cstheme="minorHAnsi"/>
          <w:i/>
          <w:sz w:val="20"/>
          <w:szCs w:val="20"/>
        </w:rPr>
        <w:t xml:space="preserve">The </w:t>
      </w:r>
      <w:proofErr w:type="spellStart"/>
      <w:r w:rsidRPr="00CF3E5E">
        <w:rPr>
          <w:rFonts w:asciiTheme="minorHAnsi" w:hAnsiTheme="minorHAnsi" w:cstheme="minorHAnsi"/>
          <w:i/>
          <w:sz w:val="20"/>
          <w:szCs w:val="20"/>
        </w:rPr>
        <w:t>Wharncliffe</w:t>
      </w:r>
      <w:proofErr w:type="spellEnd"/>
      <w:r w:rsidRPr="00CF3E5E">
        <w:rPr>
          <w:rFonts w:asciiTheme="minorHAnsi" w:hAnsiTheme="minorHAnsi" w:cstheme="minorHAnsi"/>
          <w:i/>
          <w:sz w:val="20"/>
          <w:szCs w:val="20"/>
        </w:rPr>
        <w:t xml:space="preserve"> Hours</w:t>
      </w:r>
      <w:r w:rsidRPr="00CF3E5E">
        <w:rPr>
          <w:rFonts w:asciiTheme="minorHAnsi" w:hAnsiTheme="minorHAnsi" w:cstheme="minorHAnsi"/>
          <w:sz w:val="20"/>
          <w:szCs w:val="20"/>
        </w:rPr>
        <w:t xml:space="preserve"> (Sydney: Sydney University Press, 1972)</w:t>
      </w:r>
    </w:p>
    <w:p w14:paraId="79503965" w14:textId="77777777" w:rsidR="00B434D6" w:rsidRDefault="00B434D6" w:rsidP="00A044AF">
      <w:pPr>
        <w:rPr>
          <w:rFonts w:asciiTheme="minorHAnsi" w:hAnsiTheme="minorHAnsi" w:cstheme="minorHAnsi"/>
          <w:sz w:val="20"/>
          <w:szCs w:val="20"/>
        </w:rPr>
      </w:pPr>
    </w:p>
    <w:p w14:paraId="5FBCD214" w14:textId="6398D5D5" w:rsidR="00CF3E5E" w:rsidRPr="00CF3E5E" w:rsidRDefault="00CF3E5E" w:rsidP="00A044AF">
      <w:pPr>
        <w:rPr>
          <w:rFonts w:asciiTheme="minorHAnsi" w:hAnsiTheme="minorHAnsi" w:cstheme="minorHAnsi"/>
          <w:sz w:val="20"/>
          <w:szCs w:val="20"/>
        </w:rPr>
      </w:pPr>
      <w:proofErr w:type="spellStart"/>
      <w:r w:rsidRPr="00CF3E5E">
        <w:rPr>
          <w:rFonts w:asciiTheme="minorHAnsi" w:hAnsiTheme="minorHAnsi" w:cstheme="minorHAnsi"/>
          <w:sz w:val="20"/>
          <w:szCs w:val="20"/>
        </w:rPr>
        <w:t>Meiss</w:t>
      </w:r>
      <w:proofErr w:type="spellEnd"/>
      <w:r w:rsidRPr="00CF3E5E">
        <w:rPr>
          <w:rFonts w:asciiTheme="minorHAnsi" w:hAnsiTheme="minorHAnsi" w:cstheme="minorHAnsi"/>
          <w:sz w:val="20"/>
          <w:szCs w:val="20"/>
        </w:rPr>
        <w:t xml:space="preserve">, Millard &amp; Beatson, Elizabeth H., </w:t>
      </w:r>
      <w:r w:rsidRPr="00CF3E5E">
        <w:rPr>
          <w:rFonts w:asciiTheme="minorHAnsi" w:hAnsiTheme="minorHAnsi" w:cstheme="minorHAnsi"/>
          <w:i/>
          <w:sz w:val="20"/>
          <w:szCs w:val="20"/>
        </w:rPr>
        <w:t>Les Belles Heures de Jean Duc de Berry</w:t>
      </w:r>
      <w:r w:rsidRPr="00CF3E5E">
        <w:rPr>
          <w:rFonts w:asciiTheme="minorHAnsi" w:hAnsiTheme="minorHAnsi" w:cstheme="minorHAnsi"/>
          <w:sz w:val="20"/>
          <w:szCs w:val="20"/>
        </w:rPr>
        <w:t xml:space="preserve"> (London: Thames &amp; Hudson, </w:t>
      </w:r>
    </w:p>
    <w:p w14:paraId="69D434EF" w14:textId="77777777" w:rsidR="00CF3E5E" w:rsidRPr="00CF3E5E" w:rsidRDefault="00CF3E5E" w:rsidP="00A044AF">
      <w:pPr>
        <w:ind w:firstLine="720"/>
        <w:rPr>
          <w:rFonts w:asciiTheme="minorHAnsi" w:hAnsiTheme="minorHAnsi" w:cstheme="minorHAnsi"/>
          <w:sz w:val="20"/>
          <w:szCs w:val="20"/>
        </w:rPr>
      </w:pPr>
      <w:r w:rsidRPr="00CF3E5E">
        <w:rPr>
          <w:rFonts w:asciiTheme="minorHAnsi" w:hAnsiTheme="minorHAnsi" w:cstheme="minorHAnsi"/>
          <w:sz w:val="20"/>
          <w:szCs w:val="20"/>
        </w:rPr>
        <w:t>1974)</w:t>
      </w:r>
    </w:p>
    <w:p w14:paraId="242BCB01" w14:textId="77777777" w:rsidR="00B434D6" w:rsidRDefault="00B434D6" w:rsidP="00A044AF">
      <w:pPr>
        <w:widowControl/>
        <w:autoSpaceDE/>
        <w:autoSpaceDN/>
        <w:adjustRightInd/>
        <w:spacing w:after="160"/>
        <w:rPr>
          <w:rFonts w:asciiTheme="minorHAnsi" w:eastAsiaTheme="minorHAnsi" w:hAnsiTheme="minorHAnsi" w:cstheme="minorHAnsi"/>
          <w:sz w:val="20"/>
          <w:szCs w:val="20"/>
          <w:lang w:val="en-GB"/>
        </w:rPr>
      </w:pPr>
    </w:p>
    <w:p w14:paraId="50E57776" w14:textId="15B6E2E9" w:rsidR="00A044AF" w:rsidRPr="00A044AF" w:rsidRDefault="00A044AF" w:rsidP="00A044AF">
      <w:pPr>
        <w:widowControl/>
        <w:autoSpaceDE/>
        <w:autoSpaceDN/>
        <w:adjustRightInd/>
        <w:spacing w:after="160"/>
        <w:rPr>
          <w:rFonts w:asciiTheme="minorHAnsi" w:eastAsiaTheme="minorHAnsi" w:hAnsiTheme="minorHAnsi" w:cstheme="minorHAnsi"/>
          <w:sz w:val="20"/>
          <w:szCs w:val="20"/>
          <w:lang w:val="en-GB"/>
        </w:rPr>
      </w:pPr>
      <w:proofErr w:type="spellStart"/>
      <w:r w:rsidRPr="00A044AF">
        <w:rPr>
          <w:rFonts w:asciiTheme="minorHAnsi" w:eastAsiaTheme="minorHAnsi" w:hAnsiTheme="minorHAnsi" w:cstheme="minorHAnsi"/>
          <w:sz w:val="20"/>
          <w:szCs w:val="20"/>
          <w:lang w:val="en-GB"/>
        </w:rPr>
        <w:t>Reinberg</w:t>
      </w:r>
      <w:proofErr w:type="spellEnd"/>
      <w:r w:rsidRPr="00A044AF">
        <w:rPr>
          <w:rFonts w:asciiTheme="minorHAnsi" w:eastAsiaTheme="minorHAnsi" w:hAnsiTheme="minorHAnsi" w:cstheme="minorHAnsi"/>
          <w:sz w:val="20"/>
          <w:szCs w:val="20"/>
          <w:lang w:val="en-GB"/>
        </w:rPr>
        <w:t>, Virginia “For the Use of Women”: Women and Books of Hours Early Modern Women</w:t>
      </w:r>
      <w:r w:rsidRPr="00A044AF">
        <w:rPr>
          <w:rFonts w:asciiTheme="minorHAnsi" w:eastAsiaTheme="minorHAnsi" w:hAnsiTheme="minorHAnsi" w:cstheme="minorHAnsi"/>
          <w:i/>
          <w:sz w:val="20"/>
          <w:szCs w:val="20"/>
          <w:lang w:val="en-GB"/>
        </w:rPr>
        <w:t xml:space="preserve">, </w:t>
      </w:r>
      <w:r w:rsidRPr="00A044AF">
        <w:rPr>
          <w:rFonts w:asciiTheme="minorHAnsi" w:eastAsiaTheme="minorHAnsi" w:hAnsiTheme="minorHAnsi" w:cstheme="minorHAnsi"/>
          <w:sz w:val="20"/>
          <w:szCs w:val="20"/>
          <w:lang w:val="en-GB"/>
        </w:rPr>
        <w:t>an Interdisciplinary Journal 2009, Vol 4</w:t>
      </w:r>
    </w:p>
    <w:p w14:paraId="077EE874" w14:textId="77777777" w:rsidR="00A044AF" w:rsidRPr="00A044AF" w:rsidRDefault="00A044AF" w:rsidP="00A044AF">
      <w:pPr>
        <w:widowControl/>
        <w:autoSpaceDE/>
        <w:autoSpaceDN/>
        <w:adjustRightInd/>
        <w:spacing w:before="100" w:beforeAutospacing="1" w:after="100" w:afterAutospacing="1"/>
        <w:ind w:left="450" w:hanging="450"/>
        <w:rPr>
          <w:rFonts w:asciiTheme="minorHAnsi" w:hAnsiTheme="minorHAnsi" w:cstheme="minorHAnsi"/>
          <w:color w:val="000000"/>
          <w:sz w:val="20"/>
          <w:szCs w:val="20"/>
          <w:lang w:val="en-GB" w:eastAsia="en-GB"/>
        </w:rPr>
      </w:pPr>
      <w:r w:rsidRPr="00E203D2">
        <w:rPr>
          <w:rFonts w:asciiTheme="minorHAnsi" w:hAnsiTheme="minorHAnsi" w:cstheme="minorHAnsi"/>
          <w:color w:val="000000"/>
          <w:sz w:val="20"/>
          <w:szCs w:val="20"/>
          <w:lang w:val="en-GB" w:eastAsia="en-GB"/>
        </w:rPr>
        <w:t>Sandler, Lucy F., 'Illuminated in the British Isles: French Influence and/or the Englishness of English Art, 1285-1345', </w:t>
      </w:r>
      <w:proofErr w:type="spellStart"/>
      <w:r w:rsidRPr="00E203D2">
        <w:rPr>
          <w:rFonts w:asciiTheme="minorHAnsi" w:hAnsiTheme="minorHAnsi" w:cstheme="minorHAnsi"/>
          <w:i/>
          <w:iCs/>
          <w:color w:val="000000"/>
          <w:sz w:val="20"/>
          <w:szCs w:val="20"/>
          <w:lang w:val="en-GB" w:eastAsia="en-GB"/>
        </w:rPr>
        <w:t>Gesta</w:t>
      </w:r>
      <w:proofErr w:type="spellEnd"/>
      <w:r w:rsidRPr="00E203D2">
        <w:rPr>
          <w:rFonts w:asciiTheme="minorHAnsi" w:hAnsiTheme="minorHAnsi" w:cstheme="minorHAnsi"/>
          <w:i/>
          <w:iCs/>
          <w:color w:val="000000"/>
          <w:sz w:val="20"/>
          <w:szCs w:val="20"/>
          <w:lang w:val="en-GB" w:eastAsia="en-GB"/>
        </w:rPr>
        <w:t>, </w:t>
      </w:r>
      <w:r w:rsidRPr="00E203D2">
        <w:rPr>
          <w:rFonts w:asciiTheme="minorHAnsi" w:hAnsiTheme="minorHAnsi" w:cstheme="minorHAnsi"/>
          <w:color w:val="000000"/>
          <w:sz w:val="20"/>
          <w:szCs w:val="20"/>
          <w:lang w:val="en-GB" w:eastAsia="en-GB"/>
        </w:rPr>
        <w:t>45 (2006), 177-188</w:t>
      </w:r>
    </w:p>
    <w:p w14:paraId="0CFFB5B4" w14:textId="77777777" w:rsidR="00CF3E5E" w:rsidRPr="00CF3E5E" w:rsidRDefault="00CF3E5E" w:rsidP="00A044AF">
      <w:pPr>
        <w:rPr>
          <w:rFonts w:asciiTheme="minorHAnsi" w:hAnsiTheme="minorHAnsi" w:cstheme="minorHAnsi"/>
          <w:i/>
          <w:sz w:val="20"/>
          <w:szCs w:val="20"/>
        </w:rPr>
      </w:pPr>
      <w:r w:rsidRPr="00CF3E5E">
        <w:rPr>
          <w:rFonts w:asciiTheme="minorHAnsi" w:hAnsiTheme="minorHAnsi" w:cstheme="minorHAnsi"/>
          <w:sz w:val="20"/>
          <w:szCs w:val="20"/>
        </w:rPr>
        <w:t xml:space="preserve">Scott-Stokes, Charity, </w:t>
      </w:r>
      <w:r w:rsidRPr="00CF3E5E">
        <w:rPr>
          <w:rFonts w:asciiTheme="minorHAnsi" w:hAnsiTheme="minorHAnsi" w:cstheme="minorHAnsi"/>
          <w:i/>
          <w:sz w:val="20"/>
          <w:szCs w:val="20"/>
        </w:rPr>
        <w:t>Women’s Books of Hours in Medieval England: Selected Texts Translated from Latin,</w:t>
      </w:r>
    </w:p>
    <w:p w14:paraId="48EA7E0D" w14:textId="77777777" w:rsidR="00CF3E5E" w:rsidRPr="00CF3E5E" w:rsidRDefault="00CF3E5E" w:rsidP="00A044AF">
      <w:pPr>
        <w:ind w:firstLine="720"/>
        <w:rPr>
          <w:rFonts w:asciiTheme="minorHAnsi" w:hAnsiTheme="minorHAnsi" w:cstheme="minorHAnsi"/>
          <w:sz w:val="20"/>
          <w:szCs w:val="20"/>
        </w:rPr>
      </w:pPr>
      <w:r w:rsidRPr="00CF3E5E">
        <w:rPr>
          <w:rFonts w:asciiTheme="minorHAnsi" w:hAnsiTheme="minorHAnsi" w:cstheme="minorHAnsi"/>
          <w:i/>
          <w:sz w:val="20"/>
          <w:szCs w:val="20"/>
        </w:rPr>
        <w:t xml:space="preserve"> Anglo-Norman French and Middle English</w:t>
      </w:r>
      <w:r w:rsidRPr="00CF3E5E">
        <w:rPr>
          <w:rFonts w:asciiTheme="minorHAnsi" w:hAnsiTheme="minorHAnsi" w:cstheme="minorHAnsi"/>
          <w:sz w:val="20"/>
          <w:szCs w:val="20"/>
        </w:rPr>
        <w:t xml:space="preserve"> (Cambridge: D. S. Brewer, 2006)</w:t>
      </w:r>
    </w:p>
    <w:p w14:paraId="0A883CAA" w14:textId="77777777" w:rsidR="00B434D6" w:rsidRDefault="00B434D6" w:rsidP="00A044AF">
      <w:pPr>
        <w:rPr>
          <w:rFonts w:asciiTheme="minorHAnsi" w:hAnsiTheme="minorHAnsi" w:cstheme="minorHAnsi"/>
          <w:sz w:val="20"/>
          <w:szCs w:val="20"/>
        </w:rPr>
      </w:pPr>
    </w:p>
    <w:p w14:paraId="66F29362" w14:textId="3F17AE58" w:rsidR="00CF3E5E" w:rsidRPr="00A044AF" w:rsidRDefault="00CF3E5E" w:rsidP="00A044AF">
      <w:pPr>
        <w:rPr>
          <w:rFonts w:asciiTheme="minorHAnsi" w:hAnsiTheme="minorHAnsi" w:cstheme="minorHAnsi"/>
          <w:sz w:val="20"/>
          <w:szCs w:val="20"/>
        </w:rPr>
      </w:pPr>
      <w:r w:rsidRPr="00A044AF">
        <w:rPr>
          <w:rFonts w:asciiTheme="minorHAnsi" w:hAnsiTheme="minorHAnsi" w:cstheme="minorHAnsi"/>
          <w:sz w:val="20"/>
          <w:szCs w:val="20"/>
        </w:rPr>
        <w:t xml:space="preserve">Smith, Kathryn A., </w:t>
      </w:r>
      <w:r w:rsidRPr="00A044AF">
        <w:rPr>
          <w:rFonts w:asciiTheme="minorHAnsi" w:hAnsiTheme="minorHAnsi" w:cstheme="minorHAnsi"/>
          <w:i/>
          <w:sz w:val="20"/>
          <w:szCs w:val="20"/>
        </w:rPr>
        <w:t>The</w:t>
      </w:r>
      <w:r w:rsidRPr="00A044AF">
        <w:rPr>
          <w:rFonts w:asciiTheme="minorHAnsi" w:hAnsiTheme="minorHAnsi" w:cstheme="minorHAnsi"/>
          <w:sz w:val="20"/>
          <w:szCs w:val="20"/>
        </w:rPr>
        <w:t xml:space="preserve"> </w:t>
      </w:r>
      <w:proofErr w:type="spellStart"/>
      <w:r w:rsidRPr="00A044AF">
        <w:rPr>
          <w:rFonts w:asciiTheme="minorHAnsi" w:hAnsiTheme="minorHAnsi" w:cstheme="minorHAnsi"/>
          <w:i/>
          <w:sz w:val="20"/>
          <w:szCs w:val="20"/>
        </w:rPr>
        <w:t>Taymouth</w:t>
      </w:r>
      <w:proofErr w:type="spellEnd"/>
      <w:r w:rsidRPr="00A044AF">
        <w:rPr>
          <w:rFonts w:asciiTheme="minorHAnsi" w:hAnsiTheme="minorHAnsi" w:cstheme="minorHAnsi"/>
          <w:i/>
          <w:sz w:val="20"/>
          <w:szCs w:val="20"/>
        </w:rPr>
        <w:t xml:space="preserve"> Hours: Stories and the Construction of the Self in Late Medieval England</w:t>
      </w:r>
      <w:r w:rsidRPr="00A044AF">
        <w:rPr>
          <w:rFonts w:asciiTheme="minorHAnsi" w:hAnsiTheme="minorHAnsi" w:cstheme="minorHAnsi"/>
          <w:sz w:val="20"/>
          <w:szCs w:val="20"/>
        </w:rPr>
        <w:t xml:space="preserve"> </w:t>
      </w:r>
    </w:p>
    <w:p w14:paraId="7E4A99C8" w14:textId="29B2A1F9" w:rsidR="00CF630C" w:rsidRDefault="00CF3E5E" w:rsidP="00953B86">
      <w:pPr>
        <w:tabs>
          <w:tab w:val="left" w:pos="3954"/>
        </w:tabs>
        <w:ind w:firstLine="720"/>
        <w:rPr>
          <w:rFonts w:asciiTheme="minorHAnsi" w:hAnsiTheme="minorHAnsi" w:cstheme="minorHAnsi"/>
          <w:sz w:val="20"/>
          <w:szCs w:val="20"/>
        </w:rPr>
      </w:pPr>
      <w:r w:rsidRPr="00A044AF">
        <w:rPr>
          <w:rFonts w:asciiTheme="minorHAnsi" w:hAnsiTheme="minorHAnsi" w:cstheme="minorHAnsi"/>
          <w:sz w:val="20"/>
          <w:szCs w:val="20"/>
        </w:rPr>
        <w:t>(London: The British Library, 2012)</w:t>
      </w:r>
      <w:r w:rsidR="00953B86">
        <w:rPr>
          <w:rFonts w:asciiTheme="minorHAnsi" w:hAnsiTheme="minorHAnsi" w:cstheme="minorHAnsi"/>
          <w:sz w:val="20"/>
          <w:szCs w:val="20"/>
        </w:rPr>
        <w:tab/>
      </w:r>
    </w:p>
    <w:p w14:paraId="6B117EE3" w14:textId="36599620" w:rsidR="00953B86" w:rsidRDefault="00953B86" w:rsidP="00953B86">
      <w:pPr>
        <w:tabs>
          <w:tab w:val="left" w:pos="3954"/>
        </w:tabs>
        <w:rPr>
          <w:rFonts w:asciiTheme="minorHAnsi" w:hAnsiTheme="minorHAnsi" w:cstheme="minorHAnsi"/>
          <w:sz w:val="20"/>
          <w:szCs w:val="20"/>
        </w:rPr>
      </w:pPr>
    </w:p>
    <w:p w14:paraId="25E1106F" w14:textId="46403EC0" w:rsidR="00953B86" w:rsidRDefault="00953B86" w:rsidP="00953B86">
      <w:pPr>
        <w:tabs>
          <w:tab w:val="left" w:pos="3954"/>
        </w:tabs>
        <w:rPr>
          <w:rFonts w:asciiTheme="minorHAnsi" w:hAnsiTheme="minorHAnsi" w:cstheme="minorHAnsi"/>
          <w:sz w:val="20"/>
          <w:szCs w:val="20"/>
        </w:rPr>
      </w:pPr>
    </w:p>
    <w:p w14:paraId="29B43015" w14:textId="2EBAFA9E" w:rsidR="00953B86" w:rsidRDefault="00953B86" w:rsidP="00953B86">
      <w:pPr>
        <w:tabs>
          <w:tab w:val="left" w:pos="3954"/>
        </w:tabs>
        <w:rPr>
          <w:rFonts w:asciiTheme="minorHAnsi" w:hAnsiTheme="minorHAnsi" w:cstheme="minorHAnsi"/>
          <w:sz w:val="20"/>
          <w:szCs w:val="20"/>
        </w:rPr>
      </w:pPr>
      <w:r>
        <w:rPr>
          <w:rFonts w:asciiTheme="minorHAnsi" w:hAnsiTheme="minorHAnsi" w:cstheme="minorHAnsi"/>
          <w:sz w:val="20"/>
          <w:szCs w:val="20"/>
        </w:rPr>
        <w:t>Website:</w:t>
      </w:r>
    </w:p>
    <w:p w14:paraId="562D4B60" w14:textId="67B80AEA" w:rsidR="00B50B64" w:rsidRDefault="00B50B64" w:rsidP="00953B86">
      <w:pPr>
        <w:tabs>
          <w:tab w:val="left" w:pos="3954"/>
        </w:tabs>
        <w:rPr>
          <w:rFonts w:asciiTheme="minorHAnsi" w:hAnsiTheme="minorHAnsi" w:cstheme="minorHAnsi"/>
          <w:sz w:val="20"/>
          <w:szCs w:val="20"/>
        </w:rPr>
      </w:pPr>
      <w:r>
        <w:rPr>
          <w:rFonts w:asciiTheme="minorHAnsi" w:hAnsiTheme="minorHAnsi" w:cstheme="minorHAnsi"/>
          <w:sz w:val="20"/>
          <w:szCs w:val="20"/>
        </w:rPr>
        <w:t>Canons of the Fourth Lateran Council:</w:t>
      </w:r>
    </w:p>
    <w:p w14:paraId="3FF966A2" w14:textId="3B598B4F" w:rsidR="00953B86" w:rsidRDefault="00953B86" w:rsidP="00953B86">
      <w:pPr>
        <w:tabs>
          <w:tab w:val="left" w:pos="3954"/>
        </w:tabs>
        <w:rPr>
          <w:rFonts w:asciiTheme="minorHAnsi" w:hAnsiTheme="minorHAnsi" w:cstheme="minorHAnsi"/>
          <w:sz w:val="20"/>
          <w:szCs w:val="20"/>
        </w:rPr>
      </w:pPr>
      <w:r w:rsidRPr="00953B86">
        <w:rPr>
          <w:rFonts w:asciiTheme="minorHAnsi" w:hAnsiTheme="minorHAnsi" w:cstheme="minorHAnsi"/>
          <w:sz w:val="20"/>
          <w:szCs w:val="20"/>
        </w:rPr>
        <w:t>https://sourcebooks.fordham.edu/basis/lateran4.asp</w:t>
      </w:r>
    </w:p>
    <w:p w14:paraId="712D841B" w14:textId="77777777" w:rsidR="00953B86" w:rsidRDefault="00953B86" w:rsidP="00953B86">
      <w:pPr>
        <w:tabs>
          <w:tab w:val="left" w:pos="3954"/>
        </w:tabs>
        <w:rPr>
          <w:rFonts w:asciiTheme="minorHAnsi" w:hAnsiTheme="minorHAnsi" w:cstheme="minorHAnsi"/>
          <w:sz w:val="20"/>
          <w:szCs w:val="20"/>
        </w:rPr>
      </w:pPr>
    </w:p>
    <w:p w14:paraId="7A31F78A" w14:textId="77777777" w:rsidR="00953B86" w:rsidRPr="00A044AF" w:rsidRDefault="00953B86" w:rsidP="00097656">
      <w:pPr>
        <w:rPr>
          <w:rFonts w:asciiTheme="minorHAnsi" w:hAnsiTheme="minorHAnsi" w:cstheme="minorHAnsi"/>
          <w:sz w:val="20"/>
          <w:szCs w:val="20"/>
        </w:rPr>
      </w:pPr>
      <w:bookmarkStart w:id="1" w:name="_GoBack"/>
      <w:bookmarkEnd w:id="1"/>
    </w:p>
    <w:sectPr w:rsidR="00953B86" w:rsidRPr="00A044A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AABCDE" w14:textId="77777777" w:rsidR="000D263D" w:rsidRDefault="000D263D" w:rsidP="00B90B89">
      <w:r>
        <w:separator/>
      </w:r>
    </w:p>
  </w:endnote>
  <w:endnote w:type="continuationSeparator" w:id="0">
    <w:p w14:paraId="56BD1A93" w14:textId="77777777" w:rsidR="000D263D" w:rsidRDefault="000D263D" w:rsidP="00B90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6794484"/>
      <w:docPartObj>
        <w:docPartGallery w:val="Page Numbers (Bottom of Page)"/>
        <w:docPartUnique/>
      </w:docPartObj>
    </w:sdtPr>
    <w:sdtEndPr>
      <w:rPr>
        <w:noProof/>
      </w:rPr>
    </w:sdtEndPr>
    <w:sdtContent>
      <w:p w14:paraId="11516C34" w14:textId="47156C5F" w:rsidR="00AD0431" w:rsidRDefault="00AD04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EE0D32" w14:textId="77777777" w:rsidR="00B90B89" w:rsidRDefault="00B90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930573" w14:textId="77777777" w:rsidR="000D263D" w:rsidRDefault="000D263D" w:rsidP="00B90B89">
      <w:r>
        <w:separator/>
      </w:r>
    </w:p>
  </w:footnote>
  <w:footnote w:type="continuationSeparator" w:id="0">
    <w:p w14:paraId="1F6FD729" w14:textId="77777777" w:rsidR="000D263D" w:rsidRDefault="000D263D" w:rsidP="00B90B89">
      <w:r>
        <w:continuationSeparator/>
      </w:r>
    </w:p>
  </w:footnote>
  <w:footnote w:id="1">
    <w:p w14:paraId="4EED0034" w14:textId="77777777" w:rsidR="00DB1A70" w:rsidRPr="00CD6A07" w:rsidRDefault="00DB1A70" w:rsidP="00DB1A70">
      <w:pPr>
        <w:pStyle w:val="FootnoteText"/>
        <w:rPr>
          <w:rFonts w:asciiTheme="minorHAnsi" w:hAnsiTheme="minorHAnsi" w:cstheme="minorHAnsi"/>
          <w:lang w:val="en-GB"/>
        </w:rPr>
      </w:pPr>
      <w:r w:rsidRPr="00CD6A07">
        <w:rPr>
          <w:rStyle w:val="FootnoteReference"/>
          <w:rFonts w:asciiTheme="minorHAnsi" w:hAnsiTheme="minorHAnsi" w:cstheme="minorHAnsi"/>
        </w:rPr>
        <w:footnoteRef/>
      </w:r>
      <w:r w:rsidRPr="00CD6A07">
        <w:rPr>
          <w:rFonts w:asciiTheme="minorHAnsi" w:hAnsiTheme="minorHAnsi" w:cstheme="minorHAnsi"/>
        </w:rPr>
        <w:t xml:space="preserve"> https://www.bl.uk/catalogues/illuminatedmanuscripts/ILLUMIN.ASP?Size=mid&amp;IllID=16129</w:t>
      </w:r>
    </w:p>
  </w:footnote>
  <w:footnote w:id="2">
    <w:p w14:paraId="752DB86F" w14:textId="77777777" w:rsidR="00DB1A70" w:rsidRPr="00CD6A07" w:rsidRDefault="00DB1A70" w:rsidP="00DB1A70">
      <w:pPr>
        <w:pStyle w:val="FootnoteText"/>
        <w:rPr>
          <w:rFonts w:asciiTheme="minorHAnsi" w:hAnsiTheme="minorHAnsi" w:cstheme="minorHAnsi"/>
          <w:lang w:val="en-GB"/>
        </w:rPr>
      </w:pPr>
      <w:r w:rsidRPr="00CD6A07">
        <w:rPr>
          <w:rStyle w:val="FootnoteReference"/>
          <w:rFonts w:asciiTheme="minorHAnsi" w:hAnsiTheme="minorHAnsi" w:cstheme="minorHAnsi"/>
        </w:rPr>
        <w:footnoteRef/>
      </w:r>
      <w:r w:rsidRPr="00CD6A07">
        <w:rPr>
          <w:rFonts w:asciiTheme="minorHAnsi" w:hAnsiTheme="minorHAnsi" w:cstheme="minorHAnsi"/>
        </w:rPr>
        <w:t xml:space="preserve"> Janet Backhouse, </w:t>
      </w:r>
      <w:r w:rsidRPr="00CD6A07">
        <w:rPr>
          <w:rFonts w:asciiTheme="minorHAnsi" w:hAnsiTheme="minorHAnsi" w:cstheme="minorHAnsi"/>
          <w:i/>
          <w:lang w:val="en-GB"/>
        </w:rPr>
        <w:t>Books of Hours</w:t>
      </w:r>
      <w:r w:rsidRPr="00CD6A07">
        <w:rPr>
          <w:rFonts w:asciiTheme="minorHAnsi" w:hAnsiTheme="minorHAnsi" w:cstheme="minorHAnsi"/>
          <w:lang w:val="en-GB"/>
        </w:rPr>
        <w:t xml:space="preserve"> (</w:t>
      </w:r>
      <w:r w:rsidRPr="00CD6A07">
        <w:rPr>
          <w:rFonts w:asciiTheme="minorHAnsi" w:hAnsiTheme="minorHAnsi" w:cstheme="minorHAnsi"/>
        </w:rPr>
        <w:t>London: The British Library, 1988</w:t>
      </w:r>
      <w:r w:rsidRPr="00CD6A07">
        <w:rPr>
          <w:rFonts w:asciiTheme="minorHAnsi" w:hAnsiTheme="minorHAnsi" w:cstheme="minorHAnsi"/>
          <w:lang w:val="en-GB"/>
        </w:rPr>
        <w:t>) p3</w:t>
      </w:r>
    </w:p>
  </w:footnote>
  <w:footnote w:id="3">
    <w:p w14:paraId="76096997" w14:textId="77777777" w:rsidR="00DB1A70" w:rsidRPr="00CD6A07" w:rsidRDefault="00DB1A70" w:rsidP="00DB1A70">
      <w:pPr>
        <w:pStyle w:val="FootnoteText"/>
        <w:rPr>
          <w:rFonts w:asciiTheme="minorHAnsi" w:hAnsiTheme="minorHAnsi" w:cstheme="minorHAnsi"/>
          <w:lang w:val="en-GB"/>
        </w:rPr>
      </w:pPr>
      <w:r w:rsidRPr="00CD6A07">
        <w:rPr>
          <w:rStyle w:val="FootnoteReference"/>
          <w:rFonts w:asciiTheme="minorHAnsi" w:hAnsiTheme="minorHAnsi" w:cstheme="minorHAnsi"/>
        </w:rPr>
        <w:footnoteRef/>
      </w:r>
      <w:r w:rsidRPr="00CD6A07">
        <w:rPr>
          <w:rFonts w:asciiTheme="minorHAnsi" w:hAnsiTheme="minorHAnsi" w:cstheme="minorHAnsi"/>
        </w:rPr>
        <w:t xml:space="preserve"> John </w:t>
      </w:r>
      <w:proofErr w:type="spellStart"/>
      <w:r w:rsidRPr="00CD6A07">
        <w:rPr>
          <w:rFonts w:asciiTheme="minorHAnsi" w:hAnsiTheme="minorHAnsi" w:cstheme="minorHAnsi"/>
          <w:lang w:val="en-GB"/>
        </w:rPr>
        <w:t>Harthan</w:t>
      </w:r>
      <w:proofErr w:type="spellEnd"/>
      <w:r w:rsidRPr="00CD6A07">
        <w:rPr>
          <w:rFonts w:asciiTheme="minorHAnsi" w:hAnsiTheme="minorHAnsi" w:cstheme="minorHAnsi"/>
          <w:lang w:val="en-GB"/>
        </w:rPr>
        <w:t xml:space="preserve">, </w:t>
      </w:r>
      <w:r w:rsidRPr="00CD6A07">
        <w:rPr>
          <w:rFonts w:asciiTheme="minorHAnsi" w:hAnsiTheme="minorHAnsi" w:cstheme="minorHAnsi"/>
          <w:i/>
          <w:lang w:val="en-GB"/>
        </w:rPr>
        <w:t>Books of Hours</w:t>
      </w:r>
      <w:r w:rsidRPr="00CD6A07">
        <w:rPr>
          <w:rFonts w:asciiTheme="minorHAnsi" w:hAnsiTheme="minorHAnsi" w:cstheme="minorHAnsi"/>
          <w:lang w:val="en-GB"/>
        </w:rPr>
        <w:t xml:space="preserve"> </w:t>
      </w:r>
      <w:r w:rsidRPr="00CD6A07">
        <w:rPr>
          <w:rFonts w:asciiTheme="minorHAnsi" w:hAnsiTheme="minorHAnsi" w:cstheme="minorHAnsi"/>
        </w:rPr>
        <w:t>(London: Thames &amp; Hudson, 1977)</w:t>
      </w:r>
      <w:r w:rsidRPr="00CD6A07">
        <w:rPr>
          <w:rFonts w:asciiTheme="minorHAnsi" w:hAnsiTheme="minorHAnsi" w:cstheme="minorHAnsi"/>
          <w:lang w:val="en-GB"/>
        </w:rPr>
        <w:t xml:space="preserve"> p9</w:t>
      </w:r>
    </w:p>
  </w:footnote>
  <w:footnote w:id="4">
    <w:p w14:paraId="6224BC04" w14:textId="77777777" w:rsidR="00DB1A70" w:rsidRPr="00CD6A07" w:rsidRDefault="00DB1A70" w:rsidP="00DB1A70">
      <w:pPr>
        <w:pStyle w:val="FootnoteText"/>
        <w:rPr>
          <w:rFonts w:asciiTheme="minorHAnsi" w:hAnsiTheme="minorHAnsi" w:cstheme="minorHAnsi"/>
          <w:lang w:val="en-GB"/>
        </w:rPr>
      </w:pPr>
      <w:r w:rsidRPr="00CD6A07">
        <w:rPr>
          <w:rStyle w:val="FootnoteReference"/>
          <w:rFonts w:asciiTheme="minorHAnsi" w:hAnsiTheme="minorHAnsi" w:cstheme="minorHAnsi"/>
        </w:rPr>
        <w:footnoteRef/>
      </w:r>
      <w:r w:rsidRPr="00CD6A07">
        <w:rPr>
          <w:rFonts w:asciiTheme="minorHAnsi" w:hAnsiTheme="minorHAnsi" w:cstheme="minorHAnsi"/>
        </w:rPr>
        <w:t xml:space="preserve"> Susan Groag </w:t>
      </w:r>
      <w:r w:rsidRPr="00CD6A07">
        <w:rPr>
          <w:rFonts w:asciiTheme="minorHAnsi" w:hAnsiTheme="minorHAnsi" w:cstheme="minorHAnsi"/>
          <w:lang w:val="en-GB"/>
        </w:rPr>
        <w:t xml:space="preserve">Bell, </w:t>
      </w:r>
      <w:r w:rsidRPr="00E203D2">
        <w:rPr>
          <w:rFonts w:asciiTheme="minorHAnsi" w:hAnsiTheme="minorHAnsi" w:cstheme="minorHAnsi"/>
          <w:color w:val="000000"/>
          <w:lang w:val="en-GB" w:eastAsia="en-GB"/>
        </w:rPr>
        <w:t>'Medieval Women Book Owners: Arbiters of Lay Piety and Ambassadors of Culture', </w:t>
      </w:r>
      <w:r w:rsidRPr="00E203D2">
        <w:rPr>
          <w:rFonts w:asciiTheme="minorHAnsi" w:hAnsiTheme="minorHAnsi" w:cstheme="minorHAnsi"/>
          <w:i/>
          <w:iCs/>
          <w:color w:val="000000"/>
          <w:lang w:val="en-GB" w:eastAsia="en-GB"/>
        </w:rPr>
        <w:t>Signs, </w:t>
      </w:r>
      <w:r w:rsidRPr="00E203D2">
        <w:rPr>
          <w:rFonts w:asciiTheme="minorHAnsi" w:hAnsiTheme="minorHAnsi" w:cstheme="minorHAnsi"/>
          <w:color w:val="000000"/>
          <w:lang w:val="en-GB" w:eastAsia="en-GB"/>
        </w:rPr>
        <w:t>7 (1982), 742-768</w:t>
      </w:r>
    </w:p>
  </w:footnote>
  <w:footnote w:id="5">
    <w:p w14:paraId="364DD087" w14:textId="77777777" w:rsidR="00DB1A70" w:rsidRPr="00915A05" w:rsidRDefault="00DB1A70" w:rsidP="00DB1A70">
      <w:pPr>
        <w:pStyle w:val="FootnoteText"/>
        <w:rPr>
          <w:lang w:val="en-GB"/>
        </w:rPr>
      </w:pPr>
      <w:r w:rsidRPr="00CD6A07">
        <w:rPr>
          <w:rStyle w:val="FootnoteReference"/>
          <w:rFonts w:asciiTheme="minorHAnsi" w:hAnsiTheme="minorHAnsi" w:cstheme="minorHAnsi"/>
        </w:rPr>
        <w:footnoteRef/>
      </w:r>
      <w:r w:rsidRPr="00CD6A07">
        <w:rPr>
          <w:rFonts w:asciiTheme="minorHAnsi" w:hAnsiTheme="minorHAnsi" w:cstheme="minorHAnsi"/>
        </w:rPr>
        <w:t xml:space="preserve"> </w:t>
      </w:r>
      <w:r w:rsidRPr="00CD6A07">
        <w:rPr>
          <w:rFonts w:asciiTheme="minorHAnsi" w:hAnsiTheme="minorHAnsi" w:cstheme="minorHAnsi"/>
          <w:lang w:val="en-GB"/>
        </w:rPr>
        <w:t xml:space="preserve">Bell </w:t>
      </w:r>
      <w:r>
        <w:rPr>
          <w:rFonts w:asciiTheme="minorHAnsi" w:hAnsiTheme="minorHAnsi" w:cstheme="minorHAnsi"/>
          <w:lang w:val="en-GB"/>
        </w:rPr>
        <w:t xml:space="preserve">‘Medieval Women’, </w:t>
      </w:r>
      <w:r w:rsidRPr="00CD6A07">
        <w:rPr>
          <w:rFonts w:asciiTheme="minorHAnsi" w:hAnsiTheme="minorHAnsi" w:cstheme="minorHAnsi"/>
          <w:lang w:val="en-GB"/>
        </w:rPr>
        <w:t>p. 755</w:t>
      </w:r>
    </w:p>
  </w:footnote>
  <w:footnote w:id="6">
    <w:p w14:paraId="6245942C" w14:textId="77777777" w:rsidR="00DB1A70" w:rsidRPr="00467778" w:rsidRDefault="00DB1A70" w:rsidP="00DB1A70">
      <w:pPr>
        <w:pStyle w:val="FootnoteText"/>
        <w:rPr>
          <w:rFonts w:asciiTheme="minorHAnsi" w:hAnsiTheme="minorHAnsi" w:cstheme="minorHAnsi"/>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w:t>
      </w:r>
      <w:proofErr w:type="spellStart"/>
      <w:r w:rsidRPr="00467778">
        <w:rPr>
          <w:rFonts w:asciiTheme="minorHAnsi" w:hAnsiTheme="minorHAnsi" w:cstheme="minorHAnsi"/>
          <w:lang w:val="en-GB"/>
        </w:rPr>
        <w:t>Harthan</w:t>
      </w:r>
      <w:proofErr w:type="spellEnd"/>
      <w:r w:rsidRPr="00467778">
        <w:rPr>
          <w:rFonts w:asciiTheme="minorHAnsi" w:hAnsiTheme="minorHAnsi" w:cstheme="minorHAnsi"/>
          <w:lang w:val="en-GB"/>
        </w:rPr>
        <w:t xml:space="preserve">, </w:t>
      </w:r>
      <w:r w:rsidRPr="00467778">
        <w:rPr>
          <w:rFonts w:asciiTheme="minorHAnsi" w:hAnsiTheme="minorHAnsi" w:cstheme="minorHAnsi"/>
          <w:i/>
          <w:lang w:val="en-GB"/>
        </w:rPr>
        <w:t>Books of Hours</w:t>
      </w:r>
      <w:r w:rsidRPr="00467778">
        <w:rPr>
          <w:rFonts w:asciiTheme="minorHAnsi" w:hAnsiTheme="minorHAnsi" w:cstheme="minorHAnsi"/>
          <w:lang w:val="en-GB"/>
        </w:rPr>
        <w:t xml:space="preserve"> p11</w:t>
      </w:r>
    </w:p>
  </w:footnote>
  <w:footnote w:id="7">
    <w:p w14:paraId="2252409D" w14:textId="1B12EC5C" w:rsidR="00DB1A70" w:rsidRPr="00467778" w:rsidRDefault="00DB1A70" w:rsidP="00DB1A70">
      <w:pPr>
        <w:pStyle w:val="FootnoteText"/>
        <w:rPr>
          <w:rFonts w:asciiTheme="minorHAnsi" w:hAnsiTheme="minorHAnsi" w:cstheme="minorHAnsi"/>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w:t>
      </w:r>
      <w:r w:rsidR="0003233C" w:rsidRPr="0003233C">
        <w:rPr>
          <w:rFonts w:asciiTheme="minorHAnsi" w:hAnsiTheme="minorHAnsi" w:cstheme="minorHAnsi"/>
          <w:i/>
        </w:rPr>
        <w:t>Ib</w:t>
      </w:r>
      <w:r w:rsidR="0003233C">
        <w:rPr>
          <w:rFonts w:asciiTheme="minorHAnsi" w:hAnsiTheme="minorHAnsi" w:cstheme="minorHAnsi"/>
          <w:i/>
        </w:rPr>
        <w:t>i</w:t>
      </w:r>
      <w:r w:rsidR="0003233C" w:rsidRPr="0003233C">
        <w:rPr>
          <w:rFonts w:asciiTheme="minorHAnsi" w:hAnsiTheme="minorHAnsi" w:cstheme="minorHAnsi"/>
          <w:i/>
        </w:rPr>
        <w:t>d</w:t>
      </w:r>
      <w:r w:rsidR="0003233C">
        <w:rPr>
          <w:rFonts w:asciiTheme="minorHAnsi" w:hAnsiTheme="minorHAnsi" w:cstheme="minorHAnsi"/>
        </w:rPr>
        <w:t xml:space="preserve">., </w:t>
      </w:r>
      <w:r w:rsidR="002E3D29">
        <w:rPr>
          <w:rFonts w:asciiTheme="minorHAnsi" w:hAnsiTheme="minorHAnsi" w:cstheme="minorHAnsi"/>
        </w:rPr>
        <w:t>p</w:t>
      </w:r>
      <w:r w:rsidR="0003233C">
        <w:rPr>
          <w:rFonts w:asciiTheme="minorHAnsi" w:hAnsiTheme="minorHAnsi" w:cstheme="minorHAnsi"/>
        </w:rPr>
        <w:t>15</w:t>
      </w:r>
    </w:p>
  </w:footnote>
  <w:footnote w:id="8">
    <w:p w14:paraId="5975F11E" w14:textId="585CE10A" w:rsidR="002E3D29" w:rsidRPr="002E3D29" w:rsidRDefault="002E3D29">
      <w:pPr>
        <w:pStyle w:val="FootnoteText"/>
        <w:rPr>
          <w:lang w:val="en-GB"/>
        </w:rPr>
      </w:pPr>
      <w:r>
        <w:rPr>
          <w:rStyle w:val="FootnoteReference"/>
        </w:rPr>
        <w:footnoteRef/>
      </w:r>
      <w:r>
        <w:t xml:space="preserve"> </w:t>
      </w:r>
      <w:r w:rsidRPr="002E3D29">
        <w:rPr>
          <w:rFonts w:asciiTheme="minorHAnsi" w:hAnsiTheme="minorHAnsi" w:cstheme="minorHAnsi"/>
          <w:i/>
          <w:lang w:val="en-GB"/>
        </w:rPr>
        <w:t>Ibid.,</w:t>
      </w:r>
      <w:r>
        <w:rPr>
          <w:lang w:val="en-GB"/>
        </w:rPr>
        <w:t xml:space="preserve"> p37</w:t>
      </w:r>
    </w:p>
  </w:footnote>
  <w:footnote w:id="9">
    <w:p w14:paraId="36E12D46" w14:textId="75B8A6FC" w:rsidR="00953B86" w:rsidRPr="00953B86" w:rsidRDefault="00953B86">
      <w:pPr>
        <w:pStyle w:val="FootnoteText"/>
        <w:rPr>
          <w:lang w:val="en-GB"/>
        </w:rPr>
      </w:pPr>
      <w:r>
        <w:rPr>
          <w:rStyle w:val="FootnoteReference"/>
        </w:rPr>
        <w:footnoteRef/>
      </w:r>
      <w:r>
        <w:t xml:space="preserve"> </w:t>
      </w:r>
      <w:r w:rsidRPr="00953B86">
        <w:rPr>
          <w:rFonts w:asciiTheme="minorHAnsi" w:hAnsiTheme="minorHAnsi" w:cstheme="minorHAnsi"/>
          <w:lang w:val="en-GB"/>
        </w:rPr>
        <w:t>Canon 21, Fourth Lateran Council https://sourcebooks.fordham.edu/basis/lateran4.asp</w:t>
      </w:r>
    </w:p>
  </w:footnote>
  <w:footnote w:id="10">
    <w:p w14:paraId="57AB3DEB" w14:textId="77777777" w:rsidR="00DB1A70" w:rsidRPr="00467778" w:rsidRDefault="00DB1A70" w:rsidP="00DB1A70">
      <w:pPr>
        <w:pStyle w:val="FootnoteText"/>
        <w:rPr>
          <w:rFonts w:asciiTheme="minorHAnsi" w:hAnsiTheme="minorHAnsi" w:cstheme="minorHAnsi"/>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w:t>
      </w:r>
      <w:proofErr w:type="spellStart"/>
      <w:r w:rsidRPr="00467778">
        <w:rPr>
          <w:rFonts w:asciiTheme="minorHAnsi" w:hAnsiTheme="minorHAnsi" w:cstheme="minorHAnsi"/>
          <w:lang w:val="en-GB"/>
        </w:rPr>
        <w:t>Harthan</w:t>
      </w:r>
      <w:proofErr w:type="spellEnd"/>
      <w:r w:rsidRPr="00467778">
        <w:rPr>
          <w:rFonts w:asciiTheme="minorHAnsi" w:hAnsiTheme="minorHAnsi" w:cstheme="minorHAnsi"/>
          <w:lang w:val="en-GB"/>
        </w:rPr>
        <w:t xml:space="preserve">, </w:t>
      </w:r>
      <w:r w:rsidRPr="00467778">
        <w:rPr>
          <w:rFonts w:asciiTheme="minorHAnsi" w:hAnsiTheme="minorHAnsi" w:cstheme="minorHAnsi"/>
          <w:i/>
          <w:lang w:val="en-GB"/>
        </w:rPr>
        <w:t>Books of Hours</w:t>
      </w:r>
      <w:r w:rsidRPr="00467778">
        <w:rPr>
          <w:rFonts w:asciiTheme="minorHAnsi" w:hAnsiTheme="minorHAnsi" w:cstheme="minorHAnsi"/>
          <w:lang w:val="en-GB"/>
        </w:rPr>
        <w:t xml:space="preserve"> p21</w:t>
      </w:r>
    </w:p>
  </w:footnote>
  <w:footnote w:id="11">
    <w:p w14:paraId="5F734A18" w14:textId="77777777" w:rsidR="00DB1A70" w:rsidRPr="009F4207" w:rsidRDefault="00DB1A70" w:rsidP="00DB1A70">
      <w:pPr>
        <w:pStyle w:val="FootnoteText"/>
        <w:rPr>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Janet </w:t>
      </w:r>
      <w:r w:rsidRPr="00467778">
        <w:rPr>
          <w:rFonts w:asciiTheme="minorHAnsi" w:hAnsiTheme="minorHAnsi" w:cstheme="minorHAnsi"/>
          <w:lang w:val="en-GB"/>
        </w:rPr>
        <w:t xml:space="preserve">Backhouse, </w:t>
      </w:r>
      <w:r w:rsidRPr="00467778">
        <w:rPr>
          <w:rFonts w:asciiTheme="minorHAnsi" w:hAnsiTheme="minorHAnsi" w:cstheme="minorHAnsi"/>
          <w:i/>
          <w:lang w:val="en-GB"/>
        </w:rPr>
        <w:t>Illuminations from Books of Hours</w:t>
      </w:r>
      <w:r w:rsidRPr="00467778">
        <w:rPr>
          <w:rFonts w:asciiTheme="minorHAnsi" w:hAnsiTheme="minorHAnsi" w:cstheme="minorHAnsi"/>
          <w:lang w:val="en-GB"/>
        </w:rPr>
        <w:t xml:space="preserve"> </w:t>
      </w:r>
      <w:r w:rsidRPr="00467778">
        <w:rPr>
          <w:rFonts w:asciiTheme="minorHAnsi" w:hAnsiTheme="minorHAnsi" w:cstheme="minorHAnsi"/>
        </w:rPr>
        <w:t xml:space="preserve">(London: The British Library, 2004) </w:t>
      </w:r>
      <w:r w:rsidRPr="00467778">
        <w:rPr>
          <w:rFonts w:asciiTheme="minorHAnsi" w:hAnsiTheme="minorHAnsi" w:cstheme="minorHAnsi"/>
          <w:lang w:val="en-GB"/>
        </w:rPr>
        <w:t>p8</w:t>
      </w:r>
    </w:p>
  </w:footnote>
  <w:footnote w:id="12">
    <w:p w14:paraId="64EE5FDF" w14:textId="77777777" w:rsidR="00DB1A70" w:rsidRPr="00467778" w:rsidRDefault="00DB1A70" w:rsidP="00DB1A70">
      <w:pPr>
        <w:pStyle w:val="FootnoteText"/>
        <w:rPr>
          <w:rFonts w:asciiTheme="minorHAnsi" w:hAnsiTheme="minorHAnsi" w:cstheme="minorHAnsi"/>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w:t>
      </w:r>
      <w:hyperlink r:id="rId1" w:history="1">
        <w:r w:rsidRPr="00467778">
          <w:rPr>
            <w:rStyle w:val="Hyperlink"/>
            <w:rFonts w:asciiTheme="minorHAnsi" w:hAnsiTheme="minorHAnsi" w:cstheme="minorHAnsi"/>
          </w:rPr>
          <w:t>https://www.bl.uk/catalogues/illuminatedmanuscripts/ILLUMINBig.ASP?size=big&amp;IllID=60369</w:t>
        </w:r>
      </w:hyperlink>
    </w:p>
  </w:footnote>
  <w:footnote w:id="13">
    <w:p w14:paraId="27E0D018" w14:textId="77777777" w:rsidR="00DB1A70" w:rsidRPr="00467778" w:rsidRDefault="00DB1A70" w:rsidP="00DB1A70">
      <w:pPr>
        <w:rPr>
          <w:rFonts w:asciiTheme="minorHAnsi" w:hAnsiTheme="minorHAnsi" w:cstheme="minorHAnsi"/>
          <w:i/>
          <w:sz w:val="20"/>
          <w:szCs w:val="20"/>
        </w:rPr>
      </w:pPr>
      <w:r w:rsidRPr="00467778">
        <w:rPr>
          <w:rStyle w:val="FootnoteReference"/>
          <w:rFonts w:asciiTheme="minorHAnsi" w:hAnsiTheme="minorHAnsi" w:cstheme="minorHAnsi"/>
          <w:sz w:val="20"/>
          <w:szCs w:val="20"/>
        </w:rPr>
        <w:footnoteRef/>
      </w:r>
      <w:r w:rsidRPr="00467778">
        <w:rPr>
          <w:rFonts w:asciiTheme="minorHAnsi" w:hAnsiTheme="minorHAnsi" w:cstheme="minorHAnsi"/>
          <w:sz w:val="20"/>
          <w:szCs w:val="20"/>
        </w:rPr>
        <w:t xml:space="preserve"> Charity Scott-Stokes, </w:t>
      </w:r>
      <w:r w:rsidRPr="00467778">
        <w:rPr>
          <w:rFonts w:asciiTheme="minorHAnsi" w:hAnsiTheme="minorHAnsi" w:cstheme="minorHAnsi"/>
          <w:i/>
          <w:sz w:val="20"/>
          <w:szCs w:val="20"/>
        </w:rPr>
        <w:t>Women’s Books of Hours in Medieval England: Selected Texts Translated from Latin,</w:t>
      </w:r>
      <w:r w:rsidRPr="009A6646">
        <w:rPr>
          <w:rFonts w:asciiTheme="minorHAnsi" w:hAnsiTheme="minorHAnsi" w:cstheme="minorHAnsi"/>
          <w:i/>
          <w:sz w:val="20"/>
          <w:szCs w:val="20"/>
        </w:rPr>
        <w:t xml:space="preserve"> Anglo-Norman French and Middle English</w:t>
      </w:r>
      <w:r w:rsidRPr="009A6646">
        <w:rPr>
          <w:rFonts w:asciiTheme="minorHAnsi" w:hAnsiTheme="minorHAnsi" w:cstheme="minorHAnsi"/>
          <w:sz w:val="20"/>
          <w:szCs w:val="20"/>
        </w:rPr>
        <w:t xml:space="preserve"> (Cambridge: D. S. Brewer, 2006)</w:t>
      </w:r>
      <w:r w:rsidRPr="00467778">
        <w:rPr>
          <w:rFonts w:asciiTheme="minorHAnsi" w:hAnsiTheme="minorHAnsi" w:cstheme="minorHAnsi"/>
          <w:sz w:val="20"/>
          <w:szCs w:val="20"/>
        </w:rPr>
        <w:t xml:space="preserve"> p8</w:t>
      </w:r>
    </w:p>
  </w:footnote>
  <w:footnote w:id="14">
    <w:p w14:paraId="769BF9A3" w14:textId="77777777" w:rsidR="00DB1A70" w:rsidRPr="00467778" w:rsidRDefault="00DB1A70" w:rsidP="00DB1A70">
      <w:pPr>
        <w:pStyle w:val="FootnoteText"/>
        <w:rPr>
          <w:rFonts w:asciiTheme="minorHAnsi" w:hAnsiTheme="minorHAnsi" w:cstheme="minorHAnsi"/>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https://www.bl.uk/catalogues/illuminatedmanuscripts/ILLUMIN.ASP?Size=mid&amp;IllID=1589</w:t>
      </w:r>
    </w:p>
  </w:footnote>
  <w:footnote w:id="15">
    <w:p w14:paraId="58C4E902" w14:textId="77777777" w:rsidR="00DB1A70" w:rsidRPr="00467778" w:rsidRDefault="00DB1A70" w:rsidP="00DB1A70">
      <w:pPr>
        <w:pStyle w:val="FootnoteText"/>
        <w:rPr>
          <w:rFonts w:asciiTheme="minorHAnsi" w:hAnsiTheme="minorHAnsi" w:cstheme="minorHAnsi"/>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w:t>
      </w:r>
      <w:r w:rsidRPr="00467778">
        <w:rPr>
          <w:rFonts w:asciiTheme="minorHAnsi" w:hAnsiTheme="minorHAnsi" w:cstheme="minorHAnsi"/>
          <w:lang w:val="en-GB"/>
        </w:rPr>
        <w:t>Bell</w:t>
      </w:r>
      <w:r>
        <w:rPr>
          <w:rFonts w:asciiTheme="minorHAnsi" w:hAnsiTheme="minorHAnsi" w:cstheme="minorHAnsi"/>
          <w:lang w:val="en-GB"/>
        </w:rPr>
        <w:t xml:space="preserve">, ‘Medieval women’, </w:t>
      </w:r>
      <w:r w:rsidRPr="00467778">
        <w:rPr>
          <w:rFonts w:asciiTheme="minorHAnsi" w:hAnsiTheme="minorHAnsi" w:cstheme="minorHAnsi"/>
          <w:lang w:val="en-GB"/>
        </w:rPr>
        <w:t>p 753</w:t>
      </w:r>
    </w:p>
  </w:footnote>
  <w:footnote w:id="16">
    <w:p w14:paraId="152BE93D" w14:textId="77777777" w:rsidR="00DB1A70" w:rsidRPr="00467778" w:rsidRDefault="00DB1A70" w:rsidP="00DB1A70">
      <w:pPr>
        <w:pStyle w:val="FootnoteText"/>
        <w:rPr>
          <w:rFonts w:asciiTheme="minorHAnsi" w:hAnsiTheme="minorHAnsi" w:cstheme="minorHAnsi"/>
          <w:lang w:val="en-GB"/>
        </w:rPr>
      </w:pPr>
      <w:r w:rsidRPr="00467778">
        <w:rPr>
          <w:rStyle w:val="FootnoteReference"/>
          <w:rFonts w:asciiTheme="minorHAnsi" w:hAnsiTheme="minorHAnsi" w:cstheme="minorHAnsi"/>
        </w:rPr>
        <w:footnoteRef/>
      </w:r>
      <w:r w:rsidRPr="00467778">
        <w:rPr>
          <w:rFonts w:asciiTheme="minorHAnsi" w:hAnsiTheme="minorHAnsi" w:cstheme="minorHAnsi"/>
        </w:rPr>
        <w:t xml:space="preserve"> </w:t>
      </w:r>
      <w:r w:rsidRPr="00467778">
        <w:rPr>
          <w:rFonts w:asciiTheme="minorHAnsi" w:hAnsiTheme="minorHAnsi" w:cstheme="minorHAnsi"/>
          <w:lang w:val="en-GB"/>
        </w:rPr>
        <w:t xml:space="preserve">Backhouse </w:t>
      </w:r>
      <w:r w:rsidRPr="00467778">
        <w:rPr>
          <w:rFonts w:asciiTheme="minorHAnsi" w:hAnsiTheme="minorHAnsi" w:cstheme="minorHAnsi"/>
          <w:i/>
          <w:lang w:val="en-GB"/>
        </w:rPr>
        <w:t>Illuminations from Books of Hours</w:t>
      </w:r>
      <w:r w:rsidRPr="00467778">
        <w:rPr>
          <w:rFonts w:asciiTheme="minorHAnsi" w:hAnsiTheme="minorHAnsi" w:cstheme="minorHAnsi"/>
          <w:lang w:val="en-GB"/>
        </w:rPr>
        <w:t xml:space="preserve"> p6</w:t>
      </w:r>
    </w:p>
  </w:footnote>
  <w:footnote w:id="17">
    <w:p w14:paraId="509F9822" w14:textId="77777777"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proofErr w:type="spellStart"/>
      <w:r>
        <w:rPr>
          <w:rFonts w:asciiTheme="minorHAnsi" w:hAnsiTheme="minorHAnsi" w:cstheme="minorHAnsi"/>
        </w:rPr>
        <w:t>Harthan</w:t>
      </w:r>
      <w:proofErr w:type="spellEnd"/>
      <w:r>
        <w:rPr>
          <w:rFonts w:asciiTheme="minorHAnsi" w:hAnsiTheme="minorHAnsi" w:cstheme="minorHAnsi"/>
        </w:rPr>
        <w:t>, Books of Hours, p29</w:t>
      </w:r>
    </w:p>
  </w:footnote>
  <w:footnote w:id="18">
    <w:p w14:paraId="159C3B6D" w14:textId="77777777" w:rsidR="00DB1A70" w:rsidRPr="00F032C9" w:rsidRDefault="00DB1A70" w:rsidP="00DB1A70">
      <w:pPr>
        <w:pStyle w:val="FootnoteText"/>
        <w:rPr>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hyperlink r:id="rId2" w:history="1">
        <w:r w:rsidRPr="005C1E79">
          <w:rPr>
            <w:rStyle w:val="Hyperlink"/>
            <w:rFonts w:asciiTheme="minorHAnsi" w:hAnsiTheme="minorHAnsi" w:cstheme="minorHAnsi"/>
          </w:rPr>
          <w:t>https://www.bl.uk/catalogues/illuminatedmanuscripts/ILLUMIN.ASP?Size=mid&amp;IllID=60904</w:t>
        </w:r>
      </w:hyperlink>
    </w:p>
  </w:footnote>
  <w:footnote w:id="19">
    <w:p w14:paraId="25A08DBB" w14:textId="77777777"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r w:rsidRPr="005C1E79">
        <w:rPr>
          <w:rFonts w:asciiTheme="minorHAnsi" w:hAnsiTheme="minorHAnsi" w:cstheme="minorHAnsi"/>
          <w:lang w:val="en-GB"/>
        </w:rPr>
        <w:t>Bell, ‘Medieval Women’, p 743</w:t>
      </w:r>
    </w:p>
  </w:footnote>
  <w:footnote w:id="20">
    <w:p w14:paraId="1B69FD34" w14:textId="77777777" w:rsidR="00DB1A70" w:rsidRPr="005C1E79" w:rsidRDefault="00DB1A70" w:rsidP="00DB1A70">
      <w:pPr>
        <w:pStyle w:val="FootnoteText"/>
        <w:rPr>
          <w:rFonts w:asciiTheme="minorHAnsi" w:hAnsiTheme="minorHAnsi" w:cstheme="minorHAnsi"/>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hyperlink r:id="rId3" w:history="1">
        <w:r w:rsidRPr="005C1E79">
          <w:rPr>
            <w:rStyle w:val="Hyperlink"/>
            <w:rFonts w:asciiTheme="minorHAnsi" w:hAnsiTheme="minorHAnsi" w:cstheme="minorHAnsi"/>
          </w:rPr>
          <w:t>https://www.bl.uk/catalogues/illuminatedmanuscripts/ILLUMIN.ASP?Size=mid&amp;IllID=54887</w:t>
        </w:r>
      </w:hyperlink>
    </w:p>
    <w:p w14:paraId="4C236531" w14:textId="77777777" w:rsidR="00DB1A70" w:rsidRPr="000B6BBD" w:rsidRDefault="00DB1A70" w:rsidP="00DB1A70">
      <w:pPr>
        <w:pStyle w:val="FootnoteText"/>
        <w:rPr>
          <w:lang w:val="en-GB"/>
        </w:rPr>
      </w:pPr>
    </w:p>
  </w:footnote>
  <w:footnote w:id="21">
    <w:p w14:paraId="04EDF693" w14:textId="77777777"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hyperlink r:id="rId4" w:history="1">
        <w:r w:rsidRPr="005C1E79">
          <w:rPr>
            <w:rStyle w:val="Hyperlink"/>
            <w:rFonts w:asciiTheme="minorHAnsi" w:hAnsiTheme="minorHAnsi" w:cstheme="minorHAnsi"/>
            <w:spacing w:val="-3"/>
          </w:rPr>
          <w:t>http://www.themorgan.org/collection/black-hours/98</w:t>
        </w:r>
      </w:hyperlink>
    </w:p>
  </w:footnote>
  <w:footnote w:id="22">
    <w:p w14:paraId="38191CDA" w14:textId="77777777"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r w:rsidRPr="005C1E79">
        <w:rPr>
          <w:rFonts w:asciiTheme="minorHAnsi" w:hAnsiTheme="minorHAnsi" w:cstheme="minorHAnsi"/>
          <w:lang w:val="en-GB"/>
        </w:rPr>
        <w:t>Bell</w:t>
      </w:r>
      <w:r>
        <w:rPr>
          <w:rFonts w:asciiTheme="minorHAnsi" w:hAnsiTheme="minorHAnsi" w:cstheme="minorHAnsi"/>
          <w:lang w:val="en-GB"/>
        </w:rPr>
        <w:t>, ‘Medieval Women’,</w:t>
      </w:r>
      <w:r w:rsidRPr="005C1E79">
        <w:rPr>
          <w:rFonts w:asciiTheme="minorHAnsi" w:hAnsiTheme="minorHAnsi" w:cstheme="minorHAnsi"/>
          <w:lang w:val="en-GB"/>
        </w:rPr>
        <w:t xml:space="preserve"> p 755</w:t>
      </w:r>
    </w:p>
  </w:footnote>
  <w:footnote w:id="23">
    <w:p w14:paraId="36749A8F" w14:textId="77777777"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r w:rsidRPr="005C1E79">
        <w:rPr>
          <w:rFonts w:asciiTheme="minorHAnsi" w:hAnsiTheme="minorHAnsi" w:cstheme="minorHAnsi"/>
          <w:i/>
          <w:lang w:val="en-GB"/>
        </w:rPr>
        <w:t>Ibid.,</w:t>
      </w:r>
      <w:r w:rsidRPr="005C1E79">
        <w:rPr>
          <w:rFonts w:asciiTheme="minorHAnsi" w:hAnsiTheme="minorHAnsi" w:cstheme="minorHAnsi"/>
          <w:lang w:val="en-GB"/>
        </w:rPr>
        <w:t xml:space="preserve"> fig. 1</w:t>
      </w:r>
    </w:p>
  </w:footnote>
  <w:footnote w:id="24">
    <w:p w14:paraId="325A1EBE" w14:textId="6946486E"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r w:rsidR="002E3D29" w:rsidRPr="002E3D29">
        <w:rPr>
          <w:rFonts w:asciiTheme="minorHAnsi" w:hAnsiTheme="minorHAnsi" w:cstheme="minorHAnsi"/>
          <w:i/>
          <w:lang w:val="en-GB"/>
        </w:rPr>
        <w:t>Ibid</w:t>
      </w:r>
      <w:r w:rsidR="002E3D29">
        <w:rPr>
          <w:rFonts w:asciiTheme="minorHAnsi" w:hAnsiTheme="minorHAnsi" w:cstheme="minorHAnsi"/>
          <w:lang w:val="en-GB"/>
        </w:rPr>
        <w:t>.</w:t>
      </w:r>
      <w:r>
        <w:rPr>
          <w:rFonts w:asciiTheme="minorHAnsi" w:hAnsiTheme="minorHAnsi" w:cstheme="minorHAnsi"/>
          <w:lang w:val="en-GB"/>
        </w:rPr>
        <w:t>,</w:t>
      </w:r>
      <w:r w:rsidRPr="005C1E79">
        <w:rPr>
          <w:rFonts w:asciiTheme="minorHAnsi" w:hAnsiTheme="minorHAnsi" w:cstheme="minorHAnsi"/>
          <w:lang w:val="en-GB"/>
        </w:rPr>
        <w:t xml:space="preserve"> fig. 2</w:t>
      </w:r>
    </w:p>
  </w:footnote>
  <w:footnote w:id="25">
    <w:p w14:paraId="465A1ABE" w14:textId="24442FE5"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r w:rsidR="002E3D29" w:rsidRPr="002E3D29">
        <w:rPr>
          <w:rFonts w:asciiTheme="minorHAnsi" w:hAnsiTheme="minorHAnsi" w:cstheme="minorHAnsi"/>
          <w:lang w:val="en-GB"/>
        </w:rPr>
        <w:t>Bell, Medieval Women</w:t>
      </w:r>
      <w:r w:rsidRPr="002E3D29">
        <w:rPr>
          <w:rFonts w:asciiTheme="minorHAnsi" w:hAnsiTheme="minorHAnsi" w:cstheme="minorHAnsi"/>
          <w:lang w:val="en-GB"/>
        </w:rPr>
        <w:t>,</w:t>
      </w:r>
      <w:r w:rsidRPr="005C1E79">
        <w:rPr>
          <w:rFonts w:asciiTheme="minorHAnsi" w:hAnsiTheme="minorHAnsi" w:cstheme="minorHAnsi"/>
          <w:lang w:val="en-GB"/>
        </w:rPr>
        <w:t xml:space="preserve"> p. 767-768</w:t>
      </w:r>
    </w:p>
  </w:footnote>
  <w:footnote w:id="26">
    <w:p w14:paraId="09C0BBF3" w14:textId="77777777" w:rsidR="00DB1A70" w:rsidRPr="00EF11FD" w:rsidRDefault="00DB1A70" w:rsidP="00DB1A70">
      <w:pPr>
        <w:pStyle w:val="FootnoteText"/>
        <w:rPr>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hyperlink r:id="rId5" w:history="1">
        <w:r w:rsidRPr="005C1E79">
          <w:rPr>
            <w:rFonts w:asciiTheme="minorHAnsi" w:hAnsiTheme="minorHAnsi" w:cstheme="minorHAnsi"/>
            <w:color w:val="0563C1" w:themeColor="hyperlink"/>
            <w:u w:val="single"/>
            <w:shd w:val="clear" w:color="auto" w:fill="FFFFFF"/>
          </w:rPr>
          <w:t>https://www.bl.uk/catalogues/illuminatedmanuscripts/ILLUMIN.ASP?Size=mid&amp;IllID=4725</w:t>
        </w:r>
      </w:hyperlink>
    </w:p>
  </w:footnote>
  <w:footnote w:id="27">
    <w:p w14:paraId="41F71359" w14:textId="77777777"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r w:rsidRPr="00E957DF">
        <w:rPr>
          <w:rFonts w:asciiTheme="minorHAnsi" w:hAnsiTheme="minorHAnsi" w:cstheme="minorHAnsi"/>
        </w:rPr>
        <w:t>https://www.bl.uk/catalogues/illuminatedmanuscripts/ILLUMIN.ASP?Size=mid&amp;IllID=60399</w:t>
      </w:r>
    </w:p>
  </w:footnote>
  <w:footnote w:id="28">
    <w:p w14:paraId="3EAE0E68" w14:textId="1AA66AEA"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r w:rsidR="00074507">
        <w:rPr>
          <w:rFonts w:asciiTheme="minorHAnsi" w:hAnsiTheme="minorHAnsi" w:cstheme="minorHAnsi"/>
        </w:rPr>
        <w:t xml:space="preserve">Canons 10 and 11 of the Fourth Lateran Council: </w:t>
      </w:r>
      <w:r w:rsidR="00074507" w:rsidRPr="00074507">
        <w:rPr>
          <w:rFonts w:asciiTheme="minorHAnsi" w:hAnsiTheme="minorHAnsi" w:cstheme="minorHAnsi"/>
        </w:rPr>
        <w:t>https://sourcebooks.fordham.edu/basis/lateran4.asp</w:t>
      </w:r>
    </w:p>
  </w:footnote>
  <w:footnote w:id="29">
    <w:p w14:paraId="366B73CA" w14:textId="77777777" w:rsidR="00DB1A70" w:rsidRPr="005C1E79" w:rsidRDefault="00DB1A70" w:rsidP="00DB1A70">
      <w:pPr>
        <w:pStyle w:val="FootnoteText"/>
        <w:rPr>
          <w:rFonts w:asciiTheme="minorHAnsi" w:hAnsiTheme="minorHAnsi" w:cstheme="minorHAnsi"/>
          <w:lang w:val="en-GB"/>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hyperlink r:id="rId6" w:history="1">
        <w:r w:rsidRPr="005C1E79">
          <w:rPr>
            <w:rStyle w:val="Hyperlink"/>
            <w:rFonts w:asciiTheme="minorHAnsi" w:hAnsiTheme="minorHAnsi" w:cstheme="minorHAnsi"/>
          </w:rPr>
          <w:t>https://www.bl.uk/catalogues/illuminatedmanuscripts/ILLUMIN.ASP?Size=mid&amp;IllID=60379</w:t>
        </w:r>
      </w:hyperlink>
    </w:p>
  </w:footnote>
  <w:footnote w:id="30">
    <w:p w14:paraId="5345D536" w14:textId="46B8917D" w:rsidR="00DB1A70" w:rsidRDefault="00DB1A70" w:rsidP="00DB1A70">
      <w:pPr>
        <w:pStyle w:val="FootnoteText"/>
        <w:rPr>
          <w:rFonts w:asciiTheme="minorHAnsi" w:hAnsiTheme="minorHAnsi" w:cstheme="minorHAnsi"/>
        </w:rPr>
      </w:pPr>
      <w:r w:rsidRPr="005C1E79">
        <w:rPr>
          <w:rStyle w:val="FootnoteReference"/>
          <w:rFonts w:asciiTheme="minorHAnsi" w:hAnsiTheme="minorHAnsi" w:cstheme="minorHAnsi"/>
        </w:rPr>
        <w:footnoteRef/>
      </w:r>
      <w:r w:rsidRPr="005C1E79">
        <w:rPr>
          <w:rFonts w:asciiTheme="minorHAnsi" w:hAnsiTheme="minorHAnsi" w:cstheme="minorHAnsi"/>
        </w:rPr>
        <w:t xml:space="preserve"> </w:t>
      </w:r>
      <w:hyperlink r:id="rId7" w:history="1">
        <w:r w:rsidR="0046704D" w:rsidRPr="0071724B">
          <w:rPr>
            <w:rStyle w:val="Hyperlink"/>
            <w:rFonts w:asciiTheme="minorHAnsi" w:hAnsiTheme="minorHAnsi" w:cstheme="minorHAnsi"/>
          </w:rPr>
          <w:t>https://commons.wikimedia.org/wiki/File:Fr%C3%A8res_Limbourg_-</w:t>
        </w:r>
      </w:hyperlink>
    </w:p>
    <w:p w14:paraId="47C127ED" w14:textId="77777777" w:rsidR="0046704D" w:rsidRPr="005C1E79" w:rsidRDefault="0046704D" w:rsidP="00DB1A70">
      <w:pPr>
        <w:pStyle w:val="FootnoteText"/>
        <w:rPr>
          <w:rFonts w:asciiTheme="minorHAnsi" w:hAnsiTheme="minorHAnsi" w:cstheme="minorHAnsi"/>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FE6A50" w14:textId="72677196" w:rsidR="00B90B89" w:rsidRDefault="00B90B89">
    <w:pPr>
      <w:pStyle w:val="Header"/>
    </w:pPr>
    <w:r>
      <w:t>Natasha Coombs</w:t>
    </w:r>
    <w:r>
      <w:ptab w:relativeTo="margin" w:alignment="center" w:leader="none"/>
    </w:r>
    <w:r>
      <w:t>1406022</w:t>
    </w:r>
    <w:r>
      <w:ptab w:relativeTo="margin" w:alignment="right" w:leader="none"/>
    </w:r>
    <w:r>
      <w:t>AHMS5005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BD1F3F"/>
    <w:multiLevelType w:val="hybridMultilevel"/>
    <w:tmpl w:val="B47A512E"/>
    <w:lvl w:ilvl="0" w:tplc="3CF03E9E">
      <w:start w:val="1"/>
      <w:numFmt w:val="decimal"/>
      <w:lvlText w:val="%1"/>
      <w:lvlJc w:val="left"/>
      <w:pPr>
        <w:ind w:left="720" w:hanging="360"/>
      </w:pPr>
      <w:rPr>
        <w:rFonts w:ascii="Times New Roman" w:hAnsi="Times New Roman" w:cs="Times New Roman"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B354CF6"/>
    <w:multiLevelType w:val="hybridMultilevel"/>
    <w:tmpl w:val="EB2804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DDD7D42"/>
    <w:multiLevelType w:val="hybridMultilevel"/>
    <w:tmpl w:val="29F87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0DB"/>
    <w:rsid w:val="0001321F"/>
    <w:rsid w:val="00027B1C"/>
    <w:rsid w:val="0003233C"/>
    <w:rsid w:val="0006661C"/>
    <w:rsid w:val="00074507"/>
    <w:rsid w:val="00074821"/>
    <w:rsid w:val="00076881"/>
    <w:rsid w:val="000873FC"/>
    <w:rsid w:val="00087623"/>
    <w:rsid w:val="00097656"/>
    <w:rsid w:val="000A1162"/>
    <w:rsid w:val="000A2159"/>
    <w:rsid w:val="000B09EF"/>
    <w:rsid w:val="000B1584"/>
    <w:rsid w:val="000C2312"/>
    <w:rsid w:val="000C55BC"/>
    <w:rsid w:val="000D263D"/>
    <w:rsid w:val="000D545C"/>
    <w:rsid w:val="000F205D"/>
    <w:rsid w:val="000F34F2"/>
    <w:rsid w:val="001102C6"/>
    <w:rsid w:val="00127473"/>
    <w:rsid w:val="00133C3D"/>
    <w:rsid w:val="001449FA"/>
    <w:rsid w:val="001664A3"/>
    <w:rsid w:val="001C523B"/>
    <w:rsid w:val="001D34C9"/>
    <w:rsid w:val="001D50E8"/>
    <w:rsid w:val="001D6C89"/>
    <w:rsid w:val="002035D7"/>
    <w:rsid w:val="00225628"/>
    <w:rsid w:val="00225A2A"/>
    <w:rsid w:val="002721C5"/>
    <w:rsid w:val="00290951"/>
    <w:rsid w:val="00290F42"/>
    <w:rsid w:val="002C5A66"/>
    <w:rsid w:val="002E3D29"/>
    <w:rsid w:val="002F70F1"/>
    <w:rsid w:val="00307ECE"/>
    <w:rsid w:val="00314080"/>
    <w:rsid w:val="00326D9D"/>
    <w:rsid w:val="00331A48"/>
    <w:rsid w:val="00331D62"/>
    <w:rsid w:val="0033732F"/>
    <w:rsid w:val="00355871"/>
    <w:rsid w:val="00356ABE"/>
    <w:rsid w:val="00363E7C"/>
    <w:rsid w:val="00365D6C"/>
    <w:rsid w:val="003837C3"/>
    <w:rsid w:val="003C223C"/>
    <w:rsid w:val="003D377F"/>
    <w:rsid w:val="003E221B"/>
    <w:rsid w:val="003E6017"/>
    <w:rsid w:val="003E6931"/>
    <w:rsid w:val="003F3EA5"/>
    <w:rsid w:val="00435888"/>
    <w:rsid w:val="004412E1"/>
    <w:rsid w:val="004470B5"/>
    <w:rsid w:val="004511AA"/>
    <w:rsid w:val="00456D17"/>
    <w:rsid w:val="00461ACC"/>
    <w:rsid w:val="0046704D"/>
    <w:rsid w:val="0047283D"/>
    <w:rsid w:val="00494D10"/>
    <w:rsid w:val="004A3FEA"/>
    <w:rsid w:val="004A49E8"/>
    <w:rsid w:val="004C1026"/>
    <w:rsid w:val="004D452F"/>
    <w:rsid w:val="004E1E52"/>
    <w:rsid w:val="004F03F6"/>
    <w:rsid w:val="00524F8D"/>
    <w:rsid w:val="00534CD3"/>
    <w:rsid w:val="00536304"/>
    <w:rsid w:val="0054647E"/>
    <w:rsid w:val="005501ED"/>
    <w:rsid w:val="00550760"/>
    <w:rsid w:val="00564AE9"/>
    <w:rsid w:val="00570F4E"/>
    <w:rsid w:val="00594FD7"/>
    <w:rsid w:val="005C3959"/>
    <w:rsid w:val="005D40DB"/>
    <w:rsid w:val="005E4E27"/>
    <w:rsid w:val="006310A9"/>
    <w:rsid w:val="006611C7"/>
    <w:rsid w:val="00683D94"/>
    <w:rsid w:val="006926CC"/>
    <w:rsid w:val="00705110"/>
    <w:rsid w:val="00710EA9"/>
    <w:rsid w:val="00722BAA"/>
    <w:rsid w:val="00726F8F"/>
    <w:rsid w:val="00780EC6"/>
    <w:rsid w:val="00793758"/>
    <w:rsid w:val="007A4CD6"/>
    <w:rsid w:val="007A7EE0"/>
    <w:rsid w:val="007D062F"/>
    <w:rsid w:val="007D5FCC"/>
    <w:rsid w:val="007F123D"/>
    <w:rsid w:val="007F2FC4"/>
    <w:rsid w:val="007F7B10"/>
    <w:rsid w:val="008023ED"/>
    <w:rsid w:val="00804B58"/>
    <w:rsid w:val="00822DD1"/>
    <w:rsid w:val="00823C76"/>
    <w:rsid w:val="0084275C"/>
    <w:rsid w:val="0085427C"/>
    <w:rsid w:val="00856B27"/>
    <w:rsid w:val="00876226"/>
    <w:rsid w:val="00892E1F"/>
    <w:rsid w:val="00894709"/>
    <w:rsid w:val="008B64E8"/>
    <w:rsid w:val="008C74CC"/>
    <w:rsid w:val="008C7B67"/>
    <w:rsid w:val="008D7017"/>
    <w:rsid w:val="008E3D62"/>
    <w:rsid w:val="008F470A"/>
    <w:rsid w:val="00905F32"/>
    <w:rsid w:val="00934F3F"/>
    <w:rsid w:val="00946F38"/>
    <w:rsid w:val="00951D44"/>
    <w:rsid w:val="00953B86"/>
    <w:rsid w:val="009630A2"/>
    <w:rsid w:val="00964407"/>
    <w:rsid w:val="00972E2B"/>
    <w:rsid w:val="00994EC4"/>
    <w:rsid w:val="0099602F"/>
    <w:rsid w:val="009A51E0"/>
    <w:rsid w:val="009B0A3E"/>
    <w:rsid w:val="009B521E"/>
    <w:rsid w:val="009B6660"/>
    <w:rsid w:val="009F01F8"/>
    <w:rsid w:val="009F3D70"/>
    <w:rsid w:val="00A00742"/>
    <w:rsid w:val="00A009DC"/>
    <w:rsid w:val="00A044AF"/>
    <w:rsid w:val="00A11C13"/>
    <w:rsid w:val="00A34E85"/>
    <w:rsid w:val="00A4423C"/>
    <w:rsid w:val="00A8256B"/>
    <w:rsid w:val="00A943FE"/>
    <w:rsid w:val="00A96262"/>
    <w:rsid w:val="00AA04E6"/>
    <w:rsid w:val="00AA3FE8"/>
    <w:rsid w:val="00AA4C63"/>
    <w:rsid w:val="00AD0431"/>
    <w:rsid w:val="00B022F5"/>
    <w:rsid w:val="00B0791F"/>
    <w:rsid w:val="00B13665"/>
    <w:rsid w:val="00B15985"/>
    <w:rsid w:val="00B434D6"/>
    <w:rsid w:val="00B50B64"/>
    <w:rsid w:val="00B75779"/>
    <w:rsid w:val="00B90B89"/>
    <w:rsid w:val="00B948C0"/>
    <w:rsid w:val="00B97546"/>
    <w:rsid w:val="00BA10AB"/>
    <w:rsid w:val="00BB0A22"/>
    <w:rsid w:val="00BC3BDF"/>
    <w:rsid w:val="00BD5F4B"/>
    <w:rsid w:val="00BE3305"/>
    <w:rsid w:val="00C0153F"/>
    <w:rsid w:val="00C141F6"/>
    <w:rsid w:val="00C35143"/>
    <w:rsid w:val="00C446BD"/>
    <w:rsid w:val="00C54F53"/>
    <w:rsid w:val="00C55398"/>
    <w:rsid w:val="00C80DA6"/>
    <w:rsid w:val="00CD2DF2"/>
    <w:rsid w:val="00CF31C8"/>
    <w:rsid w:val="00CF3E5E"/>
    <w:rsid w:val="00CF630C"/>
    <w:rsid w:val="00D1191B"/>
    <w:rsid w:val="00D21232"/>
    <w:rsid w:val="00D329AA"/>
    <w:rsid w:val="00D3317D"/>
    <w:rsid w:val="00D5321B"/>
    <w:rsid w:val="00D603A4"/>
    <w:rsid w:val="00D74C4C"/>
    <w:rsid w:val="00D856F3"/>
    <w:rsid w:val="00D95E1D"/>
    <w:rsid w:val="00DA0E7F"/>
    <w:rsid w:val="00DA0F30"/>
    <w:rsid w:val="00DA28CD"/>
    <w:rsid w:val="00DB1A70"/>
    <w:rsid w:val="00DB2830"/>
    <w:rsid w:val="00DC0802"/>
    <w:rsid w:val="00DC797E"/>
    <w:rsid w:val="00DD24B5"/>
    <w:rsid w:val="00DD79DA"/>
    <w:rsid w:val="00DF3E08"/>
    <w:rsid w:val="00E000CF"/>
    <w:rsid w:val="00E00147"/>
    <w:rsid w:val="00E13040"/>
    <w:rsid w:val="00E1744B"/>
    <w:rsid w:val="00E203D2"/>
    <w:rsid w:val="00E2203B"/>
    <w:rsid w:val="00E229A8"/>
    <w:rsid w:val="00E33265"/>
    <w:rsid w:val="00E33EF4"/>
    <w:rsid w:val="00E427C9"/>
    <w:rsid w:val="00E46D1B"/>
    <w:rsid w:val="00E738EE"/>
    <w:rsid w:val="00EA02A3"/>
    <w:rsid w:val="00EB56D3"/>
    <w:rsid w:val="00ED4D83"/>
    <w:rsid w:val="00ED52DB"/>
    <w:rsid w:val="00EE3CBD"/>
    <w:rsid w:val="00EE6810"/>
    <w:rsid w:val="00EF4D6F"/>
    <w:rsid w:val="00F020CE"/>
    <w:rsid w:val="00F038C1"/>
    <w:rsid w:val="00F054CF"/>
    <w:rsid w:val="00F13E2C"/>
    <w:rsid w:val="00F14822"/>
    <w:rsid w:val="00F17A2D"/>
    <w:rsid w:val="00F26C25"/>
    <w:rsid w:val="00F34D4C"/>
    <w:rsid w:val="00F55977"/>
    <w:rsid w:val="00F8792A"/>
    <w:rsid w:val="00F93B60"/>
    <w:rsid w:val="00FA3143"/>
    <w:rsid w:val="00FD066E"/>
    <w:rsid w:val="00FD3E5A"/>
    <w:rsid w:val="00FD538D"/>
    <w:rsid w:val="00FE0E0F"/>
    <w:rsid w:val="00FE5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8B8AB"/>
  <w15:chartTrackingRefBased/>
  <w15:docId w15:val="{133B3977-ED70-4E14-827A-D59BED2AF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D40DB"/>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0B89"/>
    <w:pPr>
      <w:tabs>
        <w:tab w:val="center" w:pos="4513"/>
        <w:tab w:val="right" w:pos="9026"/>
      </w:tabs>
    </w:pPr>
  </w:style>
  <w:style w:type="character" w:customStyle="1" w:styleId="HeaderChar">
    <w:name w:val="Header Char"/>
    <w:basedOn w:val="DefaultParagraphFont"/>
    <w:link w:val="Header"/>
    <w:uiPriority w:val="99"/>
    <w:rsid w:val="00B90B89"/>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B90B89"/>
    <w:pPr>
      <w:tabs>
        <w:tab w:val="center" w:pos="4513"/>
        <w:tab w:val="right" w:pos="9026"/>
      </w:tabs>
    </w:pPr>
  </w:style>
  <w:style w:type="character" w:customStyle="1" w:styleId="FooterChar">
    <w:name w:val="Footer Char"/>
    <w:basedOn w:val="DefaultParagraphFont"/>
    <w:link w:val="Footer"/>
    <w:uiPriority w:val="99"/>
    <w:rsid w:val="00B90B89"/>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780EC6"/>
    <w:pPr>
      <w:ind w:left="720"/>
      <w:contextualSpacing/>
    </w:pPr>
  </w:style>
  <w:style w:type="paragraph" w:styleId="FootnoteText">
    <w:name w:val="footnote text"/>
    <w:basedOn w:val="Normal"/>
    <w:link w:val="FootnoteTextChar"/>
    <w:uiPriority w:val="99"/>
    <w:semiHidden/>
    <w:unhideWhenUsed/>
    <w:rsid w:val="00E33EF4"/>
    <w:rPr>
      <w:sz w:val="20"/>
      <w:szCs w:val="20"/>
    </w:rPr>
  </w:style>
  <w:style w:type="character" w:customStyle="1" w:styleId="FootnoteTextChar">
    <w:name w:val="Footnote Text Char"/>
    <w:basedOn w:val="DefaultParagraphFont"/>
    <w:link w:val="FootnoteText"/>
    <w:uiPriority w:val="99"/>
    <w:semiHidden/>
    <w:rsid w:val="00E33EF4"/>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E33EF4"/>
    <w:rPr>
      <w:vertAlign w:val="superscript"/>
    </w:rPr>
  </w:style>
  <w:style w:type="character" w:styleId="Hyperlink">
    <w:name w:val="Hyperlink"/>
    <w:basedOn w:val="DefaultParagraphFont"/>
    <w:uiPriority w:val="99"/>
    <w:unhideWhenUsed/>
    <w:rsid w:val="00355871"/>
    <w:rPr>
      <w:color w:val="0563C1" w:themeColor="hyperlink"/>
      <w:u w:val="single"/>
    </w:rPr>
  </w:style>
  <w:style w:type="character" w:styleId="UnresolvedMention">
    <w:name w:val="Unresolved Mention"/>
    <w:basedOn w:val="DefaultParagraphFont"/>
    <w:uiPriority w:val="99"/>
    <w:semiHidden/>
    <w:unhideWhenUsed/>
    <w:rsid w:val="00355871"/>
    <w:rPr>
      <w:color w:val="808080"/>
      <w:shd w:val="clear" w:color="auto" w:fill="E6E6E6"/>
    </w:rPr>
  </w:style>
  <w:style w:type="character" w:styleId="PlaceholderText">
    <w:name w:val="Placeholder Text"/>
    <w:basedOn w:val="DefaultParagraphFont"/>
    <w:uiPriority w:val="99"/>
    <w:semiHidden/>
    <w:rsid w:val="007F7B10"/>
    <w:rPr>
      <w:color w:val="808080"/>
    </w:rPr>
  </w:style>
  <w:style w:type="character" w:styleId="Strong">
    <w:name w:val="Strong"/>
    <w:basedOn w:val="DefaultParagraphFont"/>
    <w:uiPriority w:val="22"/>
    <w:qFormat/>
    <w:rsid w:val="001449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89775">
      <w:bodyDiv w:val="1"/>
      <w:marLeft w:val="0"/>
      <w:marRight w:val="0"/>
      <w:marTop w:val="0"/>
      <w:marBottom w:val="0"/>
      <w:divBdr>
        <w:top w:val="none" w:sz="0" w:space="0" w:color="auto"/>
        <w:left w:val="none" w:sz="0" w:space="0" w:color="auto"/>
        <w:bottom w:val="none" w:sz="0" w:space="0" w:color="auto"/>
        <w:right w:val="none" w:sz="0" w:space="0" w:color="auto"/>
      </w:divBdr>
    </w:div>
    <w:div w:id="388307679">
      <w:bodyDiv w:val="1"/>
      <w:marLeft w:val="0"/>
      <w:marRight w:val="0"/>
      <w:marTop w:val="0"/>
      <w:marBottom w:val="0"/>
      <w:divBdr>
        <w:top w:val="none" w:sz="0" w:space="0" w:color="auto"/>
        <w:left w:val="none" w:sz="0" w:space="0" w:color="auto"/>
        <w:bottom w:val="none" w:sz="0" w:space="0" w:color="auto"/>
        <w:right w:val="none" w:sz="0" w:space="0" w:color="auto"/>
      </w:divBdr>
    </w:div>
    <w:div w:id="643657048">
      <w:bodyDiv w:val="1"/>
      <w:marLeft w:val="0"/>
      <w:marRight w:val="0"/>
      <w:marTop w:val="0"/>
      <w:marBottom w:val="0"/>
      <w:divBdr>
        <w:top w:val="none" w:sz="0" w:space="0" w:color="auto"/>
        <w:left w:val="none" w:sz="0" w:space="0" w:color="auto"/>
        <w:bottom w:val="none" w:sz="0" w:space="0" w:color="auto"/>
        <w:right w:val="none" w:sz="0" w:space="0" w:color="auto"/>
      </w:divBdr>
    </w:div>
    <w:div w:id="1225800357">
      <w:bodyDiv w:val="1"/>
      <w:marLeft w:val="0"/>
      <w:marRight w:val="0"/>
      <w:marTop w:val="0"/>
      <w:marBottom w:val="0"/>
      <w:divBdr>
        <w:top w:val="none" w:sz="0" w:space="0" w:color="auto"/>
        <w:left w:val="none" w:sz="0" w:space="0" w:color="auto"/>
        <w:bottom w:val="none" w:sz="0" w:space="0" w:color="auto"/>
        <w:right w:val="none" w:sz="0" w:space="0" w:color="auto"/>
      </w:divBdr>
    </w:div>
    <w:div w:id="1625890780">
      <w:bodyDiv w:val="1"/>
      <w:marLeft w:val="0"/>
      <w:marRight w:val="0"/>
      <w:marTop w:val="0"/>
      <w:marBottom w:val="0"/>
      <w:divBdr>
        <w:top w:val="none" w:sz="0" w:space="0" w:color="auto"/>
        <w:left w:val="none" w:sz="0" w:space="0" w:color="auto"/>
        <w:bottom w:val="none" w:sz="0" w:space="0" w:color="auto"/>
        <w:right w:val="none" w:sz="0" w:space="0" w:color="auto"/>
      </w:divBdr>
    </w:div>
    <w:div w:id="1686904940">
      <w:bodyDiv w:val="1"/>
      <w:marLeft w:val="0"/>
      <w:marRight w:val="0"/>
      <w:marTop w:val="0"/>
      <w:marBottom w:val="0"/>
      <w:divBdr>
        <w:top w:val="none" w:sz="0" w:space="0" w:color="auto"/>
        <w:left w:val="none" w:sz="0" w:space="0" w:color="auto"/>
        <w:bottom w:val="none" w:sz="0" w:space="0" w:color="auto"/>
        <w:right w:val="none" w:sz="0" w:space="0" w:color="auto"/>
      </w:divBdr>
    </w:div>
    <w:div w:id="1972441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3" Type="http://schemas.openxmlformats.org/officeDocument/2006/relationships/hyperlink" Target="https://www.bl.uk/catalogues/illuminatedmanuscripts/ILLUMIN.ASP?Size=mid&amp;IllID=54887" TargetMode="External"/><Relationship Id="rId7" Type="http://schemas.openxmlformats.org/officeDocument/2006/relationships/hyperlink" Target="https://commons.wikimedia.org/wiki/File:Fr%C3%A8res_Limbourg_-" TargetMode="External"/><Relationship Id="rId2" Type="http://schemas.openxmlformats.org/officeDocument/2006/relationships/hyperlink" Target="https://www.bl.uk/catalogues/illuminatedmanuscripts/ILLUMIN.ASP?Size=mid&amp;IllID=60904" TargetMode="External"/><Relationship Id="rId1" Type="http://schemas.openxmlformats.org/officeDocument/2006/relationships/hyperlink" Target="https://www.bl.uk/catalogues/illuminatedmanuscripts/ILLUMINBig.ASP?size=big&amp;IllID=60369" TargetMode="External"/><Relationship Id="rId6" Type="http://schemas.openxmlformats.org/officeDocument/2006/relationships/hyperlink" Target="https://www.bl.uk/catalogues/illuminatedmanuscripts/ILLUMIN.ASP?Size=mid&amp;IllID=60379" TargetMode="External"/><Relationship Id="rId5" Type="http://schemas.openxmlformats.org/officeDocument/2006/relationships/hyperlink" Target="https://www.bl.uk/catalogues/illuminatedmanuscripts/ILLUMIN.ASP?Size=mid&amp;IllID=4725" TargetMode="External"/><Relationship Id="rId4" Type="http://schemas.openxmlformats.org/officeDocument/2006/relationships/hyperlink" Target="http://www.themorgan.org/collection/black-hours/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5D7C3-4A4E-44BF-B199-241990693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10206</TotalTime>
  <Pages>12</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 (1402066)</dc:creator>
  <cp:keywords/>
  <dc:description/>
  <cp:lastModifiedBy>Natasha Olga Jane Coombs</cp:lastModifiedBy>
  <cp:revision>199</cp:revision>
  <dcterms:created xsi:type="dcterms:W3CDTF">2018-04-15T09:32:00Z</dcterms:created>
  <dcterms:modified xsi:type="dcterms:W3CDTF">2018-05-03T10:46:00Z</dcterms:modified>
</cp:coreProperties>
</file>