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0.11.0 -->
  <w:body>
    <w:p w:rsidR="00CE572C" w:rsidRPr="003E4CAB" w:rsidP="002C2103" w14:paraId="737A1B27" w14:textId="630CB761">
      <w:pPr>
        <w:pStyle w:val="Subtitle"/>
        <w:spacing w:line="360" w:lineRule="auto"/>
        <w:ind w:firstLine="227"/>
        <w:jc w:val="center"/>
        <w:rPr>
          <w:rFonts w:ascii="Source Sans Pro" w:hAnsi="Source Sans Pro" w:cs="Arial"/>
          <w:i/>
          <w:iCs/>
          <w:color w:val="000000" w:themeColor="text1"/>
          <w:szCs w:val="32"/>
          <w:lang w:val="en-GB"/>
        </w:rPr>
      </w:pPr>
      <w:r w:rsidRPr="003E4CAB">
        <w:rPr>
          <w:rFonts w:ascii="Source Sans Pro" w:hAnsi="Source Sans Pro" w:cs="Arial"/>
          <w:color w:val="000000" w:themeColor="text1"/>
          <w:szCs w:val="32"/>
          <w:lang w:val="en-GB"/>
        </w:rPr>
        <w:t xml:space="preserve">Critique of </w:t>
      </w:r>
      <w:r w:rsidRPr="003E4CAB">
        <w:rPr>
          <w:rFonts w:ascii="Source Sans Pro" w:hAnsi="Source Sans Pro" w:cs="Arial"/>
          <w:i/>
          <w:iCs/>
          <w:color w:val="000000" w:themeColor="text1"/>
          <w:szCs w:val="32"/>
          <w:lang w:val="en-GB"/>
        </w:rPr>
        <w:t>Translanguaging as Process and Pedagogy</w:t>
      </w:r>
    </w:p>
    <w:p w:rsidR="007025FA" w:rsidRPr="003E4CAB" w:rsidP="002C2103" w14:paraId="79E3F6F3" w14:textId="7BC0AD25">
      <w:pPr>
        <w:pStyle w:val="Subtitle"/>
        <w:spacing w:line="360" w:lineRule="auto"/>
        <w:ind w:firstLine="227"/>
        <w:jc w:val="center"/>
        <w:rPr>
          <w:rFonts w:ascii="Source Sans Pro" w:hAnsi="Source Sans Pro" w:cs="Arial"/>
          <w:color w:val="000000" w:themeColor="text1"/>
          <w:sz w:val="28"/>
          <w:szCs w:val="28"/>
          <w:lang w:val="en-GB"/>
        </w:rPr>
      </w:pPr>
      <w:r w:rsidRPr="003E4CAB">
        <w:rPr>
          <w:rFonts w:ascii="Source Sans Pro" w:hAnsi="Source Sans Pro" w:cs="Arial"/>
          <w:color w:val="000000" w:themeColor="text1"/>
          <w:sz w:val="28"/>
          <w:szCs w:val="28"/>
          <w:lang w:val="en-GB"/>
        </w:rPr>
        <w:t>Lan KE, Terry</w:t>
      </w:r>
    </w:p>
    <w:p w:rsidR="00293F16" w:rsidRPr="00945F33" w:rsidP="002C2103" w14:paraId="623C132E" w14:textId="3BDEF56D">
      <w:pPr>
        <w:spacing w:line="360" w:lineRule="auto"/>
        <w:ind w:firstLine="227"/>
        <w:rPr>
          <w:rFonts w:ascii="Source Sans Pro" w:hAnsi="Source Sans Pro" w:cs="Arial"/>
          <w:color w:val="000000" w:themeColor="text1"/>
          <w:lang w:val="en-GB"/>
        </w:rPr>
      </w:pPr>
      <w:r w:rsidRPr="00945F33">
        <w:rPr>
          <w:rFonts w:ascii="Source Sans Pro" w:hAnsi="Source Sans Pro" w:cs="Arial"/>
          <w:color w:val="000000" w:themeColor="text1"/>
          <w:lang w:val="en-GB"/>
        </w:rPr>
        <w:t>Abstract</w:t>
      </w:r>
    </w:p>
    <w:p w:rsidR="0021279E" w:rsidRPr="00945F33" w:rsidP="002C2103" w14:paraId="3695064D" w14:textId="31A220E2">
      <w:pPr>
        <w:spacing w:line="360" w:lineRule="auto"/>
        <w:ind w:firstLine="227"/>
        <w:jc w:val="both"/>
        <w:rPr>
          <w:rFonts w:ascii="Source Sans Pro" w:hAnsi="Source Sans Pro"/>
          <w:color w:val="000000"/>
          <w:lang w:val="en-GB"/>
        </w:rPr>
      </w:pPr>
      <w:r w:rsidRPr="00945F33">
        <w:rPr>
          <w:rFonts w:ascii="Source Sans Pro" w:hAnsi="Source Sans Pro"/>
          <w:color w:val="000000"/>
          <w:lang w:val="en-GB"/>
        </w:rPr>
        <w:t xml:space="preserve">This paper is a critique of </w:t>
      </w:r>
      <w:r w:rsidRPr="00945F33">
        <w:rPr>
          <w:rFonts w:ascii="Source Sans Pro" w:hAnsi="Source Sans Pro"/>
          <w:b/>
          <w:bCs/>
          <w:i/>
          <w:iCs/>
          <w:color w:val="000000"/>
          <w:lang w:val="en-GB"/>
        </w:rPr>
        <w:t>Translanguaging as Process and Pedagogy: Developing the English Writing of Japanese Students in the U</w:t>
      </w:r>
      <w:r w:rsidRPr="00945F33">
        <w:rPr>
          <w:rFonts w:ascii="Source Sans Pro" w:hAnsi="Source Sans Pro"/>
          <w:color w:val="000000"/>
          <w:lang w:val="en-GB"/>
        </w:rPr>
        <w:t xml:space="preserve">.S. </w:t>
      </w:r>
      <w:r w:rsidRPr="00945F33" w:rsidR="0073231C">
        <w:rPr>
          <w:rFonts w:ascii="Source Sans Pro" w:hAnsi="Source Sans Pro"/>
          <w:color w:val="000000"/>
          <w:lang w:val="en-GB"/>
        </w:rPr>
        <w:t>(</w:t>
      </w:r>
      <w:r w:rsidRPr="00945F33">
        <w:rPr>
          <w:rFonts w:ascii="Source Sans Pro" w:hAnsi="Source Sans Pro"/>
          <w:color w:val="000000"/>
          <w:lang w:val="en-GB"/>
        </w:rPr>
        <w:t xml:space="preserve">García </w:t>
      </w:r>
      <w:r w:rsidRPr="00945F33" w:rsidR="007025FA">
        <w:rPr>
          <w:rFonts w:ascii="Source Sans Pro" w:hAnsi="Source Sans Pro"/>
          <w:color w:val="000000"/>
          <w:lang w:val="en-GB"/>
        </w:rPr>
        <w:t>&amp;</w:t>
      </w:r>
      <w:r w:rsidRPr="00945F33">
        <w:rPr>
          <w:rFonts w:ascii="Source Sans Pro" w:hAnsi="Source Sans Pro"/>
          <w:color w:val="000000"/>
          <w:lang w:val="en-GB"/>
        </w:rPr>
        <w:t xml:space="preserve"> Kano</w:t>
      </w:r>
      <w:r w:rsidRPr="00945F33" w:rsidR="0073231C">
        <w:rPr>
          <w:rFonts w:ascii="Source Sans Pro" w:hAnsi="Source Sans Pro"/>
          <w:color w:val="000000"/>
          <w:lang w:val="en-GB"/>
        </w:rPr>
        <w:t>, 2014)</w:t>
      </w:r>
      <w:r w:rsidRPr="00945F33">
        <w:rPr>
          <w:rFonts w:ascii="Source Sans Pro" w:hAnsi="Source Sans Pro"/>
          <w:color w:val="000000"/>
          <w:lang w:val="en-GB"/>
        </w:rPr>
        <w:t>.</w:t>
      </w:r>
      <w:r w:rsidRPr="00945F33" w:rsidR="007025FA">
        <w:rPr>
          <w:rFonts w:ascii="Source Sans Pro" w:hAnsi="Source Sans Pro"/>
          <w:color w:val="000000"/>
          <w:lang w:val="en-GB"/>
        </w:rPr>
        <w:t xml:space="preserve"> </w:t>
      </w:r>
      <w:r w:rsidRPr="00945F33">
        <w:rPr>
          <w:rFonts w:ascii="Source Sans Pro" w:hAnsi="Source Sans Pro"/>
          <w:color w:val="000000"/>
          <w:lang w:val="en-GB"/>
        </w:rPr>
        <w:t xml:space="preserve">The critique is composed of </w:t>
      </w:r>
      <w:r w:rsidRPr="00945F33" w:rsidR="0073231C">
        <w:rPr>
          <w:rFonts w:ascii="Source Sans Pro" w:hAnsi="Source Sans Pro"/>
          <w:color w:val="000000"/>
          <w:lang w:val="en-GB"/>
        </w:rPr>
        <w:t>three</w:t>
      </w:r>
      <w:r w:rsidRPr="00945F33">
        <w:rPr>
          <w:rFonts w:ascii="Source Sans Pro" w:hAnsi="Source Sans Pro"/>
          <w:color w:val="000000"/>
          <w:lang w:val="en-GB"/>
        </w:rPr>
        <w:t xml:space="preserve"> parts. </w:t>
      </w:r>
    </w:p>
    <w:p w:rsidR="00CA1EEA" w:rsidRPr="00945F33" w:rsidP="002C2103" w14:paraId="7797EFAE" w14:textId="26DF3678">
      <w:pPr>
        <w:spacing w:line="360" w:lineRule="auto"/>
        <w:ind w:firstLine="227"/>
        <w:jc w:val="both"/>
        <w:rPr>
          <w:rFonts w:ascii="Source Sans Pro" w:hAnsi="Source Sans Pro"/>
          <w:color w:val="000000"/>
          <w:lang w:val="en-GB"/>
        </w:rPr>
      </w:pPr>
      <w:r w:rsidRPr="00945F33">
        <w:rPr>
          <w:rFonts w:ascii="Source Sans Pro" w:hAnsi="Source Sans Pro"/>
          <w:color w:val="000000"/>
          <w:lang w:val="en-GB"/>
        </w:rPr>
        <w:t xml:space="preserve">The </w:t>
      </w:r>
      <w:r w:rsidRPr="00945F33" w:rsidR="007025FA">
        <w:rPr>
          <w:rFonts w:ascii="Source Sans Pro" w:hAnsi="Source Sans Pro"/>
          <w:color w:val="000000"/>
          <w:lang w:val="en-GB"/>
        </w:rPr>
        <w:t>first part</w:t>
      </w:r>
      <w:r w:rsidRPr="00945F33">
        <w:rPr>
          <w:rFonts w:ascii="Source Sans Pro" w:hAnsi="Source Sans Pro"/>
          <w:color w:val="000000"/>
          <w:lang w:val="en-GB"/>
        </w:rPr>
        <w:t xml:space="preserve"> focuses on </w:t>
      </w:r>
      <w:r w:rsidRPr="00945F33" w:rsidR="007025FA">
        <w:rPr>
          <w:rFonts w:ascii="Source Sans Pro" w:hAnsi="Source Sans Pro"/>
          <w:color w:val="000000"/>
          <w:lang w:val="en-GB"/>
        </w:rPr>
        <w:t xml:space="preserve">research methodology and </w:t>
      </w:r>
      <w:r w:rsidRPr="00945F33">
        <w:rPr>
          <w:rFonts w:ascii="Source Sans Pro" w:hAnsi="Source Sans Pro"/>
          <w:color w:val="000000"/>
          <w:lang w:val="en-GB"/>
        </w:rPr>
        <w:t xml:space="preserve">design. </w:t>
      </w:r>
      <w:r w:rsidRPr="00945F33" w:rsidR="007025FA">
        <w:rPr>
          <w:rFonts w:ascii="Source Sans Pro" w:hAnsi="Source Sans Pro"/>
          <w:color w:val="000000"/>
          <w:lang w:val="en-GB"/>
        </w:rPr>
        <w:t>The assessment of</w:t>
      </w:r>
      <w:r w:rsidRPr="00945F33">
        <w:rPr>
          <w:rFonts w:ascii="Source Sans Pro" w:hAnsi="Source Sans Pro"/>
          <w:color w:val="000000"/>
          <w:lang w:val="en-GB"/>
        </w:rPr>
        <w:t xml:space="preserve"> the research questions and their relevance to the result is one of the bones of contention</w:t>
      </w:r>
      <w:r w:rsidRPr="00945F33" w:rsidR="00174D88">
        <w:rPr>
          <w:rFonts w:ascii="Source Sans Pro" w:hAnsi="Source Sans Pro"/>
          <w:color w:val="000000"/>
          <w:lang w:val="en-GB"/>
        </w:rPr>
        <w:t>. In terms of</w:t>
      </w:r>
      <w:r w:rsidRPr="00945F33">
        <w:rPr>
          <w:rFonts w:ascii="Source Sans Pro" w:hAnsi="Source Sans Pro"/>
          <w:color w:val="000000"/>
          <w:lang w:val="en-GB"/>
        </w:rPr>
        <w:t xml:space="preserve"> research design, it mainly concen</w:t>
      </w:r>
      <w:r w:rsidRPr="00945F33">
        <w:rPr>
          <w:rFonts w:ascii="Source Sans Pro" w:hAnsi="Source Sans Pro"/>
          <w:color w:val="000000"/>
          <w:lang w:val="en-GB"/>
        </w:rPr>
        <w:t>trates on the size of the sample</w:t>
      </w:r>
      <w:r w:rsidRPr="00945F33" w:rsidR="007025FA">
        <w:rPr>
          <w:rFonts w:ascii="Source Sans Pro" w:hAnsi="Source Sans Pro"/>
          <w:color w:val="000000"/>
          <w:lang w:val="en-GB"/>
        </w:rPr>
        <w:t xml:space="preserve"> and variable control</w:t>
      </w:r>
      <w:r w:rsidRPr="00945F33" w:rsidR="00174D88">
        <w:rPr>
          <w:rFonts w:ascii="Source Sans Pro" w:hAnsi="Source Sans Pro"/>
          <w:color w:val="000000"/>
          <w:lang w:val="en-GB"/>
        </w:rPr>
        <w:t>.</w:t>
      </w:r>
      <w:r w:rsidRPr="00945F33" w:rsidR="00CE572C">
        <w:rPr>
          <w:rFonts w:ascii="Source Sans Pro" w:hAnsi="Source Sans Pro"/>
          <w:color w:val="000000"/>
          <w:lang w:val="en-GB"/>
        </w:rPr>
        <w:t xml:space="preserve"> This part aims to </w:t>
      </w:r>
      <w:r w:rsidRPr="00945F33" w:rsidR="004E1463">
        <w:rPr>
          <w:rFonts w:ascii="Source Sans Pro" w:hAnsi="Source Sans Pro"/>
          <w:color w:val="000000"/>
          <w:lang w:val="en-GB"/>
        </w:rPr>
        <w:t>reflect</w:t>
      </w:r>
      <w:r w:rsidRPr="00945F33" w:rsidR="00CE572C">
        <w:rPr>
          <w:rFonts w:ascii="Source Sans Pro" w:hAnsi="Source Sans Pro"/>
          <w:color w:val="000000"/>
          <w:lang w:val="en-GB"/>
        </w:rPr>
        <w:t xml:space="preserve"> on</w:t>
      </w:r>
      <w:r w:rsidRPr="00945F33" w:rsidR="004E1463">
        <w:rPr>
          <w:rFonts w:ascii="Source Sans Pro" w:hAnsi="Source Sans Pro"/>
          <w:color w:val="000000"/>
          <w:lang w:val="en-GB"/>
        </w:rPr>
        <w:t xml:space="preserve"> the procedure of research conduct critically to discover to what</w:t>
      </w:r>
      <w:r w:rsidRPr="00945F33" w:rsidR="00CE572C">
        <w:rPr>
          <w:rFonts w:ascii="Source Sans Pro" w:hAnsi="Source Sans Pro"/>
          <w:color w:val="000000"/>
          <w:lang w:val="en-GB"/>
        </w:rPr>
        <w:t xml:space="preserve"> extent it achieves </w:t>
      </w:r>
      <w:r w:rsidRPr="00945F33" w:rsidR="004E1463">
        <w:rPr>
          <w:rFonts w:ascii="Source Sans Pro" w:hAnsi="Source Sans Pro"/>
          <w:color w:val="000000"/>
          <w:lang w:val="en-GB"/>
        </w:rPr>
        <w:t>its desired results.</w:t>
      </w:r>
    </w:p>
    <w:p w:rsidR="007025FA" w:rsidRPr="00945F33" w:rsidP="002C2103" w14:paraId="5AE5452A" w14:textId="5D1944EA">
      <w:pPr>
        <w:spacing w:line="360" w:lineRule="auto"/>
        <w:ind w:firstLine="227"/>
        <w:jc w:val="both"/>
        <w:rPr>
          <w:rFonts w:ascii="Source Sans Pro" w:hAnsi="Source Sans Pro"/>
          <w:color w:val="000000"/>
          <w:lang w:val="en-GB"/>
        </w:rPr>
      </w:pPr>
      <w:r>
        <w:rPr>
          <w:rFonts w:ascii="Source Sans Pro" w:hAnsi="Source Sans Pro" w:hint="eastAsia"/>
          <w:color w:val="000000"/>
          <w:lang w:val="en-GB"/>
        </w:rPr>
        <w:t>Second</w:t>
      </w:r>
      <w:r>
        <w:rPr>
          <w:rFonts w:ascii="Source Sans Pro" w:hAnsi="Source Sans Pro"/>
          <w:color w:val="000000"/>
          <w:lang w:val="en-GB"/>
        </w:rPr>
        <w:t xml:space="preserve"> part </w:t>
      </w:r>
      <w:r w:rsidRPr="00945F33" w:rsidR="00B042F0">
        <w:rPr>
          <w:rFonts w:ascii="Source Sans Pro" w:hAnsi="Source Sans Pro"/>
          <w:color w:val="000000"/>
          <w:lang w:val="en-GB"/>
        </w:rPr>
        <w:t>critically assesses the relevant literature in the art</w:t>
      </w:r>
      <w:r w:rsidRPr="00945F33" w:rsidR="00B042F0">
        <w:rPr>
          <w:rFonts w:ascii="Source Sans Pro" w:hAnsi="Source Sans Pro"/>
          <w:color w:val="000000"/>
          <w:lang w:val="en-GB"/>
        </w:rPr>
        <w:t>icle, such as those on bilingualism and translanguaging. The literature review is assessed in terms of its comprehensibility, relevance to the topic and timeliness. While not the main focus of this critique, the second part also touches on the inflated def</w:t>
      </w:r>
      <w:r w:rsidRPr="00945F33" w:rsidR="00B042F0">
        <w:rPr>
          <w:rFonts w:ascii="Source Sans Pro" w:hAnsi="Source Sans Pro"/>
          <w:color w:val="000000"/>
          <w:lang w:val="en-GB"/>
        </w:rPr>
        <w:t>inition of the term translanguaging and its consequence.</w:t>
      </w:r>
    </w:p>
    <w:p w:rsidR="00E96FED" w:rsidRPr="00945F33" w:rsidP="002C2103" w14:paraId="1ECF78D1" w14:textId="65FB494D">
      <w:pPr>
        <w:spacing w:line="360" w:lineRule="auto"/>
        <w:ind w:firstLine="227"/>
        <w:jc w:val="both"/>
        <w:rPr>
          <w:rFonts w:ascii="Source Sans Pro" w:hAnsi="Source Sans Pro"/>
          <w:color w:val="000000"/>
          <w:lang w:val="en-GB"/>
        </w:rPr>
      </w:pPr>
      <w:r w:rsidRPr="00945F33">
        <w:rPr>
          <w:rFonts w:ascii="Source Sans Pro" w:hAnsi="Source Sans Pro"/>
          <w:color w:val="000000"/>
          <w:lang w:val="en-GB"/>
        </w:rPr>
        <w:t xml:space="preserve">The third part </w:t>
      </w:r>
      <w:r w:rsidRPr="00945F33" w:rsidR="004E1463">
        <w:rPr>
          <w:rFonts w:ascii="Source Sans Pro" w:hAnsi="Source Sans Pro"/>
          <w:color w:val="000000"/>
          <w:lang w:val="en-GB"/>
        </w:rPr>
        <w:t xml:space="preserve">is </w:t>
      </w:r>
      <w:r w:rsidRPr="00945F33">
        <w:rPr>
          <w:rFonts w:ascii="Source Sans Pro" w:hAnsi="Source Sans Pro"/>
          <w:color w:val="000000"/>
          <w:lang w:val="en-GB"/>
        </w:rPr>
        <w:t>the centre</w:t>
      </w:r>
      <w:r w:rsidRPr="00945F33" w:rsidR="004E1463">
        <w:rPr>
          <w:rFonts w:ascii="Source Sans Pro" w:hAnsi="Source Sans Pro"/>
          <w:color w:val="000000"/>
          <w:lang w:val="en-GB"/>
        </w:rPr>
        <w:t xml:space="preserve"> of the critique</w:t>
      </w:r>
      <w:r w:rsidRPr="00945F33">
        <w:rPr>
          <w:rFonts w:ascii="Source Sans Pro" w:hAnsi="Source Sans Pro"/>
          <w:color w:val="000000"/>
          <w:lang w:val="en-GB"/>
        </w:rPr>
        <w:t>. It starts by introducing the result of the empirical study. It then examines the relationship between empirical research and the conclusion the article d</w:t>
      </w:r>
      <w:r w:rsidRPr="00945F33">
        <w:rPr>
          <w:rFonts w:ascii="Source Sans Pro" w:hAnsi="Source Sans Pro"/>
          <w:color w:val="000000"/>
          <w:lang w:val="en-GB"/>
        </w:rPr>
        <w:t xml:space="preserve">raws. Such examination considers three parameters: clarity of the findings, the </w:t>
      </w:r>
      <w:r w:rsidRPr="00945F33" w:rsidR="004E1463">
        <w:rPr>
          <w:rFonts w:ascii="Source Sans Pro" w:hAnsi="Source Sans Pro"/>
          <w:color w:val="000000"/>
          <w:lang w:val="en-GB"/>
        </w:rPr>
        <w:t>extent to</w:t>
      </w:r>
      <w:r w:rsidRPr="00945F33">
        <w:rPr>
          <w:rFonts w:ascii="Source Sans Pro" w:hAnsi="Source Sans Pro"/>
          <w:color w:val="000000"/>
          <w:lang w:val="en-GB"/>
        </w:rPr>
        <w:t xml:space="preserve"> the desired outcome and the validity of </w:t>
      </w:r>
      <w:r w:rsidRPr="00945F33" w:rsidR="003549E1">
        <w:rPr>
          <w:rFonts w:ascii="Source Sans Pro" w:hAnsi="Source Sans Pro"/>
          <w:color w:val="000000"/>
          <w:lang w:val="en-GB"/>
        </w:rPr>
        <w:t>the claims.</w:t>
      </w:r>
    </w:p>
    <w:p w:rsidR="00CE572C" w:rsidRPr="00945F33" w:rsidP="002C2103" w14:paraId="72AA762F" w14:textId="10F46692">
      <w:pPr>
        <w:spacing w:line="360" w:lineRule="auto"/>
        <w:ind w:firstLine="227"/>
        <w:jc w:val="both"/>
        <w:rPr>
          <w:rFonts w:ascii="Source Sans Pro" w:hAnsi="Source Sans Pro"/>
          <w:color w:val="000000"/>
          <w:lang w:val="en-GB"/>
        </w:rPr>
      </w:pPr>
      <w:r w:rsidRPr="00945F33">
        <w:rPr>
          <w:rFonts w:ascii="Source Sans Pro" w:hAnsi="Source Sans Pro"/>
          <w:color w:val="000000"/>
          <w:lang w:val="en-GB"/>
        </w:rPr>
        <w:t xml:space="preserve">The </w:t>
      </w:r>
      <w:r w:rsidRPr="00945F33" w:rsidR="004E1463">
        <w:rPr>
          <w:rFonts w:ascii="Source Sans Pro" w:hAnsi="Source Sans Pro"/>
          <w:color w:val="000000"/>
          <w:lang w:val="en-GB"/>
        </w:rPr>
        <w:t>findings</w:t>
      </w:r>
      <w:r w:rsidRPr="00945F33">
        <w:rPr>
          <w:rFonts w:ascii="Source Sans Pro" w:hAnsi="Source Sans Pro"/>
          <w:color w:val="000000"/>
          <w:lang w:val="en-GB"/>
        </w:rPr>
        <w:t xml:space="preserve"> of the critique </w:t>
      </w:r>
      <w:r w:rsidRPr="00945F33" w:rsidR="004E1463">
        <w:rPr>
          <w:rFonts w:ascii="Source Sans Pro" w:hAnsi="Source Sans Pro"/>
          <w:color w:val="000000"/>
          <w:lang w:val="en-GB"/>
        </w:rPr>
        <w:t>are</w:t>
      </w:r>
      <w:r w:rsidRPr="00945F33">
        <w:rPr>
          <w:rFonts w:ascii="Source Sans Pro" w:hAnsi="Source Sans Pro"/>
          <w:color w:val="000000"/>
          <w:lang w:val="en-GB"/>
        </w:rPr>
        <w:t xml:space="preserve"> two-fold. On the one hand, the article has made a significant </w:t>
      </w:r>
      <w:r w:rsidRPr="00945F33" w:rsidR="004E1463">
        <w:rPr>
          <w:rFonts w:ascii="Source Sans Pro" w:hAnsi="Source Sans Pro"/>
          <w:color w:val="000000"/>
          <w:lang w:val="en-GB"/>
        </w:rPr>
        <w:t>intellectual contribution and has pedagogical implications</w:t>
      </w:r>
      <w:r w:rsidRPr="00945F33">
        <w:rPr>
          <w:rFonts w:ascii="Source Sans Pro" w:hAnsi="Source Sans Pro"/>
          <w:color w:val="000000"/>
          <w:lang w:val="en-GB"/>
        </w:rPr>
        <w:t>, either in practical or theoretical terms. Many of its findings are already adopted as theoretical forefronts in the field of translan</w:t>
      </w:r>
      <w:r w:rsidRPr="00945F33">
        <w:rPr>
          <w:rFonts w:ascii="Source Sans Pro" w:hAnsi="Source Sans Pro"/>
          <w:color w:val="000000"/>
          <w:lang w:val="en-GB"/>
        </w:rPr>
        <w:t>guaging. On the other hand, its insufficient size of sample, homogeneous methodology and lack of supportive evidence have undermined its credibility,</w:t>
      </w:r>
      <w:r w:rsidRPr="00945F33" w:rsidR="002375CF">
        <w:rPr>
          <w:rFonts w:ascii="Source Sans Pro" w:hAnsi="Source Sans Pro"/>
          <w:color w:val="000000"/>
          <w:lang w:val="en-GB"/>
        </w:rPr>
        <w:t xml:space="preserve"> especially when it comes to the second half of its finding, the purpose of experienced English to translanguage.</w:t>
      </w:r>
    </w:p>
    <w:p w:rsidR="00A17A77" w:rsidRPr="00945F33" w:rsidP="002C2103" w14:paraId="5C0475C3" w14:textId="77777777">
      <w:pPr>
        <w:spacing w:line="360" w:lineRule="auto"/>
        <w:ind w:firstLine="227"/>
        <w:rPr>
          <w:rFonts w:ascii="Source Sans Pro" w:hAnsi="Source Sans Pro" w:cs="Arial"/>
          <w:color w:val="C00000"/>
          <w:lang w:val="en-GB"/>
        </w:rPr>
      </w:pPr>
    </w:p>
    <w:p w:rsidR="00037E17" w:rsidP="002C2103" w14:paraId="48BB3159" w14:textId="7CF16CC0">
      <w:pPr>
        <w:spacing w:line="360" w:lineRule="auto"/>
        <w:ind w:firstLine="227"/>
        <w:rPr>
          <w:rFonts w:ascii="Source Sans Pro" w:hAnsi="Source Sans Pro" w:cs="Arial"/>
          <w:b/>
          <w:bCs/>
          <w:lang w:val="en-GB"/>
        </w:rPr>
      </w:pPr>
      <w:r w:rsidRPr="00945F33">
        <w:rPr>
          <w:rFonts w:ascii="Source Sans Pro" w:hAnsi="Source Sans Pro" w:cs="Arial"/>
          <w:b/>
          <w:bCs/>
          <w:lang w:val="en-GB"/>
        </w:rPr>
        <w:t xml:space="preserve">Critique </w:t>
      </w:r>
      <w:r w:rsidRPr="00945F33" w:rsidR="003B64C3">
        <w:rPr>
          <w:rFonts w:ascii="Source Sans Pro" w:hAnsi="Source Sans Pro" w:cs="Arial"/>
          <w:b/>
          <w:bCs/>
          <w:lang w:val="en-GB"/>
        </w:rPr>
        <w:t xml:space="preserve">of </w:t>
      </w:r>
      <w:r w:rsidR="006807AE">
        <w:rPr>
          <w:rFonts w:ascii="Source Sans Pro" w:hAnsi="Source Sans Pro" w:cs="Arial"/>
          <w:b/>
          <w:bCs/>
          <w:lang w:val="en-GB"/>
        </w:rPr>
        <w:t xml:space="preserve">source, </w:t>
      </w:r>
      <w:r w:rsidRPr="00945F33" w:rsidR="003B64C3">
        <w:rPr>
          <w:rFonts w:ascii="Source Sans Pro" w:hAnsi="Source Sans Pro" w:cs="Arial"/>
          <w:b/>
          <w:bCs/>
          <w:lang w:val="en-GB"/>
        </w:rPr>
        <w:t xml:space="preserve">research </w:t>
      </w:r>
      <w:r w:rsidR="006807AE">
        <w:rPr>
          <w:rFonts w:ascii="Source Sans Pro" w:hAnsi="Source Sans Pro" w:cs="Arial"/>
          <w:b/>
          <w:bCs/>
          <w:lang w:val="en-GB"/>
        </w:rPr>
        <w:t xml:space="preserve">questions, </w:t>
      </w:r>
      <w:r w:rsidRPr="00945F33" w:rsidR="006807AE">
        <w:rPr>
          <w:rFonts w:ascii="Source Sans Pro" w:hAnsi="Source Sans Pro" w:cs="Arial"/>
          <w:b/>
          <w:bCs/>
          <w:lang w:val="en-GB"/>
        </w:rPr>
        <w:t>design,</w:t>
      </w:r>
      <w:r w:rsidR="006807AE">
        <w:rPr>
          <w:rFonts w:ascii="Source Sans Pro" w:hAnsi="Source Sans Pro" w:cs="Arial"/>
          <w:b/>
          <w:bCs/>
          <w:lang w:val="en-GB"/>
        </w:rPr>
        <w:t xml:space="preserve"> and implementation</w:t>
      </w:r>
    </w:p>
    <w:p w:rsidR="006807AE" w:rsidRPr="00945F33" w:rsidP="002C2103" w14:paraId="43C59FFE" w14:textId="177A9637">
      <w:pPr>
        <w:spacing w:line="360" w:lineRule="auto"/>
        <w:ind w:firstLine="227"/>
        <w:rPr>
          <w:rFonts w:ascii="Source Sans Pro" w:hAnsi="Source Sans Pro" w:cs="Arial"/>
          <w:b/>
          <w:bCs/>
          <w:lang w:val="en-GB"/>
        </w:rPr>
      </w:pPr>
      <w:r>
        <w:rPr>
          <w:rFonts w:ascii="Source Sans Pro" w:hAnsi="Source Sans Pro" w:cs="Arial"/>
          <w:b/>
          <w:bCs/>
          <w:lang w:val="en-GB"/>
        </w:rPr>
        <w:t>s</w:t>
      </w:r>
      <w:r w:rsidR="00B042F0">
        <w:rPr>
          <w:rFonts w:ascii="Source Sans Pro" w:hAnsi="Source Sans Pro" w:cs="Arial"/>
          <w:b/>
          <w:bCs/>
          <w:lang w:val="en-GB"/>
        </w:rPr>
        <w:t>ource</w:t>
      </w:r>
    </w:p>
    <w:p w:rsidR="00CF137D" w:rsidRPr="00945F33" w:rsidP="002C2103" w14:paraId="3A5AC353" w14:textId="288175B8">
      <w:pPr>
        <w:spacing w:line="360" w:lineRule="auto"/>
        <w:ind w:firstLine="227"/>
        <w:rPr>
          <w:rFonts w:ascii="Source Sans Pro" w:hAnsi="Source Sans Pro" w:cs="Arial"/>
          <w:lang w:val="en-GB"/>
        </w:rPr>
      </w:pPr>
      <w:r w:rsidRPr="00945F33">
        <w:rPr>
          <w:rFonts w:ascii="Source Sans Pro" w:hAnsi="Source Sans Pro" w:cs="Arial"/>
          <w:lang w:val="en-GB"/>
        </w:rPr>
        <w:t xml:space="preserve">This </w:t>
      </w:r>
      <w:r w:rsidRPr="00945F33" w:rsidR="00FF1ED9">
        <w:rPr>
          <w:rFonts w:ascii="Source Sans Pro" w:hAnsi="Source Sans Pro" w:cs="Arial"/>
          <w:lang w:val="en-GB"/>
        </w:rPr>
        <w:t>empirical</w:t>
      </w:r>
      <w:r w:rsidRPr="00945F33">
        <w:rPr>
          <w:rFonts w:ascii="Source Sans Pro" w:hAnsi="Source Sans Pro" w:cs="Arial"/>
          <w:lang w:val="en-GB"/>
        </w:rPr>
        <w:t xml:space="preserve"> study is reliably sourced as part of paper collection, </w:t>
      </w:r>
      <w:r w:rsidRPr="00945F33">
        <w:rPr>
          <w:rFonts w:ascii="Source Sans Pro" w:hAnsi="Source Sans Pro" w:cs="Arial"/>
          <w:i/>
          <w:iCs/>
          <w:lang w:val="en-GB"/>
        </w:rPr>
        <w:t>The Multilingual Turn in Languages Education: Opportunities and Challenges.</w:t>
      </w:r>
      <w:r w:rsidRPr="00945F33">
        <w:rPr>
          <w:rFonts w:ascii="Source Sans Pro" w:hAnsi="Source Sans Pro" w:cs="Arial"/>
          <w:lang w:val="en-GB"/>
        </w:rPr>
        <w:t xml:space="preserve"> This is a book </w:t>
      </w:r>
      <w:r w:rsidRPr="00945F33" w:rsidR="007025FA">
        <w:rPr>
          <w:rFonts w:ascii="Source Sans Pro" w:hAnsi="Source Sans Pro" w:cs="Arial"/>
          <w:lang w:val="en-GB"/>
        </w:rPr>
        <w:t xml:space="preserve">concerning </w:t>
      </w:r>
      <w:r w:rsidRPr="00945F33">
        <w:rPr>
          <w:rFonts w:ascii="Source Sans Pro" w:hAnsi="Source Sans Pro" w:cs="Arial"/>
          <w:lang w:val="en-GB"/>
        </w:rPr>
        <w:t xml:space="preserve">the general multilingual trend in education. </w:t>
      </w:r>
    </w:p>
    <w:p w:rsidR="0013429D" w:rsidRPr="00945F33" w:rsidP="002C2103" w14:paraId="42BCBFA1" w14:textId="6B048B10">
      <w:pPr>
        <w:spacing w:line="360" w:lineRule="auto"/>
        <w:ind w:firstLine="227"/>
        <w:rPr>
          <w:rFonts w:ascii="Source Sans Pro" w:hAnsi="Source Sans Pro" w:cs="Arial"/>
          <w:lang w:val="en-GB"/>
        </w:rPr>
      </w:pPr>
      <w:r w:rsidRPr="00945F33">
        <w:rPr>
          <w:rFonts w:ascii="Source Sans Pro" w:hAnsi="Source Sans Pro" w:cs="Arial"/>
          <w:lang w:val="en-GB"/>
        </w:rPr>
        <w:t>Concerning the findings, t</w:t>
      </w:r>
      <w:r w:rsidRPr="00945F33" w:rsidR="00FE2690">
        <w:rPr>
          <w:rFonts w:ascii="Source Sans Pro" w:hAnsi="Source Sans Pro" w:cs="Arial"/>
          <w:lang w:val="en-GB"/>
        </w:rPr>
        <w:t xml:space="preserve">he article </w:t>
      </w:r>
      <w:r w:rsidRPr="00945F33">
        <w:rPr>
          <w:rFonts w:ascii="Source Sans Pro" w:hAnsi="Source Sans Pro" w:cs="Arial"/>
          <w:lang w:val="en-GB"/>
        </w:rPr>
        <w:t>reveals</w:t>
      </w:r>
      <w:r w:rsidRPr="00945F33" w:rsidR="004E1463">
        <w:rPr>
          <w:rFonts w:ascii="Source Sans Pro" w:hAnsi="Source Sans Pro" w:cs="Arial"/>
          <w:lang w:val="en-GB"/>
        </w:rPr>
        <w:t xml:space="preserve"> the </w:t>
      </w:r>
      <w:r w:rsidRPr="00945F33" w:rsidR="008D0746">
        <w:rPr>
          <w:rFonts w:ascii="Source Sans Pro" w:hAnsi="Source Sans Pro" w:cs="Arial"/>
          <w:lang w:val="en-GB"/>
        </w:rPr>
        <w:t>relationship</w:t>
      </w:r>
      <w:r w:rsidRPr="00945F33" w:rsidR="004E1463">
        <w:rPr>
          <w:rFonts w:ascii="Source Sans Pro" w:hAnsi="Source Sans Pro" w:cs="Arial"/>
          <w:lang w:val="en-GB"/>
        </w:rPr>
        <w:t xml:space="preserve"> between students’ language proficiency and their purpose of translanguaging</w:t>
      </w:r>
      <w:r w:rsidRPr="00945F33" w:rsidR="00FE2690">
        <w:rPr>
          <w:rFonts w:ascii="Source Sans Pro" w:hAnsi="Source Sans Pro" w:cs="Arial"/>
          <w:lang w:val="en-GB"/>
        </w:rPr>
        <w:t xml:space="preserve">, especially when it comes to the development of written English. The article claims that students will have an improvement in their English writing if it takes into account their entire bilingual linguistic inventory in preparation. </w:t>
      </w:r>
      <w:r w:rsidRPr="00945F33">
        <w:rPr>
          <w:rFonts w:ascii="Source Sans Pro" w:hAnsi="Source Sans Pro" w:cs="Arial"/>
          <w:lang w:val="en-GB"/>
        </w:rPr>
        <w:t>The article also claims translanguaging as a pedagogy bestows the bi</w:t>
      </w:r>
      <w:r w:rsidRPr="00945F33">
        <w:rPr>
          <w:rFonts w:ascii="Source Sans Pro" w:hAnsi="Source Sans Pro" w:cs="Arial"/>
          <w:lang w:val="en-GB"/>
        </w:rPr>
        <w:t>lingual participants with the expertise to personalise their learning strategies, hence better biliteracy practices. The most important finding is that translanguaging does help bilingual produce better texts in English.</w:t>
      </w:r>
    </w:p>
    <w:p w:rsidR="00AC0F84" w:rsidRPr="00945F33" w:rsidP="002C2103" w14:paraId="2AD1B05D" w14:textId="57719F66">
      <w:pPr>
        <w:spacing w:line="360" w:lineRule="auto"/>
        <w:ind w:firstLine="227"/>
        <w:rPr>
          <w:rFonts w:ascii="Source Sans Pro" w:hAnsi="Source Sans Pro" w:cs="Arial"/>
          <w:lang w:val="en-GB"/>
        </w:rPr>
      </w:pPr>
      <w:r w:rsidRPr="00945F33">
        <w:rPr>
          <w:rFonts w:ascii="Source Sans Pro" w:hAnsi="Source Sans Pro" w:cs="Arial"/>
          <w:lang w:val="en-GB"/>
        </w:rPr>
        <w:t xml:space="preserve">Other </w:t>
      </w:r>
      <w:r w:rsidRPr="00945F33" w:rsidR="00037E17">
        <w:rPr>
          <w:rFonts w:ascii="Source Sans Pro" w:hAnsi="Source Sans Pro" w:cs="Arial"/>
          <w:lang w:val="en-GB"/>
        </w:rPr>
        <w:t>factors are well</w:t>
      </w:r>
      <w:r w:rsidRPr="00945F33" w:rsidR="008D0746">
        <w:rPr>
          <w:rFonts w:ascii="Source Sans Pro" w:hAnsi="Source Sans Pro" w:cs="Arial"/>
          <w:lang w:val="en-GB"/>
        </w:rPr>
        <w:t>-sourced</w:t>
      </w:r>
      <w:r w:rsidRPr="00945F33" w:rsidR="00037E17">
        <w:rPr>
          <w:rFonts w:ascii="Source Sans Pro" w:hAnsi="Source Sans Pro" w:cs="Arial"/>
          <w:lang w:val="en-GB"/>
        </w:rPr>
        <w:t xml:space="preserve"> as well. The participants are all bilingual students compatible with the research; the size of the sample is </w:t>
      </w:r>
      <w:r w:rsidRPr="00945F33" w:rsidR="00FF1ED9">
        <w:rPr>
          <w:rFonts w:ascii="Source Sans Pro" w:hAnsi="Source Sans Pro" w:cs="Arial"/>
          <w:lang w:val="en-GB"/>
        </w:rPr>
        <w:t>10, a</w:t>
      </w:r>
      <w:r w:rsidRPr="00945F33" w:rsidR="00037E17">
        <w:rPr>
          <w:rFonts w:ascii="Source Sans Pro" w:hAnsi="Source Sans Pro" w:cs="Arial"/>
          <w:lang w:val="en-GB"/>
        </w:rPr>
        <w:t xml:space="preserve"> fair number by standards of qualitative research; the research is conducted </w:t>
      </w:r>
      <w:r w:rsidRPr="00945F33" w:rsidR="0013429D">
        <w:rPr>
          <w:rFonts w:ascii="Source Sans Pro" w:hAnsi="Source Sans Pro" w:cs="Arial"/>
          <w:lang w:val="en-GB"/>
        </w:rPr>
        <w:t>through</w:t>
      </w:r>
      <w:r w:rsidRPr="00945F33" w:rsidR="00037E17">
        <w:rPr>
          <w:rFonts w:ascii="Source Sans Pro" w:hAnsi="Source Sans Pro" w:cs="Arial"/>
          <w:lang w:val="en-GB"/>
        </w:rPr>
        <w:t xml:space="preserve"> </w:t>
      </w:r>
      <w:r w:rsidRPr="00945F33" w:rsidR="0013429D">
        <w:rPr>
          <w:rFonts w:ascii="Source Sans Pro" w:hAnsi="Source Sans Pro" w:cs="Arial"/>
          <w:lang w:val="en-GB"/>
        </w:rPr>
        <w:t xml:space="preserve">observations first and </w:t>
      </w:r>
      <w:r w:rsidRPr="00945F33" w:rsidR="00037E17">
        <w:rPr>
          <w:rFonts w:ascii="Source Sans Pro" w:hAnsi="Source Sans Pro" w:cs="Arial"/>
          <w:lang w:val="en-GB"/>
        </w:rPr>
        <w:t>interviews</w:t>
      </w:r>
      <w:r w:rsidRPr="00945F33" w:rsidR="0013429D">
        <w:rPr>
          <w:rFonts w:ascii="Source Sans Pro" w:hAnsi="Source Sans Pro" w:cs="Arial"/>
          <w:lang w:val="en-GB"/>
        </w:rPr>
        <w:t xml:space="preserve"> afterwards</w:t>
      </w:r>
      <w:r w:rsidRPr="00945F33" w:rsidR="00037E17">
        <w:rPr>
          <w:rFonts w:ascii="Source Sans Pro" w:hAnsi="Source Sans Pro" w:cs="Arial"/>
          <w:lang w:val="en-GB"/>
        </w:rPr>
        <w:t>, typical of qualitative research.</w:t>
      </w:r>
    </w:p>
    <w:p w:rsidR="006807AE" w:rsidRPr="006807AE" w:rsidP="002C2103" w14:paraId="33A1720E" w14:textId="353F4D14">
      <w:pPr>
        <w:spacing w:line="360" w:lineRule="auto"/>
        <w:ind w:firstLine="227"/>
        <w:rPr>
          <w:rFonts w:ascii="Source Sans Pro" w:hAnsi="Source Sans Pro"/>
          <w:b/>
          <w:bCs/>
          <w:color w:val="231F20"/>
          <w:lang w:val="en-GB"/>
        </w:rPr>
      </w:pPr>
      <w:r w:rsidRPr="006807AE">
        <w:rPr>
          <w:rFonts w:ascii="Source Sans Pro" w:hAnsi="Source Sans Pro"/>
          <w:b/>
          <w:bCs/>
          <w:color w:val="231F20"/>
          <w:lang w:val="en-GB"/>
        </w:rPr>
        <w:t>Research questions</w:t>
      </w:r>
    </w:p>
    <w:p w:rsidR="00CF137D" w:rsidRPr="00945F33" w:rsidP="002C2103" w14:paraId="3933B3B1" w14:textId="4306900D">
      <w:pPr>
        <w:spacing w:line="360" w:lineRule="auto"/>
        <w:ind w:firstLine="227"/>
        <w:rPr>
          <w:rFonts w:ascii="Source Sans Pro" w:hAnsi="Source Sans Pro"/>
          <w:color w:val="231F20"/>
          <w:lang w:val="en-GB"/>
        </w:rPr>
      </w:pPr>
      <w:r w:rsidRPr="00945F33">
        <w:rPr>
          <w:rFonts w:ascii="Source Sans Pro" w:hAnsi="Source Sans Pro"/>
          <w:color w:val="231F20"/>
          <w:lang w:val="en-GB"/>
        </w:rPr>
        <w:t xml:space="preserve">When it comes to research </w:t>
      </w:r>
      <w:r w:rsidR="006807AE">
        <w:rPr>
          <w:rFonts w:ascii="Source Sans Pro" w:hAnsi="Source Sans Pro"/>
          <w:color w:val="231F20"/>
          <w:lang w:val="en-GB"/>
        </w:rPr>
        <w:t>questions</w:t>
      </w:r>
      <w:r w:rsidRPr="00945F33">
        <w:rPr>
          <w:rFonts w:ascii="Source Sans Pro" w:hAnsi="Source Sans Pro"/>
          <w:color w:val="231F20"/>
          <w:lang w:val="en-GB"/>
        </w:rPr>
        <w:t>, the article states that it</w:t>
      </w:r>
      <w:r w:rsidRPr="00945F33" w:rsidR="00305F28">
        <w:rPr>
          <w:rFonts w:ascii="Source Sans Pro" w:hAnsi="Source Sans Pro"/>
          <w:color w:val="231F20"/>
          <w:lang w:val="en-GB"/>
        </w:rPr>
        <w:t xml:space="preserve"> intends to have a better understanding of students' "perceptions of translanguaging as pedagogy and as a learning </w:t>
      </w:r>
      <w:r w:rsidRPr="00945F33" w:rsidR="00FF1ED9">
        <w:rPr>
          <w:rFonts w:ascii="Source Sans Pro" w:hAnsi="Source Sans Pro"/>
          <w:color w:val="231F20"/>
          <w:lang w:val="en-GB"/>
        </w:rPr>
        <w:t>strategy” (</w:t>
      </w:r>
      <w:r w:rsidRPr="00945F33" w:rsidR="0073231C">
        <w:rPr>
          <w:rFonts w:ascii="Source Sans Pro" w:hAnsi="Source Sans Pro"/>
          <w:color w:val="231F20"/>
          <w:lang w:val="en-GB"/>
        </w:rPr>
        <w:t>p.265</w:t>
      </w:r>
      <w:r w:rsidRPr="00945F33" w:rsidR="00305F28">
        <w:rPr>
          <w:rFonts w:ascii="Source Sans Pro" w:hAnsi="Source Sans Pro"/>
          <w:color w:val="231F20"/>
          <w:lang w:val="en-GB"/>
        </w:rPr>
        <w:t xml:space="preserve">). </w:t>
      </w:r>
      <w:r w:rsidRPr="00945F33" w:rsidR="00D153A0">
        <w:rPr>
          <w:rFonts w:ascii="Source Sans Pro" w:hAnsi="Source Sans Pro"/>
          <w:color w:val="231F20"/>
          <w:lang w:val="en-GB"/>
        </w:rPr>
        <w:t>It is reasonable to assume that</w:t>
      </w:r>
      <w:r w:rsidRPr="00945F33" w:rsidR="00F03049">
        <w:rPr>
          <w:rFonts w:ascii="Source Sans Pro" w:hAnsi="Source Sans Pro"/>
          <w:color w:val="231F20"/>
          <w:lang w:val="en-GB"/>
        </w:rPr>
        <w:t xml:space="preserve"> if</w:t>
      </w:r>
      <w:r w:rsidRPr="00945F33" w:rsidR="00D153A0">
        <w:rPr>
          <w:rFonts w:ascii="Source Sans Pro" w:hAnsi="Source Sans Pro"/>
          <w:color w:val="231F20"/>
          <w:lang w:val="en-GB"/>
        </w:rPr>
        <w:t xml:space="preserve"> students have reservations about bilingualism, they tend to refrain from the practices.</w:t>
      </w:r>
      <w:r w:rsidRPr="00945F33" w:rsidR="00662A62">
        <w:rPr>
          <w:rFonts w:ascii="Source Sans Pro" w:hAnsi="Source Sans Pro"/>
          <w:color w:val="231F20"/>
          <w:lang w:val="en-GB"/>
        </w:rPr>
        <w:t xml:space="preserve"> </w:t>
      </w:r>
    </w:p>
    <w:p w:rsidR="004051AA" w:rsidRPr="00945F33" w:rsidP="002C2103" w14:paraId="70F91742" w14:textId="3CFCEB5D">
      <w:pPr>
        <w:spacing w:line="360" w:lineRule="auto"/>
        <w:ind w:firstLine="227"/>
        <w:rPr>
          <w:rFonts w:ascii="Source Sans Pro" w:hAnsi="Source Sans Pro"/>
          <w:color w:val="231F20"/>
          <w:lang w:val="en-GB"/>
        </w:rPr>
      </w:pPr>
      <w:r w:rsidRPr="00945F33">
        <w:rPr>
          <w:rFonts w:ascii="Source Sans Pro" w:hAnsi="Source Sans Pro"/>
          <w:color w:val="231F20"/>
          <w:lang w:val="en-GB"/>
        </w:rPr>
        <w:t xml:space="preserve">However, this assumption does not suffice to be </w:t>
      </w:r>
      <w:r w:rsidRPr="00945F33" w:rsidR="00CF137D">
        <w:rPr>
          <w:rFonts w:ascii="Source Sans Pro" w:hAnsi="Source Sans Pro"/>
          <w:color w:val="231F20"/>
          <w:lang w:val="en-GB"/>
        </w:rPr>
        <w:t>causally connected with</w:t>
      </w:r>
      <w:r w:rsidRPr="00945F33">
        <w:rPr>
          <w:rFonts w:ascii="Source Sans Pro" w:hAnsi="Source Sans Pro"/>
          <w:color w:val="231F20"/>
          <w:lang w:val="en-GB"/>
        </w:rPr>
        <w:t xml:space="preserve"> the</w:t>
      </w:r>
      <w:r w:rsidRPr="00945F33" w:rsidR="00305F28">
        <w:rPr>
          <w:rFonts w:ascii="Source Sans Pro" w:hAnsi="Source Sans Pro"/>
          <w:color w:val="231F20"/>
          <w:lang w:val="en-GB"/>
        </w:rPr>
        <w:t xml:space="preserve"> research outcome it desires. </w:t>
      </w:r>
      <w:r w:rsidRPr="00945F33" w:rsidR="000C0901">
        <w:rPr>
          <w:rFonts w:ascii="Source Sans Pro" w:hAnsi="Source Sans Pro"/>
          <w:color w:val="231F20"/>
          <w:lang w:val="en-GB"/>
        </w:rPr>
        <w:t>While</w:t>
      </w:r>
      <w:r w:rsidRPr="00945F33" w:rsidR="00305F28">
        <w:rPr>
          <w:rFonts w:ascii="Source Sans Pro" w:hAnsi="Source Sans Pro"/>
          <w:color w:val="231F20"/>
          <w:lang w:val="en-GB"/>
        </w:rPr>
        <w:t xml:space="preserve"> students’ perception </w:t>
      </w:r>
      <w:r w:rsidRPr="00945F33" w:rsidR="000C0901">
        <w:rPr>
          <w:rFonts w:ascii="Source Sans Pro" w:hAnsi="Source Sans Pro"/>
          <w:color w:val="231F20"/>
          <w:lang w:val="en-GB"/>
        </w:rPr>
        <w:t xml:space="preserve">has to do with their personal opinions towards the hybrid use of language, the research aims to find out how much fluidity of language use helps improve students written English proficiency. </w:t>
      </w:r>
      <w:r w:rsidRPr="00945F33">
        <w:rPr>
          <w:rFonts w:ascii="Source Sans Pro" w:hAnsi="Source Sans Pro"/>
          <w:color w:val="231F20"/>
          <w:lang w:val="en-GB"/>
        </w:rPr>
        <w:t xml:space="preserve">Such discrepancy may boil down to a simple </w:t>
      </w:r>
      <w:r w:rsidRPr="00945F33">
        <w:rPr>
          <w:rFonts w:ascii="Source Sans Pro" w:hAnsi="Source Sans Pro"/>
          <w:color w:val="231F20"/>
          <w:lang w:val="en-GB"/>
        </w:rPr>
        <w:t>statement: o</w:t>
      </w:r>
      <w:r w:rsidRPr="00945F33" w:rsidR="000C0901">
        <w:rPr>
          <w:rFonts w:ascii="Source Sans Pro" w:hAnsi="Source Sans Pro"/>
          <w:color w:val="231F20"/>
          <w:lang w:val="en-GB"/>
        </w:rPr>
        <w:t xml:space="preserve">ne does not need to find translanguaging agreeable to realise it is useful. </w:t>
      </w:r>
    </w:p>
    <w:p w:rsidR="00CF137D" w:rsidRPr="00945F33" w:rsidP="002C2103" w14:paraId="48A78CF9" w14:textId="77777777">
      <w:pPr>
        <w:spacing w:line="360" w:lineRule="auto"/>
        <w:ind w:firstLine="227"/>
        <w:rPr>
          <w:rFonts w:ascii="Source Sans Pro" w:hAnsi="Source Sans Pro"/>
          <w:color w:val="231F20"/>
          <w:lang w:val="en-GB"/>
        </w:rPr>
      </w:pPr>
      <w:r w:rsidRPr="00945F33">
        <w:rPr>
          <w:rFonts w:ascii="Source Sans Pro" w:hAnsi="Source Sans Pro"/>
          <w:color w:val="231F20"/>
          <w:lang w:val="en-GB"/>
        </w:rPr>
        <w:t xml:space="preserve">To further substantiate the </w:t>
      </w:r>
      <w:r w:rsidRPr="00945F33" w:rsidR="008D0746">
        <w:rPr>
          <w:rFonts w:ascii="Source Sans Pro" w:hAnsi="Source Sans Pro"/>
          <w:color w:val="231F20"/>
          <w:lang w:val="en-GB"/>
        </w:rPr>
        <w:t>validity</w:t>
      </w:r>
      <w:r w:rsidRPr="00945F33">
        <w:rPr>
          <w:rFonts w:ascii="Source Sans Pro" w:hAnsi="Source Sans Pro"/>
          <w:color w:val="231F20"/>
          <w:lang w:val="en-GB"/>
        </w:rPr>
        <w:t xml:space="preserve"> of research, the article also </w:t>
      </w:r>
      <w:r w:rsidRPr="00945F33" w:rsidR="008D0746">
        <w:rPr>
          <w:rFonts w:ascii="Source Sans Pro" w:hAnsi="Source Sans Pro"/>
          <w:color w:val="231F20"/>
          <w:lang w:val="en-GB"/>
        </w:rPr>
        <w:t>clarifies</w:t>
      </w:r>
      <w:r w:rsidRPr="00945F33">
        <w:rPr>
          <w:rFonts w:ascii="Source Sans Pro" w:hAnsi="Source Sans Pro"/>
          <w:color w:val="231F20"/>
          <w:lang w:val="en-GB"/>
        </w:rPr>
        <w:t xml:space="preserve"> by what standards they might claim translanguaging as a pedagogy helpful. </w:t>
      </w:r>
      <w:r w:rsidRPr="00945F33" w:rsidR="00033FAA">
        <w:rPr>
          <w:rFonts w:ascii="Source Sans Pro" w:hAnsi="Source Sans Pro"/>
          <w:color w:val="231F20"/>
          <w:lang w:val="en-GB"/>
        </w:rPr>
        <w:t xml:space="preserve">It </w:t>
      </w:r>
      <w:r w:rsidRPr="00945F33" w:rsidR="001E25A8">
        <w:rPr>
          <w:rFonts w:ascii="Source Sans Pro" w:hAnsi="Source Sans Pro"/>
          <w:color w:val="231F20"/>
          <w:lang w:val="en-GB"/>
        </w:rPr>
        <w:t xml:space="preserve">puts forward the standard of valuable academic written </w:t>
      </w:r>
      <w:r w:rsidRPr="00945F33" w:rsidR="008D0746">
        <w:rPr>
          <w:rFonts w:ascii="Source Sans Pro" w:hAnsi="Source Sans Pro"/>
          <w:color w:val="231F20"/>
          <w:lang w:val="en-GB"/>
        </w:rPr>
        <w:t>English</w:t>
      </w:r>
      <w:r w:rsidRPr="00945F33" w:rsidR="001E25A8">
        <w:rPr>
          <w:rFonts w:ascii="Source Sans Pro" w:hAnsi="Source Sans Pro"/>
          <w:color w:val="231F20"/>
          <w:lang w:val="en-GB"/>
        </w:rPr>
        <w:t>, such as critical thinking, organisatio</w:t>
      </w:r>
      <w:r w:rsidRPr="00945F33" w:rsidR="00662A62">
        <w:rPr>
          <w:rFonts w:ascii="Source Sans Pro" w:hAnsi="Source Sans Pro"/>
          <w:color w:val="231F20"/>
          <w:lang w:val="en-GB"/>
        </w:rPr>
        <w:t>n</w:t>
      </w:r>
      <w:r w:rsidRPr="00945F33" w:rsidR="001E25A8">
        <w:rPr>
          <w:rFonts w:ascii="Source Sans Pro" w:hAnsi="Source Sans Pro"/>
          <w:color w:val="231F20"/>
          <w:lang w:val="en-GB"/>
        </w:rPr>
        <w:t xml:space="preserve">, correct use of grammar, etc. </w:t>
      </w:r>
    </w:p>
    <w:p w:rsidR="003B64C3" w:rsidRPr="003B64C3" w:rsidP="002C2103" w14:paraId="4E8A4A93" w14:textId="76B66FD1">
      <w:pPr>
        <w:spacing w:line="360" w:lineRule="auto"/>
        <w:ind w:firstLine="227"/>
        <w:rPr>
          <w:rFonts w:ascii="Source Sans Pro" w:hAnsi="Source Sans Pro"/>
          <w:color w:val="231F20"/>
          <w:lang w:val="en-GB"/>
        </w:rPr>
      </w:pPr>
      <w:r w:rsidRPr="00945F33">
        <w:rPr>
          <w:rFonts w:ascii="Source Sans Pro" w:hAnsi="Source Sans Pro"/>
          <w:color w:val="231F20"/>
          <w:lang w:val="en-GB"/>
        </w:rPr>
        <w:t xml:space="preserve">This part, again, is where the </w:t>
      </w:r>
      <w:r w:rsidRPr="00945F33" w:rsidR="008D0746">
        <w:rPr>
          <w:rFonts w:ascii="Source Sans Pro" w:hAnsi="Source Sans Pro"/>
          <w:color w:val="231F20"/>
          <w:lang w:val="en-GB"/>
        </w:rPr>
        <w:t>discrepancy</w:t>
      </w:r>
      <w:r w:rsidRPr="00945F33">
        <w:rPr>
          <w:rFonts w:ascii="Source Sans Pro" w:hAnsi="Source Sans Pro"/>
          <w:color w:val="231F20"/>
          <w:lang w:val="en-GB"/>
        </w:rPr>
        <w:t xml:space="preserve"> arises. The research is heavily invested in interviews with students on topics about whether and how they translanguage during </w:t>
      </w:r>
      <w:r w:rsidRPr="00945F33" w:rsidR="008D0746">
        <w:rPr>
          <w:rFonts w:ascii="Source Sans Pro" w:hAnsi="Source Sans Pro"/>
          <w:color w:val="231F20"/>
          <w:lang w:val="en-GB"/>
        </w:rPr>
        <w:t>English</w:t>
      </w:r>
      <w:r w:rsidRPr="00945F33">
        <w:rPr>
          <w:rFonts w:ascii="Source Sans Pro" w:hAnsi="Source Sans Pro"/>
          <w:color w:val="231F20"/>
          <w:lang w:val="en-GB"/>
        </w:rPr>
        <w:t xml:space="preserve"> writing process. It does not involve </w:t>
      </w:r>
      <w:r w:rsidRPr="00945F33" w:rsidR="00662A62">
        <w:rPr>
          <w:rFonts w:ascii="Source Sans Pro" w:hAnsi="Source Sans Pro"/>
          <w:color w:val="231F20"/>
          <w:lang w:val="en-GB"/>
        </w:rPr>
        <w:t xml:space="preserve">evaluation of </w:t>
      </w:r>
      <w:r w:rsidRPr="00945F33">
        <w:rPr>
          <w:rFonts w:ascii="Source Sans Pro" w:hAnsi="Source Sans Pro"/>
          <w:color w:val="231F20"/>
          <w:lang w:val="en-GB"/>
        </w:rPr>
        <w:t xml:space="preserve">good written </w:t>
      </w:r>
      <w:r w:rsidRPr="00945F33" w:rsidR="008D0746">
        <w:rPr>
          <w:rFonts w:ascii="Source Sans Pro" w:hAnsi="Source Sans Pro"/>
          <w:color w:val="231F20"/>
          <w:lang w:val="en-GB"/>
        </w:rPr>
        <w:t>English</w:t>
      </w:r>
      <w:r w:rsidRPr="00945F33">
        <w:rPr>
          <w:rFonts w:ascii="Source Sans Pro" w:hAnsi="Source Sans Pro"/>
          <w:color w:val="231F20"/>
          <w:lang w:val="en-GB"/>
        </w:rPr>
        <w:t>. Though the researchers do make a distinction be</w:t>
      </w:r>
      <w:r w:rsidRPr="00945F33">
        <w:rPr>
          <w:rFonts w:ascii="Source Sans Pro" w:hAnsi="Source Sans Pro"/>
          <w:color w:val="231F20"/>
          <w:lang w:val="en-GB"/>
        </w:rPr>
        <w:t xml:space="preserve">tween </w:t>
      </w:r>
      <w:r w:rsidRPr="00945F33" w:rsidR="008D0746">
        <w:rPr>
          <w:rFonts w:ascii="Source Sans Pro" w:hAnsi="Source Sans Pro"/>
          <w:color w:val="231F20"/>
          <w:lang w:val="en-GB"/>
        </w:rPr>
        <w:t>emergent</w:t>
      </w:r>
      <w:r w:rsidRPr="00945F33">
        <w:rPr>
          <w:rFonts w:ascii="Source Sans Pro" w:hAnsi="Source Sans Pro"/>
          <w:color w:val="231F20"/>
          <w:lang w:val="en-GB"/>
        </w:rPr>
        <w:t xml:space="preserve"> bilinguals and experienced bilinguals, it is on the basis of their oral English proficiency and their background of education, rather than on their writing. The relevance of their preparation for the research </w:t>
      </w:r>
      <w:r w:rsidRPr="00945F33" w:rsidR="001B00A3">
        <w:rPr>
          <w:rFonts w:ascii="Source Sans Pro" w:hAnsi="Source Sans Pro"/>
          <w:color w:val="231F20"/>
          <w:lang w:val="en-GB"/>
        </w:rPr>
        <w:t xml:space="preserve">and their </w:t>
      </w:r>
      <w:r w:rsidRPr="00945F33" w:rsidR="008D0746">
        <w:rPr>
          <w:rFonts w:ascii="Source Sans Pro" w:hAnsi="Source Sans Pro"/>
          <w:color w:val="231F20"/>
          <w:lang w:val="en-GB"/>
        </w:rPr>
        <w:t>desired</w:t>
      </w:r>
      <w:r w:rsidRPr="00945F33" w:rsidR="001B00A3">
        <w:rPr>
          <w:rFonts w:ascii="Source Sans Pro" w:hAnsi="Source Sans Pro"/>
          <w:color w:val="231F20"/>
          <w:lang w:val="en-GB"/>
        </w:rPr>
        <w:t xml:space="preserve"> outcome </w:t>
      </w:r>
      <w:r w:rsidRPr="00945F33" w:rsidR="008D0746">
        <w:rPr>
          <w:rFonts w:ascii="Source Sans Pro" w:hAnsi="Source Sans Pro"/>
          <w:color w:val="231F20"/>
          <w:lang w:val="en-GB"/>
        </w:rPr>
        <w:t>is,</w:t>
      </w:r>
      <w:r w:rsidRPr="00945F33" w:rsidR="001B00A3">
        <w:rPr>
          <w:rFonts w:ascii="Source Sans Pro" w:hAnsi="Source Sans Pro"/>
          <w:color w:val="231F20"/>
          <w:lang w:val="en-GB"/>
        </w:rPr>
        <w:t xml:space="preserve"> therefore, insufficient.</w:t>
      </w:r>
    </w:p>
    <w:p w:rsidR="006807AE" w:rsidP="006807AE" w14:paraId="7A973FF8" w14:textId="4CD12D5D">
      <w:pPr>
        <w:spacing w:line="360" w:lineRule="auto"/>
        <w:ind w:firstLine="227"/>
        <w:rPr>
          <w:rFonts w:ascii="Source Sans Pro" w:hAnsi="Source Sans Pro" w:cstheme="minorBidi"/>
          <w:b/>
          <w:bCs/>
          <w:color w:val="000000" w:themeColor="text1"/>
          <w:lang w:val="en-GB"/>
        </w:rPr>
      </w:pPr>
      <w:r>
        <w:rPr>
          <w:rFonts w:ascii="Source Sans Pro" w:hAnsi="Source Sans Pro" w:cstheme="minorBidi"/>
          <w:b/>
          <w:bCs/>
          <w:color w:val="000000" w:themeColor="text1"/>
          <w:lang w:val="en-GB"/>
        </w:rPr>
        <w:t>Research design and implementation</w:t>
      </w:r>
    </w:p>
    <w:p w:rsidR="006807AE" w:rsidRPr="00945F33" w:rsidP="006807AE" w14:paraId="712648B9" w14:textId="6C6DB197">
      <w:pPr>
        <w:spacing w:line="360" w:lineRule="auto"/>
        <w:ind w:firstLine="227"/>
        <w:rPr>
          <w:rFonts w:ascii="Source Sans Pro" w:hAnsi="Source Sans Pro"/>
          <w:lang w:val="en-GB"/>
        </w:rPr>
      </w:pPr>
      <w:r>
        <w:rPr>
          <w:rFonts w:ascii="Source Sans Pro" w:hAnsi="Source Sans Pro"/>
          <w:lang w:val="en-GB"/>
        </w:rPr>
        <w:t xml:space="preserve">The research is designed and executed in a scientific manner. Its advancement reflects </w:t>
      </w:r>
      <w:r w:rsidRPr="00945F33">
        <w:rPr>
          <w:rFonts w:ascii="Source Sans Pro" w:hAnsi="Source Sans Pro"/>
          <w:lang w:val="en-GB"/>
        </w:rPr>
        <w:t xml:space="preserve">either in sample diversity </w:t>
      </w:r>
      <w:r>
        <w:rPr>
          <w:rFonts w:ascii="Source Sans Pro" w:hAnsi="Source Sans Pro"/>
          <w:lang w:val="en-GB"/>
        </w:rPr>
        <w:t>or clarified</w:t>
      </w:r>
      <w:r w:rsidRPr="00945F33">
        <w:rPr>
          <w:rFonts w:ascii="Source Sans Pro" w:hAnsi="Source Sans Pro"/>
          <w:lang w:val="en-GB"/>
        </w:rPr>
        <w:t xml:space="preserve"> procedure. </w:t>
      </w:r>
    </w:p>
    <w:p w:rsidR="006807AE" w:rsidRPr="00945F33" w:rsidP="006807AE" w14:paraId="64C0CEAD" w14:textId="77777777">
      <w:pPr>
        <w:spacing w:line="360" w:lineRule="auto"/>
        <w:ind w:firstLine="227"/>
        <w:rPr>
          <w:rFonts w:ascii="Source Sans Pro" w:hAnsi="Source Sans Pro"/>
          <w:lang w:val="en-GB"/>
        </w:rPr>
      </w:pPr>
      <w:r w:rsidRPr="00945F33">
        <w:rPr>
          <w:rFonts w:ascii="Source Sans Pro" w:hAnsi="Source Sans Pro"/>
          <w:lang w:val="en-GB"/>
        </w:rPr>
        <w:t>In terms of the research procedure, the authors have made s</w:t>
      </w:r>
      <w:r w:rsidRPr="00945F33">
        <w:rPr>
          <w:rFonts w:ascii="Source Sans Pro" w:hAnsi="Source Sans Pro"/>
          <w:lang w:val="en-GB"/>
        </w:rPr>
        <w:t>ome efforts to standardise the process. We can tell from its well-structured research. First, the participants are assigned bilinguals texts about similar subjects to write. Second, participants are instructed to read in the same language. Third, participa</w:t>
      </w:r>
      <w:r w:rsidRPr="00945F33">
        <w:rPr>
          <w:rFonts w:ascii="Source Sans Pro" w:hAnsi="Source Sans Pro"/>
          <w:lang w:val="en-GB"/>
        </w:rPr>
        <w:t xml:space="preserve">nts are asked to write in a different language from the one they used in reading. </w:t>
      </w:r>
      <w:r w:rsidRPr="00945F33">
        <w:rPr>
          <w:rFonts w:ascii="Source Sans Pro" w:hAnsi="Source Sans Pro"/>
          <w:color w:val="231F20"/>
          <w:lang w:val="en-GB"/>
        </w:rPr>
        <w:t>Furthermore, to validate its findings, the study spanned up to 21 weeks.</w:t>
      </w:r>
    </w:p>
    <w:p w:rsidR="006807AE" w:rsidRPr="00945F33" w:rsidP="006807AE" w14:paraId="53C5AB39" w14:textId="77777777">
      <w:pPr>
        <w:spacing w:line="360" w:lineRule="auto"/>
        <w:ind w:firstLine="227"/>
        <w:rPr>
          <w:rFonts w:ascii="Source Sans Pro" w:hAnsi="Source Sans Pro"/>
          <w:lang w:val="en-GB"/>
        </w:rPr>
      </w:pPr>
      <w:r w:rsidRPr="00945F33">
        <w:rPr>
          <w:rFonts w:ascii="Source Sans Pro" w:hAnsi="Source Sans Pro"/>
          <w:lang w:val="en-GB"/>
        </w:rPr>
        <w:t>From the perspective of sample diversity, ten bilingual students of Japanese and English are chosen f</w:t>
      </w:r>
      <w:r w:rsidRPr="00945F33">
        <w:rPr>
          <w:rFonts w:ascii="Source Sans Pro" w:hAnsi="Source Sans Pro"/>
          <w:lang w:val="en-GB"/>
        </w:rPr>
        <w:t xml:space="preserve">or the research. The author puts forward the concept of the bilingual continuum (García, 2009; Grosjean, 2010) to better describe the participants' language proficiency. Based on the bilingual continuum, </w:t>
      </w:r>
      <w:r>
        <w:rPr>
          <w:rFonts w:ascii="Source Sans Pro" w:hAnsi="Source Sans Pro" w:hint="eastAsia"/>
          <w:lang w:val="en-GB"/>
        </w:rPr>
        <w:t>there</w:t>
      </w:r>
      <w:r>
        <w:rPr>
          <w:rFonts w:ascii="Source Sans Pro" w:hAnsi="Source Sans Pro"/>
          <w:lang w:val="en-GB"/>
        </w:rPr>
        <w:t xml:space="preserve"> </w:t>
      </w:r>
      <w:r>
        <w:rPr>
          <w:rFonts w:ascii="Source Sans Pro" w:hAnsi="Source Sans Pro" w:hint="eastAsia"/>
          <w:lang w:val="en-GB"/>
        </w:rPr>
        <w:t>are</w:t>
      </w:r>
      <w:r>
        <w:rPr>
          <w:rFonts w:ascii="Source Sans Pro" w:hAnsi="Source Sans Pro"/>
          <w:lang w:val="en-GB"/>
        </w:rPr>
        <w:t xml:space="preserve"> </w:t>
      </w:r>
      <w:r w:rsidRPr="00945F33">
        <w:rPr>
          <w:rFonts w:ascii="Source Sans Pro" w:hAnsi="Source Sans Pro"/>
          <w:lang w:val="en-GB"/>
        </w:rPr>
        <w:t xml:space="preserve">emergent bilinguals, who are at the </w:t>
      </w:r>
      <w:r w:rsidRPr="00945F33">
        <w:rPr>
          <w:rFonts w:ascii="Source Sans Pro" w:hAnsi="Source Sans Pro"/>
          <w:lang w:val="en-GB"/>
        </w:rPr>
        <w:t>early stage of language development, receiving English as the second language. Also, there are experienced bilinguals who are more proficient in either language. The emergent/experienced dichotomy is the presupposition of the data analysis and research hyp</w:t>
      </w:r>
      <w:r w:rsidRPr="00945F33">
        <w:rPr>
          <w:rFonts w:ascii="Source Sans Pro" w:hAnsi="Source Sans Pro"/>
          <w:lang w:val="en-GB"/>
        </w:rPr>
        <w:t>othesis. Its discussion is, therefore, time worthy.</w:t>
      </w:r>
    </w:p>
    <w:p w:rsidR="006807AE" w:rsidRPr="00945F33" w:rsidP="006807AE" w14:paraId="61468485" w14:textId="77777777">
      <w:pPr>
        <w:spacing w:line="360" w:lineRule="auto"/>
        <w:ind w:firstLine="227"/>
        <w:rPr>
          <w:rFonts w:ascii="Source Sans Pro" w:hAnsi="Source Sans Pro"/>
          <w:lang w:val="en-GB"/>
        </w:rPr>
      </w:pPr>
      <w:r w:rsidRPr="00945F33">
        <w:rPr>
          <w:rFonts w:ascii="Source Sans Pro" w:hAnsi="Source Sans Pro"/>
          <w:lang w:val="en-GB"/>
        </w:rPr>
        <w:t xml:space="preserve">While the critique does not challenge the categories, it does have an issue with the categorisation. </w:t>
      </w:r>
      <w:r w:rsidRPr="006807AE">
        <w:rPr>
          <w:rFonts w:ascii="Source Sans Pro" w:hAnsi="Source Sans Pro"/>
          <w:lang w:val="en-GB"/>
        </w:rPr>
        <w:t>We</w:t>
      </w:r>
      <w:r w:rsidRPr="006807AE">
        <w:rPr>
          <w:rFonts w:ascii="Source Sans Pro" w:eastAsia="PingFang TC" w:hAnsi="Source Sans Pro" w:cs="PingFang TC"/>
          <w:lang w:val="en-GB"/>
        </w:rPr>
        <w:t xml:space="preserve"> believe </w:t>
      </w:r>
      <w:r w:rsidRPr="006807AE">
        <w:rPr>
          <w:rFonts w:ascii="Source Sans Pro" w:hAnsi="Source Sans Pro"/>
          <w:lang w:val="en-GB"/>
        </w:rPr>
        <w:t>such</w:t>
      </w:r>
      <w:r w:rsidRPr="00945F33">
        <w:rPr>
          <w:rFonts w:ascii="Source Sans Pro" w:hAnsi="Source Sans Pro"/>
          <w:lang w:val="en-GB"/>
        </w:rPr>
        <w:t xml:space="preserve"> a limited sample in the article does not suffice to represent such grandeur findings as it claims. Nor is the sampling method comprehensive enough. There could be selection bias distorting the evidence (Thomas, 2017). </w:t>
      </w:r>
    </w:p>
    <w:p w:rsidR="00662A62" w:rsidP="008B5F72" w14:paraId="1D944F7D" w14:textId="28A3F4AF">
      <w:pPr>
        <w:spacing w:line="360" w:lineRule="auto"/>
        <w:ind w:firstLine="227"/>
        <w:rPr>
          <w:rFonts w:ascii="Source Sans Pro" w:hAnsi="Source Sans Pro"/>
          <w:lang w:val="en-GB"/>
        </w:rPr>
      </w:pPr>
      <w:r w:rsidRPr="00945F33">
        <w:rPr>
          <w:rFonts w:ascii="Source Sans Pro" w:hAnsi="Source Sans Pro"/>
          <w:lang w:val="en-GB"/>
        </w:rPr>
        <w:t xml:space="preserve">Another part subject to questioning </w:t>
      </w:r>
      <w:r w:rsidRPr="00945F33">
        <w:rPr>
          <w:rFonts w:ascii="Source Sans Pro" w:hAnsi="Source Sans Pro"/>
          <w:lang w:val="en-GB"/>
        </w:rPr>
        <w:t xml:space="preserve">is its variable control. Despite the previous efforts of standardisation, there are other factors at play that could skew the results, which in this case, include age and the participants' characters. These variables may sometimes have an </w:t>
      </w:r>
      <w:r w:rsidRPr="00945F33">
        <w:rPr>
          <w:rFonts w:ascii="Source Sans Pro" w:hAnsi="Source Sans Pro"/>
          <w:lang w:val="en-GB"/>
        </w:rPr>
        <w:t>impact on partici</w:t>
      </w:r>
      <w:r w:rsidRPr="00945F33">
        <w:rPr>
          <w:rFonts w:ascii="Source Sans Pro" w:hAnsi="Source Sans Pro"/>
          <w:lang w:val="en-GB"/>
        </w:rPr>
        <w:t>pants' performance in research. As Auld et al. (2020) study, bilinguals do not translanguage at a consistent level all the time. Under certain circumstances such as stress or excitement, they will intensify their translanguaging. Therefore, to design a res</w:t>
      </w:r>
      <w:r w:rsidRPr="00945F33">
        <w:rPr>
          <w:rFonts w:ascii="Source Sans Pro" w:hAnsi="Source Sans Pro"/>
          <w:lang w:val="en-GB"/>
        </w:rPr>
        <w:t>earch environment where participants feel natural is what the research could have done better.</w:t>
      </w:r>
    </w:p>
    <w:p w:rsidR="008B5F72" w:rsidRPr="008B5F72" w:rsidP="008B5F72" w14:paraId="34EE9D44" w14:textId="77777777">
      <w:pPr>
        <w:spacing w:line="360" w:lineRule="auto"/>
        <w:ind w:firstLine="227"/>
        <w:rPr>
          <w:rFonts w:ascii="Source Sans Pro" w:hAnsi="Source Sans Pro"/>
          <w:lang w:val="en-GB"/>
        </w:rPr>
      </w:pPr>
    </w:p>
    <w:p w:rsidR="00662A62" w:rsidP="002C2103" w14:paraId="34DEBB24" w14:textId="4742D029">
      <w:pPr>
        <w:spacing w:line="360" w:lineRule="auto"/>
        <w:ind w:firstLine="227"/>
        <w:rPr>
          <w:rFonts w:ascii="Source Sans Pro" w:hAnsi="Source Sans Pro" w:cs="Arial"/>
          <w:b/>
          <w:bCs/>
          <w:color w:val="000000" w:themeColor="text1"/>
          <w:lang w:val="en-GB"/>
        </w:rPr>
      </w:pPr>
      <w:r w:rsidRPr="00945F33">
        <w:rPr>
          <w:rFonts w:ascii="Source Sans Pro" w:hAnsi="Source Sans Pro" w:cs="Arial"/>
          <w:b/>
          <w:bCs/>
          <w:color w:val="000000" w:themeColor="text1"/>
          <w:lang w:val="en-GB"/>
        </w:rPr>
        <w:t xml:space="preserve">Critique of </w:t>
      </w:r>
      <w:r w:rsidRPr="00945F33" w:rsidR="003B64C3">
        <w:rPr>
          <w:rFonts w:ascii="Source Sans Pro" w:hAnsi="Source Sans Pro" w:cs="Arial"/>
          <w:b/>
          <w:bCs/>
          <w:color w:val="000000" w:themeColor="text1"/>
          <w:lang w:val="en-GB"/>
        </w:rPr>
        <w:t>l</w:t>
      </w:r>
      <w:r w:rsidRPr="00945F33">
        <w:rPr>
          <w:rFonts w:ascii="Source Sans Pro" w:hAnsi="Source Sans Pro" w:cs="Arial"/>
          <w:b/>
          <w:bCs/>
          <w:color w:val="000000" w:themeColor="text1"/>
          <w:lang w:val="en-GB"/>
        </w:rPr>
        <w:t xml:space="preserve">iterature </w:t>
      </w:r>
      <w:r w:rsidRPr="00945F33" w:rsidR="003B64C3">
        <w:rPr>
          <w:rFonts w:ascii="Source Sans Pro" w:hAnsi="Source Sans Pro" w:cs="Arial"/>
          <w:b/>
          <w:bCs/>
          <w:color w:val="000000" w:themeColor="text1"/>
          <w:lang w:val="en-GB"/>
        </w:rPr>
        <w:t>r</w:t>
      </w:r>
      <w:r w:rsidRPr="00945F33">
        <w:rPr>
          <w:rFonts w:ascii="Source Sans Pro" w:hAnsi="Source Sans Pro" w:cs="Arial"/>
          <w:b/>
          <w:bCs/>
          <w:color w:val="000000" w:themeColor="text1"/>
          <w:lang w:val="en-GB"/>
        </w:rPr>
        <w:t xml:space="preserve">eview </w:t>
      </w:r>
    </w:p>
    <w:p w:rsidR="006807AE" w:rsidRPr="00945F33" w:rsidP="002C2103" w14:paraId="69389AB8" w14:textId="240994C7">
      <w:pPr>
        <w:spacing w:line="360" w:lineRule="auto"/>
        <w:ind w:firstLine="227"/>
        <w:rPr>
          <w:rFonts w:ascii="Source Sans Pro" w:hAnsi="Source Sans Pro" w:cs="Arial"/>
          <w:b/>
          <w:bCs/>
          <w:color w:val="000000" w:themeColor="text1"/>
          <w:lang w:val="en-GB"/>
        </w:rPr>
      </w:pPr>
      <w:r>
        <w:rPr>
          <w:rFonts w:ascii="Source Sans Pro" w:hAnsi="Source Sans Pro" w:cs="Arial"/>
          <w:b/>
          <w:bCs/>
          <w:color w:val="000000" w:themeColor="text1"/>
          <w:lang w:val="en-GB"/>
        </w:rPr>
        <w:t>The comprehensiveness of the literature</w:t>
      </w:r>
    </w:p>
    <w:p w:rsidR="00957EFE" w:rsidRPr="00945F33" w:rsidP="002C2103" w14:paraId="58F3BC23" w14:textId="14958CC9">
      <w:pPr>
        <w:spacing w:line="360" w:lineRule="auto"/>
        <w:ind w:firstLine="227"/>
        <w:rPr>
          <w:rFonts w:ascii="Source Sans Pro" w:hAnsi="Source Sans Pro" w:cs="Arial"/>
          <w:lang w:val="en-GB"/>
        </w:rPr>
      </w:pPr>
      <w:r w:rsidRPr="00945F33">
        <w:rPr>
          <w:rFonts w:ascii="Source Sans Pro" w:hAnsi="Source Sans Pro" w:cs="Arial"/>
          <w:lang w:val="en-GB"/>
        </w:rPr>
        <w:t xml:space="preserve">In </w:t>
      </w:r>
      <w:r w:rsidRPr="00945F33" w:rsidR="00AC0F84">
        <w:rPr>
          <w:rFonts w:ascii="Source Sans Pro" w:hAnsi="Source Sans Pro" w:cs="Arial"/>
          <w:lang w:val="en-GB"/>
        </w:rPr>
        <w:t xml:space="preserve">order to theorise the study, the article has done an outstanding </w:t>
      </w:r>
      <w:r w:rsidRPr="00945F33" w:rsidR="00FF1ED9">
        <w:rPr>
          <w:rFonts w:ascii="Source Sans Pro" w:hAnsi="Source Sans Pro" w:cs="Arial"/>
          <w:lang w:val="en-GB"/>
        </w:rPr>
        <w:t>literature</w:t>
      </w:r>
      <w:r w:rsidRPr="00945F33" w:rsidR="00AC0F84">
        <w:rPr>
          <w:rFonts w:ascii="Source Sans Pro" w:hAnsi="Source Sans Pro" w:cs="Arial"/>
          <w:lang w:val="en-GB"/>
        </w:rPr>
        <w:t xml:space="preserve"> review.</w:t>
      </w:r>
      <w:r w:rsidRPr="00945F33">
        <w:rPr>
          <w:rFonts w:ascii="Source Sans Pro" w:hAnsi="Source Sans Pro" w:cs="Arial"/>
          <w:lang w:val="en-GB"/>
        </w:rPr>
        <w:t xml:space="preserve"> The review goes over the development of bilingualism and the rise of translanguaging first as a bilingual pedagogy in Wales</w:t>
      </w:r>
      <w:r w:rsidRPr="00945F33" w:rsidR="003B64C3">
        <w:rPr>
          <w:rFonts w:ascii="Source Sans Pro" w:hAnsi="Source Sans Pro" w:cs="Arial"/>
          <w:lang w:val="en-GB"/>
        </w:rPr>
        <w:t xml:space="preserve"> (Williams, 1994)</w:t>
      </w:r>
      <w:r w:rsidRPr="00945F33">
        <w:rPr>
          <w:rFonts w:ascii="Source Sans Pro" w:hAnsi="Source Sans Pro" w:cs="Arial"/>
          <w:lang w:val="en-GB"/>
        </w:rPr>
        <w:t>, later in a broader range of settings</w:t>
      </w:r>
      <w:r w:rsidRPr="00945F33" w:rsidR="003B64C3">
        <w:rPr>
          <w:rFonts w:ascii="Source Sans Pro" w:hAnsi="Source Sans Pro" w:cs="Arial"/>
          <w:lang w:val="en-GB"/>
        </w:rPr>
        <w:t xml:space="preserve"> (Baker, 2011, Blackledge &amp; Creese, 2010; Canagarajah, 2011; Creese &amp; Blackledge, 2010; Hornberger &amp; Link, 2012; Lewis et al., 2012a, 2012b)</w:t>
      </w:r>
      <w:r w:rsidRPr="00945F33">
        <w:rPr>
          <w:rFonts w:ascii="Source Sans Pro" w:hAnsi="Source Sans Pro" w:cs="Arial"/>
          <w:lang w:val="en-GB"/>
        </w:rPr>
        <w:t>, and in the end a fluid use of language in everyday life</w:t>
      </w:r>
      <w:r w:rsidRPr="00945F33" w:rsidR="003B64C3">
        <w:rPr>
          <w:rFonts w:ascii="Source Sans Pro" w:hAnsi="Source Sans Pro" w:cs="Arial"/>
          <w:lang w:val="en-GB"/>
        </w:rPr>
        <w:t xml:space="preserve"> (García, 2009, 2011, 2013; García &amp; Sylvan, 2011)</w:t>
      </w:r>
      <w:r w:rsidRPr="00945F33">
        <w:rPr>
          <w:rFonts w:ascii="Source Sans Pro" w:hAnsi="Source Sans Pro" w:cs="Arial"/>
          <w:lang w:val="en-GB"/>
        </w:rPr>
        <w:t>. Since the</w:t>
      </w:r>
      <w:r w:rsidRPr="00945F33">
        <w:rPr>
          <w:rFonts w:ascii="Source Sans Pro" w:hAnsi="Source Sans Pro" w:cs="Arial"/>
          <w:lang w:val="en-GB"/>
        </w:rPr>
        <w:t xml:space="preserve"> article is explicitly concerning translanguaging as process and pedagogy, its assessment should be undergone on a similar basis as well.</w:t>
      </w:r>
    </w:p>
    <w:p w:rsidR="00FF1ED9" w:rsidRPr="00945F33" w:rsidP="002C2103" w14:paraId="4842804D" w14:textId="38E8F13F">
      <w:pPr>
        <w:spacing w:line="360" w:lineRule="auto"/>
        <w:ind w:firstLine="227"/>
        <w:rPr>
          <w:rFonts w:ascii="Source Sans Pro" w:hAnsi="Source Sans Pro" w:cs="Arial"/>
          <w:lang w:val="en-GB"/>
        </w:rPr>
      </w:pPr>
      <w:r w:rsidRPr="00945F33">
        <w:rPr>
          <w:rFonts w:ascii="Source Sans Pro" w:hAnsi="Source Sans Pro" w:cs="Arial"/>
          <w:lang w:val="en-GB"/>
        </w:rPr>
        <w:t>The review is extraordinarily comprehensive, encompassing related studies spanning three decades. The review starts wi</w:t>
      </w:r>
      <w:r w:rsidRPr="00945F33">
        <w:rPr>
          <w:rFonts w:ascii="Source Sans Pro" w:hAnsi="Source Sans Pro" w:cs="Arial"/>
          <w:lang w:val="en-GB"/>
        </w:rPr>
        <w:t>th introducing bilingualism. It then invites for a revisit of the current views towards language boundary, citing relevant studies to support its claims such as Pennycook (2000), De Bot et al. (2005) and Garcia herself (2009).</w:t>
      </w:r>
    </w:p>
    <w:p w:rsidR="00670E8C" w:rsidRPr="00945F33" w:rsidP="002C2103" w14:paraId="64A98781" w14:textId="7E2E5064">
      <w:pPr>
        <w:spacing w:line="360" w:lineRule="auto"/>
        <w:ind w:firstLine="227"/>
        <w:rPr>
          <w:rFonts w:ascii="Source Sans Pro" w:hAnsi="Source Sans Pro"/>
          <w:color w:val="231F20"/>
          <w:lang w:val="en-GB"/>
        </w:rPr>
      </w:pPr>
      <w:r w:rsidRPr="00945F33">
        <w:rPr>
          <w:rFonts w:ascii="Source Sans Pro" w:hAnsi="Source Sans Pro" w:cs="Arial"/>
          <w:lang w:val="en-GB"/>
        </w:rPr>
        <w:t>Such an invitation for percep</w:t>
      </w:r>
      <w:r w:rsidRPr="00945F33">
        <w:rPr>
          <w:rFonts w:ascii="Source Sans Pro" w:hAnsi="Source Sans Pro" w:cs="Arial"/>
          <w:lang w:val="en-GB"/>
        </w:rPr>
        <w:t xml:space="preserve">tion renewal paves the way to the creation of a new term to capture the linguistic reality. In the second half of the review, the article shifts its focus from on general bilingual practices to a hybrid, fluid use of language, translanguaging. </w:t>
      </w:r>
      <w:r w:rsidRPr="00945F33" w:rsidR="00C94CDF">
        <w:rPr>
          <w:rFonts w:ascii="Source Sans Pro" w:hAnsi="Source Sans Pro" w:cs="Arial"/>
          <w:lang w:val="en-GB"/>
        </w:rPr>
        <w:t xml:space="preserve">Nevertheless, before elaborating on the term in details, the review also encompasses other terms competing to represent cross-lingual use of languages, such as </w:t>
      </w:r>
      <w:r w:rsidRPr="00945F33">
        <w:rPr>
          <w:rFonts w:ascii="Source Sans Pro" w:hAnsi="Source Sans Pro"/>
          <w:i/>
          <w:iCs/>
          <w:color w:val="231F20"/>
          <w:lang w:val="en-GB"/>
        </w:rPr>
        <w:t>transidiomatic practices</w:t>
      </w:r>
      <w:r w:rsidRPr="00945F33">
        <w:rPr>
          <w:rFonts w:ascii="Source Sans Pro" w:hAnsi="Source Sans Pro"/>
          <w:color w:val="231F20"/>
          <w:lang w:val="en-GB"/>
        </w:rPr>
        <w:t xml:space="preserve"> (Jacquemet, 2005)</w:t>
      </w:r>
      <w:r w:rsidRPr="00945F33">
        <w:rPr>
          <w:rFonts w:ascii="Source Sans Pro" w:hAnsi="Source Sans Pro"/>
          <w:i/>
          <w:iCs/>
          <w:color w:val="231F20"/>
          <w:lang w:val="en-GB"/>
        </w:rPr>
        <w:t>, polylingualism</w:t>
      </w:r>
      <w:r w:rsidRPr="00945F33">
        <w:rPr>
          <w:rFonts w:ascii="Source Sans Pro" w:hAnsi="Source Sans Pro"/>
          <w:color w:val="231F20"/>
          <w:lang w:val="en-GB"/>
        </w:rPr>
        <w:t xml:space="preserve"> (Jørgensen 2008)</w:t>
      </w:r>
      <w:r w:rsidRPr="00945F33">
        <w:rPr>
          <w:rFonts w:ascii="Source Sans Pro" w:hAnsi="Source Sans Pro"/>
          <w:i/>
          <w:iCs/>
          <w:color w:val="231F20"/>
          <w:lang w:val="en-GB"/>
        </w:rPr>
        <w:t>, metrolingualism</w:t>
      </w:r>
      <w:r w:rsidRPr="00945F33">
        <w:rPr>
          <w:rFonts w:ascii="Source Sans Pro" w:hAnsi="Source Sans Pro"/>
          <w:color w:val="231F20"/>
          <w:lang w:val="en-GB"/>
        </w:rPr>
        <w:t xml:space="preserve"> (Otsuji and Pen</w:t>
      </w:r>
      <w:r w:rsidRPr="00945F33">
        <w:rPr>
          <w:rFonts w:ascii="Source Sans Pro" w:hAnsi="Source Sans Pro"/>
          <w:color w:val="231F20"/>
          <w:lang w:val="en-GB"/>
        </w:rPr>
        <w:t>nycook, 2010)</w:t>
      </w:r>
      <w:r w:rsidRPr="00945F33">
        <w:rPr>
          <w:rFonts w:ascii="Source Sans Pro" w:hAnsi="Source Sans Pro" w:cs="Arial"/>
          <w:lang w:val="en-GB"/>
        </w:rPr>
        <w:t xml:space="preserve"> and</w:t>
      </w:r>
      <w:r w:rsidRPr="00945F33">
        <w:rPr>
          <w:rFonts w:ascii="Source Sans Pro" w:hAnsi="Source Sans Pro" w:cs="Arial"/>
          <w:i/>
          <w:iCs/>
          <w:lang w:val="en-GB"/>
        </w:rPr>
        <w:t xml:space="preserve"> code meshing</w:t>
      </w:r>
      <w:r w:rsidRPr="00945F33">
        <w:rPr>
          <w:rFonts w:ascii="Source Sans Pro" w:hAnsi="Source Sans Pro" w:cs="Arial"/>
          <w:lang w:val="en-GB"/>
        </w:rPr>
        <w:t xml:space="preserve"> (</w:t>
      </w:r>
      <w:r w:rsidRPr="00945F33" w:rsidR="00C94CDF">
        <w:rPr>
          <w:rFonts w:ascii="Source Sans Pro" w:hAnsi="Source Sans Pro"/>
          <w:color w:val="231F20"/>
          <w:lang w:val="en-GB"/>
        </w:rPr>
        <w:t>Canagarajah</w:t>
      </w:r>
      <w:r w:rsidRPr="00945F33">
        <w:rPr>
          <w:rFonts w:ascii="Source Sans Pro" w:hAnsi="Source Sans Pro"/>
          <w:color w:val="231F20"/>
          <w:lang w:val="en-GB"/>
        </w:rPr>
        <w:t xml:space="preserve">, </w:t>
      </w:r>
      <w:r w:rsidRPr="00945F33" w:rsidR="00C94CDF">
        <w:rPr>
          <w:rFonts w:ascii="Source Sans Pro" w:hAnsi="Source Sans Pro"/>
          <w:color w:val="231F20"/>
          <w:lang w:val="en-GB"/>
        </w:rPr>
        <w:t>2011)</w:t>
      </w:r>
      <w:r w:rsidRPr="00945F33">
        <w:rPr>
          <w:rFonts w:ascii="Source Sans Pro" w:hAnsi="Source Sans Pro"/>
          <w:color w:val="231F20"/>
          <w:lang w:val="en-GB"/>
        </w:rPr>
        <w:t xml:space="preserve">. </w:t>
      </w:r>
    </w:p>
    <w:p w:rsidR="00957EFE" w:rsidP="002C2103" w14:paraId="194DAA7D" w14:textId="1E9D522A">
      <w:pPr>
        <w:spacing w:line="360" w:lineRule="auto"/>
        <w:ind w:firstLine="227"/>
        <w:rPr>
          <w:rFonts w:ascii="Source Sans Pro" w:hAnsi="Source Sans Pro" w:cs="Arial"/>
          <w:lang w:val="en-GB"/>
        </w:rPr>
      </w:pPr>
      <w:r w:rsidRPr="00945F33">
        <w:rPr>
          <w:rFonts w:ascii="Source Sans Pro" w:hAnsi="Source Sans Pro"/>
          <w:lang w:val="en-GB"/>
        </w:rPr>
        <w:t xml:space="preserve">Another example of its comprehensiveness is in the definition of translanguaging. The article has demonstrated how the term has undergone a </w:t>
      </w:r>
      <w:r w:rsidRPr="00945F33" w:rsidR="00945F33">
        <w:rPr>
          <w:rFonts w:ascii="Source Sans Pro" w:hAnsi="Source Sans Pro"/>
          <w:lang w:val="en-GB"/>
        </w:rPr>
        <w:t xml:space="preserve">shift of definition </w:t>
      </w:r>
      <w:r w:rsidRPr="00945F33">
        <w:rPr>
          <w:rFonts w:ascii="Source Sans Pro" w:hAnsi="Source Sans Pro"/>
          <w:lang w:val="en-GB"/>
        </w:rPr>
        <w:t>from a bilingual alternation to more complex discursive practices of bilinguals and the pedagogy</w:t>
      </w:r>
      <w:r w:rsidRPr="00945F33">
        <w:rPr>
          <w:rFonts w:ascii="Source Sans Pro" w:hAnsi="Source Sans Pro"/>
          <w:lang w:val="en-GB"/>
        </w:rPr>
        <w:t xml:space="preserve"> in use. Plentiful corresponding researches are provided </w:t>
      </w:r>
      <w:r w:rsidRPr="00945F33">
        <w:rPr>
          <w:rFonts w:ascii="Source Sans Pro" w:hAnsi="Source Sans Pro" w:cs="Arial"/>
          <w:lang w:val="en-GB"/>
        </w:rPr>
        <w:t>regarding each new version of the term.</w:t>
      </w:r>
    </w:p>
    <w:p w:rsidR="006807AE" w:rsidRPr="006807AE" w:rsidP="002C2103" w14:paraId="1465CDC2" w14:textId="15A794CF">
      <w:pPr>
        <w:spacing w:line="360" w:lineRule="auto"/>
        <w:ind w:firstLine="227"/>
        <w:rPr>
          <w:rFonts w:ascii="Source Sans Pro" w:hAnsi="Source Sans Pro" w:cs="Arial"/>
          <w:b/>
          <w:bCs/>
          <w:lang w:val="en-GB"/>
        </w:rPr>
      </w:pPr>
      <w:r w:rsidRPr="006807AE">
        <w:rPr>
          <w:rFonts w:ascii="Source Sans Pro" w:hAnsi="Source Sans Pro" w:cs="Arial"/>
          <w:b/>
          <w:bCs/>
          <w:lang w:val="en-GB"/>
        </w:rPr>
        <w:t>Drawbacks of definition inflation</w:t>
      </w:r>
    </w:p>
    <w:p w:rsidR="0066276C" w:rsidRPr="00945F33" w:rsidP="002C2103" w14:paraId="1C503FFC" w14:textId="62BF6B15">
      <w:pPr>
        <w:spacing w:line="360" w:lineRule="auto"/>
        <w:ind w:firstLine="227"/>
        <w:rPr>
          <w:rFonts w:ascii="Source Sans Pro" w:hAnsi="Source Sans Pro"/>
          <w:lang w:val="en-GB"/>
        </w:rPr>
      </w:pPr>
      <w:r w:rsidRPr="00945F33">
        <w:rPr>
          <w:rFonts w:ascii="Source Sans Pro" w:hAnsi="Source Sans Pro" w:cs="Arial"/>
          <w:lang w:val="en-GB"/>
        </w:rPr>
        <w:t>As comprehensive and relevant as the literature review is, there is one problem remaining unresolved: the overlap</w:t>
      </w:r>
      <w:r w:rsidRPr="00945F33" w:rsidR="00952D42">
        <w:rPr>
          <w:rFonts w:ascii="Source Sans Pro" w:hAnsi="Source Sans Pro" w:cs="Arial"/>
          <w:lang w:val="en-GB"/>
        </w:rPr>
        <w:t>ping referent</w:t>
      </w:r>
      <w:r w:rsidRPr="00945F33">
        <w:rPr>
          <w:rFonts w:ascii="Source Sans Pro" w:hAnsi="Source Sans Pro" w:cs="Arial"/>
          <w:lang w:val="en-GB"/>
        </w:rPr>
        <w:t xml:space="preserve"> of different versions of translanguaging. Such confusion is characteristic of the inherent flaws of translanguaging. The term is</w:t>
      </w:r>
      <w:r w:rsidRPr="00945F33" w:rsidR="00BF4C06">
        <w:rPr>
          <w:rFonts w:ascii="Source Sans Pro" w:hAnsi="Source Sans Pro" w:cs="Arial"/>
          <w:lang w:val="en-GB"/>
        </w:rPr>
        <w:t xml:space="preserve"> undergo</w:t>
      </w:r>
      <w:r w:rsidRPr="00945F33">
        <w:rPr>
          <w:rFonts w:ascii="Source Sans Pro" w:hAnsi="Source Sans Pro" w:cs="Arial"/>
          <w:lang w:val="en-GB"/>
        </w:rPr>
        <w:t>ing</w:t>
      </w:r>
      <w:r w:rsidRPr="00945F33" w:rsidR="00BF4C06">
        <w:rPr>
          <w:rFonts w:ascii="Source Sans Pro" w:hAnsi="Source Sans Pro" w:cs="Arial"/>
          <w:lang w:val="en-GB"/>
        </w:rPr>
        <w:t xml:space="preserve"> </w:t>
      </w:r>
      <w:r w:rsidRPr="00945F33" w:rsidR="00317A45">
        <w:rPr>
          <w:rFonts w:ascii="Source Sans Pro" w:hAnsi="Source Sans Pro"/>
          <w:lang w:val="en-GB"/>
        </w:rPr>
        <w:t>meaning inflation that its substance changes across different users</w:t>
      </w:r>
      <w:r w:rsidRPr="00945F33">
        <w:rPr>
          <w:rFonts w:ascii="Source Sans Pro" w:hAnsi="Source Sans Pro"/>
          <w:lang w:val="en-GB"/>
        </w:rPr>
        <w:t xml:space="preserve">, each not necessarily committed to </w:t>
      </w:r>
      <w:r w:rsidRPr="00945F33" w:rsidR="00945F33">
        <w:rPr>
          <w:rFonts w:ascii="Source Sans Pro" w:hAnsi="Source Sans Pro"/>
          <w:lang w:val="en-GB"/>
        </w:rPr>
        <w:t>one</w:t>
      </w:r>
      <w:r w:rsidRPr="00945F33">
        <w:rPr>
          <w:rFonts w:ascii="Source Sans Pro" w:hAnsi="Source Sans Pro"/>
          <w:lang w:val="en-GB"/>
        </w:rPr>
        <w:t xml:space="preserve"> other.</w:t>
      </w:r>
      <w:r w:rsidRPr="00945F33" w:rsidR="00317A45">
        <w:rPr>
          <w:rFonts w:ascii="Source Sans Pro" w:hAnsi="Source Sans Pro"/>
          <w:lang w:val="en-GB"/>
        </w:rPr>
        <w:t xml:space="preserve"> </w:t>
      </w:r>
    </w:p>
    <w:p w:rsidR="00D81F9D" w:rsidRPr="00945F33" w:rsidP="002C2103" w14:paraId="27D53A33" w14:textId="49D58644">
      <w:pPr>
        <w:spacing w:line="360" w:lineRule="auto"/>
        <w:ind w:firstLine="227"/>
        <w:rPr>
          <w:rFonts w:ascii="Source Sans Pro" w:hAnsi="Source Sans Pro"/>
          <w:lang w:val="en-GB"/>
        </w:rPr>
      </w:pPr>
      <w:r w:rsidRPr="00945F33">
        <w:rPr>
          <w:rFonts w:ascii="Source Sans Pro" w:hAnsi="Source Sans Pro"/>
          <w:lang w:val="en-GB"/>
        </w:rPr>
        <w:t>Even though</w:t>
      </w:r>
      <w:r w:rsidRPr="00945F33" w:rsidR="00BC408D">
        <w:rPr>
          <w:rFonts w:ascii="Source Sans Pro" w:hAnsi="Source Sans Pro"/>
          <w:color w:val="000000" w:themeColor="text1"/>
          <w:lang w:val="en-GB"/>
        </w:rPr>
        <w:t xml:space="preserve"> the author decides to adopt the latest version of translanguaging, referring it to the practice that “bilingual speakers select language features from a repertoire…that fit their communicative situations (p.260</w:t>
      </w:r>
      <w:r w:rsidRPr="00945F33" w:rsidR="00945F33">
        <w:rPr>
          <w:rFonts w:ascii="Source Sans Pro" w:hAnsi="Source Sans Pro"/>
          <w:color w:val="000000" w:themeColor="text1"/>
          <w:lang w:val="en-GB"/>
        </w:rPr>
        <w:t>)”</w:t>
      </w:r>
      <w:r w:rsidRPr="00945F33" w:rsidR="00317A45">
        <w:rPr>
          <w:rFonts w:ascii="Source Sans Pro" w:hAnsi="Source Sans Pro"/>
          <w:lang w:val="en-GB"/>
        </w:rPr>
        <w:t xml:space="preserve">, there are many occasions in the research where the term means </w:t>
      </w:r>
      <w:r w:rsidRPr="00945F33" w:rsidR="0066276C">
        <w:rPr>
          <w:rFonts w:ascii="Source Sans Pro" w:hAnsi="Source Sans Pro"/>
          <w:lang w:val="en-GB"/>
        </w:rPr>
        <w:t xml:space="preserve">precisely </w:t>
      </w:r>
      <w:r w:rsidRPr="00945F33" w:rsidR="00317A45">
        <w:rPr>
          <w:rFonts w:ascii="Source Sans Pro" w:hAnsi="Source Sans Pro"/>
          <w:lang w:val="en-GB"/>
        </w:rPr>
        <w:t xml:space="preserve">otherwise. On studying </w:t>
      </w:r>
      <w:r w:rsidRPr="00945F33">
        <w:rPr>
          <w:rFonts w:ascii="Source Sans Pro" w:hAnsi="Source Sans Pro"/>
          <w:lang w:val="en-GB"/>
        </w:rPr>
        <w:t xml:space="preserve">the bilingual use of Japanese and English, translanguaging is a hybrid use of languages. </w:t>
      </w:r>
      <w:r w:rsidRPr="00945F33" w:rsidR="0066276C">
        <w:rPr>
          <w:rFonts w:ascii="Source Sans Pro" w:hAnsi="Source Sans Pro"/>
          <w:lang w:val="en-GB"/>
        </w:rPr>
        <w:t>While the authors conduct</w:t>
      </w:r>
      <w:r w:rsidRPr="00945F33">
        <w:rPr>
          <w:rFonts w:ascii="Source Sans Pro" w:hAnsi="Source Sans Pro"/>
          <w:lang w:val="en-GB"/>
        </w:rPr>
        <w:t xml:space="preserve"> interviews with participants concerning how </w:t>
      </w:r>
      <w:r w:rsidRPr="00945F33">
        <w:rPr>
          <w:rFonts w:ascii="Source Sans Pro" w:hAnsi="Source Sans Pro"/>
          <w:lang w:val="en-GB"/>
        </w:rPr>
        <w:t>they make use of bilingual knowledge to prepare for writing, translanguaging becomes an instinct in language practice to draw on one's holistic language repertoire. When it comes to analysing the shutter between Japanese and English in the classroom, trans</w:t>
      </w:r>
      <w:r w:rsidRPr="00945F33">
        <w:rPr>
          <w:rFonts w:ascii="Source Sans Pro" w:hAnsi="Source Sans Pro"/>
          <w:lang w:val="en-GB"/>
        </w:rPr>
        <w:t xml:space="preserve">languaging then becomes a pedagogy. </w:t>
      </w:r>
    </w:p>
    <w:p w:rsidR="001B678C" w:rsidRPr="00945F33" w:rsidP="002C2103" w14:paraId="3E318766" w14:textId="02F7DD47">
      <w:pPr>
        <w:spacing w:line="360" w:lineRule="auto"/>
        <w:ind w:firstLine="227"/>
        <w:rPr>
          <w:rFonts w:ascii="Source Sans Pro" w:hAnsi="Source Sans Pro" w:cstheme="minorBidi"/>
          <w:lang w:val="en-GB"/>
        </w:rPr>
      </w:pPr>
      <w:r w:rsidRPr="00945F33">
        <w:rPr>
          <w:rFonts w:ascii="Source Sans Pro" w:hAnsi="Source Sans Pro"/>
          <w:lang w:val="en-GB"/>
        </w:rPr>
        <w:t xml:space="preserve">Such polysemy </w:t>
      </w:r>
      <w:r w:rsidRPr="00945F33" w:rsidR="00A32CC6">
        <w:rPr>
          <w:rFonts w:ascii="Source Sans Pro" w:hAnsi="Source Sans Pro"/>
          <w:lang w:val="en-GB"/>
        </w:rPr>
        <w:t>does not necessar</w:t>
      </w:r>
      <w:r w:rsidRPr="00945F33" w:rsidR="0066276C">
        <w:rPr>
          <w:rFonts w:ascii="Source Sans Pro" w:hAnsi="Source Sans Pro"/>
          <w:lang w:val="en-GB"/>
        </w:rPr>
        <w:t>ily</w:t>
      </w:r>
      <w:r w:rsidRPr="00945F33" w:rsidR="00A32CC6">
        <w:rPr>
          <w:rFonts w:ascii="Source Sans Pro" w:hAnsi="Source Sans Pro"/>
          <w:lang w:val="en-GB"/>
        </w:rPr>
        <w:t xml:space="preserve"> c</w:t>
      </w:r>
      <w:r w:rsidRPr="00945F33">
        <w:rPr>
          <w:rFonts w:ascii="Source Sans Pro" w:hAnsi="Source Sans Pro"/>
          <w:lang w:val="en-GB"/>
        </w:rPr>
        <w:t xml:space="preserve">onfuse if adequately harnessed. </w:t>
      </w:r>
      <w:r w:rsidRPr="00945F33" w:rsidR="00A32CC6">
        <w:rPr>
          <w:rFonts w:ascii="Source Sans Pro" w:hAnsi="Source Sans Pro"/>
          <w:lang w:val="en-GB"/>
        </w:rPr>
        <w:t>However, it</w:t>
      </w:r>
      <w:r w:rsidRPr="00945F33">
        <w:rPr>
          <w:rFonts w:ascii="Source Sans Pro" w:hAnsi="Source Sans Pro"/>
          <w:lang w:val="en-GB"/>
        </w:rPr>
        <w:t xml:space="preserve"> </w:t>
      </w:r>
      <w:r w:rsidRPr="00945F33" w:rsidR="0066276C">
        <w:rPr>
          <w:rFonts w:ascii="Source Sans Pro" w:hAnsi="Source Sans Pro"/>
          <w:lang w:val="en-GB"/>
        </w:rPr>
        <w:t xml:space="preserve">is </w:t>
      </w:r>
      <w:r w:rsidRPr="00945F33" w:rsidR="00A32CC6">
        <w:rPr>
          <w:rFonts w:ascii="Source Sans Pro" w:hAnsi="Source Sans Pro"/>
          <w:lang w:val="en-GB"/>
        </w:rPr>
        <w:t xml:space="preserve">an inconvenient fact </w:t>
      </w:r>
      <w:r w:rsidRPr="00945F33" w:rsidR="0066276C">
        <w:rPr>
          <w:rFonts w:ascii="Source Sans Pro" w:hAnsi="Source Sans Pro"/>
          <w:lang w:val="en-GB"/>
        </w:rPr>
        <w:t>in the longer run</w:t>
      </w:r>
      <w:r w:rsidRPr="00945F33" w:rsidR="00A32CC6">
        <w:rPr>
          <w:rFonts w:ascii="Source Sans Pro" w:hAnsi="Source Sans Pro"/>
          <w:lang w:val="en-GB"/>
        </w:rPr>
        <w:t xml:space="preserve">: if even the collaborator of Garcia, the most prominent advocator of translanguaging, fails to confine the term </w:t>
      </w:r>
      <w:r w:rsidRPr="00945F33" w:rsidR="00945F33">
        <w:rPr>
          <w:rFonts w:ascii="Source Sans Pro" w:hAnsi="Source Sans Pro"/>
          <w:lang w:val="en-GB"/>
        </w:rPr>
        <w:t>to</w:t>
      </w:r>
      <w:r w:rsidRPr="00945F33" w:rsidR="00A32CC6">
        <w:rPr>
          <w:rFonts w:ascii="Source Sans Pro" w:hAnsi="Source Sans Pro"/>
          <w:lang w:val="en-GB"/>
        </w:rPr>
        <w:t xml:space="preserve"> its intended scope of meaning, </w:t>
      </w:r>
      <w:r w:rsidRPr="00945F33" w:rsidR="007A2323">
        <w:rPr>
          <w:rFonts w:ascii="Source Sans Pro" w:hAnsi="Source Sans Pro"/>
          <w:lang w:val="en-GB"/>
        </w:rPr>
        <w:t>how can</w:t>
      </w:r>
      <w:r w:rsidRPr="00945F33" w:rsidR="00945F33">
        <w:rPr>
          <w:rFonts w:ascii="Source Sans Pro" w:hAnsi="Source Sans Pro"/>
          <w:lang w:val="en-GB"/>
        </w:rPr>
        <w:t xml:space="preserve"> other people</w:t>
      </w:r>
      <w:r w:rsidRPr="00945F33" w:rsidR="0066276C">
        <w:rPr>
          <w:rFonts w:ascii="Source Sans Pro" w:hAnsi="Source Sans Pro"/>
          <w:lang w:val="en-GB"/>
        </w:rPr>
        <w:t xml:space="preserve"> </w:t>
      </w:r>
      <w:r w:rsidRPr="00945F33" w:rsidR="007A2323">
        <w:rPr>
          <w:rFonts w:ascii="Source Sans Pro" w:hAnsi="Source Sans Pro"/>
          <w:lang w:val="en-GB"/>
        </w:rPr>
        <w:t xml:space="preserve">accurately </w:t>
      </w:r>
      <w:r w:rsidRPr="00945F33" w:rsidR="00945F33">
        <w:rPr>
          <w:rFonts w:ascii="Source Sans Pro" w:hAnsi="Source Sans Pro"/>
          <w:lang w:val="en-GB"/>
        </w:rPr>
        <w:t>make use of it</w:t>
      </w:r>
      <w:r w:rsidRPr="00945F33" w:rsidR="007A2323">
        <w:rPr>
          <w:rFonts w:ascii="Source Sans Pro" w:hAnsi="Source Sans Pro"/>
          <w:lang w:val="en-GB"/>
        </w:rPr>
        <w:t>?</w:t>
      </w:r>
    </w:p>
    <w:p w:rsidR="007C7A7F" w:rsidRPr="00945F33" w:rsidP="003E4CAB" w14:paraId="202706DB" w14:textId="77777777">
      <w:pPr>
        <w:spacing w:line="360" w:lineRule="auto"/>
        <w:rPr>
          <w:rFonts w:ascii="Source Sans Pro" w:hAnsi="Source Sans Pro"/>
          <w:lang w:val="en-GB"/>
        </w:rPr>
      </w:pPr>
    </w:p>
    <w:p w:rsidR="00377E7C" w:rsidRPr="00945F33" w:rsidP="002C2103" w14:paraId="5E77A0EE" w14:textId="08D26F85">
      <w:pPr>
        <w:spacing w:line="360" w:lineRule="auto"/>
        <w:ind w:firstLine="227"/>
        <w:rPr>
          <w:rFonts w:ascii="Source Sans Pro" w:hAnsi="Source Sans Pro"/>
          <w:b/>
          <w:bCs/>
          <w:color w:val="000000" w:themeColor="text1"/>
          <w:lang w:val="en-GB"/>
        </w:rPr>
      </w:pPr>
      <w:r w:rsidRPr="00945F33">
        <w:rPr>
          <w:rFonts w:ascii="Source Sans Pro" w:hAnsi="Source Sans Pro"/>
          <w:b/>
          <w:bCs/>
          <w:color w:val="000000" w:themeColor="text1"/>
          <w:lang w:val="en-GB"/>
        </w:rPr>
        <w:t>Critique of research findings</w:t>
      </w:r>
    </w:p>
    <w:p w:rsidR="00791FCA" w:rsidRPr="00945F33" w:rsidP="002C2103" w14:paraId="356C0929" w14:textId="0E48B718">
      <w:pPr>
        <w:spacing w:line="360" w:lineRule="auto"/>
        <w:ind w:firstLine="227"/>
        <w:rPr>
          <w:rFonts w:ascii="Source Sans Pro" w:hAnsi="Source Sans Pro"/>
          <w:lang w:val="en-GB"/>
        </w:rPr>
      </w:pPr>
      <w:r w:rsidRPr="00945F33">
        <w:rPr>
          <w:rFonts w:ascii="Source Sans Pro" w:hAnsi="Source Sans Pro"/>
          <w:lang w:val="en-GB"/>
        </w:rPr>
        <w:t xml:space="preserve">The last part revolves around the critical assessment of the article’s findings. These findings have three major </w:t>
      </w:r>
      <w:r w:rsidRPr="00945F33">
        <w:rPr>
          <w:rFonts w:ascii="Source Sans Pro" w:hAnsi="Source Sans Pro"/>
          <w:lang w:val="en-GB"/>
        </w:rPr>
        <w:t>unresolved problems.</w:t>
      </w:r>
    </w:p>
    <w:p w:rsidR="007540DF" w:rsidRPr="00945F33" w:rsidP="002C2103" w14:paraId="5A9912ED" w14:textId="30CFAD19">
      <w:pPr>
        <w:spacing w:line="360" w:lineRule="auto"/>
        <w:ind w:firstLine="227"/>
        <w:rPr>
          <w:rFonts w:ascii="Source Sans Pro" w:hAnsi="Source Sans Pro"/>
          <w:lang w:val="en-GB"/>
        </w:rPr>
      </w:pPr>
      <w:r w:rsidRPr="00945F33">
        <w:rPr>
          <w:rFonts w:ascii="Source Sans Pro" w:hAnsi="Source Sans Pro"/>
          <w:lang w:val="en-GB"/>
        </w:rPr>
        <w:t xml:space="preserve">The first part of the critique </w:t>
      </w:r>
      <w:r w:rsidRPr="00945F33" w:rsidR="00941630">
        <w:rPr>
          <w:rFonts w:ascii="Source Sans Pro" w:hAnsi="Source Sans Pro"/>
          <w:lang w:val="en-GB"/>
        </w:rPr>
        <w:t>illustrates how these findings are in</w:t>
      </w:r>
      <w:r w:rsidRPr="00945F33">
        <w:rPr>
          <w:rFonts w:ascii="Source Sans Pro" w:hAnsi="Source Sans Pro"/>
          <w:lang w:val="en-GB"/>
        </w:rPr>
        <w:t>consistent with the initial research questions</w:t>
      </w:r>
      <w:r w:rsidRPr="00945F33" w:rsidR="00941630">
        <w:rPr>
          <w:rFonts w:ascii="Source Sans Pro" w:hAnsi="Source Sans Pro"/>
          <w:lang w:val="en-GB"/>
        </w:rPr>
        <w:t xml:space="preserve">. In the second part, we stress that of ten participants is far from representative of the findings. The critique’s last part will concentrate on </w:t>
      </w:r>
      <w:r w:rsidRPr="00945F33">
        <w:rPr>
          <w:rFonts w:ascii="Source Sans Pro" w:hAnsi="Source Sans Pro"/>
          <w:lang w:val="en-GB"/>
        </w:rPr>
        <w:t>the data interpretation, pointing out it has flaws, some of which could shake up the entire theory.</w:t>
      </w:r>
    </w:p>
    <w:p w:rsidR="007540DF" w:rsidRPr="00945F33" w:rsidP="002C2103" w14:paraId="7F104E43" w14:textId="241815C1">
      <w:pPr>
        <w:spacing w:line="360" w:lineRule="auto"/>
        <w:ind w:firstLine="227"/>
        <w:rPr>
          <w:rFonts w:ascii="Source Sans Pro" w:hAnsi="Source Sans Pro" w:cs="Arial"/>
          <w:color w:val="000000" w:themeColor="text1"/>
          <w:lang w:val="en-GB"/>
        </w:rPr>
      </w:pPr>
      <w:r w:rsidRPr="00945F33">
        <w:rPr>
          <w:rFonts w:ascii="Source Sans Pro" w:hAnsi="Source Sans Pro" w:cs="Arial"/>
          <w:color w:val="000000" w:themeColor="text1"/>
          <w:lang w:val="en-GB"/>
        </w:rPr>
        <w:t>As one of the most influential and cited scholars in the field of translanguaging, Garcia has not merely made an empirical study sh</w:t>
      </w:r>
      <w:r w:rsidRPr="00945F33">
        <w:rPr>
          <w:rFonts w:ascii="Source Sans Pro" w:hAnsi="Source Sans Pro" w:cs="Arial"/>
          <w:color w:val="000000" w:themeColor="text1"/>
          <w:lang w:val="en-GB"/>
        </w:rPr>
        <w:t>owcasing the application of this pedagogy, she indeed pushes forward the theoretical boundary of translanguaging</w:t>
      </w:r>
      <w:r w:rsidRPr="00945F33" w:rsidR="004A3F18">
        <w:rPr>
          <w:rFonts w:ascii="Source Sans Pro" w:hAnsi="Source Sans Pro" w:cs="Arial"/>
          <w:color w:val="000000" w:themeColor="text1"/>
          <w:lang w:val="en-GB"/>
        </w:rPr>
        <w:t xml:space="preserve"> with the article</w:t>
      </w:r>
      <w:r w:rsidRPr="00945F33">
        <w:rPr>
          <w:rFonts w:ascii="Source Sans Pro" w:hAnsi="Source Sans Pro" w:cs="Arial"/>
          <w:color w:val="000000" w:themeColor="text1"/>
          <w:lang w:val="en-GB"/>
        </w:rPr>
        <w:t xml:space="preserve">. </w:t>
      </w:r>
      <w:r w:rsidRPr="00945F33" w:rsidR="004A3F18">
        <w:rPr>
          <w:rFonts w:ascii="Source Sans Pro" w:hAnsi="Source Sans Pro" w:cs="Arial"/>
          <w:color w:val="000000" w:themeColor="text1"/>
          <w:lang w:val="en-GB"/>
        </w:rPr>
        <w:t xml:space="preserve">Previous studies have focused more on the pedagogical implications of translanguage and </w:t>
      </w:r>
      <w:r w:rsidRPr="00945F33" w:rsidR="004A3F18">
        <w:rPr>
          <w:rFonts w:ascii="Source Sans Pro" w:hAnsi="Source Sans Pro" w:cs="Arial"/>
          <w:color w:val="000000" w:themeColor="text1"/>
          <w:lang w:val="en-GB"/>
        </w:rPr>
        <w:t xml:space="preserve">its transformative nature in bilingual speaker’s self-perception and identification. Relatively few attentions </w:t>
      </w:r>
      <w:r w:rsidRPr="00945F33" w:rsidR="00710AC9">
        <w:rPr>
          <w:rFonts w:ascii="Source Sans Pro" w:hAnsi="Source Sans Pro" w:cs="Arial"/>
          <w:color w:val="000000" w:themeColor="text1"/>
          <w:lang w:val="en-GB"/>
        </w:rPr>
        <w:t>have</w:t>
      </w:r>
      <w:r w:rsidRPr="00945F33" w:rsidR="004A3F18">
        <w:rPr>
          <w:rFonts w:ascii="Source Sans Pro" w:hAnsi="Source Sans Pro" w:cs="Arial"/>
          <w:color w:val="000000" w:themeColor="text1"/>
          <w:lang w:val="en-GB"/>
        </w:rPr>
        <w:t xml:space="preserve"> been paid</w:t>
      </w:r>
      <w:r w:rsidRPr="00945F33" w:rsidR="00710AC9">
        <w:rPr>
          <w:rFonts w:ascii="Source Sans Pro" w:hAnsi="Source Sans Pro" w:cs="Arial"/>
          <w:color w:val="000000" w:themeColor="text1"/>
          <w:lang w:val="en-GB"/>
        </w:rPr>
        <w:t xml:space="preserve"> to</w:t>
      </w:r>
      <w:r w:rsidRPr="00945F33" w:rsidR="004A3F18">
        <w:rPr>
          <w:rFonts w:ascii="Source Sans Pro" w:hAnsi="Source Sans Pro" w:cs="Arial"/>
          <w:color w:val="000000" w:themeColor="text1"/>
          <w:lang w:val="en-GB"/>
        </w:rPr>
        <w:t xml:space="preserve"> its purpose. </w:t>
      </w:r>
      <w:r w:rsidRPr="00945F33" w:rsidR="00710AC9">
        <w:rPr>
          <w:rFonts w:ascii="Source Sans Pro" w:hAnsi="Source Sans Pro" w:cs="Arial"/>
          <w:color w:val="000000" w:themeColor="text1"/>
          <w:lang w:val="en-GB"/>
        </w:rPr>
        <w:t>It is then no mean feat that</w:t>
      </w:r>
      <w:r w:rsidRPr="00945F33" w:rsidR="004A3F18">
        <w:rPr>
          <w:rFonts w:ascii="Source Sans Pro" w:hAnsi="Source Sans Pro" w:cs="Arial"/>
          <w:color w:val="000000" w:themeColor="text1"/>
          <w:lang w:val="en-GB"/>
        </w:rPr>
        <w:t xml:space="preserve"> Garcia and Kano have managed to unveil how bilinguals at different language continuum translanguage for different purposes. </w:t>
      </w:r>
    </w:p>
    <w:p w:rsidR="00D96E27" w:rsidRPr="00945F33" w:rsidP="002C2103" w14:paraId="4B0743E3" w14:textId="12E89C41">
      <w:pPr>
        <w:spacing w:line="360" w:lineRule="auto"/>
        <w:ind w:firstLine="227"/>
        <w:rPr>
          <w:rFonts w:ascii="Source Sans Pro" w:hAnsi="Source Sans Pro" w:cs="Arial"/>
          <w:color w:val="000000" w:themeColor="text1"/>
          <w:lang w:val="en-GB"/>
        </w:rPr>
      </w:pPr>
      <w:r w:rsidRPr="00945F33">
        <w:rPr>
          <w:rFonts w:ascii="Source Sans Pro" w:hAnsi="Source Sans Pro" w:cs="Arial"/>
          <w:color w:val="000000" w:themeColor="text1"/>
          <w:lang w:val="en-GB"/>
        </w:rPr>
        <w:t>Three conclusions are drawn through the research. The first is all participants, irrespective of their positions in the bilingual continuum, "translanguage frequently" to make sense of their learning. The second conclusion reveals that emergent bilingua</w:t>
      </w:r>
      <w:r w:rsidRPr="00945F33">
        <w:rPr>
          <w:rFonts w:ascii="Source Sans Pro" w:hAnsi="Source Sans Pro" w:cs="Arial"/>
          <w:color w:val="000000" w:themeColor="text1"/>
          <w:lang w:val="en-GB"/>
        </w:rPr>
        <w:t>ls most translanguage for "support" and "expansion". The third is that experienced bilinguals translanguage for a different purpose. They translanguage for "strategic expediency" and "enhancement"</w:t>
      </w:r>
      <w:r w:rsidRPr="00945F33">
        <w:rPr>
          <w:rFonts w:ascii="Source Sans Pro" w:hAnsi="Source Sans Pro"/>
          <w:lang w:val="en-GB"/>
        </w:rPr>
        <w:t xml:space="preserve"> (p.266).</w:t>
      </w:r>
    </w:p>
    <w:p w:rsidR="007540DF" w:rsidRPr="00945F33" w:rsidP="002C2103" w14:paraId="40216E78" w14:textId="2B3161AC">
      <w:pPr>
        <w:spacing w:line="360" w:lineRule="auto"/>
        <w:ind w:firstLine="227"/>
        <w:rPr>
          <w:rFonts w:ascii="Source Sans Pro" w:hAnsi="Source Sans Pro"/>
          <w:lang w:val="en-GB"/>
        </w:rPr>
      </w:pPr>
      <w:r w:rsidRPr="00945F33">
        <w:rPr>
          <w:rFonts w:ascii="Source Sans Pro" w:hAnsi="Source Sans Pro"/>
          <w:lang w:val="en-GB"/>
        </w:rPr>
        <w:t>The critique does not find these three conclusions</w:t>
      </w:r>
      <w:r w:rsidRPr="00945F33">
        <w:rPr>
          <w:rFonts w:ascii="Source Sans Pro" w:hAnsi="Source Sans Pro"/>
          <w:lang w:val="en-GB"/>
        </w:rPr>
        <w:t xml:space="preserve"> equally convincing. The intention to challenge some of these conclusions is not to prove they are wrong, but to </w:t>
      </w:r>
      <w:r w:rsidRPr="00945F33" w:rsidR="00C4216E">
        <w:rPr>
          <w:rFonts w:ascii="Source Sans Pro" w:hAnsi="Source Sans Pro"/>
          <w:lang w:val="en-GB"/>
        </w:rPr>
        <w:t>prove that they might not be as sure as the authors claim. Owing to the lack of supportive evidence, we have</w:t>
      </w:r>
      <w:r w:rsidRPr="00945F33">
        <w:rPr>
          <w:rFonts w:ascii="Source Sans Pro" w:hAnsi="Source Sans Pro"/>
          <w:lang w:val="en-GB"/>
        </w:rPr>
        <w:t xml:space="preserve"> reservations </w:t>
      </w:r>
      <w:r w:rsidRPr="00945F33" w:rsidR="00C4216E">
        <w:rPr>
          <w:rFonts w:ascii="Source Sans Pro" w:hAnsi="Source Sans Pro"/>
          <w:lang w:val="en-GB"/>
        </w:rPr>
        <w:t xml:space="preserve">regarding </w:t>
      </w:r>
      <w:r w:rsidRPr="00945F33">
        <w:rPr>
          <w:rFonts w:ascii="Source Sans Pro" w:hAnsi="Source Sans Pro"/>
          <w:lang w:val="en-GB"/>
        </w:rPr>
        <w:t xml:space="preserve">their generalisability. </w:t>
      </w:r>
    </w:p>
    <w:p w:rsidR="00487472" w:rsidRPr="00945F33" w:rsidP="002C2103" w14:paraId="694095FF" w14:textId="14738BDC">
      <w:pPr>
        <w:spacing w:line="360" w:lineRule="auto"/>
        <w:ind w:firstLine="227"/>
        <w:rPr>
          <w:rFonts w:ascii="Source Sans Pro" w:hAnsi="Source Sans Pro"/>
          <w:lang w:val="en-GB"/>
        </w:rPr>
      </w:pPr>
      <w:r w:rsidRPr="00945F33">
        <w:rPr>
          <w:rFonts w:ascii="Source Sans Pro" w:hAnsi="Source Sans Pro"/>
          <w:lang w:val="en-GB"/>
        </w:rPr>
        <w:t>The article concludes that bilinguals whose English proficiency is lacking tend to translanguage for support. While reading bilinguals texts, some emergent participants will shuttle back to Japanese, the L1 in the case, for referen</w:t>
      </w:r>
      <w:r w:rsidRPr="00945F33">
        <w:rPr>
          <w:rFonts w:ascii="Source Sans Pro" w:hAnsi="Source Sans Pro"/>
          <w:lang w:val="en-GB"/>
        </w:rPr>
        <w:t>ce when they cannot make sense of the English texts. Some other emergent bilinguals will employ more compartmental approach, confining Japanese to input, English to output or Japanese to thinking, English to writing.  With higher L2 proficiency, participan</w:t>
      </w:r>
      <w:r w:rsidRPr="00945F33">
        <w:rPr>
          <w:rFonts w:ascii="Source Sans Pro" w:hAnsi="Source Sans Pro"/>
          <w:lang w:val="en-GB"/>
        </w:rPr>
        <w:t xml:space="preserve">ts will also translanguage for expansion, which includes annotation in L2 and lexical level translation.  </w:t>
      </w:r>
    </w:p>
    <w:p w:rsidR="003D6D38" w:rsidRPr="00945F33" w:rsidP="002C2103" w14:paraId="2FC9290D" w14:textId="165D5C2E">
      <w:pPr>
        <w:spacing w:line="360" w:lineRule="auto"/>
        <w:ind w:firstLine="227"/>
        <w:rPr>
          <w:rFonts w:ascii="Source Sans Pro" w:hAnsi="Source Sans Pro"/>
          <w:lang w:val="en-GB"/>
        </w:rPr>
      </w:pPr>
      <w:r w:rsidRPr="00945F33">
        <w:rPr>
          <w:rFonts w:ascii="Source Sans Pro" w:hAnsi="Source Sans Pro"/>
          <w:lang w:val="en-GB"/>
        </w:rPr>
        <w:t>However, experienced bilinguals have a different preference in their translanguaging practices. The article points out that some of them will transla</w:t>
      </w:r>
      <w:r w:rsidRPr="00945F33">
        <w:rPr>
          <w:rFonts w:ascii="Source Sans Pro" w:hAnsi="Source Sans Pro"/>
          <w:lang w:val="en-GB"/>
        </w:rPr>
        <w:t>nguage for strategic expediency.</w:t>
      </w:r>
      <w:r w:rsidRPr="00945F33" w:rsidR="00D26F4C">
        <w:rPr>
          <w:rFonts w:ascii="Source Sans Pro" w:hAnsi="Source Sans Pro"/>
          <w:lang w:val="en-GB"/>
        </w:rPr>
        <w:t xml:space="preserve"> The authors put forward the term pluriliteracies (García </w:t>
      </w:r>
      <w:r w:rsidRPr="00945F33" w:rsidR="00D26F4C">
        <w:rPr>
          <w:rFonts w:ascii="Source Sans Pro" w:hAnsi="Source Sans Pro"/>
          <w:i/>
          <w:iCs/>
          <w:lang w:val="en-GB"/>
        </w:rPr>
        <w:t>et al</w:t>
      </w:r>
      <w:r w:rsidRPr="00945F33" w:rsidR="00D26F4C">
        <w:rPr>
          <w:rFonts w:ascii="Source Sans Pro" w:hAnsi="Source Sans Pro"/>
          <w:lang w:val="en-GB"/>
        </w:rPr>
        <w:t>., 2007) to describe their recognition of fluid language use</w:t>
      </w:r>
      <w:r w:rsidRPr="00945F33" w:rsidR="00D26F4C">
        <w:rPr>
          <w:lang w:val="en-GB"/>
        </w:rPr>
        <w:t xml:space="preserve"> (</w:t>
      </w:r>
      <w:r w:rsidRPr="00945F33" w:rsidR="00D26F4C">
        <w:rPr>
          <w:rFonts w:ascii="Source Sans Pro" w:hAnsi="Source Sans Pro"/>
          <w:lang w:val="en-GB"/>
        </w:rPr>
        <w:t>Cope &amp; Kalantzis, 2000; Kress, 2003).</w:t>
      </w:r>
    </w:p>
    <w:p w:rsidR="00C56C3D" w:rsidRPr="00945F33" w:rsidP="002C2103" w14:paraId="3EC0F443" w14:textId="25DD4435">
      <w:pPr>
        <w:spacing w:line="360" w:lineRule="auto"/>
        <w:ind w:firstLine="227"/>
        <w:rPr>
          <w:rFonts w:ascii="Source Sans Pro" w:hAnsi="Source Sans Pro"/>
          <w:lang w:val="en-GB"/>
        </w:rPr>
      </w:pPr>
      <w:r w:rsidRPr="00945F33">
        <w:rPr>
          <w:rFonts w:ascii="Source Sans Pro" w:hAnsi="Source Sans Pro"/>
          <w:lang w:val="en-GB"/>
        </w:rPr>
        <w:t>This part is what the critique disputes the most. Our challen</w:t>
      </w:r>
      <w:r w:rsidRPr="00945F33">
        <w:rPr>
          <w:rFonts w:ascii="Source Sans Pro" w:hAnsi="Source Sans Pro"/>
          <w:lang w:val="en-GB"/>
        </w:rPr>
        <w:t xml:space="preserve">ge to such a conclusion could be split up as two dimensions: the ambiguous interpretation of the interview and the over-encompassing definition of translanguaging. </w:t>
      </w:r>
    </w:p>
    <w:p w:rsidR="00C56C3D" w:rsidRPr="00945F33" w:rsidP="002C2103" w14:paraId="348E79ED" w14:textId="42322A29">
      <w:pPr>
        <w:spacing w:line="360" w:lineRule="auto"/>
        <w:ind w:firstLine="227"/>
        <w:rPr>
          <w:rFonts w:ascii="Source Sans Pro" w:hAnsi="Source Sans Pro"/>
          <w:lang w:val="en-GB"/>
        </w:rPr>
      </w:pPr>
      <w:r w:rsidRPr="00945F33">
        <w:rPr>
          <w:rFonts w:ascii="Source Sans Pro" w:hAnsi="Source Sans Pro"/>
          <w:lang w:val="en-GB"/>
        </w:rPr>
        <w:t xml:space="preserve">The article concludes </w:t>
      </w:r>
      <w:r w:rsidRPr="00945F33" w:rsidR="005A531E">
        <w:rPr>
          <w:rFonts w:ascii="Source Sans Pro" w:hAnsi="Source Sans Pro"/>
          <w:lang w:val="en-GB"/>
        </w:rPr>
        <w:t>experienced bilinguals</w:t>
      </w:r>
      <w:r w:rsidRPr="00945F33">
        <w:rPr>
          <w:rFonts w:ascii="Source Sans Pro" w:hAnsi="Source Sans Pro"/>
          <w:lang w:val="en-GB"/>
        </w:rPr>
        <w:t xml:space="preserve"> translanguage for strategic expediency and enh</w:t>
      </w:r>
      <w:r w:rsidRPr="00945F33">
        <w:rPr>
          <w:rFonts w:ascii="Source Sans Pro" w:hAnsi="Source Sans Pro"/>
          <w:lang w:val="en-GB"/>
        </w:rPr>
        <w:t xml:space="preserve">ancement. Nevertheless, an intensive rereading seems to suggest </w:t>
      </w:r>
      <w:r w:rsidRPr="00945F33" w:rsidR="005A531E">
        <w:rPr>
          <w:rFonts w:ascii="Source Sans Pro" w:hAnsi="Source Sans Pro"/>
          <w:lang w:val="en-GB"/>
        </w:rPr>
        <w:t>that it is not the entire story.</w:t>
      </w:r>
      <w:r w:rsidRPr="00945F33" w:rsidR="005A53D6">
        <w:rPr>
          <w:rFonts w:ascii="Source Sans Pro" w:hAnsi="Source Sans Pro"/>
          <w:lang w:val="en-GB"/>
        </w:rPr>
        <w:t xml:space="preserve"> The interview does not display any proof that the experienced bilinguals draw on </w:t>
      </w:r>
      <w:r w:rsidRPr="00945F33" w:rsidR="005A53D6">
        <w:rPr>
          <w:rFonts w:ascii="Source Sans Pro" w:hAnsi="Source Sans Pro"/>
          <w:lang w:val="en-GB"/>
        </w:rPr>
        <w:t>other semiotic resources in their thinking. Quite the contrary, w</w:t>
      </w:r>
      <w:r w:rsidRPr="00945F33" w:rsidR="005A531E">
        <w:rPr>
          <w:rFonts w:ascii="Source Sans Pro" w:hAnsi="Source Sans Pro"/>
          <w:lang w:val="en-GB"/>
        </w:rPr>
        <w:t xml:space="preserve">hen asked, the participants respond that they tend to think in the same language as the one used as a medium of instruction. That is, they think in English if they are taught in English. </w:t>
      </w:r>
      <w:r w:rsidRPr="00945F33" w:rsidR="00D77B20">
        <w:rPr>
          <w:rFonts w:ascii="Source Sans Pro" w:hAnsi="Source Sans Pro"/>
          <w:lang w:val="en-GB"/>
        </w:rPr>
        <w:t>The critique, therefore, argues it is not accurate to label this situation as "translanguaging for strategic expediency" when there are no elements of translanguaging involved.</w:t>
      </w:r>
    </w:p>
    <w:p w:rsidR="005769C6" w:rsidRPr="00945F33" w:rsidP="002C2103" w14:paraId="3A8AE56E" w14:textId="34E58DDE">
      <w:pPr>
        <w:spacing w:line="360" w:lineRule="auto"/>
        <w:ind w:firstLine="227"/>
        <w:rPr>
          <w:rFonts w:ascii="Source Sans Pro" w:eastAsia="PingFang TC" w:hAnsi="Source Sans Pro" w:cs="PingFang TC"/>
          <w:lang w:val="en-GB"/>
        </w:rPr>
      </w:pPr>
      <w:r w:rsidRPr="00945F33">
        <w:rPr>
          <w:rFonts w:ascii="Source Sans Pro" w:hAnsi="Source Sans Pro"/>
          <w:lang w:val="en-GB"/>
        </w:rPr>
        <w:t>Also,</w:t>
      </w:r>
      <w:r w:rsidRPr="00945F33" w:rsidR="00D77B20">
        <w:rPr>
          <w:rFonts w:ascii="Source Sans Pro" w:hAnsi="Source Sans Pro"/>
          <w:lang w:val="en-GB"/>
        </w:rPr>
        <w:t xml:space="preserve"> during the interview, the participants responded that they would make use of </w:t>
      </w:r>
      <w:r w:rsidRPr="00945F33" w:rsidR="003B74DE">
        <w:rPr>
          <w:rFonts w:ascii="Source Sans Pro" w:hAnsi="Source Sans Pro"/>
          <w:lang w:val="en-GB"/>
        </w:rPr>
        <w:t xml:space="preserve">the </w:t>
      </w:r>
      <w:r w:rsidRPr="00945F33" w:rsidR="00B62B17">
        <w:rPr>
          <w:rFonts w:ascii="Source Sans Pro" w:hAnsi="Source Sans Pro"/>
          <w:lang w:val="en-GB"/>
        </w:rPr>
        <w:t>bilingual resources to facilitate their learning. They either “search in two languages” or “translate what the teacher says”</w:t>
      </w:r>
      <w:r w:rsidRPr="00945F33" w:rsidR="003B74DE">
        <w:rPr>
          <w:rFonts w:ascii="Source Sans Pro" w:eastAsia="PingFang TC" w:hAnsi="Source Sans Pro" w:cs="PingFang TC"/>
          <w:lang w:val="en-GB"/>
        </w:rPr>
        <w:t xml:space="preserve">. The authors characterise such action as "translanguaging for enhancement". However, </w:t>
      </w:r>
      <w:r w:rsidRPr="00945F33">
        <w:rPr>
          <w:rFonts w:ascii="Source Sans Pro" w:eastAsia="PingFang TC" w:hAnsi="Source Sans Pro" w:cs="PingFang TC"/>
          <w:lang w:val="en-GB"/>
        </w:rPr>
        <w:t>deep down, the participants distribute their two languages to different situations for different purposes under different circumstances. Rather than labelling it as translanguaging, it is closer to what Cummins calls “the two solitudes” (2007). The two sol</w:t>
      </w:r>
      <w:r w:rsidRPr="00945F33">
        <w:rPr>
          <w:rFonts w:ascii="Source Sans Pro" w:eastAsia="PingFang TC" w:hAnsi="Source Sans Pro" w:cs="PingFang TC"/>
          <w:lang w:val="en-GB"/>
        </w:rPr>
        <w:t xml:space="preserve">itudes are indicative of the fact that participants regard </w:t>
      </w:r>
      <w:r w:rsidRPr="00945F33" w:rsidR="00B16340">
        <w:rPr>
          <w:rFonts w:ascii="Source Sans Pro" w:eastAsia="PingFang TC" w:hAnsi="Source Sans Pro" w:cs="PingFang TC"/>
          <w:lang w:val="en-GB"/>
        </w:rPr>
        <w:t xml:space="preserve">the boundary of the two languages as distinct. There is no evidence that participants make a fluid or hybrid use of language. It is therefore undeserving of the name of translanguaging and </w:t>
      </w:r>
      <w:r w:rsidRPr="00945F33">
        <w:rPr>
          <w:rFonts w:ascii="Source Sans Pro" w:eastAsia="PingFang TC" w:hAnsi="Source Sans Pro" w:cs="PingFang TC"/>
          <w:lang w:val="en-GB"/>
        </w:rPr>
        <w:t xml:space="preserve">could </w:t>
      </w:r>
      <w:r w:rsidRPr="00945F33" w:rsidR="00B16340">
        <w:rPr>
          <w:rFonts w:ascii="Source Sans Pro" w:eastAsia="PingFang TC" w:hAnsi="Source Sans Pro" w:cs="PingFang TC"/>
          <w:lang w:val="en-GB"/>
        </w:rPr>
        <w:t xml:space="preserve">be explained </w:t>
      </w:r>
      <w:r w:rsidRPr="00945F33">
        <w:rPr>
          <w:rFonts w:ascii="Source Sans Pro" w:eastAsia="PingFang TC" w:hAnsi="Source Sans Pro" w:cs="PingFang TC"/>
          <w:lang w:val="en-GB"/>
        </w:rPr>
        <w:t>as translation or code-switching</w:t>
      </w:r>
      <w:r w:rsidRPr="00945F33" w:rsidR="00B16340">
        <w:rPr>
          <w:rFonts w:ascii="Source Sans Pro" w:eastAsia="PingFang TC" w:hAnsi="Source Sans Pro" w:cs="PingFang TC"/>
          <w:lang w:val="en-GB"/>
        </w:rPr>
        <w:t xml:space="preserve">. </w:t>
      </w:r>
      <w:r w:rsidRPr="00945F33">
        <w:rPr>
          <w:rFonts w:ascii="Source Sans Pro" w:eastAsia="PingFang TC" w:hAnsi="Source Sans Pro" w:cs="PingFang TC"/>
          <w:lang w:val="en-GB"/>
        </w:rPr>
        <w:t>Even though the authors manage to encompass such compartmentalised use of bilingual resources under the term, they do so by inflating its definition. Furthermore, as we have discussed in the critique of literatu</w:t>
      </w:r>
      <w:r w:rsidRPr="00945F33">
        <w:rPr>
          <w:rFonts w:ascii="Source Sans Pro" w:eastAsia="PingFang TC" w:hAnsi="Source Sans Pro" w:cs="PingFang TC"/>
          <w:lang w:val="en-GB"/>
        </w:rPr>
        <w:t xml:space="preserve">re, </w:t>
      </w:r>
      <w:r w:rsidRPr="00945F33" w:rsidR="00B16340">
        <w:rPr>
          <w:rFonts w:ascii="Source Sans Pro" w:eastAsia="PingFang TC" w:hAnsi="Source Sans Pro" w:cs="PingFang TC"/>
          <w:lang w:val="en-GB"/>
        </w:rPr>
        <w:t xml:space="preserve">there is a price for </w:t>
      </w:r>
      <w:r w:rsidRPr="00945F33">
        <w:rPr>
          <w:rFonts w:ascii="Source Sans Pro" w:eastAsia="PingFang TC" w:hAnsi="Source Sans Pro" w:cs="PingFang TC"/>
          <w:lang w:val="en-GB"/>
        </w:rPr>
        <w:t>the definition inflation</w:t>
      </w:r>
      <w:r w:rsidRPr="00945F33" w:rsidR="00B16340">
        <w:rPr>
          <w:rFonts w:ascii="Source Sans Pro" w:eastAsia="PingFang TC" w:hAnsi="Source Sans Pro" w:cs="PingFang TC"/>
          <w:lang w:val="en-GB"/>
        </w:rPr>
        <w:t>: it will confus</w:t>
      </w:r>
      <w:r w:rsidRPr="00945F33" w:rsidR="00DB2F10">
        <w:rPr>
          <w:rFonts w:ascii="Source Sans Pro" w:eastAsia="PingFang TC" w:hAnsi="Source Sans Pro" w:cs="PingFang TC"/>
          <w:lang w:val="en-GB"/>
        </w:rPr>
        <w:t>e, and its explanatory power will wane as no one knows to what the term refers explicitly.</w:t>
      </w:r>
    </w:p>
    <w:p w:rsidR="00DB2F10" w:rsidRPr="00945F33" w:rsidP="002C2103" w14:paraId="658046B4" w14:textId="05255C0F">
      <w:pPr>
        <w:spacing w:line="360" w:lineRule="auto"/>
        <w:ind w:firstLine="227"/>
        <w:rPr>
          <w:rFonts w:ascii="Source Sans Pro" w:eastAsia="PingFang TC" w:hAnsi="Source Sans Pro" w:cs="PingFang TC"/>
          <w:lang w:val="en-GB"/>
        </w:rPr>
      </w:pPr>
    </w:p>
    <w:p w:rsidR="007025FA" w:rsidRPr="00A17A77" w:rsidP="00A17A77" w14:paraId="5F31BEAB" w14:textId="5B522C5A">
      <w:pPr>
        <w:spacing w:line="360" w:lineRule="auto"/>
        <w:ind w:firstLine="227"/>
        <w:rPr>
          <w:rFonts w:ascii="Source Sans Pro" w:eastAsia="PingFang TC" w:hAnsi="Source Sans Pro" w:cs="PingFang TC"/>
          <w:b/>
          <w:bCs/>
          <w:lang w:val="en-GB"/>
        </w:rPr>
      </w:pPr>
      <w:r w:rsidRPr="00945F33">
        <w:rPr>
          <w:rFonts w:ascii="Source Sans Pro" w:eastAsia="PingFang TC" w:hAnsi="Source Sans Pro" w:cs="PingFang TC"/>
          <w:b/>
          <w:bCs/>
          <w:lang w:val="en-GB"/>
        </w:rPr>
        <w:t>Conclusion</w:t>
      </w:r>
    </w:p>
    <w:p w:rsidR="007025FA" w:rsidRPr="00945F33" w:rsidP="002C2103" w14:paraId="126C8B0D" w14:textId="504FB13D">
      <w:pPr>
        <w:spacing w:line="360" w:lineRule="auto"/>
        <w:ind w:firstLine="227"/>
        <w:rPr>
          <w:rFonts w:ascii="Source Sans Pro" w:hAnsi="Source Sans Pro"/>
          <w:color w:val="000000"/>
          <w:lang w:val="en-GB"/>
        </w:rPr>
      </w:pPr>
      <w:r w:rsidRPr="00945F33">
        <w:rPr>
          <w:rFonts w:ascii="Source Sans Pro" w:hAnsi="Source Sans Pro"/>
          <w:color w:val="000000"/>
          <w:lang w:val="en-GB"/>
        </w:rPr>
        <w:t xml:space="preserve">By discovering the weakness in this empirical study, the critique argues for revisiting some of the conclusions that have been accepted as conventional wisdom, such as the claims that experienced English speakers translanguage for strategic expediency and </w:t>
      </w:r>
      <w:r w:rsidRPr="00945F33">
        <w:rPr>
          <w:rFonts w:ascii="Source Sans Pro" w:hAnsi="Source Sans Pro"/>
          <w:color w:val="000000"/>
          <w:lang w:val="en-GB"/>
        </w:rPr>
        <w:t xml:space="preserve">enhancement. Even though it is not the intention of this critique to challenge the reliability of the conclusion as mentioned above, we do advocate for more supportive evidence and mix method researches to validate such a general claim truly. </w:t>
      </w:r>
      <w:r w:rsidR="008B5F72">
        <w:rPr>
          <w:rFonts w:ascii="Source Sans Pro" w:hAnsi="Source Sans Pro"/>
          <w:color w:val="000000"/>
          <w:lang w:val="en-GB"/>
        </w:rPr>
        <w:t>Most importantly, the critique concerns the meaning inflation of translanguaging and argues that its meaning should be scaled down precisely in the context.
</w:t>
      </w:r>
    </w:p>
    <w:p w:rsidR="00A47A15" w:rsidRPr="00945F33" w:rsidP="002C2103" w14:paraId="249D7FCE" w14:textId="77777777">
      <w:pPr>
        <w:spacing w:line="360" w:lineRule="auto"/>
        <w:ind w:firstLine="227"/>
        <w:rPr>
          <w:rFonts w:ascii="Source Sans Pro" w:hAnsi="Source Sans Pro" w:cs="Arial"/>
          <w:color w:val="C00000"/>
          <w:lang w:val="en-GB"/>
        </w:rPr>
      </w:pPr>
    </w:p>
    <w:p w:rsidR="00A17A77" w:rsidRPr="00945F33" w:rsidP="008B5F72" w14:paraId="19419CC7" w14:textId="77777777">
      <w:pPr>
        <w:spacing w:line="360" w:lineRule="auto"/>
        <w:rPr>
          <w:rFonts w:ascii="Source Sans Pro" w:hAnsi="Source Sans Pro" w:cs="Arial"/>
          <w:color w:val="C00000"/>
          <w:lang w:val="en-GB"/>
        </w:rPr>
      </w:pPr>
    </w:p>
    <w:p w:rsidR="00BF4C06" w:rsidRPr="00DC318E" w:rsidP="00DC318E" w14:paraId="31A1DC42" w14:textId="34ED82BE">
      <w:pPr>
        <w:spacing w:line="360" w:lineRule="auto"/>
        <w:ind w:firstLine="227"/>
        <w:rPr>
          <w:rFonts w:ascii="Source Sans Pro" w:hAnsi="Source Sans Pro" w:cs="Arial"/>
          <w:b/>
          <w:bCs/>
          <w:color w:val="000000" w:themeColor="text1"/>
          <w:lang w:val="en-GB"/>
        </w:rPr>
      </w:pPr>
      <w:r w:rsidRPr="00DC318E">
        <w:rPr>
          <w:rFonts w:ascii="Source Sans Pro" w:hAnsi="Source Sans Pro" w:cs="Arial"/>
          <w:b/>
          <w:bCs/>
          <w:color w:val="000000" w:themeColor="text1"/>
          <w:lang w:val="en-GB"/>
        </w:rPr>
        <w:t>Reference</w:t>
      </w:r>
    </w:p>
    <w:p w:rsidR="00DC318E" w:rsidRPr="00DC318E" w:rsidP="00DC318E" w14:paraId="607B3E57" w14:textId="77777777">
      <w:pPr>
        <w:pStyle w:val="ListParagraph"/>
        <w:numPr>
          <w:ilvl w:val="0"/>
          <w:numId w:val="45"/>
        </w:numPr>
        <w:spacing w:line="360" w:lineRule="auto"/>
        <w:rPr>
          <w:rFonts w:ascii="Source Sans Pro" w:hAnsi="Source Sans Pro"/>
        </w:rPr>
      </w:pPr>
      <w:r w:rsidRPr="00DC318E">
        <w:rPr>
          <w:rFonts w:ascii="Source Sans Pro" w:hAnsi="Source Sans Pro" w:cs="Arial"/>
          <w:color w:val="222222"/>
          <w:shd w:val="clear" w:color="auto" w:fill="FFFFFF"/>
        </w:rPr>
        <w:t xml:space="preserve">Auld, G., </w:t>
      </w:r>
      <w:r w:rsidRPr="00DC318E">
        <w:rPr>
          <w:rFonts w:ascii="Source Sans Pro" w:hAnsi="Source Sans Pro" w:cs="Arial"/>
          <w:color w:val="222222"/>
          <w:shd w:val="clear" w:color="auto" w:fill="FFFFFF"/>
        </w:rPr>
        <w:t>Djabibba</w:t>
      </w:r>
      <w:r w:rsidRPr="00DC318E">
        <w:rPr>
          <w:rFonts w:ascii="Source Sans Pro" w:hAnsi="Source Sans Pro" w:cs="Arial"/>
          <w:color w:val="222222"/>
          <w:shd w:val="clear" w:color="auto" w:fill="FFFFFF"/>
        </w:rPr>
        <w:t>, L. and O'Mara, J., 2020. Translanguaging: Towards a strength-based literacy curriculum.</w:t>
      </w:r>
      <w:r w:rsidRPr="00DC318E">
        <w:rPr>
          <w:rStyle w:val="apple-converted-space"/>
          <w:rFonts w:ascii="Source Sans Pro" w:hAnsi="Source Sans Pro" w:eastAsiaTheme="minorEastAsia" w:cs="Arial"/>
          <w:color w:val="222222"/>
          <w:shd w:val="clear" w:color="auto" w:fill="FFFFFF"/>
        </w:rPr>
        <w:t> </w:t>
      </w:r>
      <w:r w:rsidRPr="00DC318E">
        <w:rPr>
          <w:rFonts w:ascii="Source Sans Pro" w:hAnsi="Source Sans Pro" w:cs="Arial"/>
          <w:i/>
          <w:iCs/>
          <w:color w:val="222222"/>
        </w:rPr>
        <w:t>Literacy Learning: The Middle Years</w:t>
      </w:r>
      <w:r w:rsidRPr="00DC318E">
        <w:rPr>
          <w:rFonts w:ascii="Source Sans Pro" w:hAnsi="Source Sans Pro" w:cs="Arial"/>
          <w:color w:val="222222"/>
          <w:shd w:val="clear" w:color="auto" w:fill="FFFFFF"/>
        </w:rPr>
        <w:t>,</w:t>
      </w:r>
      <w:r w:rsidRPr="00DC318E">
        <w:rPr>
          <w:rStyle w:val="apple-converted-space"/>
          <w:rFonts w:ascii="Source Sans Pro" w:hAnsi="Source Sans Pro" w:eastAsiaTheme="minorEastAsia" w:cs="Arial"/>
          <w:color w:val="222222"/>
          <w:shd w:val="clear" w:color="auto" w:fill="FFFFFF"/>
        </w:rPr>
        <w:t> </w:t>
      </w:r>
      <w:r w:rsidRPr="00DC318E">
        <w:rPr>
          <w:rFonts w:ascii="Source Sans Pro" w:hAnsi="Source Sans Pro" w:cs="Arial"/>
          <w:i/>
          <w:iCs/>
          <w:color w:val="222222"/>
        </w:rPr>
        <w:t>28</w:t>
      </w:r>
      <w:r w:rsidRPr="00DC318E">
        <w:rPr>
          <w:rFonts w:ascii="Source Sans Pro" w:hAnsi="Source Sans Pro" w:cs="Arial"/>
          <w:color w:val="222222"/>
          <w:shd w:val="clear" w:color="auto" w:fill="FFFFFF"/>
        </w:rPr>
        <w:t>(1).</w:t>
      </w:r>
    </w:p>
    <w:p w:rsidR="00DC318E" w:rsidRPr="00DC318E" w:rsidP="00DC318E" w14:paraId="2F293C10" w14:textId="77777777">
      <w:pPr>
        <w:pStyle w:val="ListParagraph"/>
        <w:numPr>
          <w:ilvl w:val="0"/>
          <w:numId w:val="45"/>
        </w:numPr>
        <w:spacing w:line="360" w:lineRule="auto"/>
        <w:rPr>
          <w:rFonts w:ascii="Source Sans Pro" w:hAnsi="Source Sans Pro"/>
        </w:rPr>
      </w:pPr>
      <w:r w:rsidRPr="00DC318E">
        <w:rPr>
          <w:rFonts w:ascii="Source Sans Pro" w:hAnsi="Source Sans Pro" w:cs="Arial"/>
          <w:color w:val="222222"/>
          <w:shd w:val="clear" w:color="auto" w:fill="FFFFFF"/>
        </w:rPr>
        <w:t>Baker, C., 2011.</w:t>
      </w:r>
      <w:r w:rsidRPr="00DC318E">
        <w:rPr>
          <w:rStyle w:val="apple-converted-space"/>
          <w:rFonts w:ascii="Source Sans Pro" w:hAnsi="Source Sans Pro" w:eastAsiaTheme="minorEastAsia" w:cs="Arial"/>
          <w:color w:val="222222"/>
          <w:shd w:val="clear" w:color="auto" w:fill="FFFFFF"/>
        </w:rPr>
        <w:t> </w:t>
      </w:r>
      <w:r w:rsidRPr="00DC318E">
        <w:rPr>
          <w:rFonts w:ascii="Source Sans Pro" w:hAnsi="Source Sans Pro" w:cs="Arial"/>
          <w:i/>
          <w:iCs/>
          <w:color w:val="222222"/>
        </w:rPr>
        <w:t>Foundations of bilingual education and bilingualism</w:t>
      </w:r>
      <w:r w:rsidRPr="00DC318E">
        <w:rPr>
          <w:rStyle w:val="apple-converted-space"/>
          <w:rFonts w:ascii="Source Sans Pro" w:hAnsi="Source Sans Pro" w:eastAsiaTheme="minorEastAsia" w:cs="Arial"/>
          <w:color w:val="222222"/>
          <w:shd w:val="clear" w:color="auto" w:fill="FFFFFF"/>
        </w:rPr>
        <w:t> </w:t>
      </w:r>
      <w:r w:rsidRPr="00DC318E">
        <w:rPr>
          <w:rFonts w:ascii="Source Sans Pro" w:hAnsi="Source Sans Pro" w:cs="Arial"/>
          <w:color w:val="222222"/>
          <w:shd w:val="clear" w:color="auto" w:fill="FFFFFF"/>
        </w:rPr>
        <w:t>(Vol. 79). Multilingual matters.</w:t>
      </w:r>
    </w:p>
    <w:p w:rsidR="00DC318E" w:rsidRPr="00DC318E" w:rsidP="00DC318E" w14:paraId="60319D2C" w14:textId="77777777">
      <w:pPr>
        <w:pStyle w:val="ListParagraph"/>
        <w:numPr>
          <w:ilvl w:val="0"/>
          <w:numId w:val="45"/>
        </w:numPr>
        <w:spacing w:line="360" w:lineRule="auto"/>
        <w:rPr>
          <w:rFonts w:ascii="Source Sans Pro" w:hAnsi="Source Sans Pro"/>
        </w:rPr>
      </w:pPr>
      <w:r w:rsidRPr="00DC318E">
        <w:rPr>
          <w:rFonts w:ascii="Source Sans Pro" w:hAnsi="Source Sans Pro" w:cs="Arial"/>
          <w:color w:val="222222"/>
          <w:shd w:val="clear" w:color="auto" w:fill="FFFFFF"/>
        </w:rPr>
        <w:t>Blackledge, A. and Creese, A., 2010.</w:t>
      </w:r>
      <w:r w:rsidRPr="00DC318E">
        <w:rPr>
          <w:rStyle w:val="apple-converted-space"/>
          <w:rFonts w:ascii="Source Sans Pro" w:hAnsi="Source Sans Pro" w:eastAsiaTheme="minorEastAsia" w:cs="Arial"/>
          <w:color w:val="222222"/>
          <w:shd w:val="clear" w:color="auto" w:fill="FFFFFF"/>
        </w:rPr>
        <w:t> </w:t>
      </w:r>
      <w:r w:rsidRPr="00DC318E">
        <w:rPr>
          <w:rFonts w:ascii="Source Sans Pro" w:hAnsi="Source Sans Pro" w:cs="Arial"/>
          <w:i/>
          <w:iCs/>
          <w:color w:val="222222"/>
        </w:rPr>
        <w:t>Multilingualism: A critical perspective</w:t>
      </w:r>
      <w:r w:rsidRPr="00DC318E">
        <w:rPr>
          <w:rFonts w:ascii="Source Sans Pro" w:hAnsi="Source Sans Pro" w:cs="Arial"/>
          <w:color w:val="222222"/>
          <w:shd w:val="clear" w:color="auto" w:fill="FFFFFF"/>
        </w:rPr>
        <w:t>. Bloomsbury Publishing.</w:t>
      </w:r>
    </w:p>
    <w:p w:rsidR="00DC318E" w:rsidRPr="00DC318E" w:rsidP="00DC318E" w14:paraId="210AEFB4" w14:textId="77777777">
      <w:pPr>
        <w:pStyle w:val="ListParagraph"/>
        <w:numPr>
          <w:ilvl w:val="0"/>
          <w:numId w:val="45"/>
        </w:numPr>
        <w:spacing w:line="360" w:lineRule="auto"/>
        <w:rPr>
          <w:rFonts w:ascii="Source Sans Pro" w:hAnsi="Source Sans Pro"/>
        </w:rPr>
      </w:pPr>
      <w:r w:rsidRPr="00DC318E">
        <w:rPr>
          <w:rFonts w:ascii="Source Sans Pro" w:hAnsi="Source Sans Pro" w:cs="Arial"/>
          <w:color w:val="222222"/>
          <w:shd w:val="clear" w:color="auto" w:fill="FFFFFF"/>
        </w:rPr>
        <w:t xml:space="preserve">Cope, B. and </w:t>
      </w:r>
      <w:r w:rsidRPr="00DC318E">
        <w:rPr>
          <w:rFonts w:ascii="Source Sans Pro" w:hAnsi="Source Sans Pro" w:cs="Arial"/>
          <w:color w:val="222222"/>
          <w:shd w:val="clear" w:color="auto" w:fill="FFFFFF"/>
        </w:rPr>
        <w:t>Kalantzis</w:t>
      </w:r>
      <w:r w:rsidRPr="00DC318E">
        <w:rPr>
          <w:rFonts w:ascii="Source Sans Pro" w:hAnsi="Source Sans Pro" w:cs="Arial"/>
          <w:color w:val="222222"/>
          <w:shd w:val="clear" w:color="auto" w:fill="FFFFFF"/>
        </w:rPr>
        <w:t>, M. eds., 2000.</w:t>
      </w:r>
      <w:r w:rsidRPr="00DC318E">
        <w:rPr>
          <w:rStyle w:val="apple-converted-space"/>
          <w:rFonts w:ascii="Source Sans Pro" w:hAnsi="Source Sans Pro" w:eastAsiaTheme="minorEastAsia" w:cs="Arial"/>
          <w:color w:val="222222"/>
          <w:shd w:val="clear" w:color="auto" w:fill="FFFFFF"/>
        </w:rPr>
        <w:t> </w:t>
      </w:r>
      <w:r w:rsidRPr="00DC318E">
        <w:rPr>
          <w:rFonts w:ascii="Source Sans Pro" w:hAnsi="Source Sans Pro" w:cs="Arial"/>
          <w:i/>
          <w:iCs/>
          <w:color w:val="222222"/>
        </w:rPr>
        <w:t>Multiliteracies: Literacy learning and the design of social futures</w:t>
      </w:r>
      <w:r w:rsidRPr="00DC318E">
        <w:rPr>
          <w:rFonts w:ascii="Source Sans Pro" w:hAnsi="Source Sans Pro" w:cs="Arial"/>
          <w:color w:val="222222"/>
          <w:shd w:val="clear" w:color="auto" w:fill="FFFFFF"/>
        </w:rPr>
        <w:t>. Psychology Press</w:t>
      </w:r>
    </w:p>
    <w:p w:rsidR="00DC318E" w:rsidRPr="00DC318E" w:rsidP="00DC318E" w14:paraId="1AE17FD9" w14:textId="77777777">
      <w:pPr>
        <w:pStyle w:val="ListParagraph"/>
        <w:numPr>
          <w:ilvl w:val="0"/>
          <w:numId w:val="45"/>
        </w:numPr>
        <w:spacing w:line="360" w:lineRule="auto"/>
        <w:rPr>
          <w:rFonts w:ascii="Source Sans Pro" w:hAnsi="Source Sans Pro"/>
        </w:rPr>
      </w:pPr>
      <w:r w:rsidRPr="00DC318E">
        <w:rPr>
          <w:rFonts w:ascii="Source Sans Pro" w:hAnsi="Source Sans Pro" w:cs="Arial"/>
          <w:color w:val="222222"/>
          <w:shd w:val="clear" w:color="auto" w:fill="FFFFFF"/>
        </w:rPr>
        <w:t>Cummins, J., 2007. Rethinking monolingual instructional strategies in multilingual classrooms.</w:t>
      </w:r>
      <w:r w:rsidRPr="00DC318E">
        <w:rPr>
          <w:rStyle w:val="apple-converted-space"/>
          <w:rFonts w:ascii="Source Sans Pro" w:hAnsi="Source Sans Pro" w:eastAsiaTheme="minorEastAsia" w:cs="Arial"/>
          <w:color w:val="222222"/>
          <w:shd w:val="clear" w:color="auto" w:fill="FFFFFF"/>
        </w:rPr>
        <w:t> </w:t>
      </w:r>
      <w:r w:rsidRPr="00DC318E">
        <w:rPr>
          <w:rFonts w:ascii="Source Sans Pro" w:hAnsi="Source Sans Pro" w:cs="Arial"/>
          <w:i/>
          <w:iCs/>
          <w:color w:val="222222"/>
        </w:rPr>
        <w:t>Canadian Journal of Applied Linguistics</w:t>
      </w:r>
      <w:r w:rsidRPr="00DC318E">
        <w:rPr>
          <w:rFonts w:ascii="Source Sans Pro" w:hAnsi="Source Sans Pro" w:cs="Arial"/>
          <w:color w:val="222222"/>
          <w:shd w:val="clear" w:color="auto" w:fill="FFFFFF"/>
        </w:rPr>
        <w:t>,</w:t>
      </w:r>
      <w:r w:rsidRPr="00DC318E">
        <w:rPr>
          <w:rStyle w:val="apple-converted-space"/>
          <w:rFonts w:ascii="Source Sans Pro" w:hAnsi="Source Sans Pro" w:eastAsiaTheme="minorEastAsia" w:cs="Arial"/>
          <w:color w:val="222222"/>
          <w:shd w:val="clear" w:color="auto" w:fill="FFFFFF"/>
        </w:rPr>
        <w:t> </w:t>
      </w:r>
      <w:r w:rsidRPr="00DC318E">
        <w:rPr>
          <w:rFonts w:ascii="Source Sans Pro" w:hAnsi="Source Sans Pro" w:cs="Arial"/>
          <w:i/>
          <w:iCs/>
          <w:color w:val="222222"/>
        </w:rPr>
        <w:t>10</w:t>
      </w:r>
      <w:r w:rsidRPr="00DC318E">
        <w:rPr>
          <w:rFonts w:ascii="Source Sans Pro" w:hAnsi="Source Sans Pro" w:cs="Arial"/>
          <w:color w:val="222222"/>
          <w:shd w:val="clear" w:color="auto" w:fill="FFFFFF"/>
        </w:rPr>
        <w:t>(2), pp.221-240.</w:t>
      </w:r>
    </w:p>
    <w:p w:rsidR="00DC318E" w:rsidRPr="00DC318E" w:rsidP="00DC318E" w14:paraId="23FBFE92" w14:textId="77777777">
      <w:pPr>
        <w:pStyle w:val="ListParagraph"/>
        <w:numPr>
          <w:ilvl w:val="0"/>
          <w:numId w:val="45"/>
        </w:numPr>
        <w:spacing w:line="360" w:lineRule="auto"/>
        <w:rPr>
          <w:rFonts w:ascii="Source Sans Pro" w:hAnsi="Source Sans Pro"/>
        </w:rPr>
      </w:pPr>
      <w:r w:rsidRPr="00DC318E">
        <w:rPr>
          <w:rFonts w:ascii="Source Sans Pro" w:hAnsi="Source Sans Pro" w:cs="Arial"/>
          <w:color w:val="222222"/>
          <w:shd w:val="clear" w:color="auto" w:fill="FFFFFF"/>
        </w:rPr>
        <w:t>Canagarajah</w:t>
      </w:r>
      <w:r w:rsidRPr="00DC318E">
        <w:rPr>
          <w:rFonts w:ascii="Source Sans Pro" w:hAnsi="Source Sans Pro" w:cs="Arial"/>
          <w:color w:val="222222"/>
          <w:shd w:val="clear" w:color="auto" w:fill="FFFFFF"/>
        </w:rPr>
        <w:t xml:space="preserve">, S., 2011. </w:t>
      </w:r>
      <w:r w:rsidRPr="00DC318E">
        <w:rPr>
          <w:rFonts w:ascii="Source Sans Pro" w:hAnsi="Source Sans Pro" w:cs="Arial"/>
          <w:color w:val="222222"/>
          <w:shd w:val="clear" w:color="auto" w:fill="FFFFFF"/>
        </w:rPr>
        <w:t>Codemeshing</w:t>
      </w:r>
      <w:r w:rsidRPr="00DC318E">
        <w:rPr>
          <w:rFonts w:ascii="Source Sans Pro" w:hAnsi="Source Sans Pro" w:cs="Arial"/>
          <w:color w:val="222222"/>
          <w:shd w:val="clear" w:color="auto" w:fill="FFFFFF"/>
        </w:rPr>
        <w:t xml:space="preserve"> in academic writing: Identifying teachable strategies of translanguaging.</w:t>
      </w:r>
      <w:r w:rsidRPr="00DC318E">
        <w:rPr>
          <w:rStyle w:val="apple-converted-space"/>
          <w:rFonts w:ascii="Source Sans Pro" w:hAnsi="Source Sans Pro" w:eastAsiaTheme="minorEastAsia" w:cs="Arial"/>
          <w:color w:val="222222"/>
          <w:shd w:val="clear" w:color="auto" w:fill="FFFFFF"/>
        </w:rPr>
        <w:t> </w:t>
      </w:r>
      <w:r w:rsidRPr="00DC318E">
        <w:rPr>
          <w:rFonts w:ascii="Source Sans Pro" w:hAnsi="Source Sans Pro" w:cs="Arial"/>
          <w:i/>
          <w:iCs/>
          <w:color w:val="222222"/>
        </w:rPr>
        <w:t>The Modern Language Journal</w:t>
      </w:r>
      <w:r w:rsidRPr="00DC318E">
        <w:rPr>
          <w:rFonts w:ascii="Source Sans Pro" w:hAnsi="Source Sans Pro" w:cs="Arial"/>
          <w:color w:val="222222"/>
          <w:shd w:val="clear" w:color="auto" w:fill="FFFFFF"/>
        </w:rPr>
        <w:t>,</w:t>
      </w:r>
      <w:r w:rsidRPr="00DC318E">
        <w:rPr>
          <w:rStyle w:val="apple-converted-space"/>
          <w:rFonts w:ascii="Source Sans Pro" w:hAnsi="Source Sans Pro" w:eastAsiaTheme="minorEastAsia" w:cs="Arial"/>
          <w:color w:val="222222"/>
          <w:shd w:val="clear" w:color="auto" w:fill="FFFFFF"/>
        </w:rPr>
        <w:t> </w:t>
      </w:r>
      <w:r w:rsidRPr="00DC318E">
        <w:rPr>
          <w:rFonts w:ascii="Source Sans Pro" w:hAnsi="Source Sans Pro" w:cs="Arial"/>
          <w:i/>
          <w:iCs/>
          <w:color w:val="222222"/>
        </w:rPr>
        <w:t>95</w:t>
      </w:r>
      <w:r w:rsidRPr="00DC318E">
        <w:rPr>
          <w:rFonts w:ascii="Source Sans Pro" w:hAnsi="Source Sans Pro" w:cs="Arial"/>
          <w:color w:val="222222"/>
          <w:shd w:val="clear" w:color="auto" w:fill="FFFFFF"/>
        </w:rPr>
        <w:t>(3), pp.401-417.</w:t>
      </w:r>
    </w:p>
    <w:p w:rsidR="00DC318E" w:rsidRPr="00DC318E" w:rsidP="00DC318E" w14:paraId="1561DEDD" w14:textId="77777777">
      <w:pPr>
        <w:pStyle w:val="ListParagraph"/>
        <w:numPr>
          <w:ilvl w:val="0"/>
          <w:numId w:val="45"/>
        </w:numPr>
        <w:spacing w:line="360" w:lineRule="auto"/>
        <w:rPr>
          <w:rFonts w:ascii="Source Sans Pro" w:hAnsi="Source Sans Pro"/>
        </w:rPr>
      </w:pPr>
      <w:r w:rsidRPr="00DC318E">
        <w:rPr>
          <w:rFonts w:ascii="Source Sans Pro" w:hAnsi="Source Sans Pro" w:cs="Arial"/>
          <w:color w:val="222222"/>
          <w:shd w:val="clear" w:color="auto" w:fill="FFFFFF"/>
        </w:rPr>
        <w:t>Creese, A. and Blackledge, A., 2010. Translanguaging in the bilingual classroom: A pedagogy for learning and teaching?</w:t>
      </w:r>
      <w:r w:rsidRPr="00DC318E">
        <w:rPr>
          <w:rStyle w:val="apple-converted-space"/>
          <w:rFonts w:ascii="Source Sans Pro" w:hAnsi="Source Sans Pro" w:eastAsiaTheme="minorEastAsia" w:cs="Arial"/>
          <w:color w:val="222222"/>
          <w:shd w:val="clear" w:color="auto" w:fill="FFFFFF"/>
        </w:rPr>
        <w:t> </w:t>
      </w:r>
      <w:r w:rsidRPr="00DC318E">
        <w:rPr>
          <w:rFonts w:ascii="Source Sans Pro" w:hAnsi="Source Sans Pro" w:cs="Arial"/>
          <w:i/>
          <w:iCs/>
          <w:color w:val="222222"/>
        </w:rPr>
        <w:t>The modern language journal</w:t>
      </w:r>
      <w:r w:rsidRPr="00DC318E">
        <w:rPr>
          <w:rFonts w:ascii="Source Sans Pro" w:hAnsi="Source Sans Pro" w:cs="Arial"/>
          <w:color w:val="222222"/>
          <w:shd w:val="clear" w:color="auto" w:fill="FFFFFF"/>
        </w:rPr>
        <w:t>,</w:t>
      </w:r>
      <w:r w:rsidRPr="00DC318E">
        <w:rPr>
          <w:rStyle w:val="apple-converted-space"/>
          <w:rFonts w:ascii="Source Sans Pro" w:hAnsi="Source Sans Pro" w:eastAsiaTheme="minorEastAsia" w:cs="Arial"/>
          <w:color w:val="222222"/>
          <w:shd w:val="clear" w:color="auto" w:fill="FFFFFF"/>
        </w:rPr>
        <w:t> </w:t>
      </w:r>
      <w:r w:rsidRPr="00DC318E">
        <w:rPr>
          <w:rFonts w:ascii="Source Sans Pro" w:hAnsi="Source Sans Pro" w:cs="Arial"/>
          <w:i/>
          <w:iCs/>
          <w:color w:val="222222"/>
        </w:rPr>
        <w:t>94</w:t>
      </w:r>
      <w:r w:rsidRPr="00DC318E">
        <w:rPr>
          <w:rFonts w:ascii="Source Sans Pro" w:hAnsi="Source Sans Pro" w:cs="Arial"/>
          <w:color w:val="222222"/>
          <w:shd w:val="clear" w:color="auto" w:fill="FFFFFF"/>
        </w:rPr>
        <w:t>(1), pp.103-115</w:t>
      </w:r>
    </w:p>
    <w:p w:rsidR="00DC318E" w:rsidRPr="00DC318E" w:rsidP="00DC318E" w14:paraId="6D6AA490" w14:textId="77777777">
      <w:pPr>
        <w:pStyle w:val="ListParagraph"/>
        <w:numPr>
          <w:ilvl w:val="0"/>
          <w:numId w:val="45"/>
        </w:numPr>
        <w:spacing w:line="360" w:lineRule="auto"/>
        <w:rPr>
          <w:rFonts w:ascii="Source Sans Pro" w:hAnsi="Source Sans Pro"/>
        </w:rPr>
      </w:pPr>
      <w:r w:rsidRPr="00DC318E">
        <w:rPr>
          <w:rFonts w:ascii="Source Sans Pro" w:hAnsi="Source Sans Pro" w:cs="Arial"/>
          <w:color w:val="222222"/>
          <w:shd w:val="clear" w:color="auto" w:fill="FFFFFF"/>
        </w:rPr>
        <w:t xml:space="preserve">García, O., Bartlett, L. and </w:t>
      </w:r>
      <w:r w:rsidRPr="00DC318E">
        <w:rPr>
          <w:rFonts w:ascii="Source Sans Pro" w:hAnsi="Source Sans Pro" w:cs="Arial"/>
          <w:color w:val="222222"/>
          <w:shd w:val="clear" w:color="auto" w:fill="FFFFFF"/>
        </w:rPr>
        <w:t>Kleifgen</w:t>
      </w:r>
      <w:r w:rsidRPr="00DC318E">
        <w:rPr>
          <w:rFonts w:ascii="Source Sans Pro" w:hAnsi="Source Sans Pro" w:cs="Arial"/>
          <w:color w:val="222222"/>
          <w:shd w:val="clear" w:color="auto" w:fill="FFFFFF"/>
        </w:rPr>
        <w:t>, J., 2007. From biliteracy to</w:t>
      </w:r>
      <w:r>
        <w:rPr>
          <w:rFonts w:ascii="Source Sans Pro" w:hAnsi="Source Sans Pro" w:cs="Arial"/>
          <w:color w:val="222222"/>
          <w:shd w:val="clear" w:color="auto" w:fill="FFFFFF"/>
        </w:rPr>
        <w:t xml:space="preserve"> </w:t>
      </w:r>
      <w:r w:rsidRPr="00DC318E">
        <w:rPr>
          <w:rFonts w:ascii="Source Sans Pro" w:hAnsi="Source Sans Pro" w:cs="Arial"/>
          <w:color w:val="222222"/>
          <w:shd w:val="clear" w:color="auto" w:fill="FFFFFF"/>
        </w:rPr>
        <w:t>pluriliteracies</w:t>
      </w:r>
      <w:r w:rsidRPr="00DC318E">
        <w:rPr>
          <w:rFonts w:ascii="Source Sans Pro" w:hAnsi="Source Sans Pro" w:cs="Arial"/>
          <w:color w:val="222222"/>
          <w:shd w:val="clear" w:color="auto" w:fill="FFFFFF"/>
        </w:rPr>
        <w:t>.</w:t>
      </w:r>
      <w:r w:rsidRPr="00DC318E">
        <w:rPr>
          <w:rStyle w:val="apple-converted-space"/>
          <w:rFonts w:ascii="Source Sans Pro" w:hAnsi="Source Sans Pro" w:eastAsiaTheme="minorEastAsia" w:cs="Arial"/>
          <w:color w:val="222222"/>
          <w:shd w:val="clear" w:color="auto" w:fill="FFFFFF"/>
        </w:rPr>
        <w:t> </w:t>
      </w:r>
      <w:r w:rsidRPr="00DC318E">
        <w:rPr>
          <w:rFonts w:ascii="Source Sans Pro" w:hAnsi="Source Sans Pro" w:cs="Arial"/>
          <w:i/>
          <w:iCs/>
          <w:color w:val="222222"/>
        </w:rPr>
        <w:t>Handbook of multilingualism and multilingual communication</w:t>
      </w:r>
      <w:r w:rsidRPr="00DC318E">
        <w:rPr>
          <w:rFonts w:ascii="Source Sans Pro" w:hAnsi="Source Sans Pro" w:cs="Arial"/>
          <w:color w:val="222222"/>
          <w:shd w:val="clear" w:color="auto" w:fill="FFFFFF"/>
        </w:rPr>
        <w:t>,</w:t>
      </w:r>
      <w:r w:rsidRPr="00DC318E">
        <w:rPr>
          <w:rStyle w:val="apple-converted-space"/>
          <w:rFonts w:ascii="Source Sans Pro" w:hAnsi="Source Sans Pro" w:eastAsiaTheme="minorEastAsia" w:cs="Arial"/>
          <w:color w:val="222222"/>
          <w:shd w:val="clear" w:color="auto" w:fill="FFFFFF"/>
        </w:rPr>
        <w:t> </w:t>
      </w:r>
      <w:r w:rsidRPr="00DC318E">
        <w:rPr>
          <w:rFonts w:ascii="Source Sans Pro" w:hAnsi="Source Sans Pro" w:cs="Arial"/>
          <w:i/>
          <w:iCs/>
          <w:color w:val="222222"/>
        </w:rPr>
        <w:t>5</w:t>
      </w:r>
      <w:r w:rsidRPr="00DC318E">
        <w:rPr>
          <w:rFonts w:ascii="Source Sans Pro" w:hAnsi="Source Sans Pro" w:cs="Arial"/>
          <w:color w:val="222222"/>
          <w:shd w:val="clear" w:color="auto" w:fill="FFFFFF"/>
        </w:rPr>
        <w:t>, pp.207-228.</w:t>
      </w:r>
    </w:p>
    <w:p w:rsidR="00DC318E" w:rsidRPr="00DC318E" w:rsidP="00DC318E" w14:paraId="7239149B" w14:textId="77777777">
      <w:pPr>
        <w:pStyle w:val="ListParagraph"/>
        <w:numPr>
          <w:ilvl w:val="0"/>
          <w:numId w:val="45"/>
        </w:numPr>
        <w:spacing w:line="360" w:lineRule="auto"/>
        <w:rPr>
          <w:rFonts w:ascii="Source Sans Pro" w:hAnsi="Source Sans Pro"/>
        </w:rPr>
      </w:pPr>
      <w:r w:rsidRPr="00DC318E">
        <w:rPr>
          <w:rFonts w:ascii="Source Sans Pro" w:hAnsi="Source Sans Pro" w:cs="Arial"/>
          <w:color w:val="222222"/>
          <w:shd w:val="clear" w:color="auto" w:fill="FFFFFF"/>
        </w:rPr>
        <w:t xml:space="preserve">García, O. and </w:t>
      </w:r>
      <w:r w:rsidRPr="00DC318E">
        <w:rPr>
          <w:rFonts w:ascii="Source Sans Pro" w:hAnsi="Source Sans Pro" w:cs="Arial"/>
          <w:color w:val="222222"/>
          <w:shd w:val="clear" w:color="auto" w:fill="FFFFFF"/>
        </w:rPr>
        <w:t>Kleifgen</w:t>
      </w:r>
      <w:r w:rsidRPr="00DC318E">
        <w:rPr>
          <w:rFonts w:ascii="Source Sans Pro" w:hAnsi="Source Sans Pro" w:cs="Arial"/>
          <w:color w:val="222222"/>
          <w:shd w:val="clear" w:color="auto" w:fill="FFFFFF"/>
        </w:rPr>
        <w:t>, J.A., 2010.</w:t>
      </w:r>
      <w:r w:rsidRPr="00DC318E">
        <w:rPr>
          <w:rStyle w:val="apple-converted-space"/>
          <w:rFonts w:ascii="Source Sans Pro" w:hAnsi="Source Sans Pro" w:eastAsiaTheme="minorEastAsia" w:cs="Arial"/>
          <w:color w:val="222222"/>
          <w:shd w:val="clear" w:color="auto" w:fill="FFFFFF"/>
        </w:rPr>
        <w:t> </w:t>
      </w:r>
      <w:r w:rsidRPr="00DC318E">
        <w:rPr>
          <w:rFonts w:ascii="Source Sans Pro" w:hAnsi="Source Sans Pro" w:cs="Arial"/>
          <w:i/>
          <w:iCs/>
          <w:color w:val="222222"/>
        </w:rPr>
        <w:t>Educating emergent bilinguals: Policies, programs, and practices for English language learners</w:t>
      </w:r>
      <w:r w:rsidRPr="00DC318E">
        <w:rPr>
          <w:rFonts w:ascii="Source Sans Pro" w:hAnsi="Source Sans Pro" w:cs="Arial"/>
          <w:color w:val="222222"/>
          <w:shd w:val="clear" w:color="auto" w:fill="FFFFFF"/>
        </w:rPr>
        <w:t>. Teachers College Press.</w:t>
      </w:r>
    </w:p>
    <w:p w:rsidR="003E4CAB" w:rsidRPr="00DC318E" w:rsidP="00DC318E" w14:paraId="487E1BC0" w14:textId="1AEFDDB4">
      <w:pPr>
        <w:pStyle w:val="ListParagraph"/>
        <w:numPr>
          <w:ilvl w:val="0"/>
          <w:numId w:val="45"/>
        </w:numPr>
        <w:spacing w:line="360" w:lineRule="auto"/>
        <w:rPr>
          <w:rFonts w:ascii="Source Sans Pro" w:hAnsi="Source Sans Pro"/>
        </w:rPr>
      </w:pPr>
      <w:r w:rsidRPr="00DC318E">
        <w:rPr>
          <w:rFonts w:ascii="Source Sans Pro" w:hAnsi="Source Sans Pro" w:cs="Arial"/>
          <w:color w:val="222222"/>
          <w:shd w:val="clear" w:color="auto" w:fill="FFFFFF"/>
        </w:rPr>
        <w:t>García, O., 2011.</w:t>
      </w:r>
      <w:r w:rsidRPr="00DC318E">
        <w:rPr>
          <w:rStyle w:val="apple-converted-space"/>
          <w:rFonts w:ascii="Source Sans Pro" w:hAnsi="Source Sans Pro" w:eastAsiaTheme="minorEastAsia" w:cs="Arial"/>
          <w:color w:val="222222"/>
          <w:shd w:val="clear" w:color="auto" w:fill="FFFFFF"/>
        </w:rPr>
        <w:t> </w:t>
      </w:r>
      <w:r w:rsidRPr="00DC318E">
        <w:rPr>
          <w:rFonts w:ascii="Source Sans Pro" w:hAnsi="Source Sans Pro" w:cs="Arial"/>
          <w:i/>
          <w:iCs/>
          <w:color w:val="222222"/>
        </w:rPr>
        <w:t>Bilingual education in the 21st century: A global perspective</w:t>
      </w:r>
      <w:r w:rsidRPr="00DC318E">
        <w:rPr>
          <w:rFonts w:ascii="Source Sans Pro" w:hAnsi="Source Sans Pro" w:cs="Arial"/>
          <w:color w:val="222222"/>
          <w:shd w:val="clear" w:color="auto" w:fill="FFFFFF"/>
        </w:rPr>
        <w:t>. John Wiley &amp; Sons.</w:t>
      </w:r>
    </w:p>
    <w:tbl>
      <w:tblPr>
        <w:tblW w:w="6564" w:type="dxa"/>
        <w:tblCellMar>
          <w:left w:w="0" w:type="dxa"/>
          <w:right w:w="0" w:type="dxa"/>
        </w:tblCellMar>
        <w:tblLook w:val="04A0"/>
      </w:tblPr>
      <w:tblGrid>
        <w:gridCol w:w="6564"/>
      </w:tblGrid>
      <w:tr w14:paraId="3465E2C2" w14:textId="77777777" w:rsidTr="00011BE0">
        <w:tblPrEx>
          <w:tblW w:w="6564" w:type="dxa"/>
          <w:tblCellMar>
            <w:left w:w="0" w:type="dxa"/>
            <w:right w:w="0" w:type="dxa"/>
          </w:tblCellMar>
          <w:tblLook w:val="04A0"/>
        </w:tblPrEx>
        <w:tc>
          <w:tcPr>
            <w:tcW w:w="0" w:type="auto"/>
            <w:vAlign w:val="center"/>
            <w:hideMark/>
          </w:tcPr>
          <w:p w:rsidR="00011BE0" w:rsidRPr="00DC318E" w:rsidP="00DC318E" w14:paraId="23775789" w14:textId="77777777">
            <w:pPr>
              <w:spacing w:line="360" w:lineRule="auto"/>
              <w:rPr>
                <w:rFonts w:ascii="Source Sans Pro" w:hAnsi="Source Sans Pro"/>
                <w:color w:val="000000" w:themeColor="text1"/>
                <w:lang w:val="en-GB"/>
              </w:rPr>
            </w:pPr>
          </w:p>
        </w:tc>
      </w:tr>
    </w:tbl>
    <w:p w:rsidR="00DC318E" w:rsidRPr="00DC318E" w:rsidP="00DC318E" w14:paraId="08DB4024" w14:textId="77777777">
      <w:pPr>
        <w:pStyle w:val="ListParagraph"/>
        <w:numPr>
          <w:ilvl w:val="0"/>
          <w:numId w:val="45"/>
        </w:numPr>
        <w:spacing w:line="360" w:lineRule="auto"/>
        <w:rPr>
          <w:rFonts w:ascii="Source Sans Pro" w:hAnsi="Source Sans Pro"/>
        </w:rPr>
      </w:pPr>
      <w:r w:rsidRPr="00DC318E">
        <w:rPr>
          <w:rFonts w:ascii="Source Sans Pro" w:hAnsi="Source Sans Pro" w:cs="Arial"/>
          <w:color w:val="222222"/>
          <w:shd w:val="clear" w:color="auto" w:fill="FFFFFF"/>
        </w:rPr>
        <w:t xml:space="preserve">García, O., 2011. From language garden to sustainable </w:t>
      </w:r>
      <w:r w:rsidRPr="00DC318E">
        <w:rPr>
          <w:rFonts w:ascii="Source Sans Pro" w:hAnsi="Source Sans Pro" w:cs="Arial"/>
          <w:color w:val="222222"/>
          <w:shd w:val="clear" w:color="auto" w:fill="FFFFFF"/>
        </w:rPr>
        <w:t>languaging</w:t>
      </w:r>
      <w:r w:rsidRPr="00DC318E">
        <w:rPr>
          <w:rFonts w:ascii="Source Sans Pro" w:hAnsi="Source Sans Pro" w:cs="Arial"/>
          <w:color w:val="222222"/>
          <w:shd w:val="clear" w:color="auto" w:fill="FFFFFF"/>
        </w:rPr>
        <w:t>: Bilingual education in a global world.</w:t>
      </w:r>
      <w:r w:rsidRPr="00DC318E">
        <w:rPr>
          <w:rStyle w:val="apple-converted-space"/>
          <w:rFonts w:ascii="Source Sans Pro" w:hAnsi="Source Sans Pro" w:eastAsiaTheme="minorEastAsia" w:cs="Arial"/>
          <w:color w:val="222222"/>
          <w:shd w:val="clear" w:color="auto" w:fill="FFFFFF"/>
        </w:rPr>
        <w:t> </w:t>
      </w:r>
      <w:r w:rsidRPr="00DC318E">
        <w:rPr>
          <w:rFonts w:ascii="Source Sans Pro" w:hAnsi="Source Sans Pro" w:cs="Arial"/>
          <w:i/>
          <w:iCs/>
          <w:color w:val="222222"/>
        </w:rPr>
        <w:t>Perspectives</w:t>
      </w:r>
      <w:r w:rsidRPr="00DC318E">
        <w:rPr>
          <w:rFonts w:ascii="Source Sans Pro" w:hAnsi="Source Sans Pro" w:cs="Arial"/>
          <w:color w:val="222222"/>
          <w:shd w:val="clear" w:color="auto" w:fill="FFFFFF"/>
        </w:rPr>
        <w:t>,</w:t>
      </w:r>
      <w:r w:rsidRPr="00DC318E">
        <w:rPr>
          <w:rStyle w:val="apple-converted-space"/>
          <w:rFonts w:ascii="Source Sans Pro" w:hAnsi="Source Sans Pro" w:eastAsiaTheme="minorEastAsia" w:cs="Arial"/>
          <w:color w:val="222222"/>
          <w:shd w:val="clear" w:color="auto" w:fill="FFFFFF"/>
        </w:rPr>
        <w:t> </w:t>
      </w:r>
      <w:r w:rsidRPr="00DC318E">
        <w:rPr>
          <w:rFonts w:ascii="Source Sans Pro" w:hAnsi="Source Sans Pro" w:cs="Arial"/>
          <w:i/>
          <w:iCs/>
          <w:color w:val="222222"/>
        </w:rPr>
        <w:t>34</w:t>
      </w:r>
      <w:r w:rsidRPr="00DC318E">
        <w:rPr>
          <w:rFonts w:ascii="Source Sans Pro" w:hAnsi="Source Sans Pro" w:cs="Arial"/>
          <w:color w:val="222222"/>
          <w:shd w:val="clear" w:color="auto" w:fill="FFFFFF"/>
        </w:rPr>
        <w:t>(1), pp.5-9.</w:t>
      </w:r>
    </w:p>
    <w:p w:rsidR="00DC318E" w:rsidRPr="00DC318E" w:rsidP="00DC318E" w14:paraId="77AE914B" w14:textId="77777777">
      <w:pPr>
        <w:pStyle w:val="ListParagraph"/>
        <w:numPr>
          <w:ilvl w:val="0"/>
          <w:numId w:val="45"/>
        </w:numPr>
        <w:spacing w:line="360" w:lineRule="auto"/>
        <w:rPr>
          <w:rFonts w:ascii="Source Sans Pro" w:hAnsi="Source Sans Pro"/>
        </w:rPr>
      </w:pPr>
      <w:r w:rsidRPr="00DC318E">
        <w:rPr>
          <w:rFonts w:ascii="Source Sans Pro" w:hAnsi="Source Sans Pro" w:cs="Arial"/>
          <w:color w:val="222222"/>
          <w:shd w:val="clear" w:color="auto" w:fill="FFFFFF"/>
        </w:rPr>
        <w:t>García, O. and Sylvan, C.E., 2011. Pedagogies and practices in multilingual classrooms: Singularities in pluralities.</w:t>
      </w:r>
      <w:r w:rsidRPr="00DC318E">
        <w:rPr>
          <w:rStyle w:val="apple-converted-space"/>
          <w:rFonts w:ascii="Source Sans Pro" w:hAnsi="Source Sans Pro" w:eastAsiaTheme="minorEastAsia" w:cs="Arial"/>
          <w:color w:val="222222"/>
          <w:shd w:val="clear" w:color="auto" w:fill="FFFFFF"/>
        </w:rPr>
        <w:t> </w:t>
      </w:r>
      <w:r w:rsidRPr="00DC318E">
        <w:rPr>
          <w:rFonts w:ascii="Source Sans Pro" w:hAnsi="Source Sans Pro" w:cs="Arial"/>
          <w:i/>
          <w:iCs/>
          <w:color w:val="222222"/>
        </w:rPr>
        <w:t>The Modern Language Journal</w:t>
      </w:r>
      <w:r w:rsidRPr="00DC318E">
        <w:rPr>
          <w:rFonts w:ascii="Source Sans Pro" w:hAnsi="Source Sans Pro" w:cs="Arial"/>
          <w:color w:val="222222"/>
          <w:shd w:val="clear" w:color="auto" w:fill="FFFFFF"/>
        </w:rPr>
        <w:t>,</w:t>
      </w:r>
      <w:r w:rsidRPr="00DC318E">
        <w:rPr>
          <w:rStyle w:val="apple-converted-space"/>
          <w:rFonts w:ascii="Source Sans Pro" w:hAnsi="Source Sans Pro" w:eastAsiaTheme="minorEastAsia" w:cs="Arial"/>
          <w:color w:val="222222"/>
          <w:shd w:val="clear" w:color="auto" w:fill="FFFFFF"/>
        </w:rPr>
        <w:t> </w:t>
      </w:r>
      <w:r w:rsidRPr="00DC318E">
        <w:rPr>
          <w:rFonts w:ascii="Source Sans Pro" w:hAnsi="Source Sans Pro" w:cs="Arial"/>
          <w:i/>
          <w:iCs/>
          <w:color w:val="222222"/>
        </w:rPr>
        <w:t>95</w:t>
      </w:r>
      <w:r w:rsidRPr="00DC318E">
        <w:rPr>
          <w:rFonts w:ascii="Source Sans Pro" w:hAnsi="Source Sans Pro" w:cs="Arial"/>
          <w:color w:val="222222"/>
          <w:shd w:val="clear" w:color="auto" w:fill="FFFFFF"/>
        </w:rPr>
        <w:t>(3), pp.385-400.</w:t>
      </w:r>
    </w:p>
    <w:p w:rsidR="00DC318E" w:rsidRPr="00DC318E" w:rsidP="00DC318E" w14:paraId="5E384F43" w14:textId="77777777">
      <w:pPr>
        <w:pStyle w:val="ListParagraph"/>
        <w:numPr>
          <w:ilvl w:val="0"/>
          <w:numId w:val="45"/>
        </w:numPr>
        <w:spacing w:line="360" w:lineRule="auto"/>
        <w:rPr>
          <w:rFonts w:ascii="Source Sans Pro" w:hAnsi="Source Sans Pro"/>
        </w:rPr>
      </w:pPr>
      <w:r w:rsidRPr="00DC318E">
        <w:rPr>
          <w:rFonts w:ascii="Source Sans Pro" w:hAnsi="Source Sans Pro" w:cs="Arial"/>
          <w:color w:val="222222"/>
          <w:shd w:val="clear" w:color="auto" w:fill="FFFFFF"/>
        </w:rPr>
        <w:t xml:space="preserve">García, O. and </w:t>
      </w:r>
      <w:r w:rsidRPr="00DC318E">
        <w:rPr>
          <w:rFonts w:ascii="Source Sans Pro" w:hAnsi="Source Sans Pro" w:cs="Arial"/>
          <w:color w:val="222222"/>
          <w:shd w:val="clear" w:color="auto" w:fill="FFFFFF"/>
        </w:rPr>
        <w:t>Leiva</w:t>
      </w:r>
      <w:r w:rsidRPr="00DC318E">
        <w:rPr>
          <w:rFonts w:ascii="Source Sans Pro" w:hAnsi="Source Sans Pro" w:cs="Arial"/>
          <w:color w:val="222222"/>
          <w:shd w:val="clear" w:color="auto" w:fill="FFFFFF"/>
        </w:rPr>
        <w:t>, C., 2014. Theorising and enacting translanguaging for social justice. In</w:t>
      </w:r>
      <w:r w:rsidRPr="00DC318E">
        <w:rPr>
          <w:rStyle w:val="apple-converted-space"/>
          <w:rFonts w:ascii="Source Sans Pro" w:hAnsi="Source Sans Pro" w:eastAsiaTheme="minorEastAsia" w:cs="Arial"/>
          <w:color w:val="222222"/>
          <w:shd w:val="clear" w:color="auto" w:fill="FFFFFF"/>
        </w:rPr>
        <w:t> </w:t>
      </w:r>
      <w:r w:rsidRPr="00DC318E">
        <w:rPr>
          <w:rFonts w:ascii="Source Sans Pro" w:hAnsi="Source Sans Pro" w:cs="Arial"/>
          <w:i/>
          <w:iCs/>
          <w:color w:val="222222"/>
        </w:rPr>
        <w:t>Heteroglossia as practice and pedagogy</w:t>
      </w:r>
      <w:r w:rsidRPr="00DC318E">
        <w:rPr>
          <w:rStyle w:val="apple-converted-space"/>
          <w:rFonts w:ascii="Source Sans Pro" w:hAnsi="Source Sans Pro" w:eastAsiaTheme="minorEastAsia" w:cs="Arial"/>
          <w:color w:val="222222"/>
          <w:shd w:val="clear" w:color="auto" w:fill="FFFFFF"/>
        </w:rPr>
        <w:t> </w:t>
      </w:r>
      <w:r w:rsidRPr="00DC318E">
        <w:rPr>
          <w:rFonts w:ascii="Source Sans Pro" w:hAnsi="Source Sans Pro" w:cs="Arial"/>
          <w:color w:val="222222"/>
          <w:shd w:val="clear" w:color="auto" w:fill="FFFFFF"/>
        </w:rPr>
        <w:t>(pp. 199-216). Springer, Dordrecht.</w:t>
      </w:r>
    </w:p>
    <w:p w:rsidR="00DC318E" w:rsidRPr="00DC318E" w:rsidP="00DC318E" w14:paraId="7338E7C5" w14:textId="77777777">
      <w:pPr>
        <w:pStyle w:val="ListParagraph"/>
        <w:numPr>
          <w:ilvl w:val="0"/>
          <w:numId w:val="45"/>
        </w:numPr>
        <w:spacing w:line="360" w:lineRule="auto"/>
        <w:rPr>
          <w:rFonts w:ascii="Source Sans Pro" w:hAnsi="Source Sans Pro"/>
        </w:rPr>
      </w:pPr>
      <w:r w:rsidRPr="00DC318E">
        <w:rPr>
          <w:rFonts w:ascii="Source Sans Pro" w:hAnsi="Source Sans Pro" w:cs="Arial"/>
          <w:color w:val="222222"/>
          <w:shd w:val="clear" w:color="auto" w:fill="FFFFFF"/>
        </w:rPr>
        <w:t>Grosjean, F., 2010.</w:t>
      </w:r>
      <w:r w:rsidRPr="00DC318E">
        <w:rPr>
          <w:rStyle w:val="apple-converted-space"/>
          <w:rFonts w:ascii="Source Sans Pro" w:hAnsi="Source Sans Pro" w:eastAsiaTheme="minorEastAsia" w:cs="Arial"/>
          <w:color w:val="222222"/>
          <w:shd w:val="clear" w:color="auto" w:fill="FFFFFF"/>
        </w:rPr>
        <w:t> </w:t>
      </w:r>
      <w:r w:rsidRPr="00DC318E">
        <w:rPr>
          <w:rFonts w:ascii="Source Sans Pro" w:hAnsi="Source Sans Pro" w:cs="Arial"/>
          <w:i/>
          <w:iCs/>
          <w:color w:val="222222"/>
        </w:rPr>
        <w:t>Bilingual</w:t>
      </w:r>
      <w:r w:rsidRPr="00DC318E">
        <w:rPr>
          <w:rFonts w:ascii="Source Sans Pro" w:hAnsi="Source Sans Pro" w:cs="Arial"/>
          <w:color w:val="222222"/>
          <w:shd w:val="clear" w:color="auto" w:fill="FFFFFF"/>
        </w:rPr>
        <w:t>. Harvard university press.</w:t>
      </w:r>
    </w:p>
    <w:p w:rsidR="00DC318E" w:rsidRPr="00DC318E" w:rsidP="00DC318E" w14:paraId="1D77CE51" w14:textId="77777777">
      <w:pPr>
        <w:pStyle w:val="ListParagraph"/>
        <w:numPr>
          <w:ilvl w:val="0"/>
          <w:numId w:val="45"/>
        </w:numPr>
        <w:spacing w:line="360" w:lineRule="auto"/>
        <w:rPr>
          <w:rFonts w:ascii="Source Sans Pro" w:hAnsi="Source Sans Pro"/>
        </w:rPr>
      </w:pPr>
      <w:r w:rsidRPr="00DC318E">
        <w:rPr>
          <w:rFonts w:ascii="Source Sans Pro" w:hAnsi="Source Sans Pro" w:cs="Arial"/>
          <w:color w:val="222222"/>
          <w:shd w:val="clear" w:color="auto" w:fill="FFFFFF"/>
        </w:rPr>
        <w:t>Hornberger, N.H. and Link, H., 2012. Translanguaging and transnational literacies in multilingual classrooms: A biliteracy lens.</w:t>
      </w:r>
      <w:r w:rsidRPr="00DC318E">
        <w:rPr>
          <w:rStyle w:val="apple-converted-space"/>
          <w:rFonts w:ascii="Source Sans Pro" w:hAnsi="Source Sans Pro" w:eastAsiaTheme="minorEastAsia" w:cs="Arial"/>
          <w:color w:val="222222"/>
          <w:shd w:val="clear" w:color="auto" w:fill="FFFFFF"/>
        </w:rPr>
        <w:t> </w:t>
      </w:r>
      <w:r w:rsidRPr="00DC318E">
        <w:rPr>
          <w:rFonts w:ascii="Source Sans Pro" w:hAnsi="Source Sans Pro" w:cs="Arial"/>
          <w:i/>
          <w:iCs/>
          <w:color w:val="222222"/>
        </w:rPr>
        <w:t>International Journal of Bilingual Education and Bilingualism</w:t>
      </w:r>
      <w:r w:rsidRPr="00DC318E">
        <w:rPr>
          <w:rFonts w:ascii="Source Sans Pro" w:hAnsi="Source Sans Pro" w:cs="Arial"/>
          <w:color w:val="222222"/>
          <w:shd w:val="clear" w:color="auto" w:fill="FFFFFF"/>
        </w:rPr>
        <w:t>,</w:t>
      </w:r>
      <w:r w:rsidRPr="00DC318E">
        <w:rPr>
          <w:rStyle w:val="apple-converted-space"/>
          <w:rFonts w:ascii="Source Sans Pro" w:hAnsi="Source Sans Pro" w:eastAsiaTheme="minorEastAsia" w:cs="Arial"/>
          <w:color w:val="222222"/>
          <w:shd w:val="clear" w:color="auto" w:fill="FFFFFF"/>
        </w:rPr>
        <w:t> </w:t>
      </w:r>
      <w:r w:rsidRPr="00DC318E">
        <w:rPr>
          <w:rFonts w:ascii="Source Sans Pro" w:hAnsi="Source Sans Pro" w:cs="Arial"/>
          <w:i/>
          <w:iCs/>
          <w:color w:val="222222"/>
        </w:rPr>
        <w:t>15</w:t>
      </w:r>
      <w:r w:rsidRPr="00DC318E">
        <w:rPr>
          <w:rFonts w:ascii="Source Sans Pro" w:hAnsi="Source Sans Pro" w:cs="Arial"/>
          <w:color w:val="222222"/>
          <w:shd w:val="clear" w:color="auto" w:fill="FFFFFF"/>
        </w:rPr>
        <w:t>(3), pp.261-278.</w:t>
      </w:r>
    </w:p>
    <w:p w:rsidR="00DC318E" w:rsidRPr="00DC318E" w:rsidP="00DC318E" w14:paraId="0C05A9E9" w14:textId="77777777">
      <w:pPr>
        <w:pStyle w:val="ListParagraph"/>
        <w:numPr>
          <w:ilvl w:val="0"/>
          <w:numId w:val="45"/>
        </w:numPr>
        <w:spacing w:line="360" w:lineRule="auto"/>
        <w:rPr>
          <w:rFonts w:ascii="Source Sans Pro" w:hAnsi="Source Sans Pro"/>
        </w:rPr>
      </w:pPr>
      <w:r w:rsidRPr="00DC318E">
        <w:rPr>
          <w:rFonts w:ascii="Source Sans Pro" w:hAnsi="Source Sans Pro" w:cs="Arial"/>
          <w:color w:val="222222"/>
          <w:shd w:val="clear" w:color="auto" w:fill="FFFFFF"/>
        </w:rPr>
        <w:t>Kress, G.R., 2003.</w:t>
      </w:r>
      <w:r w:rsidRPr="00DC318E">
        <w:rPr>
          <w:rStyle w:val="apple-converted-space"/>
          <w:rFonts w:ascii="Source Sans Pro" w:hAnsi="Source Sans Pro" w:eastAsiaTheme="minorEastAsia" w:cs="Arial"/>
          <w:color w:val="222222"/>
          <w:shd w:val="clear" w:color="auto" w:fill="FFFFFF"/>
        </w:rPr>
        <w:t> </w:t>
      </w:r>
      <w:r w:rsidRPr="00DC318E">
        <w:rPr>
          <w:rFonts w:ascii="Source Sans Pro" w:hAnsi="Source Sans Pro" w:cs="Arial"/>
          <w:i/>
          <w:iCs/>
          <w:color w:val="222222"/>
        </w:rPr>
        <w:t>Literacy in the new media age</w:t>
      </w:r>
      <w:r w:rsidRPr="00DC318E">
        <w:rPr>
          <w:rFonts w:ascii="Source Sans Pro" w:hAnsi="Source Sans Pro" w:cs="Arial"/>
          <w:color w:val="222222"/>
          <w:shd w:val="clear" w:color="auto" w:fill="FFFFFF"/>
        </w:rPr>
        <w:t>. Psychology Press.</w:t>
      </w:r>
    </w:p>
    <w:p w:rsidR="00DC318E" w:rsidRPr="00DC318E" w:rsidP="00DC318E" w14:paraId="3D52536E" w14:textId="77777777">
      <w:pPr>
        <w:pStyle w:val="ListParagraph"/>
        <w:numPr>
          <w:ilvl w:val="0"/>
          <w:numId w:val="45"/>
        </w:numPr>
        <w:spacing w:line="360" w:lineRule="auto"/>
        <w:rPr>
          <w:rFonts w:ascii="Source Sans Pro" w:hAnsi="Source Sans Pro"/>
        </w:rPr>
      </w:pPr>
      <w:r w:rsidRPr="00DC318E">
        <w:rPr>
          <w:rFonts w:ascii="Source Sans Pro" w:hAnsi="Source Sans Pro"/>
          <w:color w:val="231F20"/>
          <w:lang w:val="en-GB"/>
        </w:rPr>
        <w:t xml:space="preserve">Lewis, G., Jones, B. and Baker, C. (2012a) Translanguaging: Developing its conceptualisation and contextualisation. </w:t>
      </w:r>
      <w:r w:rsidRPr="00DC318E">
        <w:rPr>
          <w:rFonts w:ascii="Source Sans Pro" w:hAnsi="Source Sans Pro"/>
          <w:i/>
          <w:iCs/>
          <w:color w:val="231F20"/>
          <w:lang w:val="en-GB"/>
        </w:rPr>
        <w:t>Educational Research and Evaluation: An International Journal on Theory and Practice</w:t>
      </w:r>
      <w:r w:rsidRPr="00DC318E">
        <w:rPr>
          <w:rFonts w:ascii="Source Sans Pro" w:hAnsi="Source Sans Pro"/>
          <w:color w:val="231F20"/>
          <w:lang w:val="en-GB"/>
        </w:rPr>
        <w:t xml:space="preserve"> 18 (7), 655–670. </w:t>
      </w:r>
    </w:p>
    <w:p w:rsidR="00DC318E" w:rsidRPr="00DC318E" w:rsidP="00DC318E" w14:paraId="145E3B9E" w14:textId="77777777">
      <w:pPr>
        <w:pStyle w:val="ListParagraph"/>
        <w:numPr>
          <w:ilvl w:val="0"/>
          <w:numId w:val="45"/>
        </w:numPr>
        <w:spacing w:line="360" w:lineRule="auto"/>
        <w:rPr>
          <w:rFonts w:ascii="Source Sans Pro" w:hAnsi="Source Sans Pro"/>
        </w:rPr>
      </w:pPr>
      <w:r w:rsidRPr="00DC318E">
        <w:rPr>
          <w:rFonts w:ascii="Source Sans Pro" w:hAnsi="Source Sans Pro"/>
          <w:color w:val="231F20"/>
          <w:lang w:val="en-GB"/>
        </w:rPr>
        <w:t xml:space="preserve">Lewis, G., Jones, B. and Baker, C. (2012b) Translanguaging: Origins and development from school to street and beyond. </w:t>
      </w:r>
      <w:r w:rsidRPr="00DC318E">
        <w:rPr>
          <w:rFonts w:ascii="Source Sans Pro" w:hAnsi="Source Sans Pro"/>
          <w:i/>
          <w:iCs/>
          <w:color w:val="231F20"/>
          <w:lang w:val="en-GB"/>
        </w:rPr>
        <w:t>Educational Research and Evaluation: An International Journal on Theory and Practice</w:t>
      </w:r>
      <w:r w:rsidRPr="00DC318E">
        <w:rPr>
          <w:rFonts w:ascii="Source Sans Pro" w:hAnsi="Source Sans Pro"/>
          <w:color w:val="231F20"/>
          <w:lang w:val="en-GB"/>
        </w:rPr>
        <w:t xml:space="preserve"> 18 (7), 641–654. </w:t>
      </w:r>
    </w:p>
    <w:p w:rsidR="00DC318E" w:rsidRPr="00DC318E" w:rsidP="00DC318E" w14:paraId="45629EFD" w14:textId="699573E8">
      <w:pPr>
        <w:pStyle w:val="ListParagraph"/>
        <w:numPr>
          <w:ilvl w:val="0"/>
          <w:numId w:val="45"/>
        </w:numPr>
        <w:spacing w:line="360" w:lineRule="auto"/>
        <w:rPr>
          <w:rFonts w:ascii="Source Sans Pro" w:hAnsi="Source Sans Pro"/>
        </w:rPr>
      </w:pPr>
      <w:r w:rsidRPr="00DC318E">
        <w:rPr>
          <w:rFonts w:ascii="Source Sans Pro" w:hAnsi="Source Sans Pro" w:cs="Arial"/>
          <w:color w:val="222222"/>
          <w:shd w:val="clear" w:color="auto" w:fill="FFFFFF"/>
        </w:rPr>
        <w:t>Thomas, G., 2017.</w:t>
      </w:r>
      <w:r w:rsidRPr="00DC318E">
        <w:rPr>
          <w:rStyle w:val="apple-converted-space"/>
          <w:rFonts w:ascii="Source Sans Pro" w:hAnsi="Source Sans Pro" w:eastAsiaTheme="minorEastAsia" w:cs="Arial"/>
          <w:color w:val="222222"/>
          <w:shd w:val="clear" w:color="auto" w:fill="FFFFFF"/>
        </w:rPr>
        <w:t> </w:t>
      </w:r>
      <w:r w:rsidRPr="00DC318E">
        <w:rPr>
          <w:rFonts w:ascii="Source Sans Pro" w:hAnsi="Source Sans Pro" w:cs="Arial"/>
          <w:i/>
          <w:iCs/>
          <w:color w:val="222222"/>
        </w:rPr>
        <w:t>How to do your research project: A guide for students</w:t>
      </w:r>
      <w:r w:rsidRPr="00DC318E">
        <w:rPr>
          <w:rFonts w:ascii="Source Sans Pro" w:hAnsi="Source Sans Pro" w:cs="Arial"/>
          <w:color w:val="222222"/>
          <w:shd w:val="clear" w:color="auto" w:fill="FFFFFF"/>
        </w:rPr>
        <w:t>. Sage.</w:t>
      </w:r>
    </w:p>
    <w:sectPr>
      <w:footerReference w:type="default" r:id="rId4"/>
      <w:pgSz w:w="11907" w:h="16839" w:code="9"/>
      <w:pgMar w:top="1267" w:right="1339" w:bottom="1339" w:left="1339"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PingFang TC">
    <w:altName w:val="﷽﷽﷽﷽﷽﷽﷽﷽ TC"/>
    <w:panose1 w:val="020B0400000000000000"/>
    <w:charset w:val="88"/>
    <w:family w:val="swiss"/>
    <w:pitch w:val="variable"/>
    <w:sig w:usb0="A00002FF" w:usb1="7ACFFDFB" w:usb2="00000017"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595635894"/>
      <w:docPartObj>
        <w:docPartGallery w:val="Page Numbers (Bottom of Page)"/>
        <w:docPartUnique/>
      </w:docPartObj>
    </w:sdtPr>
    <w:sdtEndPr>
      <w:rPr>
        <w:noProof/>
      </w:rPr>
    </w:sdtEndPr>
    <w:sdtContent>
      <w:p w:rsidR="00E96FED" w14:paraId="127E7814" w14:textId="77777777">
        <w:pPr>
          <w:pStyle w:val="Footer"/>
        </w:pPr>
        <w:r>
          <w:rPr>
            <w:lang w:val="en-GB" w:bidi="en-GB"/>
          </w:rPr>
          <w:fldChar w:fldCharType="begin"/>
        </w:r>
        <w:r>
          <w:rPr>
            <w:lang w:val="en-GB" w:bidi="en-GB"/>
          </w:rPr>
          <w:instrText xml:space="preserve"> PAGE   \* MERGEFORMAT </w:instrText>
        </w:r>
        <w:r>
          <w:rPr>
            <w:lang w:val="en-GB" w:bidi="en-GB"/>
          </w:rPr>
          <w:fldChar w:fldCharType="separate"/>
        </w:r>
        <w:r>
          <w:rPr>
            <w:noProof/>
            <w:lang w:val="en-GB" w:bidi="en-GB"/>
          </w:rPr>
          <w:t>2</w:t>
        </w:r>
        <w:r>
          <w:rPr>
            <w:noProof/>
            <w:lang w:val="en-GB" w:bidi="en-GB"/>
          </w:rPr>
          <w:fldChar w:fldCharType="end"/>
        </w:r>
      </w:p>
    </w:sdtContent>
  </w:sdt>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FFFFFF7C"/>
    <w:multiLevelType w:val="singleLevel"/>
    <w:tmpl w:val="60029364"/>
    <w:lvl w:ilvl="0">
      <w:start w:val="1"/>
      <w:numFmt w:val="decimal"/>
      <w:lvlText w:val="%1."/>
      <w:lvlJc w:val="left"/>
      <w:pPr>
        <w:tabs>
          <w:tab w:val="num" w:pos="1800"/>
        </w:tabs>
        <w:ind w:left="1800" w:hanging="360"/>
      </w:pPr>
    </w:lvl>
  </w:abstractNum>
  <w:abstractNum w:abstractNumId="1">
    <w:nsid w:val="FFFFFF7D"/>
    <w:multiLevelType w:val="singleLevel"/>
    <w:tmpl w:val="D270B25E"/>
    <w:lvl w:ilvl="0">
      <w:start w:val="1"/>
      <w:numFmt w:val="decimal"/>
      <w:lvlText w:val="%1."/>
      <w:lvlJc w:val="left"/>
      <w:pPr>
        <w:tabs>
          <w:tab w:val="num" w:pos="1440"/>
        </w:tabs>
        <w:ind w:left="1440" w:hanging="360"/>
      </w:pPr>
    </w:lvl>
  </w:abstractNum>
  <w:abstractNum w:abstractNumId="2">
    <w:nsid w:val="FFFFFF7E"/>
    <w:multiLevelType w:val="singleLevel"/>
    <w:tmpl w:val="1996E9A4"/>
    <w:lvl w:ilvl="0">
      <w:start w:val="1"/>
      <w:numFmt w:val="decimal"/>
      <w:lvlText w:val="%1."/>
      <w:lvlJc w:val="left"/>
      <w:pPr>
        <w:tabs>
          <w:tab w:val="num" w:pos="1080"/>
        </w:tabs>
        <w:ind w:left="1080" w:hanging="360"/>
      </w:pPr>
    </w:lvl>
  </w:abstractNum>
  <w:abstractNum w:abstractNumId="3">
    <w:nsid w:val="FFFFFF7F"/>
    <w:multiLevelType w:val="singleLevel"/>
    <w:tmpl w:val="31B4141E"/>
    <w:lvl w:ilvl="0">
      <w:start w:val="1"/>
      <w:numFmt w:val="decimal"/>
      <w:lvlText w:val="%1."/>
      <w:lvlJc w:val="left"/>
      <w:pPr>
        <w:tabs>
          <w:tab w:val="num" w:pos="720"/>
        </w:tabs>
        <w:ind w:left="720" w:hanging="360"/>
      </w:pPr>
    </w:lvl>
  </w:abstractNum>
  <w:abstractNum w:abstractNumId="4">
    <w:nsid w:val="FFFFFF80"/>
    <w:multiLevelType w:val="singleLevel"/>
    <w:tmpl w:val="B82E4BF4"/>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F3B4E408"/>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06683E50"/>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DA629394"/>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44C23A14"/>
    <w:lvl w:ilvl="0">
      <w:start w:val="1"/>
      <w:numFmt w:val="decimal"/>
      <w:lvlText w:val="%1."/>
      <w:lvlJc w:val="left"/>
      <w:pPr>
        <w:tabs>
          <w:tab w:val="num" w:pos="749"/>
        </w:tabs>
        <w:ind w:left="749" w:hanging="259"/>
      </w:pPr>
      <w:rPr>
        <w:rFonts w:hint="default"/>
      </w:rPr>
    </w:lvl>
  </w:abstractNum>
  <w:abstractNum w:abstractNumId="9">
    <w:nsid w:val="FFFFFF89"/>
    <w:multiLevelType w:val="singleLevel"/>
    <w:tmpl w:val="BD14218A"/>
    <w:lvl w:ilvl="0">
      <w:start w:val="1"/>
      <w:numFmt w:val="bullet"/>
      <w:lvlText w:val=""/>
      <w:lvlJc w:val="left"/>
      <w:pPr>
        <w:tabs>
          <w:tab w:val="num" w:pos="360"/>
        </w:tabs>
        <w:ind w:left="360" w:hanging="360"/>
      </w:pPr>
      <w:rPr>
        <w:rFonts w:ascii="Symbol" w:hAnsi="Symbol" w:hint="default"/>
      </w:rPr>
    </w:lvl>
  </w:abstractNum>
  <w:abstractNum w:abstractNumId="10">
    <w:nsid w:val="029A0AC2"/>
    <w:multiLevelType w:val="hybridMultilevel"/>
    <w:tmpl w:val="CBF4FE96"/>
    <w:lvl w:ilvl="0">
      <w:start w:val="1"/>
      <w:numFmt w:val="decimal"/>
      <w:lvlText w:val="%1."/>
      <w:lvlJc w:val="left"/>
      <w:pPr>
        <w:ind w:left="720" w:hanging="360"/>
      </w:pPr>
    </w:lvl>
    <w:lvl w:ilvl="1">
      <w:start w:val="0"/>
      <w:numFmt w:val="bullet"/>
      <w:lvlText w:val="–"/>
      <w:lvlJc w:val="left"/>
      <w:pPr>
        <w:ind w:left="1440" w:hanging="360"/>
      </w:pPr>
      <w:rPr>
        <w:rFonts w:ascii="Times New Roman" w:eastAsia="SimSun" w:hAnsi="Times New Roman" w:cs="Times New Roman" w:hint="default"/>
      </w:rPr>
    </w:lvl>
    <w:lvl w:ilvl="2">
      <w:start w:val="1"/>
      <w:numFmt w:val="bullet"/>
      <w:lvlText w:val=""/>
      <w:lvlJc w:val="left"/>
      <w:pPr>
        <w:ind w:left="720" w:hanging="360"/>
      </w:pPr>
      <w:rPr>
        <w:rFonts w:ascii="Symbol" w:hAnsi="Symbol" w:hint="default"/>
      </w:r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1">
    <w:nsid w:val="0A4B0232"/>
    <w:multiLevelType w:val="hybridMultilevel"/>
    <w:tmpl w:val="8F3EDCB6"/>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2">
    <w:nsid w:val="0EE9237C"/>
    <w:multiLevelType w:val="hybridMultilevel"/>
    <w:tmpl w:val="F2C294D2"/>
    <w:lvl w:ilvl="0">
      <w:start w:val="1"/>
      <w:numFmt w:val="decimal"/>
      <w:lvlText w:val="%1."/>
      <w:lvlJc w:val="left"/>
      <w:pPr>
        <w:ind w:left="720" w:hanging="360"/>
      </w:pPr>
    </w:lvl>
    <w:lvl w:ilvl="1" w:tentative="1">
      <w:start w:val="1"/>
      <w:numFmt w:val="lowerLetter"/>
      <w:lvlText w:val="%2."/>
      <w:lvlJc w:val="left"/>
      <w:pPr>
        <w:ind w:left="1440" w:hanging="360"/>
      </w:pPr>
    </w:lvl>
    <w:lvl w:ilvl="2">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3">
    <w:nsid w:val="19B90852"/>
    <w:multiLevelType w:val="hybridMultilevel"/>
    <w:tmpl w:val="A8707D0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4">
    <w:nsid w:val="1BAC51D1"/>
    <w:multiLevelType w:val="hybridMultilevel"/>
    <w:tmpl w:val="22906908"/>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5">
    <w:nsid w:val="1C216544"/>
    <w:multiLevelType w:val="hybridMultilevel"/>
    <w:tmpl w:val="63A04E18"/>
    <w:lvl w:ilvl="0">
      <w:start w:val="1"/>
      <w:numFmt w:val="bullet"/>
      <w:lvlText w:val="o"/>
      <w:lvlJc w:val="left"/>
      <w:pPr>
        <w:ind w:left="720" w:hanging="360"/>
      </w:pPr>
      <w:rPr>
        <w:rFonts w:ascii="Courier New" w:hAnsi="Courier New" w:cs="Courier New"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6">
    <w:nsid w:val="2283363F"/>
    <w:multiLevelType w:val="hybridMultilevel"/>
    <w:tmpl w:val="AA725194"/>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7">
    <w:nsid w:val="22957834"/>
    <w:multiLevelType w:val="hybridMultilevel"/>
    <w:tmpl w:val="64709B02"/>
    <w:lvl w:ilvl="0">
      <w:start w:val="1"/>
      <w:numFmt w:val="bullet"/>
      <w:lvlText w:val=""/>
      <w:lvlJc w:val="left"/>
      <w:pPr>
        <w:ind w:left="749" w:hanging="259"/>
      </w:pPr>
      <w:rPr>
        <w:rFonts w:ascii="Symbol" w:hAnsi="Symbol" w:hint="default"/>
        <w:color w:val="000000" w:themeColor="text1"/>
        <w:w w:val="100"/>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8">
    <w:nsid w:val="241D280D"/>
    <w:multiLevelType w:val="hybridMultilevel"/>
    <w:tmpl w:val="7686966A"/>
    <w:lvl w:ilvl="0">
      <w:start w:val="1"/>
      <w:numFmt w:val="decimal"/>
      <w:lvlText w:val="%1."/>
      <w:lvlJc w:val="left"/>
      <w:pPr>
        <w:ind w:left="720" w:hanging="360"/>
      </w:pPr>
    </w:lvl>
    <w:lvl w:ilvl="1">
      <w:start w:val="1"/>
      <w:numFmt w:val="bullet"/>
      <w:lvlText w:val="o"/>
      <w:lvlJc w:val="left"/>
      <w:pPr>
        <w:ind w:left="1440" w:hanging="360"/>
      </w:pPr>
      <w:rPr>
        <w:rFonts w:ascii="Courier New" w:hAnsi="Courier New" w:cs="Courier New" w:hint="default"/>
      </w:r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9">
    <w:nsid w:val="275E01FE"/>
    <w:multiLevelType w:val="hybridMultilevel"/>
    <w:tmpl w:val="399C93A0"/>
    <w:lvl w:ilvl="0">
      <w:start w:val="1"/>
      <w:numFmt w:val="decimal"/>
      <w:lvlText w:val="%1."/>
      <w:lvlJc w:val="left"/>
      <w:pPr>
        <w:ind w:left="720" w:hanging="360"/>
      </w:pPr>
    </w:lvl>
    <w:lvl w:ilvl="1">
      <w:start w:val="1"/>
      <w:numFmt w:val="bullet"/>
      <w:lvlText w:val=""/>
      <w:lvlJc w:val="left"/>
      <w:pPr>
        <w:ind w:left="1440" w:hanging="360"/>
      </w:pPr>
      <w:rPr>
        <w:rFonts w:ascii="Symbol" w:hAnsi="Symbol" w:hint="default"/>
      </w:r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0">
    <w:nsid w:val="2C770657"/>
    <w:multiLevelType w:val="hybridMultilevel"/>
    <w:tmpl w:val="BFD26028"/>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1">
    <w:nsid w:val="2F7255C8"/>
    <w:multiLevelType w:val="hybridMultilevel"/>
    <w:tmpl w:val="2A485C14"/>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2">
    <w:nsid w:val="32260DF6"/>
    <w:multiLevelType w:val="hybridMultilevel"/>
    <w:tmpl w:val="7FCAE74C"/>
    <w:lvl w:ilvl="0">
      <w:start w:val="1"/>
      <w:numFmt w:val="decimal"/>
      <w:lvlText w:val="%1."/>
      <w:lvlJc w:val="left"/>
      <w:pPr>
        <w:ind w:left="360" w:hanging="360"/>
      </w:pPr>
    </w:lvl>
    <w:lvl w:ilvl="1" w:tentative="1">
      <w:start w:val="1"/>
      <w:numFmt w:val="lowerLetter"/>
      <w:lvlText w:val="%2."/>
      <w:lvlJc w:val="left"/>
      <w:pPr>
        <w:ind w:left="1080" w:hanging="360"/>
      </w:pPr>
    </w:lvl>
    <w:lvl w:ilvl="2" w:tentative="1">
      <w:start w:val="1"/>
      <w:numFmt w:val="lowerRoman"/>
      <w:lvlText w:val="%3."/>
      <w:lvlJc w:val="right"/>
      <w:pPr>
        <w:ind w:left="1800" w:hanging="180"/>
      </w:pPr>
    </w:lvl>
    <w:lvl w:ilvl="3" w:tentative="1">
      <w:start w:val="1"/>
      <w:numFmt w:val="decimal"/>
      <w:lvlText w:val="%4."/>
      <w:lvlJc w:val="left"/>
      <w:pPr>
        <w:ind w:left="2520" w:hanging="360"/>
      </w:pPr>
    </w:lvl>
    <w:lvl w:ilvl="4" w:tentative="1">
      <w:start w:val="1"/>
      <w:numFmt w:val="lowerLetter"/>
      <w:lvlText w:val="%5."/>
      <w:lvlJc w:val="left"/>
      <w:pPr>
        <w:ind w:left="3240" w:hanging="360"/>
      </w:pPr>
    </w:lvl>
    <w:lvl w:ilvl="5" w:tentative="1">
      <w:start w:val="1"/>
      <w:numFmt w:val="lowerRoman"/>
      <w:lvlText w:val="%6."/>
      <w:lvlJc w:val="right"/>
      <w:pPr>
        <w:ind w:left="3960" w:hanging="180"/>
      </w:pPr>
    </w:lvl>
    <w:lvl w:ilvl="6" w:tentative="1">
      <w:start w:val="1"/>
      <w:numFmt w:val="decimal"/>
      <w:lvlText w:val="%7."/>
      <w:lvlJc w:val="left"/>
      <w:pPr>
        <w:ind w:left="4680" w:hanging="360"/>
      </w:pPr>
    </w:lvl>
    <w:lvl w:ilvl="7" w:tentative="1">
      <w:start w:val="1"/>
      <w:numFmt w:val="lowerLetter"/>
      <w:lvlText w:val="%8."/>
      <w:lvlJc w:val="left"/>
      <w:pPr>
        <w:ind w:left="5400" w:hanging="360"/>
      </w:pPr>
    </w:lvl>
    <w:lvl w:ilvl="8" w:tentative="1">
      <w:start w:val="1"/>
      <w:numFmt w:val="lowerRoman"/>
      <w:lvlText w:val="%9."/>
      <w:lvlJc w:val="right"/>
      <w:pPr>
        <w:ind w:left="6120" w:hanging="180"/>
      </w:pPr>
    </w:lvl>
  </w:abstractNum>
  <w:abstractNum w:abstractNumId="23">
    <w:nsid w:val="34F2634C"/>
    <w:multiLevelType w:val="hybridMultilevel"/>
    <w:tmpl w:val="2ACC3126"/>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4">
    <w:nsid w:val="3ED8347E"/>
    <w:multiLevelType w:val="hybridMultilevel"/>
    <w:tmpl w:val="17CC64D8"/>
    <w:lvl w:ilvl="0">
      <w:start w:val="1"/>
      <w:numFmt w:val="decimal"/>
      <w:lvlText w:val="%1)"/>
      <w:lvlJc w:val="left"/>
      <w:pPr>
        <w:ind w:left="1494" w:hanging="360"/>
      </w:pPr>
    </w:lvl>
    <w:lvl w:ilvl="1" w:tentative="1">
      <w:start w:val="1"/>
      <w:numFmt w:val="lowerLetter"/>
      <w:lvlText w:val="%2."/>
      <w:lvlJc w:val="left"/>
      <w:pPr>
        <w:ind w:left="2214" w:hanging="360"/>
      </w:pPr>
    </w:lvl>
    <w:lvl w:ilvl="2" w:tentative="1">
      <w:start w:val="1"/>
      <w:numFmt w:val="lowerRoman"/>
      <w:lvlText w:val="%3."/>
      <w:lvlJc w:val="right"/>
      <w:pPr>
        <w:ind w:left="2934" w:hanging="180"/>
      </w:pPr>
    </w:lvl>
    <w:lvl w:ilvl="3" w:tentative="1">
      <w:start w:val="1"/>
      <w:numFmt w:val="decimal"/>
      <w:lvlText w:val="%4."/>
      <w:lvlJc w:val="left"/>
      <w:pPr>
        <w:ind w:left="3654" w:hanging="360"/>
      </w:pPr>
    </w:lvl>
    <w:lvl w:ilvl="4" w:tentative="1">
      <w:start w:val="1"/>
      <w:numFmt w:val="lowerLetter"/>
      <w:lvlText w:val="%5."/>
      <w:lvlJc w:val="left"/>
      <w:pPr>
        <w:ind w:left="4374" w:hanging="360"/>
      </w:pPr>
    </w:lvl>
    <w:lvl w:ilvl="5" w:tentative="1">
      <w:start w:val="1"/>
      <w:numFmt w:val="lowerRoman"/>
      <w:lvlText w:val="%6."/>
      <w:lvlJc w:val="right"/>
      <w:pPr>
        <w:ind w:left="5094" w:hanging="180"/>
      </w:pPr>
    </w:lvl>
    <w:lvl w:ilvl="6" w:tentative="1">
      <w:start w:val="1"/>
      <w:numFmt w:val="decimal"/>
      <w:lvlText w:val="%7."/>
      <w:lvlJc w:val="left"/>
      <w:pPr>
        <w:ind w:left="5814" w:hanging="360"/>
      </w:pPr>
    </w:lvl>
    <w:lvl w:ilvl="7" w:tentative="1">
      <w:start w:val="1"/>
      <w:numFmt w:val="lowerLetter"/>
      <w:lvlText w:val="%8."/>
      <w:lvlJc w:val="left"/>
      <w:pPr>
        <w:ind w:left="6534" w:hanging="360"/>
      </w:pPr>
    </w:lvl>
    <w:lvl w:ilvl="8" w:tentative="1">
      <w:start w:val="1"/>
      <w:numFmt w:val="lowerRoman"/>
      <w:lvlText w:val="%9."/>
      <w:lvlJc w:val="right"/>
      <w:pPr>
        <w:ind w:left="7254" w:hanging="180"/>
      </w:pPr>
    </w:lvl>
  </w:abstractNum>
  <w:abstractNum w:abstractNumId="25">
    <w:nsid w:val="43B379FB"/>
    <w:multiLevelType w:val="hybridMultilevel"/>
    <w:tmpl w:val="0B086CC0"/>
    <w:lvl w:ilvl="0">
      <w:start w:val="1"/>
      <w:numFmt w:val="decimal"/>
      <w:lvlText w:val="%1."/>
      <w:lvlJc w:val="left"/>
      <w:pPr>
        <w:ind w:left="720" w:hanging="360"/>
      </w:pPr>
    </w:lvl>
    <w:lvl w:ilvl="1">
      <w:start w:val="0"/>
      <w:numFmt w:val="bullet"/>
      <w:lvlText w:val="•"/>
      <w:lvlJc w:val="left"/>
      <w:pPr>
        <w:ind w:left="360" w:hanging="360"/>
      </w:pPr>
      <w:rPr>
        <w:rFonts w:ascii="Arial" w:eastAsia="SimSun" w:hAnsi="Arial" w:cs="Arial" w:hint="default"/>
      </w:r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6">
    <w:nsid w:val="43B948C7"/>
    <w:multiLevelType w:val="hybridMultilevel"/>
    <w:tmpl w:val="838ABFB2"/>
    <w:lvl w:ilvl="0">
      <w:start w:val="1"/>
      <w:numFmt w:val="decimal"/>
      <w:lvlText w:val="%1."/>
      <w:lvlJc w:val="left"/>
      <w:pPr>
        <w:ind w:left="720" w:hanging="360"/>
      </w:pPr>
    </w:lvl>
    <w:lvl w:ilvl="1">
      <w:start w:val="1"/>
      <w:numFmt w:val="bullet"/>
      <w:lvlText w:val="o"/>
      <w:lvlJc w:val="left"/>
      <w:pPr>
        <w:ind w:left="1440" w:hanging="360"/>
      </w:pPr>
      <w:rPr>
        <w:rFonts w:ascii="Courier New" w:hAnsi="Courier New" w:cs="Courier New" w:hint="default"/>
      </w:r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7">
    <w:nsid w:val="46C82C9A"/>
    <w:multiLevelType w:val="hybridMultilevel"/>
    <w:tmpl w:val="63F07864"/>
    <w:lvl w:ilvl="0">
      <w:start w:val="1"/>
      <w:numFmt w:val="bullet"/>
      <w:lvlText w:val=""/>
      <w:lvlJc w:val="left"/>
      <w:pPr>
        <w:tabs>
          <w:tab w:val="num" w:pos="662"/>
        </w:tabs>
        <w:ind w:left="173" w:firstLine="317"/>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8">
    <w:nsid w:val="49BC0320"/>
    <w:multiLevelType w:val="hybridMultilevel"/>
    <w:tmpl w:val="DC3C7298"/>
    <w:lvl w:ilvl="0">
      <w:start w:val="1"/>
      <w:numFmt w:val="bullet"/>
      <w:lvlText w:val=""/>
      <w:lvlJc w:val="left"/>
      <w:pPr>
        <w:ind w:left="662" w:hanging="172"/>
      </w:pPr>
      <w:rPr>
        <w:rFonts w:ascii="Symbol" w:hAnsi="Symbol" w:hint="default"/>
        <w:color w:val="000000" w:themeColor="text1"/>
        <w:w w:val="100"/>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9">
    <w:nsid w:val="4C3B3DAF"/>
    <w:multiLevelType w:val="hybridMultilevel"/>
    <w:tmpl w:val="613003EA"/>
    <w:lvl w:ilvl="0">
      <w:start w:val="1"/>
      <w:numFmt w:val="decimal"/>
      <w:lvlText w:val="%1."/>
      <w:lvlJc w:val="left"/>
      <w:pPr>
        <w:ind w:left="720" w:hanging="360"/>
      </w:pPr>
    </w:lvl>
    <w:lvl w:ilvl="1">
      <w:start w:val="1"/>
      <w:numFmt w:val="bullet"/>
      <w:lvlText w:val=""/>
      <w:lvlJc w:val="left"/>
      <w:pPr>
        <w:ind w:left="360" w:hanging="360"/>
      </w:pPr>
      <w:rPr>
        <w:rFonts w:ascii="Symbol" w:hAnsi="Symbol" w:hint="default"/>
      </w:r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0">
    <w:nsid w:val="4D9A653A"/>
    <w:multiLevelType w:val="hybridMultilevel"/>
    <w:tmpl w:val="459CC996"/>
    <w:lvl w:ilvl="0">
      <w:start w:val="1"/>
      <w:numFmt w:val="decimal"/>
      <w:lvlText w:val="%1."/>
      <w:lvlJc w:val="left"/>
      <w:pPr>
        <w:ind w:left="720" w:hanging="360"/>
      </w:pPr>
    </w:lvl>
    <w:lvl w:ilvl="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1">
    <w:nsid w:val="500230C6"/>
    <w:multiLevelType w:val="hybridMultilevel"/>
    <w:tmpl w:val="B0380714"/>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2">
    <w:nsid w:val="52083510"/>
    <w:multiLevelType w:val="hybridMultilevel"/>
    <w:tmpl w:val="BE6E19F6"/>
    <w:lvl w:ilvl="0">
      <w:start w:val="1"/>
      <w:numFmt w:val="bullet"/>
      <w:pStyle w:val="ListBullet"/>
      <w:lvlText w:val=""/>
      <w:lvlJc w:val="left"/>
      <w:pPr>
        <w:tabs>
          <w:tab w:val="num" w:pos="749"/>
        </w:tabs>
        <w:ind w:left="749" w:hanging="259"/>
      </w:pPr>
      <w:rPr>
        <w:rFonts w:ascii="Symbol" w:hAnsi="Symbol" w:hint="default"/>
        <w:color w:val="000000" w:themeColor="text1"/>
        <w:w w:val="100"/>
      </w:rPr>
    </w:lvl>
    <w:lvl w:ilvl="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3">
    <w:nsid w:val="52BE01CD"/>
    <w:multiLevelType w:val="hybridMultilevel"/>
    <w:tmpl w:val="79006B36"/>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4">
    <w:nsid w:val="58573FEF"/>
    <w:multiLevelType w:val="hybridMultilevel"/>
    <w:tmpl w:val="010A401C"/>
    <w:lvl w:ilvl="0">
      <w:start w:val="1"/>
      <w:numFmt w:val="decimal"/>
      <w:lvlText w:val="%1."/>
      <w:lvlJc w:val="left"/>
      <w:pPr>
        <w:ind w:left="720" w:hanging="360"/>
      </w:pPr>
    </w:lvl>
    <w:lvl w:ilvl="1">
      <w:start w:val="0"/>
      <w:numFmt w:val="bullet"/>
      <w:lvlText w:val="–"/>
      <w:lvlJc w:val="left"/>
      <w:pPr>
        <w:ind w:left="1440" w:hanging="360"/>
      </w:pPr>
      <w:rPr>
        <w:rFonts w:ascii="Times New Roman" w:eastAsia="SimSun" w:hAnsi="Times New Roman" w:cs="Times New Roman" w:hint="default"/>
      </w:rPr>
    </w:lvl>
    <w:lvl w:ilvl="2">
      <w:start w:val="1"/>
      <w:numFmt w:val="decimal"/>
      <w:lvlText w:val="%3."/>
      <w:lvlJc w:val="left"/>
      <w:pPr>
        <w:ind w:left="720" w:hanging="360"/>
      </w:pPr>
      <w:rPr>
        <w:rFonts w:hint="default"/>
      </w:r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5">
    <w:nsid w:val="5A193ED3"/>
    <w:multiLevelType w:val="hybridMultilevel"/>
    <w:tmpl w:val="A95E152E"/>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6">
    <w:nsid w:val="5B226C1F"/>
    <w:multiLevelType w:val="hybridMultilevel"/>
    <w:tmpl w:val="49ACD974"/>
    <w:lvl w:ilvl="0">
      <w:start w:val="1"/>
      <w:numFmt w:val="bullet"/>
      <w:lvlText w:val=""/>
      <w:lvlJc w:val="left"/>
      <w:pPr>
        <w:ind w:left="850" w:hanging="360"/>
      </w:pPr>
      <w:rPr>
        <w:rFonts w:ascii="Symbol" w:hAnsi="Symbol" w:hint="default"/>
        <w:color w:val="000000" w:themeColor="text1"/>
        <w:w w:val="100"/>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7">
    <w:nsid w:val="5BB14F6E"/>
    <w:multiLevelType w:val="hybridMultilevel"/>
    <w:tmpl w:val="EEC48C02"/>
    <w:lvl w:ilvl="0">
      <w:start w:val="1"/>
      <w:numFmt w:val="decimal"/>
      <w:lvlText w:val="%1."/>
      <w:lvlJc w:val="left"/>
      <w:pPr>
        <w:ind w:left="720" w:hanging="360"/>
      </w:pPr>
    </w:lvl>
    <w:lvl w:ilvl="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8">
    <w:nsid w:val="5BBB5F40"/>
    <w:multiLevelType w:val="hybridMultilevel"/>
    <w:tmpl w:val="8F3EDCB6"/>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9">
    <w:nsid w:val="67737683"/>
    <w:multiLevelType w:val="hybridMultilevel"/>
    <w:tmpl w:val="91F86F4E"/>
    <w:lvl w:ilvl="0">
      <w:start w:val="1"/>
      <w:numFmt w:val="decimal"/>
      <w:lvlText w:val="%1."/>
      <w:lvlJc w:val="left"/>
      <w:pPr>
        <w:ind w:left="720" w:hanging="360"/>
      </w:pPr>
    </w:lvl>
    <w:lvl w:ilvl="1" w:tentative="1">
      <w:start w:val="1"/>
      <w:numFmt w:val="lowerLetter"/>
      <w:lvlText w:val="%2."/>
      <w:lvlJc w:val="left"/>
      <w:pPr>
        <w:ind w:left="1440" w:hanging="360"/>
      </w:pPr>
    </w:lvl>
    <w:lvl w:ilvl="2">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40">
    <w:nsid w:val="6C901CF9"/>
    <w:multiLevelType w:val="hybridMultilevel"/>
    <w:tmpl w:val="2F4A75D8"/>
    <w:lvl w:ilvl="0">
      <w:start w:val="1"/>
      <w:numFmt w:val="decimal"/>
      <w:pStyle w:val="ListNumb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41">
    <w:nsid w:val="754E0AA5"/>
    <w:multiLevelType w:val="hybridMultilevel"/>
    <w:tmpl w:val="1ECE4F70"/>
    <w:lvl w:ilvl="0">
      <w:start w:val="1"/>
      <w:numFmt w:val="decimal"/>
      <w:lvlText w:val="%1."/>
      <w:lvlJc w:val="left"/>
      <w:pPr>
        <w:ind w:left="720" w:hanging="360"/>
      </w:pPr>
    </w:lvl>
    <w:lvl w:ilvl="1" w:tentative="1">
      <w:start w:val="1"/>
      <w:numFmt w:val="lowerLetter"/>
      <w:lvlText w:val="%2."/>
      <w:lvlJc w:val="left"/>
      <w:pPr>
        <w:ind w:left="1440" w:hanging="360"/>
      </w:pPr>
    </w:lvl>
    <w:lvl w:ilvl="2">
      <w:start w:val="1"/>
      <w:numFmt w:val="bullet"/>
      <w:lvlText w:val=""/>
      <w:lvlJc w:val="left"/>
      <w:pPr>
        <w:ind w:left="360" w:hanging="360"/>
      </w:pPr>
      <w:rPr>
        <w:rFonts w:ascii="Symbol" w:hAnsi="Symbol" w:hint="default"/>
      </w:r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42">
    <w:nsid w:val="791023F6"/>
    <w:multiLevelType w:val="hybridMultilevel"/>
    <w:tmpl w:val="B6E64B1C"/>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43">
    <w:nsid w:val="7A264903"/>
    <w:multiLevelType w:val="hybridMultilevel"/>
    <w:tmpl w:val="91E8D758"/>
    <w:lvl w:ilvl="0">
      <w:start w:val="1"/>
      <w:numFmt w:val="decimal"/>
      <w:lvlText w:val="%1."/>
      <w:lvlJc w:val="left"/>
      <w:pPr>
        <w:ind w:left="720" w:hanging="360"/>
      </w:pPr>
    </w:lvl>
    <w:lvl w:ilvl="1">
      <w:start w:val="0"/>
      <w:numFmt w:val="bullet"/>
      <w:lvlText w:val="–"/>
      <w:lvlJc w:val="left"/>
      <w:pPr>
        <w:ind w:left="1440" w:hanging="360"/>
      </w:pPr>
      <w:rPr>
        <w:rFonts w:ascii="Times New Roman" w:eastAsia="SimSun" w:hAnsi="Times New Roman" w:cs="Times New Roman" w:hint="default"/>
      </w:rPr>
    </w:lvl>
    <w:lvl w:ilvl="2">
      <w:start w:val="1"/>
      <w:numFmt w:val="bullet"/>
      <w:lvlText w:val=""/>
      <w:lvlJc w:val="left"/>
      <w:pPr>
        <w:ind w:left="720" w:hanging="360"/>
      </w:pPr>
      <w:rPr>
        <w:rFonts w:ascii="Symbol" w:hAnsi="Symbol" w:hint="default"/>
      </w:r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44">
    <w:nsid w:val="7F13475E"/>
    <w:multiLevelType w:val="hybridMultilevel"/>
    <w:tmpl w:val="4A18C704"/>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9"/>
  </w:num>
  <w:num w:numId="2">
    <w:abstractNumId w:val="27"/>
  </w:num>
  <w:num w:numId="3">
    <w:abstractNumId w:val="36"/>
  </w:num>
  <w:num w:numId="4">
    <w:abstractNumId w:val="28"/>
  </w:num>
  <w:num w:numId="5">
    <w:abstractNumId w:val="17"/>
  </w:num>
  <w:num w:numId="6">
    <w:abstractNumId w:val="7"/>
  </w:num>
  <w:num w:numId="7">
    <w:abstractNumId w:val="6"/>
  </w:num>
  <w:num w:numId="8">
    <w:abstractNumId w:val="5"/>
  </w:num>
  <w:num w:numId="9">
    <w:abstractNumId w:val="4"/>
  </w:num>
  <w:num w:numId="10">
    <w:abstractNumId w:val="8"/>
  </w:num>
  <w:num w:numId="11">
    <w:abstractNumId w:val="3"/>
  </w:num>
  <w:num w:numId="12">
    <w:abstractNumId w:val="2"/>
  </w:num>
  <w:num w:numId="13">
    <w:abstractNumId w:val="1"/>
  </w:num>
  <w:num w:numId="14">
    <w:abstractNumId w:val="0"/>
  </w:num>
  <w:num w:numId="15">
    <w:abstractNumId w:val="32"/>
  </w:num>
  <w:num w:numId="16">
    <w:abstractNumId w:val="40"/>
  </w:num>
  <w:num w:numId="17">
    <w:abstractNumId w:val="21"/>
  </w:num>
  <w:num w:numId="18">
    <w:abstractNumId w:val="14"/>
  </w:num>
  <w:num w:numId="19">
    <w:abstractNumId w:val="38"/>
  </w:num>
  <w:num w:numId="20">
    <w:abstractNumId w:val="24"/>
  </w:num>
  <w:num w:numId="21">
    <w:abstractNumId w:val="20"/>
  </w:num>
  <w:num w:numId="22">
    <w:abstractNumId w:val="11"/>
  </w:num>
  <w:num w:numId="23">
    <w:abstractNumId w:val="34"/>
  </w:num>
  <w:num w:numId="24">
    <w:abstractNumId w:val="25"/>
  </w:num>
  <w:num w:numId="25">
    <w:abstractNumId w:val="37"/>
  </w:num>
  <w:num w:numId="26">
    <w:abstractNumId w:val="19"/>
  </w:num>
  <w:num w:numId="27">
    <w:abstractNumId w:val="16"/>
  </w:num>
  <w:num w:numId="28">
    <w:abstractNumId w:val="39"/>
  </w:num>
  <w:num w:numId="29">
    <w:abstractNumId w:val="41"/>
  </w:num>
  <w:num w:numId="30">
    <w:abstractNumId w:val="44"/>
  </w:num>
  <w:num w:numId="31">
    <w:abstractNumId w:val="13"/>
  </w:num>
  <w:num w:numId="32">
    <w:abstractNumId w:val="12"/>
  </w:num>
  <w:num w:numId="33">
    <w:abstractNumId w:val="42"/>
  </w:num>
  <w:num w:numId="34">
    <w:abstractNumId w:val="31"/>
  </w:num>
  <w:num w:numId="35">
    <w:abstractNumId w:val="35"/>
  </w:num>
  <w:num w:numId="36">
    <w:abstractNumId w:val="43"/>
  </w:num>
  <w:num w:numId="37">
    <w:abstractNumId w:val="10"/>
  </w:num>
  <w:num w:numId="38">
    <w:abstractNumId w:val="18"/>
  </w:num>
  <w:num w:numId="39">
    <w:abstractNumId w:val="15"/>
  </w:num>
  <w:num w:numId="40">
    <w:abstractNumId w:val="30"/>
  </w:num>
  <w:num w:numId="41">
    <w:abstractNumId w:val="26"/>
  </w:num>
  <w:num w:numId="42">
    <w:abstractNumId w:val="29"/>
  </w:num>
  <w:num w:numId="43">
    <w:abstractNumId w:val="33"/>
  </w:num>
  <w:num w:numId="44">
    <w:abstractNumId w:val="22"/>
  </w:num>
  <w:num w:numId="4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doNotDisplayPageBoundaries/>
  <w:proofState w:spelling="clean" w:grammar="clean"/>
  <w:attachedTemplate r:id="rId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20D"/>
    <w:rsid w:val="0000564B"/>
    <w:rsid w:val="00011BE0"/>
    <w:rsid w:val="00033FAA"/>
    <w:rsid w:val="00037E17"/>
    <w:rsid w:val="00041672"/>
    <w:rsid w:val="00054200"/>
    <w:rsid w:val="000C0901"/>
    <w:rsid w:val="0013429D"/>
    <w:rsid w:val="0013678B"/>
    <w:rsid w:val="00174D88"/>
    <w:rsid w:val="00185599"/>
    <w:rsid w:val="001B00A3"/>
    <w:rsid w:val="001B678C"/>
    <w:rsid w:val="001D1FD5"/>
    <w:rsid w:val="001E25A8"/>
    <w:rsid w:val="001F1B80"/>
    <w:rsid w:val="0021102B"/>
    <w:rsid w:val="0021279E"/>
    <w:rsid w:val="00224CD5"/>
    <w:rsid w:val="00231919"/>
    <w:rsid w:val="002375CF"/>
    <w:rsid w:val="00291A97"/>
    <w:rsid w:val="00293F16"/>
    <w:rsid w:val="002C2103"/>
    <w:rsid w:val="002C6A3C"/>
    <w:rsid w:val="002E49C6"/>
    <w:rsid w:val="00305F28"/>
    <w:rsid w:val="003165C3"/>
    <w:rsid w:val="00317A45"/>
    <w:rsid w:val="003549E1"/>
    <w:rsid w:val="00377E7C"/>
    <w:rsid w:val="003B37D0"/>
    <w:rsid w:val="003B64C3"/>
    <w:rsid w:val="003B74DE"/>
    <w:rsid w:val="003D6D38"/>
    <w:rsid w:val="003E4CAB"/>
    <w:rsid w:val="004051AA"/>
    <w:rsid w:val="00416D6D"/>
    <w:rsid w:val="004311E6"/>
    <w:rsid w:val="00484DC0"/>
    <w:rsid w:val="00487472"/>
    <w:rsid w:val="004A3F18"/>
    <w:rsid w:val="004B611C"/>
    <w:rsid w:val="004C6CF8"/>
    <w:rsid w:val="004E1463"/>
    <w:rsid w:val="0053320D"/>
    <w:rsid w:val="005769C6"/>
    <w:rsid w:val="00581F2F"/>
    <w:rsid w:val="00585DDF"/>
    <w:rsid w:val="005A531E"/>
    <w:rsid w:val="005A53D6"/>
    <w:rsid w:val="005A54FC"/>
    <w:rsid w:val="005B7174"/>
    <w:rsid w:val="005C796E"/>
    <w:rsid w:val="005D4E6C"/>
    <w:rsid w:val="005E5A5D"/>
    <w:rsid w:val="006056E9"/>
    <w:rsid w:val="00644D50"/>
    <w:rsid w:val="0066276C"/>
    <w:rsid w:val="00662A62"/>
    <w:rsid w:val="00670E8C"/>
    <w:rsid w:val="006807AE"/>
    <w:rsid w:val="006B4D86"/>
    <w:rsid w:val="006C0A9A"/>
    <w:rsid w:val="007025FA"/>
    <w:rsid w:val="00710AC9"/>
    <w:rsid w:val="0073231C"/>
    <w:rsid w:val="007540DF"/>
    <w:rsid w:val="0076245E"/>
    <w:rsid w:val="00791FCA"/>
    <w:rsid w:val="007A2323"/>
    <w:rsid w:val="007C447D"/>
    <w:rsid w:val="007C7A7F"/>
    <w:rsid w:val="007E14EF"/>
    <w:rsid w:val="00881AD2"/>
    <w:rsid w:val="0088474C"/>
    <w:rsid w:val="008B5F72"/>
    <w:rsid w:val="008D0746"/>
    <w:rsid w:val="008F4784"/>
    <w:rsid w:val="0092358F"/>
    <w:rsid w:val="00941630"/>
    <w:rsid w:val="00945F33"/>
    <w:rsid w:val="00952D42"/>
    <w:rsid w:val="00957EFE"/>
    <w:rsid w:val="009627AB"/>
    <w:rsid w:val="0099567A"/>
    <w:rsid w:val="009A70A4"/>
    <w:rsid w:val="009F1CF1"/>
    <w:rsid w:val="00A17A77"/>
    <w:rsid w:val="00A32CC6"/>
    <w:rsid w:val="00A47A15"/>
    <w:rsid w:val="00A72392"/>
    <w:rsid w:val="00A845F6"/>
    <w:rsid w:val="00AC0F84"/>
    <w:rsid w:val="00B042F0"/>
    <w:rsid w:val="00B12105"/>
    <w:rsid w:val="00B16340"/>
    <w:rsid w:val="00B24FE2"/>
    <w:rsid w:val="00B53F5A"/>
    <w:rsid w:val="00B62B17"/>
    <w:rsid w:val="00BC408D"/>
    <w:rsid w:val="00BF4C06"/>
    <w:rsid w:val="00C4216E"/>
    <w:rsid w:val="00C51BE9"/>
    <w:rsid w:val="00C56C3D"/>
    <w:rsid w:val="00C63D16"/>
    <w:rsid w:val="00C94CDF"/>
    <w:rsid w:val="00CA1EEA"/>
    <w:rsid w:val="00CD4A0D"/>
    <w:rsid w:val="00CE5703"/>
    <w:rsid w:val="00CE572C"/>
    <w:rsid w:val="00CE612F"/>
    <w:rsid w:val="00CF137D"/>
    <w:rsid w:val="00D153A0"/>
    <w:rsid w:val="00D26F4C"/>
    <w:rsid w:val="00D45A98"/>
    <w:rsid w:val="00D7031F"/>
    <w:rsid w:val="00D7302C"/>
    <w:rsid w:val="00D77B20"/>
    <w:rsid w:val="00D81F9D"/>
    <w:rsid w:val="00D96E27"/>
    <w:rsid w:val="00DB2F10"/>
    <w:rsid w:val="00DC318E"/>
    <w:rsid w:val="00DD081F"/>
    <w:rsid w:val="00DD356B"/>
    <w:rsid w:val="00DE0D1B"/>
    <w:rsid w:val="00DF1F94"/>
    <w:rsid w:val="00E028C5"/>
    <w:rsid w:val="00E25193"/>
    <w:rsid w:val="00E96FED"/>
    <w:rsid w:val="00EB5257"/>
    <w:rsid w:val="00EB5C29"/>
    <w:rsid w:val="00EF13CE"/>
    <w:rsid w:val="00F03049"/>
    <w:rsid w:val="00F251B2"/>
    <w:rsid w:val="00F307DF"/>
    <w:rsid w:val="00F31EEB"/>
    <w:rsid w:val="00F35DE0"/>
    <w:rsid w:val="00F8369A"/>
    <w:rsid w:val="00FE2690"/>
    <w:rsid w:val="00FE5DD4"/>
    <w:rsid w:val="00FF1ED9"/>
  </w:rsids>
  <m:mathPr>
    <m:mathFont m:val="Cambria Math"/>
  </m:mathPr>
  <w:themeFontLang w:val="en-US" w:eastAsia="zh-CN" w:bidi="he-IL"/>
  <w:clrSchemeMapping w:bg1="light1" w:t1="dark1" w:bg2="light2" w:t2="dark2" w:accent1="accent1" w:accent2="accent2" w:accent3="accent3" w:accent4="accent4" w:accent5="accent5" w:accent6="accent6" w:hyperlink="hyperlink" w:followedHyperlink="followedHyperlink"/>
  <w15:chartTrackingRefBased/>
  <w15:docId w15:val="{72B7D4B4-56D0-954F-9824-22DFF29DB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eastAsia="SimSun" w:asciiTheme="minorHAnsi" w:hAnsiTheme="minorHAnsi" w:cstheme="minorBidi"/>
        <w:color w:val="000000" w:themeColor="text1"/>
        <w:sz w:val="24"/>
        <w:szCs w:val="24"/>
        <w:lang w:val="en-US" w:eastAsia="ja-JP" w:bidi="ar-SA"/>
      </w:rPr>
    </w:rPrDefault>
    <w:pPrDefault>
      <w:pPr>
        <w:spacing w:after="24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356B"/>
    <w:pPr>
      <w:spacing w:after="0" w:line="240" w:lineRule="auto"/>
    </w:pPr>
    <w:rPr>
      <w:rFonts w:ascii="Times New Roman" w:eastAsia="Times New Roman" w:hAnsi="Times New Roman" w:cs="Times New Roman"/>
      <w:color w:val="auto"/>
      <w:lang w:eastAsia="zh-CN"/>
    </w:rPr>
  </w:style>
  <w:style w:type="paragraph" w:styleId="Heading1">
    <w:name w:val="heading 1"/>
    <w:basedOn w:val="Normal"/>
    <w:next w:val="Normal"/>
    <w:link w:val="Heading1Char"/>
    <w:uiPriority w:val="9"/>
    <w:qFormat/>
    <w:pPr>
      <w:keepNext/>
      <w:keepLines/>
      <w:spacing w:before="400"/>
      <w:contextualSpacing/>
      <w:outlineLvl w:val="0"/>
    </w:pPr>
    <w:rPr>
      <w:rFonts w:asciiTheme="majorHAnsi" w:eastAsiaTheme="majorEastAsia" w:hAnsiTheme="majorHAnsi" w:cstheme="majorBidi"/>
      <w:sz w:val="42"/>
      <w:szCs w:val="32"/>
    </w:rPr>
  </w:style>
  <w:style w:type="paragraph" w:styleId="Heading2">
    <w:name w:val="heading 2"/>
    <w:basedOn w:val="Normal"/>
    <w:next w:val="Normal"/>
    <w:link w:val="Heading2Char"/>
    <w:uiPriority w:val="9"/>
    <w:unhideWhenUsed/>
    <w:qFormat/>
    <w:pPr>
      <w:keepNext/>
      <w:keepLines/>
      <w:spacing w:before="400"/>
      <w:outlineLvl w:val="1"/>
    </w:pPr>
    <w:rPr>
      <w:rFonts w:asciiTheme="majorHAnsi" w:eastAsiaTheme="majorEastAsia" w:hAnsiTheme="majorHAnsi" w:cstheme="majorBidi"/>
      <w:sz w:val="36"/>
      <w:szCs w:val="26"/>
    </w:rPr>
  </w:style>
  <w:style w:type="paragraph" w:styleId="Heading3">
    <w:name w:val="heading 3"/>
    <w:basedOn w:val="Normal"/>
    <w:next w:val="Normal"/>
    <w:link w:val="Heading3Char"/>
    <w:uiPriority w:val="9"/>
    <w:semiHidden/>
    <w:unhideWhenUsed/>
    <w:qFormat/>
    <w:pPr>
      <w:keepNext/>
      <w:keepLines/>
      <w:spacing w:before="400"/>
      <w:outlineLvl w:val="2"/>
    </w:pPr>
    <w:rPr>
      <w:rFonts w:asciiTheme="majorHAnsi" w:eastAsiaTheme="majorEastAsia" w:hAnsiTheme="majorHAnsi" w:cstheme="majorBidi"/>
      <w:sz w:val="30"/>
    </w:rPr>
  </w:style>
  <w:style w:type="paragraph" w:styleId="Heading4">
    <w:name w:val="heading 4"/>
    <w:basedOn w:val="Normal"/>
    <w:next w:val="Normal"/>
    <w:link w:val="Heading4Char"/>
    <w:uiPriority w:val="9"/>
    <w:semiHidden/>
    <w:unhideWhenUsed/>
    <w:qFormat/>
    <w:pPr>
      <w:keepNext/>
      <w:keepLines/>
      <w:spacing w:before="400"/>
      <w:outlineLvl w:val="3"/>
    </w:pPr>
    <w:rPr>
      <w:rFonts w:asciiTheme="majorHAnsi" w:eastAsiaTheme="majorEastAsia" w:hAnsiTheme="majorHAnsi" w:cstheme="majorBidi"/>
      <w:i/>
      <w:iCs/>
      <w:sz w:val="30"/>
    </w:rPr>
  </w:style>
  <w:style w:type="paragraph" w:styleId="Heading5">
    <w:name w:val="heading 5"/>
    <w:basedOn w:val="Normal"/>
    <w:next w:val="Normal"/>
    <w:link w:val="Heading5Char"/>
    <w:uiPriority w:val="9"/>
    <w:semiHidden/>
    <w:unhideWhenUsed/>
    <w:qFormat/>
    <w:pPr>
      <w:keepNext/>
      <w:keepLines/>
      <w:spacing w:before="400"/>
      <w:contextualSpacing/>
      <w:outlineLvl w:val="4"/>
    </w:pPr>
    <w:rPr>
      <w:rFonts w:asciiTheme="majorHAnsi" w:eastAsiaTheme="majorEastAsia" w:hAnsiTheme="majorHAnsi" w:cstheme="majorBidi"/>
      <w:b/>
      <w:color w:val="595959" w:themeColor="text1" w:themeTint="A6"/>
      <w:sz w:val="30"/>
    </w:rPr>
  </w:style>
  <w:style w:type="paragraph" w:styleId="Heading6">
    <w:name w:val="heading 6"/>
    <w:basedOn w:val="Normal"/>
    <w:next w:val="Normal"/>
    <w:link w:val="Heading6Char"/>
    <w:uiPriority w:val="9"/>
    <w:semiHidden/>
    <w:unhideWhenUsed/>
    <w:qFormat/>
    <w:pPr>
      <w:keepNext/>
      <w:keepLines/>
      <w:spacing w:before="400"/>
      <w:contextualSpacing/>
      <w:outlineLvl w:val="5"/>
    </w:pPr>
    <w:rPr>
      <w:rFonts w:asciiTheme="majorHAnsi" w:eastAsiaTheme="majorEastAsia" w:hAnsiTheme="majorHAnsi" w:cstheme="majorBidi"/>
      <w:b/>
      <w:i/>
      <w:color w:val="595959" w:themeColor="text1" w:themeTint="A6"/>
      <w:sz w:val="30"/>
    </w:rPr>
  </w:style>
  <w:style w:type="paragraph" w:styleId="Heading7">
    <w:name w:val="heading 7"/>
    <w:basedOn w:val="Normal"/>
    <w:next w:val="Normal"/>
    <w:link w:val="Heading7Char"/>
    <w:uiPriority w:val="9"/>
    <w:semiHidden/>
    <w:unhideWhenUsed/>
    <w:qFormat/>
    <w:pPr>
      <w:keepNext/>
      <w:keepLines/>
      <w:spacing w:before="400"/>
      <w:contextualSpacing/>
      <w:outlineLvl w:val="6"/>
    </w:pPr>
    <w:rPr>
      <w:rFonts w:asciiTheme="majorHAnsi" w:eastAsiaTheme="majorEastAsia" w:hAnsiTheme="majorHAnsi" w:cstheme="majorBidi"/>
      <w:iCs/>
      <w:color w:val="595959" w:themeColor="text1" w:themeTint="A6"/>
      <w:sz w:val="30"/>
    </w:rPr>
  </w:style>
  <w:style w:type="paragraph" w:styleId="Heading8">
    <w:name w:val="heading 8"/>
    <w:basedOn w:val="Normal"/>
    <w:next w:val="Normal"/>
    <w:link w:val="Heading8Char"/>
    <w:uiPriority w:val="9"/>
    <w:semiHidden/>
    <w:unhideWhenUsed/>
    <w:qFormat/>
    <w:pPr>
      <w:keepNext/>
      <w:keepLines/>
      <w:spacing w:before="400"/>
      <w:contextualSpacing/>
      <w:outlineLvl w:val="7"/>
    </w:pPr>
    <w:rPr>
      <w:rFonts w:asciiTheme="majorHAnsi" w:eastAsiaTheme="majorEastAsia" w:hAnsiTheme="majorHAnsi" w:cstheme="majorBidi"/>
      <w:i/>
      <w:color w:val="595959" w:themeColor="text1" w:themeTint="A6"/>
      <w:sz w:val="30"/>
      <w:szCs w:val="21"/>
    </w:rPr>
  </w:style>
  <w:style w:type="paragraph" w:styleId="Heading9">
    <w:name w:val="heading 9"/>
    <w:basedOn w:val="Normal"/>
    <w:next w:val="Normal"/>
    <w:link w:val="Heading9Char"/>
    <w:uiPriority w:val="9"/>
    <w:semiHidden/>
    <w:unhideWhenUsed/>
    <w:qFormat/>
    <w:pPr>
      <w:keepNext/>
      <w:keepLines/>
      <w:spacing w:before="400"/>
      <w:contextualSpacing/>
      <w:outlineLvl w:val="8"/>
    </w:pPr>
    <w:rPr>
      <w:rFonts w:asciiTheme="majorHAnsi" w:eastAsiaTheme="majorEastAsia" w:hAnsiTheme="majorHAnsi" w:cstheme="majorBidi"/>
      <w:b/>
      <w:iCs/>
      <w:color w:val="595959" w:themeColor="text1" w:themeTint="A6"/>
      <w:sz w:val="26"/>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numPr>
        <w:ilvl w:val="1"/>
      </w:numPr>
      <w:spacing w:after="300"/>
      <w:contextualSpacing/>
    </w:pPr>
    <w:rPr>
      <w:rFonts w:eastAsiaTheme="minorEastAsia"/>
      <w:sz w:val="32"/>
    </w:rPr>
  </w:style>
  <w:style w:type="character" w:customStyle="1" w:styleId="SubtitleChar">
    <w:name w:val="Subtitle Char"/>
    <w:basedOn w:val="DefaultParagraphFont"/>
    <w:link w:val="Subtitle"/>
    <w:uiPriority w:val="2"/>
    <w:rPr>
      <w:rFonts w:eastAsiaTheme="minorEastAsia"/>
      <w:sz w:val="32"/>
    </w:rPr>
  </w:style>
  <w:style w:type="paragraph" w:styleId="Title">
    <w:name w:val="Title"/>
    <w:basedOn w:val="Normal"/>
    <w:link w:val="TitleChar"/>
    <w:uiPriority w:val="1"/>
    <w:qFormat/>
    <w:pPr>
      <w:contextualSpacing/>
    </w:pPr>
    <w:rPr>
      <w:rFonts w:asciiTheme="majorHAnsi" w:eastAsiaTheme="majorEastAsia" w:hAnsiTheme="majorHAnsi" w:cstheme="majorBidi"/>
      <w:kern w:val="28"/>
      <w:sz w:val="56"/>
      <w:szCs w:val="56"/>
    </w:rPr>
  </w:style>
  <w:style w:type="character" w:customStyle="1" w:styleId="TitleChar">
    <w:name w:val="Title Char"/>
    <w:basedOn w:val="DefaultParagraphFont"/>
    <w:link w:val="Title"/>
    <w:uiPriority w:val="1"/>
    <w:rPr>
      <w:rFonts w:asciiTheme="majorHAnsi" w:eastAsiaTheme="majorEastAsia" w:hAnsiTheme="majorHAnsi" w:cstheme="majorBidi"/>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sz w:val="42"/>
      <w:szCs w:val="32"/>
    </w:rPr>
  </w:style>
  <w:style w:type="paragraph" w:styleId="ListNumber">
    <w:name w:val="List Number"/>
    <w:basedOn w:val="Normal"/>
    <w:uiPriority w:val="13"/>
    <w:qFormat/>
    <w:pPr>
      <w:numPr>
        <w:numId w:val="16"/>
      </w:numPr>
    </w:pPr>
  </w:style>
  <w:style w:type="paragraph" w:styleId="IntenseQuote">
    <w:name w:val="Intense Quote"/>
    <w:basedOn w:val="Normal"/>
    <w:next w:val="Normal"/>
    <w:link w:val="IntenseQuoteChar"/>
    <w:uiPriority w:val="30"/>
    <w:semiHidden/>
    <w:unhideWhenUsed/>
    <w:qFormat/>
    <w:pPr>
      <w:spacing w:before="240"/>
      <w:ind w:left="490" w:right="490"/>
      <w:contextualSpacing/>
    </w:pPr>
    <w:rPr>
      <w:i/>
      <w:iCs/>
      <w:sz w:val="30"/>
    </w:rPr>
  </w:style>
  <w:style w:type="paragraph" w:styleId="Quote">
    <w:name w:val="Quote"/>
    <w:basedOn w:val="Normal"/>
    <w:next w:val="Normal"/>
    <w:link w:val="QuoteChar"/>
    <w:uiPriority w:val="29"/>
    <w:qFormat/>
    <w:pPr>
      <w:spacing w:before="240"/>
      <w:ind w:left="490" w:right="490"/>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Bullet">
    <w:name w:val="List Bullet"/>
    <w:basedOn w:val="Normal"/>
    <w:uiPriority w:val="12"/>
    <w:qFormat/>
    <w:pPr>
      <w:numPr>
        <w:numId w:val="15"/>
      </w:numPr>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uthor">
    <w:name w:val="Author"/>
    <w:basedOn w:val="Normal"/>
    <w:uiPriority w:val="3"/>
    <w:qFormat/>
    <w:pPr>
      <w:pBdr>
        <w:bottom w:val="single" w:sz="8" w:space="17" w:color="000000" w:themeColor="text1"/>
      </w:pBdr>
      <w:spacing w:after="640"/>
      <w:contextualSpacing/>
    </w:p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olor w:val="595959" w:themeColor="text1" w:themeTint="A6"/>
      <w:sz w:val="3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i/>
      <w:color w:val="595959" w:themeColor="text1" w:themeTint="A6"/>
      <w:sz w:val="3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color w:val="595959" w:themeColor="text1" w:themeTint="A6"/>
      <w:sz w:val="3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color w:val="595959" w:themeColor="text1" w:themeTint="A6"/>
      <w:sz w:val="3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Cs/>
      <w:color w:val="595959" w:themeColor="text1" w:themeTint="A6"/>
      <w:sz w:val="26"/>
      <w:szCs w:val="21"/>
    </w:rPr>
  </w:style>
  <w:style w:type="character" w:styleId="SubtleEmphasis">
    <w:name w:val="Subtle Emphasis"/>
    <w:basedOn w:val="DefaultParagraphFont"/>
    <w:uiPriority w:val="19"/>
    <w:semiHidden/>
    <w:unhideWhenUsed/>
    <w:qFormat/>
    <w:rPr>
      <w:i/>
      <w:iCs/>
      <w:color w:val="000000" w:themeColor="text1"/>
    </w:rPr>
  </w:style>
  <w:style w:type="character" w:styleId="Emphasis">
    <w:name w:val="Emphasis"/>
    <w:basedOn w:val="DefaultParagraphFont"/>
    <w:uiPriority w:val="20"/>
    <w:semiHidden/>
    <w:unhideWhenUsed/>
    <w:qFormat/>
    <w:rPr>
      <w:b/>
      <w:i/>
      <w:iCs/>
    </w:rPr>
  </w:style>
  <w:style w:type="character" w:styleId="IntenseEmphasis">
    <w:name w:val="Intense Emphasis"/>
    <w:basedOn w:val="DefaultParagraphFont"/>
    <w:uiPriority w:val="21"/>
    <w:semiHidden/>
    <w:unhideWhenUsed/>
    <w:qFormat/>
    <w:rPr>
      <w:b/>
      <w:iCs/>
      <w:caps/>
      <w:smallCaps w:val="0"/>
      <w:color w:val="000000" w:themeColor="text1"/>
    </w:rPr>
  </w:style>
  <w:style w:type="character" w:styleId="SubtleReference">
    <w:name w:val="Subtle Reference"/>
    <w:basedOn w:val="DefaultParagraphFont"/>
    <w:uiPriority w:val="31"/>
    <w:semiHidden/>
    <w:unhideWhenUsed/>
    <w:qFormat/>
    <w:rPr>
      <w:caps/>
      <w:smallCaps w:val="0"/>
      <w:color w:val="000000" w:themeColor="text1"/>
    </w:rPr>
  </w:style>
  <w:style w:type="character" w:styleId="IntenseReference">
    <w:name w:val="Intense Reference"/>
    <w:basedOn w:val="DefaultParagraphFont"/>
    <w:uiPriority w:val="32"/>
    <w:semiHidden/>
    <w:unhideWhenUsed/>
    <w:qFormat/>
    <w:rPr>
      <w:b/>
      <w:bCs/>
      <w:i/>
      <w:caps/>
      <w:smallCaps w:val="0"/>
      <w:color w:val="000000" w:themeColor="text1"/>
      <w:spacing w:val="0"/>
    </w:rPr>
  </w:style>
  <w:style w:type="character" w:styleId="BookTitle">
    <w:name w:val="Book Title"/>
    <w:basedOn w:val="DefaultParagraphFont"/>
    <w:uiPriority w:val="33"/>
    <w:semiHidden/>
    <w:unhideWhenUsed/>
    <w:qFormat/>
    <w:rPr>
      <w:b w:val="0"/>
      <w:bCs/>
      <w:i w:val="0"/>
      <w:iCs/>
      <w:spacing w:val="0"/>
      <w:u w:val="single"/>
    </w:rPr>
  </w:style>
  <w:style w:type="paragraph" w:styleId="Caption">
    <w:name w:val="caption"/>
    <w:basedOn w:val="Normal"/>
    <w:next w:val="Normal"/>
    <w:uiPriority w:val="35"/>
    <w:semiHidden/>
    <w:unhideWhenUsed/>
    <w:qFormat/>
    <w:pPr>
      <w:spacing w:after="200"/>
    </w:pPr>
    <w:rPr>
      <w:i/>
      <w:iCs/>
      <w:sz w:val="20"/>
      <w:szCs w:val="18"/>
    </w:rPr>
  </w:style>
  <w:style w:type="character" w:styleId="PlaceholderText">
    <w:name w:val="Placeholder Text"/>
    <w:basedOn w:val="DefaultParagraphFont"/>
    <w:uiPriority w:val="99"/>
    <w:semiHidden/>
    <w:rPr>
      <w:color w:val="808080"/>
    </w:rPr>
  </w:style>
  <w:style w:type="paragraph" w:styleId="Footer">
    <w:name w:val="footer"/>
    <w:basedOn w:val="Normal"/>
    <w:link w:val="FooterChar"/>
    <w:uiPriority w:val="99"/>
    <w:unhideWhenUsed/>
    <w:qFormat/>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semiHidden/>
    <w:unhideWhenUsed/>
    <w:qFormat/>
    <w:pPr>
      <w:outlineLvl w:val="9"/>
    </w:pPr>
  </w:style>
  <w:style w:type="table" w:customStyle="1" w:styleId="ReportTable">
    <w:name w:val="Report Table"/>
    <w:basedOn w:val="TableNormal"/>
    <w:uiPriority w:val="99"/>
    <w:pPr>
      <w:spacing w:after="0" w:line="240" w:lineRule="auto"/>
      <w:ind w:left="374"/>
    </w:pPr>
    <w:tblPr>
      <w:tblBorders>
        <w:bottom w:val="single" w:sz="8" w:space="0" w:color="000000" w:themeColor="text1"/>
        <w:insideH w:val="single" w:sz="8" w:space="0" w:color="000000" w:themeColor="text1"/>
      </w:tblBorders>
      <w:tblCellMar>
        <w:top w:w="216" w:type="dxa"/>
        <w:left w:w="0" w:type="dxa"/>
        <w:bottom w:w="216" w:type="dxa"/>
        <w:right w:w="0" w:type="dxa"/>
      </w:tblCellMar>
    </w:tblPr>
    <w:tblStylePr w:type="firstRow">
      <w:rPr>
        <w:sz w:val="30"/>
      </w:rPr>
      <w:tblPr/>
      <w:trPr>
        <w:tblHeader/>
      </w:trPr>
      <w:tcPr>
        <w:tcBorders>
          <w:top w:val="nil"/>
          <w:left w:val="nil"/>
          <w:bottom w:val="single" w:sz="24" w:space="0" w:color="000000" w:themeColor="text1"/>
          <w:right w:val="nil"/>
          <w:insideH w:val="nil"/>
          <w:insideV w:val="nil"/>
          <w:tl2br w:val="nil"/>
          <w:tr2bl w:val="nil"/>
        </w:tcBorders>
      </w:tcPr>
    </w:tblStylePr>
    <w:tblStylePr w:type="firstCol">
      <w:pPr>
        <w:wordWrap/>
        <w:ind w:left="0" w:right="374" w:leftChars="0" w:rightChars="0"/>
        <w:jc w:val="right"/>
      </w:pPr>
      <w:rPr>
        <w:b/>
        <w:i w:val="0"/>
      </w:rPr>
    </w:tblStylePr>
  </w:style>
  <w:style w:type="character" w:customStyle="1" w:styleId="IntenseQuoteChar">
    <w:name w:val="Intense Quote Char"/>
    <w:basedOn w:val="DefaultParagraphFont"/>
    <w:link w:val="IntenseQuote"/>
    <w:uiPriority w:val="30"/>
    <w:semiHidden/>
    <w:rPr>
      <w:i/>
      <w:iCs/>
      <w:sz w:val="30"/>
    </w:rPr>
  </w:style>
  <w:style w:type="character" w:customStyle="1" w:styleId="Heading2Char">
    <w:name w:val="Heading 2 Char"/>
    <w:basedOn w:val="DefaultParagraphFont"/>
    <w:link w:val="Heading2"/>
    <w:uiPriority w:val="9"/>
    <w:rPr>
      <w:rFonts w:asciiTheme="majorHAnsi" w:eastAsiaTheme="majorEastAsia" w:hAnsiTheme="majorHAnsi" w:cstheme="majorBidi"/>
      <w:sz w:val="36"/>
      <w:szCs w:val="26"/>
    </w:rPr>
  </w:style>
  <w:style w:type="paragraph" w:styleId="Header">
    <w:name w:val="header"/>
    <w:basedOn w:val="Normal"/>
    <w:link w:val="HeaderChar"/>
    <w:uiPriority w:val="99"/>
    <w:qFormat/>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30"/>
    </w:rPr>
  </w:style>
  <w:style w:type="character" w:customStyle="1" w:styleId="HeaderChar">
    <w:name w:val="Header Char"/>
    <w:basedOn w:val="DefaultParagraphFont"/>
    <w:link w:val="Header"/>
    <w:uiPriority w:val="99"/>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30"/>
    </w:rPr>
  </w:style>
  <w:style w:type="paragraph" w:styleId="ListParagraph">
    <w:name w:val="List Paragraph"/>
    <w:basedOn w:val="Normal"/>
    <w:uiPriority w:val="34"/>
    <w:unhideWhenUsed/>
    <w:qFormat/>
    <w:rsid w:val="0053320D"/>
    <w:pPr>
      <w:ind w:left="720"/>
      <w:contextualSpacing/>
    </w:pPr>
  </w:style>
  <w:style w:type="paragraph" w:styleId="NormalWeb">
    <w:name w:val="Normal (Web)"/>
    <w:basedOn w:val="Normal"/>
    <w:uiPriority w:val="99"/>
    <w:semiHidden/>
    <w:unhideWhenUsed/>
    <w:rsid w:val="00A72392"/>
    <w:pPr>
      <w:spacing w:before="100" w:beforeAutospacing="1" w:after="100" w:afterAutospacing="1"/>
    </w:pPr>
  </w:style>
  <w:style w:type="character" w:customStyle="1" w:styleId="apple-converted-space">
    <w:name w:val="apple-converted-space"/>
    <w:basedOn w:val="DefaultParagraphFont"/>
    <w:rsid w:val="00011B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footer" Target="footer1.xml" /><Relationship Id="rId5" Type="http://schemas.openxmlformats.org/officeDocument/2006/relationships/theme" Target="theme/theme1.xml" /><Relationship Id="rId6" Type="http://schemas.openxmlformats.org/officeDocument/2006/relationships/numbering" Target="numbering.xml" /><Relationship Id="rId7" Type="http://schemas.openxmlformats.org/officeDocument/2006/relationships/styles" Target="styles.xml" /></Relationships>
</file>

<file path=word/_rels/settings.xml.rels>&#65279;<?xml version="1.0" encoding="utf-8" standalone="yes"?><Relationships xmlns="http://schemas.openxmlformats.org/package/2006/relationships"><Relationship Id="rId1" Type="http://schemas.openxmlformats.org/officeDocument/2006/relationships/attachedTemplate" Target="file:////Users/Terry/Library/Containers/com.microsoft.Word/Data/Library/Application%20Support/Microsoft/Office/16.0/DTS/en-GB%7B32E30FF6-B300-0745-8378-4852E7C49C99%7D/%7B091D9747-9BE0-8D4C-9BBD-F065614BFCAF%7Dtf10002081.dotx" TargetMode="External" /></Relationships>
</file>

<file path=word/theme/theme1.xml><?xml version="1.0" encoding="utf-8"?>
<a:theme xmlns:a="http://schemas.openxmlformats.org/drawingml/2006/main" name="Office Theme">
  <a:themeElements>
    <a:clrScheme name="Custom 43">
      <a:dk1>
        <a:sysClr val="windowText" lastClr="000000"/>
      </a:dk1>
      <a:lt1>
        <a:sysClr val="window" lastClr="FFFFFF"/>
      </a:lt1>
      <a:dk2>
        <a:srgbClr val="151E1F"/>
      </a:dk2>
      <a:lt2>
        <a:srgbClr val="F1F4F4"/>
      </a:lt2>
      <a:accent1>
        <a:srgbClr val="53777A"/>
      </a:accent1>
      <a:accent2>
        <a:srgbClr val="542437"/>
      </a:accent2>
      <a:accent3>
        <a:srgbClr val="C02942"/>
      </a:accent3>
      <a:accent4>
        <a:srgbClr val="D95B43"/>
      </a:accent4>
      <a:accent5>
        <a:srgbClr val="B09169"/>
      </a:accent5>
      <a:accent6>
        <a:srgbClr val="ECD078"/>
      </a:accent6>
      <a:hlink>
        <a:srgbClr val="5E9EA1"/>
      </a:hlink>
      <a:folHlink>
        <a:srgbClr val="7A4561"/>
      </a:folHlink>
    </a:clrScheme>
    <a:fontScheme name="Style Set 9">
      <a:maj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{091D9747-9BE0-8D4C-9BBD-F065614BFCAF}tf10002081.dotx</Template>
  <TotalTime>2597</TotalTime>
  <Pages>9</Pages>
  <Words>2852</Words>
  <Characters>16257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dc:creator>
  <cp:lastModifiedBy>T</cp:lastModifiedBy>
  <cp:revision>12</cp:revision>
  <dcterms:created xsi:type="dcterms:W3CDTF">2020-11-06T10:22:00Z</dcterms:created>
  <dcterms:modified xsi:type="dcterms:W3CDTF">2020-11-14T18:11:00Z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TF10002040</vt:lpwstr>
  </property>
</Properties>
</file>