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FF758" w14:textId="77777777" w:rsidR="00791471" w:rsidRPr="000C4507" w:rsidRDefault="00791471">
      <w:pPr>
        <w:spacing w:after="240" w:line="360" w:lineRule="auto"/>
        <w:jc w:val="center"/>
        <w:rPr>
          <w:b/>
          <w:sz w:val="40"/>
          <w:szCs w:val="40"/>
        </w:rPr>
      </w:pPr>
    </w:p>
    <w:p w14:paraId="16E1F322" w14:textId="77777777" w:rsidR="00791471" w:rsidRPr="000C4507" w:rsidRDefault="00791471">
      <w:pPr>
        <w:spacing w:after="240" w:line="360" w:lineRule="auto"/>
        <w:jc w:val="center"/>
        <w:rPr>
          <w:b/>
          <w:sz w:val="40"/>
          <w:szCs w:val="40"/>
        </w:rPr>
      </w:pPr>
    </w:p>
    <w:p w14:paraId="78B97768" w14:textId="0DE540DB" w:rsidR="00DB2810" w:rsidRPr="000C4507" w:rsidRDefault="00111FC2" w:rsidP="00B2763F">
      <w:pPr>
        <w:spacing w:after="240" w:line="360" w:lineRule="auto"/>
        <w:jc w:val="center"/>
        <w:rPr>
          <w:b/>
          <w:sz w:val="40"/>
          <w:szCs w:val="40"/>
        </w:rPr>
      </w:pPr>
      <w:r w:rsidRPr="000C4507">
        <w:rPr>
          <w:b/>
          <w:sz w:val="40"/>
          <w:szCs w:val="40"/>
        </w:rPr>
        <w:t>Module: LCBB4002</w:t>
      </w:r>
    </w:p>
    <w:p w14:paraId="1AD8C0B1" w14:textId="2EF5C38A" w:rsidR="00642791" w:rsidRPr="000C4507" w:rsidRDefault="00111FC2" w:rsidP="00B2763F">
      <w:pPr>
        <w:spacing w:after="240" w:line="360" w:lineRule="auto"/>
        <w:jc w:val="center"/>
        <w:rPr>
          <w:b/>
          <w:sz w:val="40"/>
          <w:szCs w:val="40"/>
        </w:rPr>
      </w:pPr>
      <w:r w:rsidRPr="000C4507">
        <w:rPr>
          <w:b/>
          <w:sz w:val="40"/>
          <w:szCs w:val="40"/>
        </w:rPr>
        <w:t>Community Engagement</w:t>
      </w:r>
    </w:p>
    <w:p w14:paraId="1AD8C0B3" w14:textId="54A26CF7" w:rsidR="00642791" w:rsidRPr="0006042B" w:rsidRDefault="00111FC2" w:rsidP="00B2763F">
      <w:pPr>
        <w:spacing w:after="240" w:line="360" w:lineRule="auto"/>
        <w:jc w:val="center"/>
        <w:rPr>
          <w:bCs/>
          <w:sz w:val="40"/>
          <w:szCs w:val="40"/>
        </w:rPr>
      </w:pPr>
      <w:r w:rsidRPr="000C4507">
        <w:rPr>
          <w:b/>
          <w:sz w:val="40"/>
          <w:szCs w:val="40"/>
        </w:rPr>
        <w:t xml:space="preserve">Assignment Title: </w:t>
      </w:r>
      <w:r w:rsidR="004E5AE0" w:rsidRPr="0006042B">
        <w:rPr>
          <w:bCs/>
          <w:sz w:val="40"/>
          <w:szCs w:val="40"/>
        </w:rPr>
        <w:t xml:space="preserve">Local </w:t>
      </w:r>
      <w:r w:rsidR="0006042B" w:rsidRPr="0006042B">
        <w:rPr>
          <w:bCs/>
          <w:sz w:val="40"/>
          <w:szCs w:val="40"/>
        </w:rPr>
        <w:t>authority community engagement process</w:t>
      </w:r>
    </w:p>
    <w:p w14:paraId="778DB8B8" w14:textId="00BA5175" w:rsidR="00BD5674" w:rsidRPr="00BD5674" w:rsidRDefault="00BD5674" w:rsidP="00B2763F">
      <w:pPr>
        <w:spacing w:line="360" w:lineRule="auto"/>
        <w:jc w:val="center"/>
        <w:rPr>
          <w:sz w:val="40"/>
          <w:szCs w:val="40"/>
          <w:lang w:val="en-US"/>
        </w:rPr>
      </w:pPr>
      <w:r w:rsidRPr="00BD5674">
        <w:rPr>
          <w:b/>
          <w:bCs/>
          <w:sz w:val="40"/>
          <w:szCs w:val="40"/>
          <w:lang w:val="en-US"/>
        </w:rPr>
        <w:t>Lecturer name:</w:t>
      </w:r>
      <w:r w:rsidRPr="00BD5674">
        <w:rPr>
          <w:sz w:val="40"/>
          <w:szCs w:val="40"/>
          <w:lang w:val="en-US"/>
        </w:rPr>
        <w:t xml:space="preserve"> </w:t>
      </w:r>
      <w:r w:rsidRPr="000C4507">
        <w:rPr>
          <w:sz w:val="40"/>
          <w:szCs w:val="40"/>
          <w:lang w:val="en-US"/>
        </w:rPr>
        <w:t xml:space="preserve">Zahra </w:t>
      </w:r>
      <w:proofErr w:type="spellStart"/>
      <w:r w:rsidRPr="000C4507">
        <w:rPr>
          <w:sz w:val="40"/>
          <w:szCs w:val="40"/>
          <w:lang w:val="en-US"/>
        </w:rPr>
        <w:t>M</w:t>
      </w:r>
      <w:r w:rsidR="000C4507" w:rsidRPr="000C4507">
        <w:rPr>
          <w:sz w:val="40"/>
          <w:szCs w:val="40"/>
          <w:lang w:val="en-US"/>
        </w:rPr>
        <w:t>ohammadnazari</w:t>
      </w:r>
      <w:proofErr w:type="spellEnd"/>
    </w:p>
    <w:p w14:paraId="12F47131" w14:textId="77777777" w:rsidR="00BD5674" w:rsidRPr="00BD5674" w:rsidRDefault="00BD5674" w:rsidP="00B2763F">
      <w:pPr>
        <w:spacing w:line="360" w:lineRule="auto"/>
        <w:jc w:val="center"/>
        <w:rPr>
          <w:b/>
          <w:bCs/>
          <w:sz w:val="40"/>
          <w:szCs w:val="40"/>
          <w:lang w:val="en-US"/>
        </w:rPr>
      </w:pPr>
      <w:r w:rsidRPr="00BD5674">
        <w:rPr>
          <w:b/>
          <w:bCs/>
          <w:sz w:val="40"/>
          <w:szCs w:val="40"/>
          <w:lang w:val="en-US"/>
        </w:rPr>
        <w:t xml:space="preserve">Student name: </w:t>
      </w:r>
      <w:r w:rsidRPr="00BD5674">
        <w:rPr>
          <w:sz w:val="40"/>
          <w:szCs w:val="40"/>
          <w:lang w:val="en-US"/>
        </w:rPr>
        <w:t xml:space="preserve">Viorica </w:t>
      </w:r>
      <w:proofErr w:type="spellStart"/>
      <w:r w:rsidRPr="00BD5674">
        <w:rPr>
          <w:sz w:val="40"/>
          <w:szCs w:val="40"/>
          <w:lang w:val="en-US"/>
        </w:rPr>
        <w:t>Birloiu</w:t>
      </w:r>
      <w:proofErr w:type="spellEnd"/>
    </w:p>
    <w:p w14:paraId="46A73280" w14:textId="255B3E88" w:rsidR="00BD5674" w:rsidRPr="00BD5674" w:rsidRDefault="00BD5674" w:rsidP="00B2763F">
      <w:pPr>
        <w:spacing w:line="360" w:lineRule="auto"/>
        <w:jc w:val="center"/>
        <w:rPr>
          <w:b/>
          <w:bCs/>
          <w:sz w:val="40"/>
          <w:szCs w:val="40"/>
          <w:lang w:val="en-US"/>
        </w:rPr>
      </w:pPr>
      <w:r w:rsidRPr="00BD5674">
        <w:rPr>
          <w:b/>
          <w:bCs/>
          <w:sz w:val="40"/>
          <w:szCs w:val="40"/>
          <w:lang w:val="en-US"/>
        </w:rPr>
        <w:t xml:space="preserve">Student number: </w:t>
      </w:r>
      <w:r w:rsidRPr="00BD5674">
        <w:rPr>
          <w:sz w:val="40"/>
          <w:szCs w:val="40"/>
          <w:lang w:val="en-US"/>
        </w:rPr>
        <w:t>2227895</w:t>
      </w:r>
    </w:p>
    <w:p w14:paraId="2EAB2A97" w14:textId="77777777" w:rsidR="00BD5674" w:rsidRDefault="00BD5674" w:rsidP="00B2763F">
      <w:pPr>
        <w:spacing w:after="240" w:line="360" w:lineRule="auto"/>
        <w:jc w:val="center"/>
        <w:rPr>
          <w:b/>
          <w:sz w:val="36"/>
          <w:szCs w:val="36"/>
        </w:rPr>
      </w:pPr>
    </w:p>
    <w:p w14:paraId="1AD8C0B4" w14:textId="77777777" w:rsidR="00642791" w:rsidRDefault="00642791" w:rsidP="00B2763F">
      <w:pPr>
        <w:spacing w:after="240" w:line="360" w:lineRule="auto"/>
        <w:jc w:val="center"/>
        <w:rPr>
          <w:b/>
          <w:sz w:val="28"/>
          <w:szCs w:val="28"/>
        </w:rPr>
      </w:pPr>
    </w:p>
    <w:p w14:paraId="1AD8C0B5" w14:textId="77777777" w:rsidR="00642791" w:rsidRDefault="00642791"/>
    <w:p w14:paraId="1AD8C0B6" w14:textId="77777777" w:rsidR="00642791" w:rsidRDefault="00111FC2">
      <w:pPr>
        <w:rPr>
          <w:rFonts w:ascii="Cambria" w:eastAsia="Cambria" w:hAnsi="Cambria" w:cs="Cambria"/>
        </w:rPr>
      </w:pPr>
      <w:r>
        <w:br w:type="page"/>
      </w:r>
    </w:p>
    <w:p w14:paraId="1AD8C0B7" w14:textId="77777777" w:rsidR="00642791" w:rsidRDefault="00111FC2">
      <w:pPr>
        <w:keepNext/>
        <w:keepLines/>
        <w:pBdr>
          <w:top w:val="nil"/>
          <w:left w:val="nil"/>
          <w:bottom w:val="nil"/>
          <w:right w:val="nil"/>
          <w:between w:val="nil"/>
        </w:pBdr>
        <w:spacing w:before="240" w:after="0" w:line="360" w:lineRule="auto"/>
        <w:jc w:val="center"/>
        <w:rPr>
          <w:color w:val="2F5496"/>
          <w:sz w:val="32"/>
          <w:szCs w:val="32"/>
        </w:rPr>
      </w:pPr>
      <w:r>
        <w:rPr>
          <w:color w:val="2F5496"/>
          <w:sz w:val="32"/>
          <w:szCs w:val="32"/>
        </w:rPr>
        <w:lastRenderedPageBreak/>
        <w:t>Table of Contents</w:t>
      </w:r>
    </w:p>
    <w:sdt>
      <w:sdtPr>
        <w:id w:val="814373916"/>
        <w:docPartObj>
          <w:docPartGallery w:val="Table of Contents"/>
          <w:docPartUnique/>
        </w:docPartObj>
      </w:sdtPr>
      <w:sdtEndPr/>
      <w:sdtContent>
        <w:p w14:paraId="1AD8C0B8" w14:textId="77777777" w:rsidR="00642791" w:rsidRDefault="00111FC2">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1AD8C0B9" w14:textId="77777777" w:rsidR="00642791" w:rsidRDefault="008B7C4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0j0zll">
            <w:r w:rsidR="00111FC2">
              <w:rPr>
                <w:color w:val="000000"/>
              </w:rPr>
              <w:t>The Main Body</w:t>
            </w:r>
            <w:r w:rsidR="00111FC2">
              <w:rPr>
                <w:color w:val="000000"/>
              </w:rPr>
              <w:tab/>
              <w:t>4</w:t>
            </w:r>
          </w:hyperlink>
        </w:p>
        <w:p w14:paraId="1AD8C0BA" w14:textId="77777777" w:rsidR="00642791" w:rsidRDefault="008B7C47">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1fob9te">
            <w:r w:rsidR="00111FC2">
              <w:rPr>
                <w:color w:val="000000"/>
              </w:rPr>
              <w:t>Community Engagement Principles</w:t>
            </w:r>
            <w:r w:rsidR="00111FC2">
              <w:rPr>
                <w:color w:val="000000"/>
              </w:rPr>
              <w:tab/>
              <w:t>4</w:t>
            </w:r>
          </w:hyperlink>
        </w:p>
        <w:p w14:paraId="1AD8C0BB" w14:textId="77777777" w:rsidR="00642791" w:rsidRDefault="008B7C47">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3znysh7">
            <w:r w:rsidR="00111FC2">
              <w:rPr>
                <w:color w:val="000000"/>
              </w:rPr>
              <w:t>Planning and Design</w:t>
            </w:r>
            <w:r w:rsidR="00111FC2">
              <w:rPr>
                <w:color w:val="000000"/>
              </w:rPr>
              <w:tab/>
              <w:t>5</w:t>
            </w:r>
          </w:hyperlink>
        </w:p>
        <w:p w14:paraId="1AD8C0BC" w14:textId="77777777" w:rsidR="00642791" w:rsidRDefault="008B7C47">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2et92p0">
            <w:r w:rsidR="00111FC2">
              <w:rPr>
                <w:color w:val="000000"/>
              </w:rPr>
              <w:t>Standards</w:t>
            </w:r>
            <w:r w:rsidR="00111FC2">
              <w:rPr>
                <w:color w:val="000000"/>
              </w:rPr>
              <w:tab/>
              <w:t>6</w:t>
            </w:r>
          </w:hyperlink>
        </w:p>
        <w:p w14:paraId="1AD8C0BD" w14:textId="77777777" w:rsidR="00642791" w:rsidRDefault="008B7C47">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tyjcwt">
            <w:r w:rsidR="00111FC2">
              <w:rPr>
                <w:color w:val="000000"/>
              </w:rPr>
              <w:t>Evaluation and Impact</w:t>
            </w:r>
            <w:r w:rsidR="00111FC2">
              <w:rPr>
                <w:color w:val="000000"/>
              </w:rPr>
              <w:tab/>
              <w:t>7</w:t>
            </w:r>
          </w:hyperlink>
        </w:p>
        <w:p w14:paraId="1AD8C0BE" w14:textId="77777777" w:rsidR="00642791" w:rsidRDefault="008B7C4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dy6vkm">
            <w:r w:rsidR="00111FC2">
              <w:rPr>
                <w:color w:val="000000"/>
              </w:rPr>
              <w:t>Conclusion</w:t>
            </w:r>
            <w:r w:rsidR="00111FC2">
              <w:rPr>
                <w:color w:val="000000"/>
              </w:rPr>
              <w:tab/>
              <w:t>8</w:t>
            </w:r>
          </w:hyperlink>
        </w:p>
        <w:p w14:paraId="1AD8C0BF" w14:textId="77777777" w:rsidR="00642791" w:rsidRDefault="008B7C4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1t3h5sf">
            <w:r w:rsidR="00111FC2">
              <w:rPr>
                <w:color w:val="000000"/>
              </w:rPr>
              <w:t>References</w:t>
            </w:r>
            <w:r w:rsidR="00111FC2">
              <w:rPr>
                <w:color w:val="000000"/>
              </w:rPr>
              <w:tab/>
              <w:t>10</w:t>
            </w:r>
          </w:hyperlink>
        </w:p>
        <w:p w14:paraId="1AD8C0C0" w14:textId="77777777" w:rsidR="00642791" w:rsidRDefault="00111FC2">
          <w:r>
            <w:fldChar w:fldCharType="end"/>
          </w:r>
        </w:p>
      </w:sdtContent>
    </w:sdt>
    <w:p w14:paraId="1AD8C0C1" w14:textId="77777777" w:rsidR="00642791" w:rsidRDefault="00111FC2">
      <w:pPr>
        <w:spacing w:line="360" w:lineRule="auto"/>
      </w:pPr>
      <w:r>
        <w:br w:type="page"/>
      </w:r>
    </w:p>
    <w:p w14:paraId="1AD8C0C2" w14:textId="77777777" w:rsidR="00642791" w:rsidRDefault="00111FC2">
      <w:pPr>
        <w:pStyle w:val="Heading1"/>
      </w:pPr>
      <w:bookmarkStart w:id="0" w:name="_gjdgxs" w:colFirst="0" w:colLast="0"/>
      <w:bookmarkEnd w:id="0"/>
      <w:r>
        <w:lastRenderedPageBreak/>
        <w:t>Introduction</w:t>
      </w:r>
    </w:p>
    <w:p w14:paraId="1AD8C0C3" w14:textId="77777777" w:rsidR="00642791" w:rsidRDefault="00111FC2">
      <w:pPr>
        <w:spacing w:line="360" w:lineRule="auto"/>
      </w:pPr>
      <w:r>
        <w:t>Community engagement is fundamental to cultivate social cohesion and natural stewardship in society. The "Clean Up Britain" activity aims to make strides cleanliness in open zones and decrease trash as portion of a community engagement exertion (</w:t>
      </w:r>
      <w:proofErr w:type="spellStart"/>
      <w:r>
        <w:t>Mailonline</w:t>
      </w:r>
      <w:proofErr w:type="spellEnd"/>
      <w:r>
        <w:t xml:space="preserve">, 2023). This report endeavours to look at the project's viability in terms of its benchmarks, arranging and plan, assessment, and results. The investigate will start by laying out the main standards behind community association, with a significance of collaboration, inclusivity, and dynamic community interest. The initiative's compliance with these objectives whereas enrolling the help of volunteers, </w:t>
      </w:r>
      <w:proofErr w:type="spellStart"/>
      <w:r>
        <w:t>neighborhood</w:t>
      </w:r>
      <w:proofErr w:type="spellEnd"/>
      <w:r>
        <w:t xml:space="preserve"> communities, and other partners will be inspected. The report will go into extraordinary detail on the campaign's arranging and plan handle. Karim (2022) emphasised that Clean Up Britain's approach included selecting target zones, selecting volunteers, giving them with preparing, and arranging cleaning occasions.  It will examine the standards Clean Up Britain utilises to guarantee the consistency and dependability of their operations. This includes adherence to health and safety regulations, waste disposal guidelines, and promoting sustainable practices. Finally analysing these standards contribute to creating a safe and conducive environment for community members to actively participate in the campaign. The report will emphasise the significance of robust evaluation strategies in determining the success and sustainability of community engagement initiatives.</w:t>
      </w:r>
    </w:p>
    <w:p w14:paraId="1AD8C0C4" w14:textId="77777777" w:rsidR="00642791" w:rsidRDefault="00111FC2">
      <w:pPr>
        <w:spacing w:line="360" w:lineRule="auto"/>
      </w:pPr>
      <w:r>
        <w:br w:type="page"/>
      </w:r>
    </w:p>
    <w:p w14:paraId="1AD8C0C5" w14:textId="77777777" w:rsidR="00642791" w:rsidRDefault="00111FC2">
      <w:pPr>
        <w:pStyle w:val="Heading1"/>
      </w:pPr>
      <w:bookmarkStart w:id="1" w:name="_30j0zll" w:colFirst="0" w:colLast="0"/>
      <w:bookmarkEnd w:id="1"/>
      <w:r>
        <w:lastRenderedPageBreak/>
        <w:t>The Main Body</w:t>
      </w:r>
    </w:p>
    <w:p w14:paraId="1AD8C0C6" w14:textId="77777777" w:rsidR="00642791" w:rsidRDefault="00111FC2">
      <w:pPr>
        <w:spacing w:line="360" w:lineRule="auto"/>
      </w:pPr>
      <w:r>
        <w:t xml:space="preserve">Community engagement aims to carry out work activities in a cooperative way with and through the involvement of the group of people. The community's overall health as well as the health of its people will be greatly improved by using this powerful instrument to help bring about behavioural and environmental improvements, according to Dessart (2017). In other words, the author describes how the main and most significant objective of the community engagement process is working with the specified group of individuals. The term "community" describes a broader range of contact that puts the focus on a group rather than an individual.  The Clean Up Britain project effectively incorporates community engagement principles to promote active participation and collaboration. </w:t>
      </w:r>
    </w:p>
    <w:p w14:paraId="1AD8C0C7" w14:textId="77777777" w:rsidR="00642791" w:rsidRDefault="00111FC2">
      <w:pPr>
        <w:spacing w:line="360" w:lineRule="auto"/>
      </w:pPr>
      <w:r>
        <w:t>Through inclusivity, the project encourages individuals, local communities, and stakeholders to join efforts in addressing litter issues (Yu, 2022). Strengthening the partnerships with local councils and organisations, the project promotes collaboration and shared responsibility. There are different aspects related to the organisation Clean Up Britain that includes aspects such as affiliation, collective resources sustainability and recording of controls. The organisation concern with the proper command on the community engagement can ensure to increase their operations on a broader scale that can thereby support in the broadening of the work scale that can further ensure suitable command on the expansion and diversification aspects.</w:t>
      </w:r>
    </w:p>
    <w:p w14:paraId="1AD8C0C8" w14:textId="77777777" w:rsidR="00642791" w:rsidRDefault="00111FC2">
      <w:pPr>
        <w:pStyle w:val="Heading2"/>
      </w:pPr>
      <w:bookmarkStart w:id="2" w:name="_1fob9te" w:colFirst="0" w:colLast="0"/>
      <w:bookmarkEnd w:id="2"/>
      <w:r>
        <w:t>Community Engagement Principles</w:t>
      </w:r>
    </w:p>
    <w:p w14:paraId="1AD8C0C9" w14:textId="77777777" w:rsidR="00642791" w:rsidRDefault="00111FC2">
      <w:pPr>
        <w:pBdr>
          <w:top w:val="nil"/>
          <w:left w:val="nil"/>
          <w:bottom w:val="nil"/>
          <w:right w:val="nil"/>
          <w:between w:val="nil"/>
        </w:pBdr>
        <w:spacing w:before="280" w:after="280" w:line="360" w:lineRule="auto"/>
        <w:rPr>
          <w:color w:val="000000"/>
        </w:rPr>
      </w:pPr>
      <w:r>
        <w:rPr>
          <w:color w:val="000000"/>
        </w:rPr>
        <w:t xml:space="preserve">The Clean Up Britain project demonstrates a commitment to key community engagement principles, which contribute to its effectiveness in addressing litter issues and fostering community participation. </w:t>
      </w:r>
    </w:p>
    <w:p w14:paraId="1AD8C0CA" w14:textId="77777777" w:rsidR="00642791" w:rsidRDefault="00111FC2">
      <w:pPr>
        <w:pBdr>
          <w:top w:val="nil"/>
          <w:left w:val="nil"/>
          <w:bottom w:val="nil"/>
          <w:right w:val="nil"/>
          <w:between w:val="nil"/>
        </w:pBdr>
        <w:spacing w:before="280" w:after="280" w:line="360" w:lineRule="auto"/>
        <w:rPr>
          <w:color w:val="000000"/>
        </w:rPr>
      </w:pPr>
      <w:r>
        <w:rPr>
          <w:b/>
          <w:color w:val="000000"/>
        </w:rPr>
        <w:t>Inclusivity:</w:t>
      </w:r>
      <w:r>
        <w:rPr>
          <w:color w:val="000000"/>
        </w:rPr>
        <w:t xml:space="preserve"> Inclusivity is a fundamental community engagement principle embraced by the Clean Up Britain project. It emphasises the importance of involving a diverse range of individuals, communities, and stakeholders in the initiative. No of their age, background, or abilities, people from all walks of life are encouraged to participate in the effort. The programme ensures that everyone in the neighbourhood participates in the benefits and costs of cleaning efforts, according to Karim (2022). The project's website, social media platforms, and local community centres are utilised as communication channels to promote inclusion and reach a wide audience.</w:t>
      </w:r>
    </w:p>
    <w:p w14:paraId="1AD8C0CB" w14:textId="77777777" w:rsidR="00642791" w:rsidRDefault="00111FC2">
      <w:pPr>
        <w:pBdr>
          <w:top w:val="nil"/>
          <w:left w:val="nil"/>
          <w:bottom w:val="nil"/>
          <w:right w:val="nil"/>
          <w:between w:val="nil"/>
        </w:pBdr>
        <w:spacing w:before="280" w:after="280" w:line="360" w:lineRule="auto"/>
        <w:rPr>
          <w:color w:val="000000"/>
        </w:rPr>
      </w:pPr>
      <w:r>
        <w:rPr>
          <w:b/>
          <w:color w:val="000000"/>
        </w:rPr>
        <w:lastRenderedPageBreak/>
        <w:t>Collaboration:</w:t>
      </w:r>
      <w:r>
        <w:rPr>
          <w:color w:val="000000"/>
        </w:rPr>
        <w:t xml:space="preserve"> The Clean Up Britain programme supports collaboration as the cornerstone of community engagement. It aggressively supports collaboration among people, local communities, and numerous stakeholders to tackle the littering problem. Cunha and </w:t>
      </w:r>
      <w:proofErr w:type="spellStart"/>
      <w:r>
        <w:rPr>
          <w:color w:val="000000"/>
        </w:rPr>
        <w:t>Benneworth</w:t>
      </w:r>
      <w:proofErr w:type="spellEnd"/>
      <w:r>
        <w:rPr>
          <w:color w:val="000000"/>
        </w:rPr>
        <w:t xml:space="preserve"> (2013) emphasised that cooperation is encouraged by agreements with regional administrations, neighbourhood associations, and organisations committed to waste collection and environmental preservation. These collaborations give a more organised and efficient manner of addressing trash by combining resources, expertise, and talents.</w:t>
      </w:r>
    </w:p>
    <w:p w14:paraId="1AD8C0CC" w14:textId="77777777" w:rsidR="00642791" w:rsidRDefault="00111FC2">
      <w:pPr>
        <w:pBdr>
          <w:top w:val="nil"/>
          <w:left w:val="nil"/>
          <w:bottom w:val="nil"/>
          <w:right w:val="nil"/>
          <w:between w:val="nil"/>
        </w:pBdr>
        <w:spacing w:before="280" w:after="280" w:line="360" w:lineRule="auto"/>
        <w:rPr>
          <w:color w:val="000000"/>
        </w:rPr>
      </w:pPr>
      <w:r>
        <w:rPr>
          <w:b/>
          <w:color w:val="000000"/>
        </w:rPr>
        <w:t>Communication and Transparency:</w:t>
      </w:r>
      <w:r>
        <w:rPr>
          <w:color w:val="000000"/>
        </w:rPr>
        <w:t xml:space="preserve"> In order to fully involve the community, Clean Up Britain puts a strong focus on open communication and transparency. The initiative promotes its aims, guidelines, and possibilities for collaboration using a variety of platforms and technologies. The website for the effort acts as a central repository for data, including information on planned clean-up activities, volunteer sign-up forms, and tools for coordinating local clean-up events (Cyril et al., 2015). Social media platforms like Facebook and Twitter are used to share information, celebrate successes, and communicate with the public.</w:t>
      </w:r>
    </w:p>
    <w:p w14:paraId="1AD8C0CD" w14:textId="77777777" w:rsidR="00642791" w:rsidRDefault="00111FC2">
      <w:pPr>
        <w:pBdr>
          <w:top w:val="nil"/>
          <w:left w:val="nil"/>
          <w:bottom w:val="nil"/>
          <w:right w:val="nil"/>
          <w:between w:val="nil"/>
        </w:pBdr>
        <w:spacing w:before="280" w:after="280" w:line="360" w:lineRule="auto"/>
        <w:rPr>
          <w:color w:val="000000"/>
        </w:rPr>
      </w:pPr>
      <w:r>
        <w:rPr>
          <w:b/>
          <w:color w:val="000000"/>
        </w:rPr>
        <w:t>Empowerment and Ownership:</w:t>
      </w:r>
      <w:r>
        <w:rPr>
          <w:color w:val="000000"/>
        </w:rPr>
        <w:t xml:space="preserve"> The Clean Up Britain movement creates a feeling of responsibility and empowerment among local citizens. Kronick (2018) emphasised that it stimulates neighbours and community organisation to actively coordinate and organise cleanup efforts. The initiative develops a higher commitment to the decision-making processes by fostering a feeling of ownership. A bottom-up approach is made feasible and community relationships are built by finding and equipping local leaders to conduct cleaning activities.</w:t>
      </w:r>
    </w:p>
    <w:p w14:paraId="1AD8C0CE" w14:textId="77777777" w:rsidR="00642791" w:rsidRDefault="00111FC2">
      <w:pPr>
        <w:pStyle w:val="Heading2"/>
      </w:pPr>
      <w:bookmarkStart w:id="3" w:name="_3znysh7" w:colFirst="0" w:colLast="0"/>
      <w:bookmarkEnd w:id="3"/>
      <w:r>
        <w:t>Planning and Design</w:t>
      </w:r>
    </w:p>
    <w:p w14:paraId="1AD8C0CF" w14:textId="77777777" w:rsidR="00642791" w:rsidRDefault="00111FC2">
      <w:pPr>
        <w:spacing w:line="360" w:lineRule="auto"/>
      </w:pPr>
      <w:r>
        <w:rPr>
          <w:b/>
        </w:rPr>
        <w:t>Project Planning Process:</w:t>
      </w:r>
      <w:r>
        <w:t xml:space="preserve"> The Clean Up Britain programme underwent a careful planning process to ensure its effectiveness and long-term viability. Project start-up, needs assessment, goal-setting, resource allocation, and schedule creation were crucial phases of the planning process (Chamberlain, Crabtree and Davies, 2013). To define the initiative's scope and objectives, project planners collaborated with important partners such local governments, environmental agencies, and community groups.</w:t>
      </w:r>
    </w:p>
    <w:p w14:paraId="1AD8C0D0" w14:textId="77777777" w:rsidR="00642791" w:rsidRDefault="00111FC2">
      <w:pPr>
        <w:spacing w:line="360" w:lineRule="auto"/>
      </w:pPr>
      <w:r>
        <w:rPr>
          <w:b/>
        </w:rPr>
        <w:t>Design Stages:</w:t>
      </w:r>
      <w:r>
        <w:t xml:space="preserve"> To make sure that the Clean Up Britain initiative was a well-organised and fruitful endeavour, the design underwent a number of modifications. Watson (2007) emphasised that planning for logistics, volunteer recruitment and training, resource mobilisation, feasibility analysis, and community participation strategies were all part of the </w:t>
      </w:r>
      <w:r>
        <w:lastRenderedPageBreak/>
        <w:t>design process. The project's aims and operations are evaluated for relevance and viability as part of the feasibility process. The process of mobilising resources included obtaining the equipment, supplies, and money needed to aid in the cleaning.</w:t>
      </w:r>
    </w:p>
    <w:p w14:paraId="1AD8C0D1" w14:textId="77777777" w:rsidR="00642791" w:rsidRDefault="00111FC2">
      <w:pPr>
        <w:spacing w:line="360" w:lineRule="auto"/>
      </w:pPr>
      <w:r>
        <w:rPr>
          <w:b/>
        </w:rPr>
        <w:t>Appropriate Implementation:</w:t>
      </w:r>
      <w:r>
        <w:t xml:space="preserve"> Alignment with Community Needs and excellent Execution of Planned Activities: The Clean Up Britain campaign demonstrated excellent execution of planned activities. Thanks to the project managers, the cleanup operations were efficiently handled, adhered to health and safety regulations, and effectively enlisted volunteers. The effort provided clear instructions, training, and support, which allowed for meaningful and considerable community participation (</w:t>
      </w:r>
      <w:proofErr w:type="spellStart"/>
      <w:r>
        <w:t>Kamuya</w:t>
      </w:r>
      <w:proofErr w:type="spellEnd"/>
      <w:r>
        <w:t xml:space="preserve"> et al., 2013). </w:t>
      </w:r>
    </w:p>
    <w:p w14:paraId="1AD8C0D2" w14:textId="77777777" w:rsidR="00642791" w:rsidRDefault="00111FC2">
      <w:pPr>
        <w:spacing w:line="360" w:lineRule="auto"/>
      </w:pPr>
      <w:r>
        <w:rPr>
          <w:b/>
        </w:rPr>
        <w:t>Community Needs Assessment:</w:t>
      </w:r>
      <w:r>
        <w:t xml:space="preserve"> The Clean Up Britain project identified the importance of analysing community requirements as a vital step in the planning and design process. The project managers worked with the local populations via surveys, focus groups, and community dialogues to identify places with a lot of garbage, learn about their worries, and determine the most pressing issues with cleanliness and waste disposal. </w:t>
      </w:r>
    </w:p>
    <w:p w14:paraId="1AD8C0D3" w14:textId="77777777" w:rsidR="00642791" w:rsidRDefault="00111FC2">
      <w:pPr>
        <w:spacing w:line="360" w:lineRule="auto"/>
      </w:pPr>
      <w:r>
        <w:rPr>
          <w:b/>
        </w:rPr>
        <w:t>Stakeholder Consideration and Engagement:</w:t>
      </w:r>
      <w:r>
        <w:t xml:space="preserve"> The Clean Up Britain initiative demonstrated a strong commitment to stakeholder consideration and involvement throughout the planning and design stages (Haworth, Bruce and Middleton, 2015). Local councils, environmental organisations, community groups, and people were among the stakeholders that were identified and actively involved in the decision-making processes.</w:t>
      </w:r>
    </w:p>
    <w:p w14:paraId="1AD8C0D4" w14:textId="77777777" w:rsidR="00642791" w:rsidRDefault="00111FC2">
      <w:pPr>
        <w:pStyle w:val="Heading2"/>
      </w:pPr>
      <w:bookmarkStart w:id="4" w:name="_2et92p0" w:colFirst="0" w:colLast="0"/>
      <w:bookmarkEnd w:id="4"/>
      <w:r>
        <w:t>Standards</w:t>
      </w:r>
    </w:p>
    <w:p w14:paraId="1AD8C0D5" w14:textId="77777777" w:rsidR="00642791" w:rsidRDefault="00111FC2">
      <w:pPr>
        <w:spacing w:line="360" w:lineRule="auto"/>
      </w:pPr>
      <w:r>
        <w:t xml:space="preserve">The direction and assurance of the calibre and effectiveness of community participation programmes depend on standards.  In order to address waste issues and promote environmental sustainability, the Clean Up Britain campaign complies with a number of important conditions. Environmental protection legislation, constraints on waste management, and health and safety regulations are a few examples of these requirements. </w:t>
      </w:r>
    </w:p>
    <w:p w14:paraId="1AD8C0D6" w14:textId="77777777" w:rsidR="00642791" w:rsidRDefault="00111FC2">
      <w:pPr>
        <w:spacing w:line="360" w:lineRule="auto"/>
      </w:pPr>
      <w:r>
        <w:rPr>
          <w:b/>
        </w:rPr>
        <w:t xml:space="preserve">Suitability to Purpose: </w:t>
      </w:r>
      <w:r>
        <w:t xml:space="preserve">The Clean Up Britain initiative's standards were carefully designed to align with its objectives. They provide the project a framework that guides its activities and ensures that they support the desired outcomes (Dare, Schirmer and </w:t>
      </w:r>
      <w:proofErr w:type="spellStart"/>
      <w:r>
        <w:t>Vanclay</w:t>
      </w:r>
      <w:proofErr w:type="spellEnd"/>
      <w:r>
        <w:t>, 2014). For instance, waste management standards promote proper disposal and recycling practises, while health and safety laws ensure volunteers' safety while participating in clean-up activities.</w:t>
      </w:r>
    </w:p>
    <w:p w14:paraId="1AD8C0D7" w14:textId="77777777" w:rsidR="00642791" w:rsidRDefault="00111FC2">
      <w:pPr>
        <w:spacing w:line="360" w:lineRule="auto"/>
      </w:pPr>
      <w:r>
        <w:rPr>
          <w:b/>
        </w:rPr>
        <w:lastRenderedPageBreak/>
        <w:t>Clear Communication:</w:t>
      </w:r>
      <w:r>
        <w:t xml:space="preserve"> To ensure that participants and stakeholders are aware of the standards and that they are followed, it is essential to properly convey them. The Clean Up Britain campaign employs straightforward and short communication strategies to lay out the needs to volunteers, local communities, and other stakeholders, according to Alfred (2016). The project organisers utilise a range of channels, such as the project website, volunteer handbooks, and training sessions, to clearly explain the norms and expectations. The standards are also reinforced via the use of visual aids, signage, and educational materials during clean-up events and activities.</w:t>
      </w:r>
    </w:p>
    <w:p w14:paraId="1AD8C0D8" w14:textId="77777777" w:rsidR="00642791" w:rsidRDefault="00111FC2">
      <w:pPr>
        <w:spacing w:line="360" w:lineRule="auto"/>
      </w:pPr>
      <w:r>
        <w:rPr>
          <w:b/>
        </w:rPr>
        <w:t>Platform and Tools:</w:t>
      </w:r>
      <w:r>
        <w:t xml:space="preserve"> The Clean Up Britain effort uses a range of platforms and technology to effectively communicate the standards to its participants and stakeholders. The project's website serves as a central location where volunteers may learn more about its standards, regulations, and safety practises (Goh, Heng and Lin, 2013). The website also provides references and links to relevant laws and regulations.</w:t>
      </w:r>
    </w:p>
    <w:p w14:paraId="1AD8C0D9" w14:textId="77777777" w:rsidR="00642791" w:rsidRDefault="00111FC2">
      <w:pPr>
        <w:spacing w:line="360" w:lineRule="auto"/>
      </w:pPr>
      <w:r>
        <w:rPr>
          <w:b/>
        </w:rPr>
        <w:t>Continuous Monitoring and Enforcement:</w:t>
      </w:r>
      <w:r>
        <w:t xml:space="preserve"> Throughout its implementation the Clean Up Britain effort lays a significant focus on continuing standard monitoring and enforcement. Project coordinators regularly monitor and ensure adherence to the criteria during clean-up activities together with qualified volunteers and employees. To identify any faults or possible improvement areas, mechanisms are put up for regular evaluation and feedback.</w:t>
      </w:r>
    </w:p>
    <w:p w14:paraId="1AD8C0DA" w14:textId="77777777" w:rsidR="00642791" w:rsidRDefault="00111FC2">
      <w:pPr>
        <w:pStyle w:val="Heading2"/>
      </w:pPr>
      <w:bookmarkStart w:id="5" w:name="_tyjcwt" w:colFirst="0" w:colLast="0"/>
      <w:bookmarkEnd w:id="5"/>
      <w:r>
        <w:t>Evaluation and Impact</w:t>
      </w:r>
    </w:p>
    <w:p w14:paraId="1AD8C0DB" w14:textId="77777777" w:rsidR="00642791" w:rsidRDefault="00111FC2">
      <w:pPr>
        <w:pBdr>
          <w:top w:val="nil"/>
          <w:left w:val="nil"/>
          <w:bottom w:val="nil"/>
          <w:right w:val="nil"/>
          <w:between w:val="nil"/>
        </w:pBdr>
        <w:spacing w:before="280" w:after="280" w:line="360" w:lineRule="auto"/>
        <w:rPr>
          <w:color w:val="000000"/>
        </w:rPr>
      </w:pPr>
      <w:r>
        <w:rPr>
          <w:color w:val="000000"/>
        </w:rPr>
        <w:t xml:space="preserve">Measuring the impact of community engagement projects is crucial to assess their effectiveness and identify areas for improvement. </w:t>
      </w:r>
    </w:p>
    <w:p w14:paraId="1AD8C0DC" w14:textId="77777777" w:rsidR="00642791" w:rsidRDefault="00111FC2">
      <w:pPr>
        <w:pBdr>
          <w:top w:val="nil"/>
          <w:left w:val="nil"/>
          <w:bottom w:val="nil"/>
          <w:right w:val="nil"/>
          <w:between w:val="nil"/>
        </w:pBdr>
        <w:spacing w:before="280" w:after="280" w:line="360" w:lineRule="auto"/>
        <w:rPr>
          <w:color w:val="000000"/>
        </w:rPr>
      </w:pPr>
      <w:r>
        <w:rPr>
          <w:b/>
          <w:color w:val="000000"/>
        </w:rPr>
        <w:t>Impact Measurement:</w:t>
      </w:r>
      <w:r>
        <w:rPr>
          <w:color w:val="000000"/>
        </w:rPr>
        <w:t xml:space="preserve"> A rigorous process is utilised to evaluate the impact of the Clean Up Britain initiative on the neighbourhood and the environment. The project assesses both its immediate and long-term consequences to properly understand its effectiveness. </w:t>
      </w:r>
      <w:r>
        <w:rPr>
          <w:color w:val="222222"/>
          <w:highlight w:val="white"/>
        </w:rPr>
        <w:t xml:space="preserve">Dempsey, (2010) emphasised that </w:t>
      </w:r>
      <w:r>
        <w:rPr>
          <w:color w:val="000000"/>
        </w:rPr>
        <w:t>only a few short-term implications include the amount of garbage collected, the number of volunteers working, and the level of community participation. The focus of long-term benefits is on behaviour changes, enhanced community awareness, and improvements to the cleanliness and quality of the environment.</w:t>
      </w:r>
    </w:p>
    <w:p w14:paraId="1AD8C0DD" w14:textId="77777777" w:rsidR="00642791" w:rsidRDefault="00111FC2">
      <w:pPr>
        <w:pBdr>
          <w:top w:val="nil"/>
          <w:left w:val="nil"/>
          <w:bottom w:val="nil"/>
          <w:right w:val="nil"/>
          <w:between w:val="nil"/>
        </w:pBdr>
        <w:spacing w:before="280" w:after="280" w:line="360" w:lineRule="auto"/>
        <w:rPr>
          <w:color w:val="000000"/>
        </w:rPr>
      </w:pPr>
      <w:r>
        <w:rPr>
          <w:b/>
          <w:color w:val="000000"/>
        </w:rPr>
        <w:t xml:space="preserve">Evaluation Tools: </w:t>
      </w:r>
      <w:r>
        <w:rPr>
          <w:color w:val="000000"/>
        </w:rPr>
        <w:t xml:space="preserve">Several evaluation approaches are used to evaluate the success of the Clean Up Britain initiative. These methods include direct observation, participant feedback forms, </w:t>
      </w:r>
      <w:r>
        <w:rPr>
          <w:color w:val="000000"/>
        </w:rPr>
        <w:lastRenderedPageBreak/>
        <w:t xml:space="preserve">pre- and post-surveys, and data analysis. Pre-surveys collect baseline information on how the neighbourhood perceives litter issues, their knowledge with trash disposal practises, and their motivation to participate in cleaning initiatives (Khazaei, Elliot and Joppe, 2015). Post-surveys assess how the effort has changed participation, attitudes, and behaviour in the community. By filling out participant feedback forms, volunteers may share their thoughts on their experiences, challenges, and suggestions for improvement. </w:t>
      </w:r>
    </w:p>
    <w:p w14:paraId="1AD8C0DE" w14:textId="77777777" w:rsidR="00642791" w:rsidRDefault="00111FC2">
      <w:pPr>
        <w:pBdr>
          <w:top w:val="nil"/>
          <w:left w:val="nil"/>
          <w:bottom w:val="nil"/>
          <w:right w:val="nil"/>
          <w:between w:val="nil"/>
        </w:pBdr>
        <w:spacing w:before="280" w:after="280" w:line="360" w:lineRule="auto"/>
        <w:rPr>
          <w:color w:val="000000"/>
        </w:rPr>
      </w:pPr>
      <w:r>
        <w:rPr>
          <w:b/>
          <w:color w:val="000000"/>
        </w:rPr>
        <w:t>Suitability of Evaluation Tools:</w:t>
      </w:r>
      <w:r>
        <w:rPr>
          <w:color w:val="000000"/>
        </w:rPr>
        <w:t xml:space="preserve"> The Clean Up Britain effort carefully selects its assessment tools to be in accordance with its aims and purposes. These tools provide helpful data and insights for assessing the project's impact on the area and environment. Pre- and post-surveys track changes in knowledge, attitudes, and conduct and demonstrate how well a course has raised awareness and promoted positive behaviour, according to McCloskey and Cook (2015). Participant feedback forms capture volunteer views and suggestions for change, enabling qualitative input. Direct observation may provide real-time data on community engagement, cleanliness improvements, and the overall impact of cleaning operations.</w:t>
      </w:r>
    </w:p>
    <w:p w14:paraId="1AD8C0DF" w14:textId="77777777" w:rsidR="00642791" w:rsidRDefault="00111FC2">
      <w:pPr>
        <w:pBdr>
          <w:top w:val="nil"/>
          <w:left w:val="nil"/>
          <w:bottom w:val="nil"/>
          <w:right w:val="nil"/>
          <w:between w:val="nil"/>
        </w:pBdr>
        <w:spacing w:before="280" w:after="280" w:line="360" w:lineRule="auto"/>
        <w:rPr>
          <w:color w:val="000000"/>
        </w:rPr>
      </w:pPr>
      <w:r>
        <w:rPr>
          <w:b/>
          <w:color w:val="000000"/>
        </w:rPr>
        <w:t>Continuous Improvement:</w:t>
      </w:r>
      <w:r>
        <w:rPr>
          <w:color w:val="000000"/>
        </w:rPr>
        <w:t xml:space="preserve"> The Clean Up Britain programme is aware of the need of using evaluation results for continued development. The knowledge and understanding gained throughout the evaluation process are used to support decision-making and strategic planning for next initiatives. The project managers analyse the evaluation findings to identify the project's benefits and drawbacks as well as possible areas for improvement. Lessons learned from the evaluation process assist to strengthen stakeholder cooperation, project planning, and community participation activities.</w:t>
      </w:r>
    </w:p>
    <w:p w14:paraId="1AD8C0E0" w14:textId="77777777" w:rsidR="00642791" w:rsidRDefault="00111FC2">
      <w:pPr>
        <w:pStyle w:val="Heading1"/>
      </w:pPr>
      <w:bookmarkStart w:id="6" w:name="_3dy6vkm" w:colFirst="0" w:colLast="0"/>
      <w:bookmarkEnd w:id="6"/>
      <w:r>
        <w:t>Conclusion</w:t>
      </w:r>
    </w:p>
    <w:p w14:paraId="1AD8C0E1" w14:textId="77777777" w:rsidR="00642791" w:rsidRDefault="00111FC2">
      <w:pPr>
        <w:pBdr>
          <w:top w:val="nil"/>
          <w:left w:val="nil"/>
          <w:bottom w:val="nil"/>
          <w:right w:val="nil"/>
          <w:between w:val="nil"/>
        </w:pBdr>
        <w:spacing w:before="280" w:after="280" w:line="360" w:lineRule="auto"/>
        <w:rPr>
          <w:color w:val="000000"/>
        </w:rPr>
      </w:pPr>
      <w:r>
        <w:rPr>
          <w:color w:val="000000"/>
        </w:rPr>
        <w:t xml:space="preserve">The Clean Up Britain effort has shown the importance of sound community involvement principles, effective planning and design, adherence to relevant standards, and a careful examination of its consequences. The project's community participation activities might be enhanced in a few areas for even greater effectiveness and long-term survival. The concepts of the project's community participation have been effectively communicated, making sure that participants and stakeholders are aware of the project's objectives. The dissemination of comprehensible information via a range of technologies and channels has increased community involvement and support. The project's planning and design process was well-organised and inclusive, and key stakeholders were included. The project has shown a commitment to </w:t>
      </w:r>
      <w:r>
        <w:rPr>
          <w:color w:val="000000"/>
        </w:rPr>
        <w:lastRenderedPageBreak/>
        <w:t xml:space="preserve">respecting important standards, including waste management guidelines and health and safety requirements.  </w:t>
      </w:r>
    </w:p>
    <w:p w14:paraId="1AD8C0E2" w14:textId="77777777" w:rsidR="00642791" w:rsidRDefault="00111FC2">
      <w:pPr>
        <w:pBdr>
          <w:top w:val="nil"/>
          <w:left w:val="nil"/>
          <w:bottom w:val="nil"/>
          <w:right w:val="nil"/>
          <w:between w:val="nil"/>
        </w:pBdr>
        <w:spacing w:before="280" w:after="280" w:line="360" w:lineRule="auto"/>
        <w:rPr>
          <w:color w:val="000000"/>
        </w:rPr>
      </w:pPr>
      <w:r>
        <w:rPr>
          <w:color w:val="000000"/>
        </w:rPr>
        <w:t>Stakeholder engagement in the project may be further increased by including them in decision-making processes from the start of the planning phase. Regular stakeholder involvement, collaboration, and consultation may strengthen bonds, foster a sense of ownership, and provide more durable outcomes. To ensure broad community participation, the programme may interact with a range of community members, including underrepresented and disadvantaged groups. The project should look for ways to maintain community engagement once it is done in order to guarantee long-term viability. Creating local volunteer organisations, partnering with previously established community organisations, and integrating cleaning activities into ongoing environmental initiatives are a few examples of how to do this.</w:t>
      </w:r>
    </w:p>
    <w:p w14:paraId="1AD8C0E3" w14:textId="77777777" w:rsidR="00642791" w:rsidRDefault="00111FC2">
      <w:pPr>
        <w:pBdr>
          <w:top w:val="nil"/>
          <w:left w:val="nil"/>
          <w:bottom w:val="nil"/>
          <w:right w:val="nil"/>
          <w:between w:val="nil"/>
        </w:pBdr>
        <w:spacing w:before="280" w:after="280" w:line="360" w:lineRule="auto"/>
        <w:rPr>
          <w:b/>
          <w:color w:val="000000"/>
        </w:rPr>
      </w:pPr>
      <w:r>
        <w:rPr>
          <w:b/>
          <w:color w:val="000000"/>
        </w:rPr>
        <w:t xml:space="preserve">Recommendations: </w:t>
      </w:r>
      <w:r>
        <w:rPr>
          <w:color w:val="000000"/>
        </w:rPr>
        <w:t xml:space="preserve">Participants in the project should be actively engaged throughout the stages of planning, carrying out, and assessing. To gather ideas, debate problems, and foster collaboration, regular meetings, seminars, and forums may be employed. The effort should empower the community by fostering a sense of ownership and accountability for keeping it clean. This may be achieved via educational campaigns, </w:t>
      </w:r>
      <w:proofErr w:type="spellStart"/>
      <w:r>
        <w:rPr>
          <w:color w:val="000000"/>
        </w:rPr>
        <w:t>behavior</w:t>
      </w:r>
      <w:proofErr w:type="spellEnd"/>
      <w:r>
        <w:rPr>
          <w:color w:val="000000"/>
        </w:rPr>
        <w:t xml:space="preserve">-modification strategies, and the recognition of </w:t>
      </w:r>
      <w:proofErr w:type="spellStart"/>
      <w:r>
        <w:rPr>
          <w:color w:val="000000"/>
        </w:rPr>
        <w:t>neighborhood</w:t>
      </w:r>
      <w:proofErr w:type="spellEnd"/>
      <w:r>
        <w:rPr>
          <w:color w:val="000000"/>
        </w:rPr>
        <w:t>-based initiatives. It is advisable to promote cooperation between the project and neighbourhood councils, environmental organisations, and other community participation programmes. exchange resources, lessons learned, and best practises may promote information exchange and improve the efficacy of group activities.</w:t>
      </w:r>
    </w:p>
    <w:p w14:paraId="1AD8C0E4" w14:textId="77777777" w:rsidR="00642791" w:rsidRDefault="00111FC2">
      <w:pPr>
        <w:spacing w:line="360" w:lineRule="auto"/>
      </w:pPr>
      <w:r>
        <w:br w:type="page"/>
      </w:r>
    </w:p>
    <w:p w14:paraId="1AD8C0E5" w14:textId="77777777" w:rsidR="00642791" w:rsidRDefault="00111FC2">
      <w:pPr>
        <w:pStyle w:val="Heading1"/>
      </w:pPr>
      <w:bookmarkStart w:id="7" w:name="_1t3h5sf" w:colFirst="0" w:colLast="0"/>
      <w:bookmarkEnd w:id="7"/>
      <w:r>
        <w:lastRenderedPageBreak/>
        <w:t>References</w:t>
      </w:r>
    </w:p>
    <w:p w14:paraId="1AD8C0E6" w14:textId="77777777" w:rsidR="00642791" w:rsidRDefault="00111FC2">
      <w:pPr>
        <w:pBdr>
          <w:top w:val="nil"/>
          <w:left w:val="nil"/>
          <w:bottom w:val="nil"/>
          <w:right w:val="nil"/>
          <w:between w:val="nil"/>
        </w:pBdr>
        <w:spacing w:after="120" w:line="360" w:lineRule="auto"/>
        <w:ind w:left="720" w:hanging="720"/>
        <w:rPr>
          <w:color w:val="000000"/>
        </w:rPr>
      </w:pPr>
      <w:bookmarkStart w:id="8" w:name="_4d34og8" w:colFirst="0" w:colLast="0"/>
      <w:bookmarkEnd w:id="8"/>
      <w:r>
        <w:rPr>
          <w:color w:val="000000"/>
        </w:rPr>
        <w:t>Alfred, T.C. (2016) Community engagement: HBCU Students’ socially responsible leadership development through service-learning participation.</w:t>
      </w:r>
    </w:p>
    <w:p w14:paraId="1AD8C0E7" w14:textId="77777777" w:rsidR="00642791" w:rsidRDefault="00111FC2">
      <w:pPr>
        <w:pBdr>
          <w:top w:val="nil"/>
          <w:left w:val="nil"/>
          <w:bottom w:val="nil"/>
          <w:right w:val="nil"/>
          <w:between w:val="nil"/>
        </w:pBdr>
        <w:spacing w:after="120" w:line="360" w:lineRule="auto"/>
        <w:ind w:left="720" w:hanging="720"/>
        <w:rPr>
          <w:color w:val="222222"/>
          <w:highlight w:val="white"/>
        </w:rPr>
      </w:pPr>
      <w:r>
        <w:rPr>
          <w:color w:val="222222"/>
          <w:highlight w:val="white"/>
        </w:rPr>
        <w:t>Barnes, M. and Schmitz, P. (2016) Community engagement matters (now more than ever). </w:t>
      </w:r>
      <w:r>
        <w:rPr>
          <w:i/>
          <w:color w:val="222222"/>
          <w:highlight w:val="white"/>
        </w:rPr>
        <w:t>Stanford Social Innovation Review</w:t>
      </w:r>
      <w:r>
        <w:rPr>
          <w:color w:val="222222"/>
          <w:highlight w:val="white"/>
        </w:rPr>
        <w:t>, </w:t>
      </w:r>
      <w:r>
        <w:rPr>
          <w:i/>
          <w:color w:val="222222"/>
          <w:highlight w:val="white"/>
        </w:rPr>
        <w:t>14</w:t>
      </w:r>
      <w:r>
        <w:rPr>
          <w:color w:val="222222"/>
          <w:highlight w:val="white"/>
        </w:rPr>
        <w:t>(2), pp.32-39.</w:t>
      </w:r>
    </w:p>
    <w:p w14:paraId="1AD8C0E8"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Chamberlain, A., Crabtree, A. and Davies, M. (2013) Community engagement for research: contextual design in rural CSCW system development. In Proceedings of the 6th International Conference on Communities and Technologies (pp. 131-139).</w:t>
      </w:r>
    </w:p>
    <w:p w14:paraId="1AD8C0E9"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Cunha, J. and </w:t>
      </w:r>
      <w:proofErr w:type="spellStart"/>
      <w:r>
        <w:rPr>
          <w:color w:val="000000"/>
        </w:rPr>
        <w:t>Benneworth</w:t>
      </w:r>
      <w:proofErr w:type="spellEnd"/>
      <w:r>
        <w:rPr>
          <w:color w:val="000000"/>
        </w:rPr>
        <w:t>, P. (2013) Universities' contributions to social innovation: towards a theoretical framework.</w:t>
      </w:r>
    </w:p>
    <w:p w14:paraId="1AD8C0EA"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Cyril, S., Smith, B.J., </w:t>
      </w:r>
      <w:proofErr w:type="spellStart"/>
      <w:r>
        <w:rPr>
          <w:color w:val="000000"/>
        </w:rPr>
        <w:t>Possamai-Inesedy</w:t>
      </w:r>
      <w:proofErr w:type="spellEnd"/>
      <w:r>
        <w:rPr>
          <w:color w:val="000000"/>
        </w:rPr>
        <w:t xml:space="preserve">, A. and </w:t>
      </w:r>
      <w:proofErr w:type="spellStart"/>
      <w:r>
        <w:rPr>
          <w:color w:val="000000"/>
        </w:rPr>
        <w:t>Renzaho</w:t>
      </w:r>
      <w:proofErr w:type="spellEnd"/>
      <w:r>
        <w:rPr>
          <w:color w:val="000000"/>
        </w:rPr>
        <w:t>, A.M. (2015) Exploring the role of community engagement in improving the health of disadvantaged populations: a systematic review. Global health action, 8(1), p.29842.</w:t>
      </w:r>
    </w:p>
    <w:p w14:paraId="1AD8C0EB"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Dare, M., Schirmer, J. and </w:t>
      </w:r>
      <w:proofErr w:type="spellStart"/>
      <w:r>
        <w:rPr>
          <w:color w:val="000000"/>
        </w:rPr>
        <w:t>Vanclay</w:t>
      </w:r>
      <w:proofErr w:type="spellEnd"/>
      <w:r>
        <w:rPr>
          <w:color w:val="000000"/>
        </w:rPr>
        <w:t>, F. (2014) Community engagement and social licence to operate. Impact assessment and project appraisal, 32(3), pp.188-197.</w:t>
      </w:r>
    </w:p>
    <w:p w14:paraId="1AD8C0EC" w14:textId="77777777" w:rsidR="00642791" w:rsidRDefault="00111FC2">
      <w:pPr>
        <w:pBdr>
          <w:top w:val="nil"/>
          <w:left w:val="nil"/>
          <w:bottom w:val="nil"/>
          <w:right w:val="nil"/>
          <w:between w:val="nil"/>
        </w:pBdr>
        <w:spacing w:after="120" w:line="360" w:lineRule="auto"/>
        <w:ind w:left="720" w:hanging="720"/>
        <w:rPr>
          <w:color w:val="222222"/>
          <w:highlight w:val="white"/>
        </w:rPr>
      </w:pPr>
      <w:r>
        <w:rPr>
          <w:color w:val="222222"/>
          <w:highlight w:val="white"/>
        </w:rPr>
        <w:t>Dempsey, S.E. (2010) Critiquing community engagement. </w:t>
      </w:r>
      <w:r>
        <w:rPr>
          <w:i/>
          <w:color w:val="222222"/>
          <w:highlight w:val="white"/>
        </w:rPr>
        <w:t>Management Communication Quarterly</w:t>
      </w:r>
      <w:r>
        <w:rPr>
          <w:color w:val="222222"/>
          <w:highlight w:val="white"/>
        </w:rPr>
        <w:t>, </w:t>
      </w:r>
      <w:r>
        <w:rPr>
          <w:i/>
          <w:color w:val="222222"/>
          <w:highlight w:val="white"/>
        </w:rPr>
        <w:t>24</w:t>
      </w:r>
      <w:r>
        <w:rPr>
          <w:color w:val="222222"/>
          <w:highlight w:val="white"/>
        </w:rPr>
        <w:t>(3), pp.359-390.</w:t>
      </w:r>
    </w:p>
    <w:p w14:paraId="1AD8C0ED"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Dessart, L. (2017) Social media engagement: a model of antecedents and relational outcomes. Journal of Marketing Management, 33(5-6), pp.375-399.</w:t>
      </w:r>
    </w:p>
    <w:p w14:paraId="1AD8C0EE"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Goh, K.Y., Heng, C.S. and Lin, Z. (2013) Social media brand community and consumer </w:t>
      </w:r>
      <w:proofErr w:type="spellStart"/>
      <w:r>
        <w:rPr>
          <w:color w:val="000000"/>
        </w:rPr>
        <w:t>behavior</w:t>
      </w:r>
      <w:proofErr w:type="spellEnd"/>
      <w:r>
        <w:rPr>
          <w:color w:val="000000"/>
        </w:rPr>
        <w:t>: Quantifying the relative impact of user-and marketer-generated content. Information Systems Research, 24(1), pp.88-107.</w:t>
      </w:r>
    </w:p>
    <w:p w14:paraId="1AD8C0EF"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Haworth, B., Bruce, E. and Middleton, P. (2015) Emerging technologies for risk reduction: assessing the potential use of social media and VGI for increasing community engagement. Australian Journal of Emergency Management, The, 30(3), p.36.</w:t>
      </w:r>
    </w:p>
    <w:p w14:paraId="1AD8C0F0" w14:textId="77777777" w:rsidR="00642791" w:rsidRDefault="00111FC2">
      <w:pPr>
        <w:pBdr>
          <w:top w:val="nil"/>
          <w:left w:val="nil"/>
          <w:bottom w:val="nil"/>
          <w:right w:val="nil"/>
          <w:between w:val="nil"/>
        </w:pBdr>
        <w:spacing w:after="120" w:line="360" w:lineRule="auto"/>
        <w:ind w:left="720" w:hanging="720"/>
        <w:rPr>
          <w:color w:val="000000"/>
        </w:rPr>
      </w:pPr>
      <w:proofErr w:type="spellStart"/>
      <w:r>
        <w:rPr>
          <w:color w:val="000000"/>
        </w:rPr>
        <w:t>Kamuya</w:t>
      </w:r>
      <w:proofErr w:type="spellEnd"/>
      <w:r>
        <w:rPr>
          <w:color w:val="000000"/>
        </w:rPr>
        <w:t xml:space="preserve">, D.M., Marsh, V., Kombe, F.K., Geissler, P.W. and Molyneux, S.C. (2013) Engaging Communities to Strengthen Research Ethics in </w:t>
      </w:r>
      <w:proofErr w:type="spellStart"/>
      <w:r>
        <w:rPr>
          <w:color w:val="000000"/>
        </w:rPr>
        <w:t>Low?Income</w:t>
      </w:r>
      <w:proofErr w:type="spellEnd"/>
      <w:r>
        <w:rPr>
          <w:color w:val="000000"/>
        </w:rPr>
        <w:t xml:space="preserve"> Settings: Selection and Perceptions of Members of a Network of Representatives in Coastal K </w:t>
      </w:r>
      <w:proofErr w:type="spellStart"/>
      <w:r>
        <w:rPr>
          <w:color w:val="000000"/>
        </w:rPr>
        <w:t>enya</w:t>
      </w:r>
      <w:proofErr w:type="spellEnd"/>
      <w:r>
        <w:rPr>
          <w:color w:val="000000"/>
        </w:rPr>
        <w:t>. Developing world bioethics, 13(1), pp.10-20.</w:t>
      </w:r>
    </w:p>
    <w:p w14:paraId="1AD8C0F1"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lastRenderedPageBreak/>
        <w:t xml:space="preserve">Karim, F. (2022) </w:t>
      </w:r>
      <w:r>
        <w:rPr>
          <w:i/>
          <w:color w:val="000000"/>
        </w:rPr>
        <w:t>Litter Pickers clean up Britain Street by street</w:t>
      </w:r>
      <w:r>
        <w:rPr>
          <w:color w:val="000000"/>
        </w:rPr>
        <w:t xml:space="preserve">, </w:t>
      </w:r>
      <w:r>
        <w:rPr>
          <w:i/>
          <w:color w:val="000000"/>
        </w:rPr>
        <w:t>The Times &amp; The Sunday Times: breaking news &amp; today’s latest headlines</w:t>
      </w:r>
      <w:r>
        <w:rPr>
          <w:color w:val="000000"/>
        </w:rPr>
        <w:t xml:space="preserve">. Available at: https://www.thetimes.co.uk/article/litter-pickers-clean-up-britain-street-by-street-23zf89g20 (Accessed: 12 June 2023). </w:t>
      </w:r>
    </w:p>
    <w:p w14:paraId="1AD8C0F2"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Khazaei, A., Elliot, S. and Joppe, M. (2015) An application of stakeholder theory to advance community participation in tourism planning: The case for engaging immigrants as fringe stakeholders. Journal of sustainable tourism, 23(7), pp.1049-1062.</w:t>
      </w:r>
    </w:p>
    <w:p w14:paraId="1AD8C0F3"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Kronick, R.F. (2018) </w:t>
      </w:r>
      <w:r>
        <w:rPr>
          <w:i/>
          <w:color w:val="000000"/>
        </w:rPr>
        <w:t>Community engagement: Principles, strategies and practices</w:t>
      </w:r>
      <w:r>
        <w:rPr>
          <w:color w:val="000000"/>
        </w:rPr>
        <w:t xml:space="preserve">. Hauppauge, NY: Nova Science Publishers. </w:t>
      </w:r>
    </w:p>
    <w:p w14:paraId="1AD8C0F4" w14:textId="77777777" w:rsidR="00642791" w:rsidRDefault="00111FC2">
      <w:pPr>
        <w:pBdr>
          <w:top w:val="nil"/>
          <w:left w:val="nil"/>
          <w:bottom w:val="nil"/>
          <w:right w:val="nil"/>
          <w:between w:val="nil"/>
        </w:pBdr>
        <w:spacing w:after="120" w:line="360" w:lineRule="auto"/>
        <w:ind w:left="720" w:hanging="720"/>
        <w:rPr>
          <w:color w:val="000000"/>
        </w:rPr>
      </w:pPr>
      <w:proofErr w:type="spellStart"/>
      <w:r>
        <w:rPr>
          <w:color w:val="000000"/>
        </w:rPr>
        <w:t>Mailonline</w:t>
      </w:r>
      <w:proofErr w:type="spellEnd"/>
      <w:r>
        <w:rPr>
          <w:color w:val="000000"/>
        </w:rPr>
        <w:t xml:space="preserve">, E.T. (2023) </w:t>
      </w:r>
      <w:r>
        <w:rPr>
          <w:i/>
          <w:color w:val="000000"/>
        </w:rPr>
        <w:t>Clean up Britain founder says we should all ‘snitch’ on people who drop litter</w:t>
      </w:r>
      <w:r>
        <w:rPr>
          <w:color w:val="000000"/>
        </w:rPr>
        <w:t xml:space="preserve">, </w:t>
      </w:r>
      <w:r>
        <w:rPr>
          <w:i/>
          <w:color w:val="000000"/>
        </w:rPr>
        <w:t>Daily Mail Online</w:t>
      </w:r>
      <w:r>
        <w:rPr>
          <w:color w:val="000000"/>
        </w:rPr>
        <w:t xml:space="preserve">. Available at: https://www.dailymail.co.uk/femail/article-11857541/Clean-Britain-founder-says-snitch-people-drop-litter.html (Accessed: 12 June 2023). </w:t>
      </w:r>
    </w:p>
    <w:p w14:paraId="1AD8C0F5"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McCloskey, D. and Cook, J. (2015) </w:t>
      </w:r>
      <w:r>
        <w:rPr>
          <w:i/>
          <w:color w:val="000000"/>
        </w:rPr>
        <w:t>Chapter 1: What is community engagement?</w:t>
      </w:r>
      <w:r>
        <w:rPr>
          <w:color w:val="000000"/>
        </w:rPr>
        <w:t xml:space="preserve">, </w:t>
      </w:r>
      <w:proofErr w:type="spellStart"/>
      <w:r>
        <w:rPr>
          <w:i/>
          <w:color w:val="000000"/>
        </w:rPr>
        <w:t>Centers</w:t>
      </w:r>
      <w:proofErr w:type="spellEnd"/>
      <w:r>
        <w:rPr>
          <w:i/>
          <w:color w:val="000000"/>
        </w:rPr>
        <w:t xml:space="preserve"> for Disease Control and Prevention</w:t>
      </w:r>
      <w:r>
        <w:rPr>
          <w:color w:val="000000"/>
        </w:rPr>
        <w:t xml:space="preserve">. Available at: https://www.atsdr.cdc.gov/communityengagement/pce_what.html (Accessed: 12 June 2023). </w:t>
      </w:r>
    </w:p>
    <w:p w14:paraId="1AD8C0F6"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Watson, D. (2007) EBOOK: Managing Civic and Community Engagement. McGraw-Hill Education (UK).</w:t>
      </w:r>
    </w:p>
    <w:p w14:paraId="1AD8C0F7" w14:textId="77777777" w:rsidR="00642791" w:rsidRDefault="00111FC2">
      <w:pPr>
        <w:pBdr>
          <w:top w:val="nil"/>
          <w:left w:val="nil"/>
          <w:bottom w:val="nil"/>
          <w:right w:val="nil"/>
          <w:between w:val="nil"/>
        </w:pBdr>
        <w:spacing w:after="120" w:line="360" w:lineRule="auto"/>
        <w:ind w:left="720" w:hanging="720"/>
        <w:rPr>
          <w:color w:val="000000"/>
        </w:rPr>
      </w:pPr>
      <w:r>
        <w:rPr>
          <w:color w:val="000000"/>
        </w:rPr>
        <w:t xml:space="preserve">Yu, E. (2022) </w:t>
      </w:r>
      <w:r>
        <w:rPr>
          <w:i/>
          <w:color w:val="000000"/>
        </w:rPr>
        <w:t>Community engagement</w:t>
      </w:r>
      <w:r>
        <w:rPr>
          <w:color w:val="000000"/>
        </w:rPr>
        <w:t xml:space="preserve">. Washington, DC: American Public Health Association. </w:t>
      </w:r>
    </w:p>
    <w:p w14:paraId="1AD8C0F8" w14:textId="77777777" w:rsidR="00642791" w:rsidRDefault="00642791"/>
    <w:sectPr w:rsidR="00642791">
      <w:footerReference w:type="default" r:id="rId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E8DD6" w14:textId="77777777" w:rsidR="00F7242D" w:rsidRDefault="00F7242D">
      <w:pPr>
        <w:spacing w:after="0" w:line="240" w:lineRule="auto"/>
      </w:pPr>
      <w:r>
        <w:separator/>
      </w:r>
    </w:p>
  </w:endnote>
  <w:endnote w:type="continuationSeparator" w:id="0">
    <w:p w14:paraId="19D1F54B" w14:textId="77777777" w:rsidR="00F7242D" w:rsidRDefault="00F72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8C0F9" w14:textId="72A8E674" w:rsidR="00642791" w:rsidRDefault="00111FC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91471">
      <w:rPr>
        <w:noProof/>
        <w:color w:val="000000"/>
      </w:rPr>
      <w:t>1</w:t>
    </w:r>
    <w:r>
      <w:rPr>
        <w:color w:val="000000"/>
      </w:rPr>
      <w:fldChar w:fldCharType="end"/>
    </w:r>
  </w:p>
  <w:p w14:paraId="1AD8C0FA" w14:textId="77777777" w:rsidR="00642791" w:rsidRDefault="0064279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A5322" w14:textId="77777777" w:rsidR="00F7242D" w:rsidRDefault="00F7242D">
      <w:pPr>
        <w:spacing w:after="0" w:line="240" w:lineRule="auto"/>
      </w:pPr>
      <w:r>
        <w:separator/>
      </w:r>
    </w:p>
  </w:footnote>
  <w:footnote w:type="continuationSeparator" w:id="0">
    <w:p w14:paraId="45CDB268" w14:textId="77777777" w:rsidR="00F7242D" w:rsidRDefault="00F724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791"/>
    <w:rsid w:val="0006042B"/>
    <w:rsid w:val="000C4507"/>
    <w:rsid w:val="00111FC2"/>
    <w:rsid w:val="004E5AE0"/>
    <w:rsid w:val="00642791"/>
    <w:rsid w:val="00791471"/>
    <w:rsid w:val="008B7C47"/>
    <w:rsid w:val="00B2763F"/>
    <w:rsid w:val="00BD5674"/>
    <w:rsid w:val="00DB2810"/>
    <w:rsid w:val="00F72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8C0B1"/>
  <w15:docId w15:val="{B260772F-35A6-46A3-AF65-967187697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259" w:lineRule="auto"/>
      <w:outlineLvl w:val="0"/>
    </w:pPr>
    <w:rPr>
      <w:color w:val="2F5496"/>
      <w:sz w:val="32"/>
      <w:szCs w:val="32"/>
    </w:rPr>
  </w:style>
  <w:style w:type="paragraph" w:styleId="Heading2">
    <w:name w:val="heading 2"/>
    <w:basedOn w:val="Normal"/>
    <w:next w:val="Normal"/>
    <w:uiPriority w:val="9"/>
    <w:unhideWhenUsed/>
    <w:qFormat/>
    <w:pPr>
      <w:keepNext/>
      <w:keepLines/>
      <w:spacing w:before="240" w:after="240" w:line="276" w:lineRule="auto"/>
      <w:outlineLvl w:val="1"/>
    </w:pPr>
    <w:rPr>
      <w:color w:val="2F5496"/>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2973</Words>
  <Characters>16947</Characters>
  <Application>Microsoft Office Word</Application>
  <DocSecurity>0</DocSecurity>
  <Lines>141</Lines>
  <Paragraphs>39</Paragraphs>
  <ScaleCrop>false</ScaleCrop>
  <Company/>
  <LinksUpToDate>false</LinksUpToDate>
  <CharactersWithSpaces>19881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10</cp:revision>
  <dcterms:created xsi:type="dcterms:W3CDTF">2023-06-24T19:37:00Z</dcterms:created>
  <dcterms:modified xsi:type="dcterms:W3CDTF">2023-06-24T19:54:00Z</dcterms:modified>
</cp:coreProperties>
</file>