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19156128"/>
        <w:docPartObj>
          <w:docPartGallery w:val="Cover Pages"/>
          <w:docPartUnique/>
        </w:docPartObj>
      </w:sdtPr>
      <w:sdtEndPr/>
      <w:sdtContent>
        <w:p w14:paraId="0C1B5933" w14:textId="79572E5B" w:rsidR="00086B71" w:rsidRDefault="00086B71" w:rsidP="00BC105C">
          <w:r w:rsidRPr="00086B71">
            <w:rPr>
              <w:rFonts w:ascii="Aptos" w:eastAsia="Aptos" w:hAnsi="Aptos" w:cs="Times New Roman"/>
              <w:noProof/>
              <w:sz w:val="24"/>
              <w:szCs w:val="24"/>
              <w14:ligatures w14:val="none"/>
            </w:rPr>
            <w:drawing>
              <wp:inline distT="0" distB="0" distL="0" distR="0" wp14:anchorId="051B1CD6" wp14:editId="1400F54A">
                <wp:extent cx="3345180" cy="1343660"/>
                <wp:effectExtent l="0" t="0" r="0" b="0"/>
                <wp:docPr id="413514988" name="Picture 413514988"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1949B2F" w14:textId="67C753EB" w:rsidR="00086B71" w:rsidRDefault="00086B71" w:rsidP="00BC105C"/>
        <w:p w14:paraId="07AA56E4" w14:textId="209A536B" w:rsidR="00086B71" w:rsidRDefault="00086B71" w:rsidP="00BC105C">
          <w:r>
            <w:rPr>
              <w:noProof/>
            </w:rPr>
            <mc:AlternateContent>
              <mc:Choice Requires="wps">
                <w:drawing>
                  <wp:anchor distT="0" distB="0" distL="182880" distR="182880" simplePos="0" relativeHeight="251670528" behindDoc="0" locked="0" layoutInCell="1" allowOverlap="1" wp14:anchorId="1F443E16" wp14:editId="2B029709">
                    <wp:simplePos x="0" y="0"/>
                    <wp:positionH relativeFrom="margin">
                      <wp:posOffset>294584</wp:posOffset>
                    </wp:positionH>
                    <wp:positionV relativeFrom="page">
                      <wp:posOffset>3049374</wp:posOffset>
                    </wp:positionV>
                    <wp:extent cx="5607685" cy="2876550"/>
                    <wp:effectExtent l="0" t="0" r="12065" b="0"/>
                    <wp:wrapSquare wrapText="bothSides"/>
                    <wp:docPr id="131" name="Text Box 131"/>
                    <wp:cNvGraphicFramePr/>
                    <a:graphic xmlns:a="http://schemas.openxmlformats.org/drawingml/2006/main">
                      <a:graphicData uri="http://schemas.microsoft.com/office/word/2010/wordprocessingShape">
                        <wps:wsp>
                          <wps:cNvSpPr txBox="1"/>
                          <wps:spPr>
                            <a:xfrm>
                              <a:off x="0" y="0"/>
                              <a:ext cx="5607685" cy="287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90347" w14:textId="45CB1D28" w:rsidR="009B6D63" w:rsidRDefault="0091727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E3FB1" w:rsidRPr="00FE3FB1">
                                      <w:rPr>
                                        <w:color w:val="156082" w:themeColor="accent1"/>
                                        <w:sz w:val="72"/>
                                        <w:szCs w:val="72"/>
                                      </w:rPr>
                                      <w:t>Component 1: Online portfolio of set exercises</w:t>
                                    </w:r>
                                  </w:sdtContent>
                                </w:sdt>
                              </w:p>
                              <w:sdt>
                                <w:sdtPr>
                                  <w:rPr>
                                    <w:caps/>
                                    <w:color w:val="0F4761" w:themeColor="accent1" w:themeShade="BF"/>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B3FA113" w14:textId="22F29EB5" w:rsidR="009B6D63" w:rsidRPr="0053730C" w:rsidRDefault="00FE3FB1" w:rsidP="00FE3FB1">
                                    <w:pPr>
                                      <w:pStyle w:val="NoSpacing"/>
                                      <w:spacing w:before="40" w:after="40"/>
                                      <w:rPr>
                                        <w:caps/>
                                        <w:color w:val="0F4761" w:themeColor="accent1" w:themeShade="BF"/>
                                        <w:sz w:val="28"/>
                                        <w:szCs w:val="28"/>
                                      </w:rPr>
                                    </w:pPr>
                                    <w:r w:rsidRPr="0053730C">
                                      <w:rPr>
                                        <w:caps/>
                                        <w:color w:val="0F4761" w:themeColor="accent1" w:themeShade="BF"/>
                                        <w:sz w:val="28"/>
                                        <w:szCs w:val="28"/>
                                      </w:rPr>
                                      <w:t xml:space="preserve">Changemakers: Creativity and Value </w:t>
                                    </w:r>
                                    <w:r w:rsidR="008A00AE" w:rsidRPr="0053730C">
                                      <w:rPr>
                                        <w:caps/>
                                        <w:color w:val="0F4761" w:themeColor="accent1" w:themeShade="BF"/>
                                        <w:sz w:val="28"/>
                                        <w:szCs w:val="28"/>
                                      </w:rPr>
                                      <w:t>Creation Professions</w:t>
                                    </w:r>
                                    <w:r w:rsidRPr="0053730C">
                                      <w:rPr>
                                        <w:caps/>
                                        <w:color w:val="0F4761" w:themeColor="accent1" w:themeShade="BF"/>
                                        <w:sz w:val="28"/>
                                        <w:szCs w:val="28"/>
                                      </w:rPr>
                                      <w:t xml:space="preserve"> (BMHP5014)</w:t>
                                    </w:r>
                                  </w:p>
                                </w:sdtContent>
                              </w:sdt>
                              <w:p w14:paraId="7BAC2CB8" w14:textId="7E3B5FED"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Student name: Laura Gando</w:t>
                                </w:r>
                              </w:p>
                              <w:p w14:paraId="173C7B91" w14:textId="77777777"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Student number: 2428547</w:t>
                                </w:r>
                              </w:p>
                              <w:p w14:paraId="065D32BC" w14:textId="77777777"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 xml:space="preserve">Lecturer’s name: Laila Surani </w:t>
                                </w:r>
                              </w:p>
                              <w:p w14:paraId="73130721" w14:textId="40700D98" w:rsidR="009B6D63" w:rsidRDefault="009B6D63">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F443E16" id="_x0000_t202" coordsize="21600,21600" o:spt="202" path="m,l,21600r21600,l21600,xe">
                    <v:stroke joinstyle="miter"/>
                    <v:path gradientshapeok="t" o:connecttype="rect"/>
                  </v:shapetype>
                  <v:shape id="Text Box 131" o:spid="_x0000_s1026" type="#_x0000_t202" style="position:absolute;margin-left:23.2pt;margin-top:240.1pt;width:441.55pt;height:226.5pt;z-index:25167052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" filled="f" stroked="f" strokeweight=".5pt">
                    <v:textbox inset="0,0,0,0">
                      <w:txbxContent>
                        <w:p w14:paraId="79390347" w14:textId="45CB1D28" w:rsidR="009B6D63" w:rsidRDefault="0091727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E3FB1" w:rsidRPr="00FE3FB1">
                                <w:rPr>
                                  <w:color w:val="156082" w:themeColor="accent1"/>
                                  <w:sz w:val="72"/>
                                  <w:szCs w:val="72"/>
                                </w:rPr>
                                <w:t>Component 1: Online portfolio of set exercises</w:t>
                              </w:r>
                            </w:sdtContent>
                          </w:sdt>
                        </w:p>
                        <w:sdt>
                          <w:sdtPr>
                            <w:rPr>
                              <w:caps/>
                              <w:color w:val="0F4761" w:themeColor="accent1" w:themeShade="BF"/>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B3FA113" w14:textId="22F29EB5" w:rsidR="009B6D63" w:rsidRPr="0053730C" w:rsidRDefault="00FE3FB1" w:rsidP="00FE3FB1">
                              <w:pPr>
                                <w:pStyle w:val="NoSpacing"/>
                                <w:spacing w:before="40" w:after="40"/>
                                <w:rPr>
                                  <w:caps/>
                                  <w:color w:val="0F4761" w:themeColor="accent1" w:themeShade="BF"/>
                                  <w:sz w:val="28"/>
                                  <w:szCs w:val="28"/>
                                </w:rPr>
                              </w:pPr>
                              <w:r w:rsidRPr="0053730C">
                                <w:rPr>
                                  <w:caps/>
                                  <w:color w:val="0F4761" w:themeColor="accent1" w:themeShade="BF"/>
                                  <w:sz w:val="28"/>
                                  <w:szCs w:val="28"/>
                                </w:rPr>
                                <w:t xml:space="preserve">Changemakers: Creativity and Value </w:t>
                              </w:r>
                              <w:r w:rsidR="008A00AE" w:rsidRPr="0053730C">
                                <w:rPr>
                                  <w:caps/>
                                  <w:color w:val="0F4761" w:themeColor="accent1" w:themeShade="BF"/>
                                  <w:sz w:val="28"/>
                                  <w:szCs w:val="28"/>
                                </w:rPr>
                                <w:t>Creation Professions</w:t>
                              </w:r>
                              <w:r w:rsidRPr="0053730C">
                                <w:rPr>
                                  <w:caps/>
                                  <w:color w:val="0F4761" w:themeColor="accent1" w:themeShade="BF"/>
                                  <w:sz w:val="28"/>
                                  <w:szCs w:val="28"/>
                                </w:rPr>
                                <w:t xml:space="preserve"> (BMHP5014)</w:t>
                              </w:r>
                            </w:p>
                          </w:sdtContent>
                        </w:sdt>
                        <w:p w14:paraId="7BAC2CB8" w14:textId="7E3B5FED"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Student name: Laura Gando</w:t>
                          </w:r>
                        </w:p>
                        <w:p w14:paraId="173C7B91" w14:textId="77777777"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Student number: 2428547</w:t>
                          </w:r>
                        </w:p>
                        <w:p w14:paraId="065D32BC" w14:textId="77777777" w:rsidR="008A00AE" w:rsidRPr="0053730C" w:rsidRDefault="008A00AE" w:rsidP="008A00AE">
                          <w:pPr>
                            <w:pStyle w:val="NoSpacing"/>
                            <w:spacing w:before="80" w:after="40"/>
                            <w:rPr>
                              <w:b/>
                              <w:bCs/>
                              <w:caps/>
                              <w:color w:val="0F4761" w:themeColor="accent1" w:themeShade="BF"/>
                              <w:sz w:val="24"/>
                              <w:szCs w:val="24"/>
                            </w:rPr>
                          </w:pPr>
                          <w:r w:rsidRPr="0053730C">
                            <w:rPr>
                              <w:b/>
                              <w:bCs/>
                              <w:caps/>
                              <w:color w:val="0F4761" w:themeColor="accent1" w:themeShade="BF"/>
                              <w:sz w:val="24"/>
                              <w:szCs w:val="24"/>
                            </w:rPr>
                            <w:t xml:space="preserve">Lecturer’s name: Laila Surani </w:t>
                          </w:r>
                        </w:p>
                        <w:p w14:paraId="73130721" w14:textId="40700D98" w:rsidR="009B6D63" w:rsidRDefault="009B6D63">
                          <w:pPr>
                            <w:pStyle w:val="NoSpacing"/>
                            <w:spacing w:before="80" w:after="40"/>
                            <w:rPr>
                              <w:caps/>
                              <w:color w:val="A02B93" w:themeColor="accent5"/>
                              <w:sz w:val="24"/>
                              <w:szCs w:val="24"/>
                            </w:rPr>
                          </w:pPr>
                        </w:p>
                      </w:txbxContent>
                    </v:textbox>
                    <w10:wrap type="square" anchorx="margin" anchory="page"/>
                  </v:shape>
                </w:pict>
              </mc:Fallback>
            </mc:AlternateContent>
          </w:r>
        </w:p>
        <w:p w14:paraId="424795EA" w14:textId="0D12072F" w:rsidR="00A344FA" w:rsidRPr="00BC105C" w:rsidRDefault="0091727E" w:rsidP="00BC105C"/>
      </w:sdtContent>
    </w:sdt>
    <w:p w14:paraId="4FE0BF35" w14:textId="0BD040B4" w:rsidR="00A344FA" w:rsidRDefault="00A344FA"/>
    <w:p w14:paraId="3344CFEC" w14:textId="77777777" w:rsidR="00A344FA" w:rsidRDefault="00A344FA"/>
    <w:p w14:paraId="237C31A3" w14:textId="77777777" w:rsidR="00A344FA" w:rsidRDefault="00A344FA"/>
    <w:p w14:paraId="22EFBC09" w14:textId="77777777" w:rsidR="00E77728" w:rsidRDefault="00E77728"/>
    <w:p w14:paraId="3A1A2F1F" w14:textId="77777777" w:rsidR="00E77728" w:rsidRDefault="00E77728"/>
    <w:p w14:paraId="16EDE726" w14:textId="77777777" w:rsidR="00A344FA" w:rsidRDefault="00A344FA"/>
    <w:p w14:paraId="281CB736" w14:textId="77777777" w:rsidR="00A344FA" w:rsidRDefault="00A344FA"/>
    <w:p w14:paraId="61350E27" w14:textId="77777777" w:rsidR="00BC105C" w:rsidRDefault="00BC105C"/>
    <w:p w14:paraId="5C9B8534" w14:textId="77777777" w:rsidR="00BC105C" w:rsidRDefault="00BC105C"/>
    <w:p w14:paraId="447516CC" w14:textId="77777777" w:rsidR="00BC105C" w:rsidRDefault="00BC105C"/>
    <w:p w14:paraId="6ED26611" w14:textId="12A9456E" w:rsidR="00A344FA" w:rsidRPr="00A344FA" w:rsidRDefault="00A344FA" w:rsidP="00A344FA">
      <w:pPr>
        <w:spacing w:before="100" w:beforeAutospacing="1" w:after="100" w:afterAutospacing="1" w:line="360" w:lineRule="auto"/>
        <w:rPr>
          <w:rFonts w:ascii="Arial" w:eastAsia="Times New Roman" w:hAnsi="Arial" w:cs="Arial"/>
          <w:b/>
          <w:bCs/>
          <w:color w:val="000000"/>
          <w:kern w:val="0"/>
          <w:sz w:val="28"/>
          <w:szCs w:val="28"/>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1299193572"/>
        <w:docPartObj>
          <w:docPartGallery w:val="Table of Contents"/>
          <w:docPartUnique/>
        </w:docPartObj>
      </w:sdtPr>
      <w:sdtEndPr>
        <w:rPr>
          <w:b/>
          <w:bCs/>
        </w:rPr>
      </w:sdtEndPr>
      <w:sdtContent>
        <w:p w14:paraId="7D352115" w14:textId="20318498" w:rsidR="00086B71" w:rsidRDefault="00086B71">
          <w:pPr>
            <w:pStyle w:val="TOCHeading"/>
          </w:pPr>
          <w:r>
            <w:t>Contents</w:t>
          </w:r>
        </w:p>
        <w:p w14:paraId="4AF1449B" w14:textId="36EB8AA7" w:rsidR="00086B71" w:rsidRDefault="00086B71">
          <w:pPr>
            <w:pStyle w:val="TOC1"/>
            <w:tabs>
              <w:tab w:val="right" w:leader="dot" w:pos="9016"/>
            </w:tabs>
            <w:rPr>
              <w:noProof/>
            </w:rPr>
          </w:pPr>
          <w:r>
            <w:fldChar w:fldCharType="begin"/>
          </w:r>
          <w:r>
            <w:instrText xml:space="preserve"> TOC \o "1-3" \h \z \u </w:instrText>
          </w:r>
          <w:r>
            <w:fldChar w:fldCharType="separate"/>
          </w:r>
          <w:hyperlink w:anchor="_Toc234163957" w:history="1">
            <w:r w:rsidRPr="001F74E4">
              <w:rPr>
                <w:rStyle w:val="Hyperlink"/>
                <w:noProof/>
              </w:rPr>
              <w:t>Introduction</w:t>
            </w:r>
            <w:r>
              <w:rPr>
                <w:noProof/>
                <w:webHidden/>
              </w:rPr>
              <w:tab/>
            </w:r>
            <w:r>
              <w:rPr>
                <w:noProof/>
                <w:webHidden/>
              </w:rPr>
              <w:fldChar w:fldCharType="begin"/>
            </w:r>
            <w:r>
              <w:rPr>
                <w:noProof/>
                <w:webHidden/>
              </w:rPr>
              <w:instrText xml:space="preserve"> PAGEREF _Toc234163957 \h </w:instrText>
            </w:r>
            <w:r>
              <w:rPr>
                <w:noProof/>
                <w:webHidden/>
              </w:rPr>
            </w:r>
            <w:r>
              <w:rPr>
                <w:noProof/>
                <w:webHidden/>
              </w:rPr>
              <w:fldChar w:fldCharType="separate"/>
            </w:r>
            <w:r w:rsidR="00523502">
              <w:rPr>
                <w:noProof/>
                <w:webHidden/>
              </w:rPr>
              <w:t>2</w:t>
            </w:r>
            <w:r>
              <w:rPr>
                <w:noProof/>
                <w:webHidden/>
              </w:rPr>
              <w:fldChar w:fldCharType="end"/>
            </w:r>
          </w:hyperlink>
        </w:p>
        <w:p w14:paraId="24E1D09E" w14:textId="101990BB" w:rsidR="00086B71" w:rsidRDefault="00086B71">
          <w:pPr>
            <w:pStyle w:val="TOC1"/>
            <w:tabs>
              <w:tab w:val="right" w:leader="dot" w:pos="9016"/>
            </w:tabs>
            <w:rPr>
              <w:noProof/>
            </w:rPr>
          </w:pPr>
          <w:hyperlink w:anchor="_Toc234163958" w:history="1">
            <w:r w:rsidRPr="001F74E4">
              <w:rPr>
                <w:rStyle w:val="Hyperlink"/>
                <w:noProof/>
              </w:rPr>
              <w:t>Task 1 – Defining Key Concepts in Practice</w:t>
            </w:r>
            <w:r>
              <w:rPr>
                <w:noProof/>
                <w:webHidden/>
              </w:rPr>
              <w:tab/>
            </w:r>
            <w:r>
              <w:rPr>
                <w:noProof/>
                <w:webHidden/>
              </w:rPr>
              <w:fldChar w:fldCharType="begin"/>
            </w:r>
            <w:r>
              <w:rPr>
                <w:noProof/>
                <w:webHidden/>
              </w:rPr>
              <w:instrText xml:space="preserve"> PAGEREF _Toc234163958 \h </w:instrText>
            </w:r>
            <w:r>
              <w:rPr>
                <w:noProof/>
                <w:webHidden/>
              </w:rPr>
            </w:r>
            <w:r>
              <w:rPr>
                <w:noProof/>
                <w:webHidden/>
              </w:rPr>
              <w:fldChar w:fldCharType="separate"/>
            </w:r>
            <w:r w:rsidR="00523502">
              <w:rPr>
                <w:noProof/>
                <w:webHidden/>
              </w:rPr>
              <w:t>2</w:t>
            </w:r>
            <w:r>
              <w:rPr>
                <w:noProof/>
                <w:webHidden/>
              </w:rPr>
              <w:fldChar w:fldCharType="end"/>
            </w:r>
          </w:hyperlink>
        </w:p>
        <w:p w14:paraId="060CFCDE" w14:textId="78A008BA" w:rsidR="00086B71" w:rsidRDefault="00086B71">
          <w:pPr>
            <w:pStyle w:val="TOC2"/>
            <w:tabs>
              <w:tab w:val="right" w:leader="dot" w:pos="9016"/>
            </w:tabs>
            <w:rPr>
              <w:noProof/>
            </w:rPr>
          </w:pPr>
          <w:hyperlink w:anchor="_Toc234163959" w:history="1">
            <w:r w:rsidRPr="001F74E4">
              <w:rPr>
                <w:rStyle w:val="Hyperlink"/>
                <w:noProof/>
              </w:rPr>
              <w:t>Task 2 - Mind Map</w:t>
            </w:r>
            <w:r>
              <w:rPr>
                <w:noProof/>
                <w:webHidden/>
              </w:rPr>
              <w:tab/>
            </w:r>
            <w:r>
              <w:rPr>
                <w:noProof/>
                <w:webHidden/>
              </w:rPr>
              <w:fldChar w:fldCharType="begin"/>
            </w:r>
            <w:r>
              <w:rPr>
                <w:noProof/>
                <w:webHidden/>
              </w:rPr>
              <w:instrText xml:space="preserve"> PAGEREF _Toc234163959 \h </w:instrText>
            </w:r>
            <w:r>
              <w:rPr>
                <w:noProof/>
                <w:webHidden/>
              </w:rPr>
            </w:r>
            <w:r>
              <w:rPr>
                <w:noProof/>
                <w:webHidden/>
              </w:rPr>
              <w:fldChar w:fldCharType="separate"/>
            </w:r>
            <w:r w:rsidR="00523502">
              <w:rPr>
                <w:noProof/>
                <w:webHidden/>
              </w:rPr>
              <w:t>3</w:t>
            </w:r>
            <w:r>
              <w:rPr>
                <w:noProof/>
                <w:webHidden/>
              </w:rPr>
              <w:fldChar w:fldCharType="end"/>
            </w:r>
          </w:hyperlink>
        </w:p>
        <w:p w14:paraId="3B4D7E5B" w14:textId="5B6CE28A" w:rsidR="00086B71" w:rsidRDefault="00086B71">
          <w:pPr>
            <w:pStyle w:val="TOC3"/>
            <w:tabs>
              <w:tab w:val="right" w:leader="dot" w:pos="9016"/>
            </w:tabs>
            <w:rPr>
              <w:rStyle w:val="Hyperlink"/>
              <w:noProof/>
            </w:rPr>
          </w:pPr>
          <w:hyperlink w:anchor="_Toc234163960" w:history="1">
            <w:r w:rsidRPr="001F74E4">
              <w:rPr>
                <w:rStyle w:val="Hyperlink"/>
                <w:noProof/>
              </w:rPr>
              <w:t>Task 3 – Self-Reflection of Group Activity (Gibbs’ Reflective Cycle)</w:t>
            </w:r>
            <w:r>
              <w:rPr>
                <w:noProof/>
                <w:webHidden/>
              </w:rPr>
              <w:tab/>
            </w:r>
            <w:r>
              <w:rPr>
                <w:noProof/>
                <w:webHidden/>
              </w:rPr>
              <w:fldChar w:fldCharType="begin"/>
            </w:r>
            <w:r>
              <w:rPr>
                <w:noProof/>
                <w:webHidden/>
              </w:rPr>
              <w:instrText xml:space="preserve"> PAGEREF _Toc234163960 \h </w:instrText>
            </w:r>
            <w:r>
              <w:rPr>
                <w:noProof/>
                <w:webHidden/>
              </w:rPr>
            </w:r>
            <w:r>
              <w:rPr>
                <w:noProof/>
                <w:webHidden/>
              </w:rPr>
              <w:fldChar w:fldCharType="separate"/>
            </w:r>
            <w:r w:rsidR="00523502">
              <w:rPr>
                <w:noProof/>
                <w:webHidden/>
              </w:rPr>
              <w:t>4</w:t>
            </w:r>
            <w:r>
              <w:rPr>
                <w:noProof/>
                <w:webHidden/>
              </w:rPr>
              <w:fldChar w:fldCharType="end"/>
            </w:r>
          </w:hyperlink>
        </w:p>
        <w:p w14:paraId="0B049841" w14:textId="5AEE4FD2" w:rsidR="00BA727F" w:rsidRDefault="00BA727F" w:rsidP="00BA727F">
          <w:pPr>
            <w:rPr>
              <w:noProof/>
            </w:rPr>
          </w:pPr>
          <w:r>
            <w:rPr>
              <w:noProof/>
            </w:rPr>
            <w:t xml:space="preserve">Task 4 </w:t>
          </w:r>
          <w:r w:rsidR="006E26D3">
            <w:rPr>
              <w:noProof/>
            </w:rPr>
            <w:t>-</w:t>
          </w:r>
          <w:r w:rsidR="006E26D3" w:rsidRPr="006E26D3">
            <w:rPr>
              <w:noProof/>
            </w:rPr>
            <w:t>Examination of a UK Innovation Case Study</w:t>
          </w:r>
          <w:r w:rsidR="006E26D3">
            <w:rPr>
              <w:noProof/>
            </w:rPr>
            <w:t>..................................................................</w:t>
          </w:r>
          <w:r w:rsidR="00E471B3">
            <w:rPr>
              <w:noProof/>
            </w:rPr>
            <w:t>5</w:t>
          </w:r>
        </w:p>
        <w:p w14:paraId="4E2C3403" w14:textId="200AC7D8" w:rsidR="00BA727F" w:rsidRDefault="00EC08A5" w:rsidP="00BA727F">
          <w:pPr>
            <w:rPr>
              <w:noProof/>
            </w:rPr>
          </w:pPr>
          <w:r>
            <w:rPr>
              <w:noProof/>
            </w:rPr>
            <w:t>Task</w:t>
          </w:r>
          <w:r w:rsidR="00BA727F">
            <w:rPr>
              <w:noProof/>
            </w:rPr>
            <w:t xml:space="preserve"> 5</w:t>
          </w:r>
          <w:r w:rsidR="006E26D3" w:rsidRPr="006E26D3">
            <w:rPr>
              <w:noProof/>
            </w:rPr>
            <w:t>– Research Task: NHS Waiting Times</w:t>
          </w:r>
          <w:r>
            <w:rPr>
              <w:noProof/>
            </w:rPr>
            <w:t>..............................................................................</w:t>
          </w:r>
          <w:r w:rsidR="00E471B3">
            <w:rPr>
              <w:noProof/>
            </w:rPr>
            <w:t>6</w:t>
          </w:r>
        </w:p>
        <w:p w14:paraId="2A52A522" w14:textId="6A7428B2" w:rsidR="00BA727F" w:rsidRPr="00523502" w:rsidRDefault="00523502" w:rsidP="00BA727F">
          <w:pPr>
            <w:rPr>
              <w:i/>
              <w:iCs/>
              <w:noProof/>
            </w:rPr>
          </w:pPr>
          <w:r>
            <w:rPr>
              <w:noProof/>
            </w:rPr>
            <w:t>Task</w:t>
          </w:r>
          <w:r w:rsidR="00BA727F">
            <w:rPr>
              <w:noProof/>
            </w:rPr>
            <w:t xml:space="preserve"> </w:t>
          </w:r>
          <w:r w:rsidR="001624F1">
            <w:rPr>
              <w:noProof/>
            </w:rPr>
            <w:t>6</w:t>
          </w:r>
          <w:r w:rsidR="00EC08A5" w:rsidRPr="00EC08A5">
            <w:rPr>
              <w:i/>
              <w:iCs/>
              <w:noProof/>
            </w:rPr>
            <w:t>– Exploring Digital Innovation in Health and Social Care</w:t>
          </w:r>
          <w:r w:rsidR="00EC08A5">
            <w:rPr>
              <w:i/>
              <w:iCs/>
              <w:noProof/>
            </w:rPr>
            <w:t>..................................................</w:t>
          </w:r>
          <w:r w:rsidR="00E471B3">
            <w:rPr>
              <w:i/>
              <w:iCs/>
              <w:noProof/>
            </w:rPr>
            <w:t>7</w:t>
          </w:r>
        </w:p>
        <w:p w14:paraId="3373B8FA" w14:textId="60A14D6A" w:rsidR="001624F1" w:rsidRDefault="00B24B42" w:rsidP="00BA727F">
          <w:pPr>
            <w:rPr>
              <w:noProof/>
            </w:rPr>
          </w:pPr>
          <w:r>
            <w:rPr>
              <w:noProof/>
            </w:rPr>
            <w:t>Task 7- Understanding</w:t>
          </w:r>
          <w:r w:rsidRPr="00B24B42">
            <w:rPr>
              <w:noProof/>
            </w:rPr>
            <w:t xml:space="preserve"> the NHS Leadership Framework</w:t>
          </w:r>
          <w:r>
            <w:rPr>
              <w:noProof/>
            </w:rPr>
            <w:t>...........................................................9</w:t>
          </w:r>
        </w:p>
        <w:p w14:paraId="215AEC42" w14:textId="33EF94BE" w:rsidR="00523502" w:rsidRDefault="00523502" w:rsidP="00BA727F">
          <w:pPr>
            <w:rPr>
              <w:noProof/>
            </w:rPr>
          </w:pPr>
          <w:r>
            <w:rPr>
              <w:noProof/>
            </w:rPr>
            <w:t>Task</w:t>
          </w:r>
          <w:r w:rsidR="007C1017">
            <w:rPr>
              <w:noProof/>
            </w:rPr>
            <w:t xml:space="preserve"> </w:t>
          </w:r>
          <w:r w:rsidR="009039EF">
            <w:rPr>
              <w:noProof/>
            </w:rPr>
            <w:t xml:space="preserve">8 - </w:t>
          </w:r>
          <w:r w:rsidR="009039EF" w:rsidRPr="009039EF">
            <w:rPr>
              <w:noProof/>
            </w:rPr>
            <w:t>Self-Reflection Journal Entry</w:t>
          </w:r>
          <w:r w:rsidR="009039EF">
            <w:rPr>
              <w:noProof/>
            </w:rPr>
            <w:t xml:space="preserve"> ....................................................................................1</w:t>
          </w:r>
          <w:r w:rsidR="00C77736">
            <w:rPr>
              <w:noProof/>
            </w:rPr>
            <w:t>0</w:t>
          </w:r>
        </w:p>
        <w:p w14:paraId="21BD2239" w14:textId="1F6C5499" w:rsidR="00FA6897" w:rsidRPr="00BA727F" w:rsidRDefault="00FA6897" w:rsidP="00BA727F">
          <w:pPr>
            <w:rPr>
              <w:noProof/>
            </w:rPr>
          </w:pPr>
          <w:r>
            <w:rPr>
              <w:noProof/>
            </w:rPr>
            <w:t>Conclusion..........................................................................................................................1</w:t>
          </w:r>
          <w:r w:rsidR="00EA513E">
            <w:rPr>
              <w:noProof/>
            </w:rPr>
            <w:t>0</w:t>
          </w:r>
        </w:p>
        <w:p w14:paraId="26F53B42" w14:textId="5010D8F8" w:rsidR="00086B71" w:rsidRDefault="00086B71">
          <w:pPr>
            <w:pStyle w:val="TOC1"/>
            <w:tabs>
              <w:tab w:val="right" w:leader="dot" w:pos="9016"/>
            </w:tabs>
            <w:rPr>
              <w:noProof/>
            </w:rPr>
          </w:pPr>
          <w:hyperlink w:anchor="_Toc234163961" w:history="1">
            <w:r w:rsidRPr="001F74E4">
              <w:rPr>
                <w:rStyle w:val="Hyperlink"/>
                <w:noProof/>
              </w:rPr>
              <w:t>Reference List</w:t>
            </w:r>
            <w:r w:rsidR="009039EF">
              <w:rPr>
                <w:noProof/>
                <w:webHidden/>
              </w:rPr>
              <w:t>.....................................................................................................................</w:t>
            </w:r>
            <w:r w:rsidR="00B16AA3">
              <w:rPr>
                <w:noProof/>
                <w:webHidden/>
              </w:rPr>
              <w:t>.</w:t>
            </w:r>
            <w:r>
              <w:rPr>
                <w:noProof/>
                <w:webHidden/>
              </w:rPr>
              <w:fldChar w:fldCharType="begin"/>
            </w:r>
            <w:r>
              <w:rPr>
                <w:noProof/>
                <w:webHidden/>
              </w:rPr>
              <w:instrText xml:space="preserve"> PAGEREF _Toc234163961 \h </w:instrText>
            </w:r>
            <w:r>
              <w:rPr>
                <w:noProof/>
                <w:webHidden/>
              </w:rPr>
            </w:r>
            <w:r>
              <w:rPr>
                <w:noProof/>
                <w:webHidden/>
              </w:rPr>
              <w:fldChar w:fldCharType="separate"/>
            </w:r>
            <w:r w:rsidR="00523502">
              <w:rPr>
                <w:noProof/>
                <w:webHidden/>
              </w:rPr>
              <w:t>1</w:t>
            </w:r>
            <w:r>
              <w:rPr>
                <w:noProof/>
                <w:webHidden/>
              </w:rPr>
              <w:fldChar w:fldCharType="end"/>
            </w:r>
          </w:hyperlink>
          <w:r w:rsidR="00EA513E">
            <w:t>1</w:t>
          </w:r>
        </w:p>
        <w:p w14:paraId="7A43217B" w14:textId="7F314503" w:rsidR="00086B71" w:rsidRDefault="00086B71">
          <w:r>
            <w:rPr>
              <w:b/>
              <w:bCs/>
            </w:rPr>
            <w:fldChar w:fldCharType="end"/>
          </w:r>
        </w:p>
      </w:sdtContent>
    </w:sdt>
    <w:p w14:paraId="44F07B2A" w14:textId="77777777" w:rsidR="00A344FA" w:rsidRDefault="00A344FA"/>
    <w:p w14:paraId="3F988956" w14:textId="77777777" w:rsidR="00A344FA" w:rsidRDefault="00A344FA"/>
    <w:p w14:paraId="095A460E" w14:textId="77777777" w:rsidR="00A344FA" w:rsidRDefault="00A344FA"/>
    <w:p w14:paraId="574B6FA6" w14:textId="77777777" w:rsidR="00A344FA" w:rsidRDefault="00A344FA"/>
    <w:p w14:paraId="21478B4F" w14:textId="77777777" w:rsidR="00A344FA" w:rsidRDefault="00A344FA"/>
    <w:p w14:paraId="41C01870" w14:textId="77777777" w:rsidR="00A344FA" w:rsidRDefault="00A344FA"/>
    <w:p w14:paraId="35E8CE4B" w14:textId="77777777" w:rsidR="00A344FA" w:rsidRDefault="00A344FA"/>
    <w:p w14:paraId="68574D73" w14:textId="77777777" w:rsidR="00A344FA" w:rsidRDefault="00A344FA"/>
    <w:p w14:paraId="43FB6260" w14:textId="77777777" w:rsidR="00A344FA" w:rsidRDefault="00A344FA"/>
    <w:p w14:paraId="140283EA" w14:textId="77777777" w:rsidR="00A344FA" w:rsidRDefault="00A344FA"/>
    <w:p w14:paraId="62BF9902" w14:textId="77777777" w:rsidR="00A344FA" w:rsidRDefault="00A344FA"/>
    <w:p w14:paraId="06C0720A" w14:textId="77777777" w:rsidR="00A344FA" w:rsidRDefault="00A344FA"/>
    <w:p w14:paraId="7001ADCE" w14:textId="77777777" w:rsidR="00A344FA" w:rsidRDefault="00A344FA"/>
    <w:p w14:paraId="3A9E71EF" w14:textId="77777777" w:rsidR="00A344FA" w:rsidRDefault="00A344FA"/>
    <w:p w14:paraId="03BE681D" w14:textId="77777777" w:rsidR="00A344FA" w:rsidRDefault="00A344FA"/>
    <w:p w14:paraId="15876F28" w14:textId="77777777" w:rsidR="00A344FA" w:rsidRDefault="00A344FA"/>
    <w:p w14:paraId="70AEBFCE" w14:textId="77777777" w:rsidR="00A344FA" w:rsidRDefault="00A344FA"/>
    <w:p w14:paraId="62A85921" w14:textId="68797C6D" w:rsidR="00FA6897" w:rsidRPr="00A60C38" w:rsidRDefault="00857A7C" w:rsidP="00A60C38">
      <w:pPr>
        <w:pStyle w:val="Heading1"/>
        <w:spacing w:line="360" w:lineRule="auto"/>
        <w:rPr>
          <w:rFonts w:ascii="Arial" w:hAnsi="Arial" w:cs="Arial"/>
          <w:sz w:val="22"/>
          <w:szCs w:val="22"/>
        </w:rPr>
      </w:pPr>
      <w:bookmarkStart w:id="0" w:name="_Toc234163957"/>
      <w:r w:rsidRPr="00A60C38">
        <w:rPr>
          <w:rFonts w:ascii="Arial" w:hAnsi="Arial" w:cs="Arial"/>
          <w:sz w:val="22"/>
          <w:szCs w:val="22"/>
        </w:rPr>
        <w:lastRenderedPageBreak/>
        <w:t>Introduction</w:t>
      </w:r>
      <w:bookmarkEnd w:id="0"/>
    </w:p>
    <w:p w14:paraId="6C636AA9" w14:textId="2163EB71" w:rsidR="007177A3" w:rsidRPr="00A60C38" w:rsidRDefault="007177A3" w:rsidP="00A60C38">
      <w:pPr>
        <w:spacing w:line="360" w:lineRule="auto"/>
        <w:rPr>
          <w:rFonts w:ascii="Arial" w:hAnsi="Arial" w:cs="Arial"/>
        </w:rPr>
      </w:pPr>
      <w:r w:rsidRPr="00A60C38">
        <w:rPr>
          <w:rFonts w:ascii="Arial" w:hAnsi="Arial" w:cs="Arial"/>
        </w:rPr>
        <w:t>This portfolio focuses on creativity, innovation, value creation, and leadership within the health and social care sectors. It draws on relevant theories and evidence to illustrate how creative thinking, digital innovation, and reflective practice enhance person-centred care, service quality, and professional development, equipping practitioners to address the evolving needs of health care.</w:t>
      </w:r>
    </w:p>
    <w:p w14:paraId="71194676" w14:textId="4C029896" w:rsidR="00C6230B" w:rsidRPr="00A60C38" w:rsidRDefault="005E47B2" w:rsidP="00A60C38">
      <w:pPr>
        <w:pStyle w:val="Heading1"/>
        <w:spacing w:line="360" w:lineRule="auto"/>
        <w:rPr>
          <w:rFonts w:ascii="Arial" w:hAnsi="Arial" w:cs="Arial"/>
          <w:sz w:val="22"/>
          <w:szCs w:val="22"/>
        </w:rPr>
      </w:pPr>
      <w:bookmarkStart w:id="1" w:name="_Toc234163958"/>
      <w:r w:rsidRPr="00A60C38">
        <w:rPr>
          <w:rFonts w:ascii="Arial" w:hAnsi="Arial" w:cs="Arial"/>
          <w:sz w:val="22"/>
          <w:szCs w:val="22"/>
        </w:rPr>
        <w:t>Task 1 – Defining Key Concepts in Practice</w:t>
      </w:r>
      <w:bookmarkEnd w:id="1"/>
    </w:p>
    <w:p w14:paraId="71B11247" w14:textId="77777777" w:rsidR="00C6230B" w:rsidRPr="00A60C38" w:rsidRDefault="00C6230B" w:rsidP="00A60C38">
      <w:pPr>
        <w:spacing w:line="360" w:lineRule="auto"/>
        <w:rPr>
          <w:rFonts w:ascii="Arial" w:hAnsi="Arial" w:cs="Arial"/>
        </w:rPr>
      </w:pPr>
      <w:r w:rsidRPr="00A60C38">
        <w:rPr>
          <w:rFonts w:ascii="Arial" w:hAnsi="Arial" w:cs="Arial"/>
          <w:b/>
          <w:bCs/>
        </w:rPr>
        <w:t>Innovation</w:t>
      </w:r>
    </w:p>
    <w:p w14:paraId="626CA165" w14:textId="77777777" w:rsidR="00F30309" w:rsidRPr="00A60C38" w:rsidRDefault="00C6230B" w:rsidP="00A60C38">
      <w:pPr>
        <w:spacing w:line="360" w:lineRule="auto"/>
        <w:rPr>
          <w:rFonts w:ascii="Arial" w:hAnsi="Arial" w:cs="Arial"/>
        </w:rPr>
      </w:pPr>
      <w:r w:rsidRPr="00A60C38">
        <w:rPr>
          <w:rFonts w:ascii="Arial" w:hAnsi="Arial" w:cs="Arial"/>
        </w:rPr>
        <w:t xml:space="preserve">Innovation involves applying new ideas, technologies, or methods to improve the quality and effectiveness of services (Nolte, 2018). From my experience, innovation is vital in health and social care, as it helps organisations respond to increasing demands and improve </w:t>
      </w:r>
      <w:r w:rsidR="00DA473B" w:rsidRPr="00A60C38">
        <w:rPr>
          <w:rFonts w:ascii="Arial" w:hAnsi="Arial" w:cs="Arial"/>
        </w:rPr>
        <w:t>patient outcomes</w:t>
      </w:r>
      <w:r w:rsidRPr="00A60C38">
        <w:rPr>
          <w:rFonts w:ascii="Arial" w:hAnsi="Arial" w:cs="Arial"/>
        </w:rPr>
        <w:t>. For example, telehealth services allow for remote healthcare access, making care more convenient and reducing the necessity for hospital visits. Rogers’ Diffusion of Innovation Theory explains how organisations gradually adopt new ideas (Rogers, 2003).</w:t>
      </w:r>
      <w:r w:rsidR="008B0854" w:rsidRPr="00A60C38">
        <w:rPr>
          <w:rFonts w:ascii="Arial" w:hAnsi="Arial" w:cs="Arial"/>
        </w:rPr>
        <w:br/>
        <w:t xml:space="preserve"> </w:t>
      </w:r>
      <w:r w:rsidR="00F30309" w:rsidRPr="00A60C38">
        <w:rPr>
          <w:rFonts w:ascii="Arial" w:hAnsi="Arial" w:cs="Arial"/>
          <w:b/>
          <w:bCs/>
        </w:rPr>
        <w:t>Creativity</w:t>
      </w:r>
    </w:p>
    <w:p w14:paraId="31CDE607" w14:textId="7692F0B8" w:rsidR="00E06A00" w:rsidRPr="00A60C38" w:rsidRDefault="00F30309" w:rsidP="00A60C38">
      <w:pPr>
        <w:spacing w:line="360" w:lineRule="auto"/>
        <w:rPr>
          <w:rFonts w:ascii="Arial" w:hAnsi="Arial" w:cs="Arial"/>
        </w:rPr>
      </w:pPr>
      <w:r w:rsidRPr="00A60C38">
        <w:rPr>
          <w:rFonts w:ascii="Arial" w:hAnsi="Arial" w:cs="Arial"/>
        </w:rPr>
        <w:t xml:space="preserve">Creativity is defined as the ability to generate innovative and beneficial ideas that address issues or improve practices (Corazza, 2016). Completing this assignment has deepened my understanding of creativity’s value in health and social care, as practitioners often need to adapt treatments to individual needs. For instance, carers can design activities specifically intended to improve engagement and well-being for people with dementia. </w:t>
      </w:r>
      <w:r w:rsidR="00FA6746" w:rsidRPr="00A60C38">
        <w:rPr>
          <w:rFonts w:ascii="Arial" w:hAnsi="Arial" w:cs="Arial"/>
        </w:rPr>
        <w:t>Amabile and Pratt’s (2016) Dynamic Componential Model posits that expertise, motivation, and original thinking skills drive creativity.</w:t>
      </w:r>
    </w:p>
    <w:p w14:paraId="4EBCEB66" w14:textId="33B7BBAA" w:rsidR="008B0854" w:rsidRPr="00A60C38" w:rsidRDefault="00DC113E" w:rsidP="00A60C38">
      <w:pPr>
        <w:spacing w:line="360" w:lineRule="auto"/>
        <w:rPr>
          <w:rFonts w:ascii="Arial" w:hAnsi="Arial" w:cs="Arial"/>
        </w:rPr>
      </w:pPr>
      <w:r w:rsidRPr="00A60C38">
        <w:rPr>
          <w:rFonts w:ascii="Arial" w:hAnsi="Arial" w:cs="Arial"/>
          <w:b/>
          <w:bCs/>
        </w:rPr>
        <w:t>Creation</w:t>
      </w:r>
      <w:r w:rsidR="008B0854" w:rsidRPr="00A60C38">
        <w:rPr>
          <w:rFonts w:ascii="Arial" w:hAnsi="Arial" w:cs="Arial"/>
          <w:b/>
          <w:bCs/>
        </w:rPr>
        <w:t xml:space="preserve"> of value.</w:t>
      </w:r>
      <w:r w:rsidR="008B0854" w:rsidRPr="00A60C38">
        <w:rPr>
          <w:rFonts w:ascii="Arial" w:hAnsi="Arial" w:cs="Arial"/>
        </w:rPr>
        <w:br/>
        <w:t>Involves maximising resource utilisation while improving outcomes and experiences for service consumers (Gr</w:t>
      </w:r>
      <w:r w:rsidR="00DB55EE" w:rsidRPr="00A60C38">
        <w:rPr>
          <w:rFonts w:ascii="Arial" w:hAnsi="Arial" w:cs="Arial"/>
        </w:rPr>
        <w:t>a</w:t>
      </w:r>
      <w:r w:rsidR="008B0854" w:rsidRPr="00A60C38">
        <w:rPr>
          <w:rFonts w:ascii="Arial" w:hAnsi="Arial" w:cs="Arial"/>
        </w:rPr>
        <w:t xml:space="preserve">y, 2017). This was a crucial concept, in my opinion, as health and social care groups had to deliver high-quality care on a tight budget. One example is that interdisciplinary cooperation may </w:t>
      </w:r>
      <w:r w:rsidR="00032BBB" w:rsidRPr="00A60C38">
        <w:rPr>
          <w:rFonts w:ascii="Arial" w:hAnsi="Arial" w:cs="Arial"/>
        </w:rPr>
        <w:t>improve the coordination</w:t>
      </w:r>
      <w:r w:rsidR="008B0854" w:rsidRPr="00A60C38">
        <w:rPr>
          <w:rFonts w:ascii="Arial" w:hAnsi="Arial" w:cs="Arial"/>
        </w:rPr>
        <w:t xml:space="preserve"> of treatment and communication and lead to improved patient outcomes. In the Triple Aim Framework, Berwick, Nolan, and Whittington (2008) emphasise the importance of generating value by improving patient experiences, advancing population health, and reducing </w:t>
      </w:r>
      <w:r w:rsidR="000E6ABA" w:rsidRPr="00A60C38">
        <w:rPr>
          <w:rFonts w:ascii="Arial" w:hAnsi="Arial" w:cs="Arial"/>
        </w:rPr>
        <w:t>costs</w:t>
      </w:r>
      <w:r w:rsidR="008B0854" w:rsidRPr="00A60C38">
        <w:rPr>
          <w:rFonts w:ascii="Arial" w:hAnsi="Arial" w:cs="Arial"/>
        </w:rPr>
        <w:t xml:space="preserve">. </w:t>
      </w:r>
    </w:p>
    <w:p w14:paraId="4AB74E86" w14:textId="77777777" w:rsidR="00595E96" w:rsidRPr="00A60C38" w:rsidRDefault="00595E96" w:rsidP="00A60C38">
      <w:pPr>
        <w:spacing w:line="360" w:lineRule="auto"/>
        <w:rPr>
          <w:rFonts w:ascii="Arial" w:hAnsi="Arial" w:cs="Arial"/>
        </w:rPr>
      </w:pPr>
      <w:r w:rsidRPr="00A60C38">
        <w:rPr>
          <w:rFonts w:ascii="Arial" w:hAnsi="Arial" w:cs="Arial"/>
          <w:b/>
          <w:bCs/>
        </w:rPr>
        <w:t>Change</w:t>
      </w:r>
    </w:p>
    <w:p w14:paraId="4FBA47BF" w14:textId="06F50BD4" w:rsidR="00F76AC2" w:rsidRDefault="00595E96" w:rsidP="00A60C38">
      <w:pPr>
        <w:spacing w:line="360" w:lineRule="auto"/>
        <w:rPr>
          <w:rFonts w:ascii="Arial" w:hAnsi="Arial" w:cs="Arial"/>
        </w:rPr>
      </w:pPr>
      <w:r w:rsidRPr="00A60C38">
        <w:rPr>
          <w:rFonts w:ascii="Arial" w:hAnsi="Arial" w:cs="Arial"/>
        </w:rPr>
        <w:t xml:space="preserve">Change refers to introducing new processes or systems with the aim of improving organisational effectiveness and the delivery of services (Harrison et al., 2021). I have </w:t>
      </w:r>
      <w:r w:rsidRPr="00A60C38">
        <w:rPr>
          <w:rFonts w:ascii="Arial" w:hAnsi="Arial" w:cs="Arial"/>
        </w:rPr>
        <w:lastRenderedPageBreak/>
        <w:t>learned that health and social care systems must adapt to advances in technology, policy updates, and evidence-based approaches. For example, the COVID-19 pandemic led to the introduction of automated consultations, which improved access to healthcare. According to Lewin’s change management framework, developing strategies for transformation, adopting new practices, and embedding them into everyday care are essential steps (Burnes, 2020).</w:t>
      </w:r>
    </w:p>
    <w:p w14:paraId="7A14CCEB" w14:textId="77777777" w:rsidR="00A60C38" w:rsidRPr="00A60C38" w:rsidRDefault="00A60C38" w:rsidP="00A60C38">
      <w:pPr>
        <w:spacing w:line="360" w:lineRule="auto"/>
        <w:rPr>
          <w:rFonts w:ascii="Arial" w:hAnsi="Arial" w:cs="Arial"/>
        </w:rPr>
      </w:pPr>
    </w:p>
    <w:p w14:paraId="52F1D6A7" w14:textId="27E3EB16" w:rsidR="000A0113" w:rsidRPr="00A60C38" w:rsidRDefault="00C6300E" w:rsidP="00A60C38">
      <w:pPr>
        <w:pStyle w:val="NoSpacing"/>
        <w:spacing w:line="360" w:lineRule="auto"/>
        <w:rPr>
          <w:rFonts w:ascii="Arial" w:hAnsi="Arial" w:cs="Arial"/>
        </w:rPr>
      </w:pPr>
      <w:r w:rsidRPr="00A60C38">
        <w:rPr>
          <w:rFonts w:ascii="Arial" w:hAnsi="Arial" w:cs="Arial"/>
          <w:noProof/>
        </w:rPr>
        <w:drawing>
          <wp:inline distT="0" distB="0" distL="0" distR="0" wp14:anchorId="011634BB" wp14:editId="780CD1EC">
            <wp:extent cx="5731510" cy="3223895"/>
            <wp:effectExtent l="0" t="0" r="2540" b="0"/>
            <wp:docPr id="8331960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03FEB4" w14:textId="77777777" w:rsidR="00C6300E" w:rsidRPr="00A60C38" w:rsidRDefault="00C6300E" w:rsidP="00A60C38">
      <w:pPr>
        <w:pStyle w:val="NoSpacing"/>
        <w:spacing w:line="360" w:lineRule="auto"/>
        <w:rPr>
          <w:rFonts w:ascii="Arial" w:hAnsi="Arial" w:cs="Arial"/>
        </w:rPr>
      </w:pPr>
    </w:p>
    <w:p w14:paraId="135D1846" w14:textId="2C2E49C3" w:rsidR="00A344FA" w:rsidRPr="00A60C38" w:rsidRDefault="00EF6239" w:rsidP="00A60C38">
      <w:pPr>
        <w:pStyle w:val="Heading2"/>
        <w:spacing w:line="360" w:lineRule="auto"/>
        <w:rPr>
          <w:rFonts w:ascii="Arial" w:hAnsi="Arial" w:cs="Arial"/>
          <w:sz w:val="22"/>
          <w:szCs w:val="22"/>
        </w:rPr>
      </w:pPr>
      <w:bookmarkStart w:id="2" w:name="_Toc234163959"/>
      <w:r w:rsidRPr="00A60C38">
        <w:rPr>
          <w:rFonts w:ascii="Arial" w:hAnsi="Arial" w:cs="Arial"/>
          <w:sz w:val="22"/>
          <w:szCs w:val="22"/>
        </w:rPr>
        <w:t>Task 2 - Mind Map</w:t>
      </w:r>
      <w:bookmarkEnd w:id="2"/>
      <w:r w:rsidRPr="00A60C38">
        <w:rPr>
          <w:rFonts w:ascii="Arial" w:hAnsi="Arial" w:cs="Arial"/>
          <w:sz w:val="22"/>
          <w:szCs w:val="22"/>
        </w:rPr>
        <w:t xml:space="preserve"> </w:t>
      </w:r>
    </w:p>
    <w:p w14:paraId="6291301A" w14:textId="5DDB3C94" w:rsidR="00C24492" w:rsidRPr="00A60C38" w:rsidRDefault="00373517" w:rsidP="00A60C38">
      <w:pPr>
        <w:spacing w:line="360" w:lineRule="auto"/>
        <w:rPr>
          <w:rFonts w:ascii="Arial" w:hAnsi="Arial" w:cs="Arial"/>
        </w:rPr>
      </w:pPr>
      <w:r w:rsidRPr="00A60C38">
        <w:rPr>
          <w:rFonts w:ascii="Arial" w:hAnsi="Arial" w:cs="Arial"/>
          <w:noProof/>
        </w:rPr>
        <mc:AlternateContent>
          <mc:Choice Requires="wps">
            <w:drawing>
              <wp:anchor distT="0" distB="0" distL="114300" distR="114300" simplePos="0" relativeHeight="251659264" behindDoc="0" locked="0" layoutInCell="1" allowOverlap="1" wp14:anchorId="5FA967F6" wp14:editId="79D48AF5">
                <wp:simplePos x="0" y="0"/>
                <wp:positionH relativeFrom="column">
                  <wp:posOffset>1533646</wp:posOffset>
                </wp:positionH>
                <wp:positionV relativeFrom="paragraph">
                  <wp:posOffset>264144</wp:posOffset>
                </wp:positionV>
                <wp:extent cx="2164080" cy="1342663"/>
                <wp:effectExtent l="0" t="0" r="26670" b="10160"/>
                <wp:wrapNone/>
                <wp:docPr id="1376850801" name="Oval 1"/>
                <wp:cNvGraphicFramePr/>
                <a:graphic xmlns:a="http://schemas.openxmlformats.org/drawingml/2006/main">
                  <a:graphicData uri="http://schemas.microsoft.com/office/word/2010/wordprocessingShape">
                    <wps:wsp>
                      <wps:cNvSpPr/>
                      <wps:spPr>
                        <a:xfrm>
                          <a:off x="0" y="0"/>
                          <a:ext cx="2164080" cy="134266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ED6550" w14:textId="29D45D1E" w:rsidR="002933BE" w:rsidRPr="00373517" w:rsidRDefault="002933BE" w:rsidP="002933BE">
                            <w:pPr>
                              <w:jc w:val="center"/>
                              <w:rPr>
                                <w:b/>
                                <w:bCs/>
                                <w:color w:val="000000" w:themeColor="text1"/>
                                <w:u w:val="single"/>
                              </w:rPr>
                            </w:pPr>
                            <w:r w:rsidRPr="00373517">
                              <w:rPr>
                                <w:b/>
                                <w:bCs/>
                                <w:color w:val="000000" w:themeColor="text1"/>
                                <w:u w:val="single"/>
                              </w:rPr>
                              <w:t>Drug abuse in Kennington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A967F6" id="Oval 1" o:spid="_x0000_s1027" style="position:absolute;margin-left:120.75pt;margin-top:20.8pt;width:170.4pt;height:10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" fillcolor="#156082 [3204]" strokecolor="#030e13 [484]" strokeweight="1pt">
                <v:stroke joinstyle="miter"/>
                <v:textbox>
                  <w:txbxContent>
                    <w:p w14:paraId="62ED6550" w14:textId="29D45D1E" w:rsidR="002933BE" w:rsidRPr="00373517" w:rsidRDefault="002933BE" w:rsidP="002933BE">
                      <w:pPr>
                        <w:jc w:val="center"/>
                        <w:rPr>
                          <w:b/>
                          <w:bCs/>
                          <w:color w:val="000000" w:themeColor="text1"/>
                          <w:u w:val="single"/>
                        </w:rPr>
                      </w:pPr>
                      <w:r w:rsidRPr="00373517">
                        <w:rPr>
                          <w:b/>
                          <w:bCs/>
                          <w:color w:val="000000" w:themeColor="text1"/>
                          <w:u w:val="single"/>
                        </w:rPr>
                        <w:t>Drug abuse in Kennington</w:t>
                      </w:r>
                    </w:p>
                  </w:txbxContent>
                </v:textbox>
              </v:oval>
            </w:pict>
          </mc:Fallback>
        </mc:AlternateContent>
      </w:r>
      <w:r w:rsidR="00214D84" w:rsidRPr="00A60C38">
        <w:rPr>
          <w:rFonts w:ascii="Arial" w:hAnsi="Arial" w:cs="Arial"/>
          <w:noProof/>
        </w:rPr>
        <mc:AlternateContent>
          <mc:Choice Requires="wps">
            <w:drawing>
              <wp:anchor distT="0" distB="0" distL="114300" distR="114300" simplePos="0" relativeHeight="251662336" behindDoc="0" locked="0" layoutInCell="1" allowOverlap="1" wp14:anchorId="74EF560A" wp14:editId="2BEC0ADC">
                <wp:simplePos x="0" y="0"/>
                <wp:positionH relativeFrom="margin">
                  <wp:posOffset>-539750</wp:posOffset>
                </wp:positionH>
                <wp:positionV relativeFrom="paragraph">
                  <wp:posOffset>302260</wp:posOffset>
                </wp:positionV>
                <wp:extent cx="1854200" cy="1701800"/>
                <wp:effectExtent l="0" t="0" r="12700" b="12700"/>
                <wp:wrapNone/>
                <wp:docPr id="1432420419" name="Rectangle: Rounded Corners 4"/>
                <wp:cNvGraphicFramePr/>
                <a:graphic xmlns:a="http://schemas.openxmlformats.org/drawingml/2006/main">
                  <a:graphicData uri="http://schemas.microsoft.com/office/word/2010/wordprocessingShape">
                    <wps:wsp>
                      <wps:cNvSpPr/>
                      <wps:spPr>
                        <a:xfrm>
                          <a:off x="0" y="0"/>
                          <a:ext cx="1854200" cy="1701800"/>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FABF89" w14:textId="7C14A46A" w:rsidR="006C00E0" w:rsidRPr="00214D84" w:rsidRDefault="006C00E0" w:rsidP="00214D84">
                            <w:pPr>
                              <w:pStyle w:val="NoSpacing"/>
                              <w:shd w:val="clear" w:color="auto" w:fill="83CAEB" w:themeFill="accent1" w:themeFillTint="66"/>
                              <w:jc w:val="center"/>
                              <w:rPr>
                                <w:rFonts w:ascii="Arial" w:hAnsi="Arial" w:cs="Arial"/>
                                <w:b/>
                                <w:bCs/>
                                <w:sz w:val="20"/>
                                <w:szCs w:val="20"/>
                                <w:u w:val="single"/>
                              </w:rPr>
                            </w:pPr>
                            <w:r w:rsidRPr="00214D84">
                              <w:rPr>
                                <w:rFonts w:ascii="Arial" w:hAnsi="Arial" w:cs="Arial"/>
                                <w:b/>
                                <w:bCs/>
                                <w:sz w:val="20"/>
                                <w:szCs w:val="20"/>
                                <w:u w:val="single"/>
                              </w:rPr>
                              <w:t>Causes</w:t>
                            </w:r>
                          </w:p>
                          <w:p w14:paraId="796D421B" w14:textId="43C3E1D0" w:rsidR="00DB3C29" w:rsidRPr="00214D84" w:rsidRDefault="00DB3C29" w:rsidP="00214D84">
                            <w:pPr>
                              <w:pStyle w:val="NoSpacing"/>
                              <w:shd w:val="clear" w:color="auto" w:fill="83CAEB" w:themeFill="accent1" w:themeFillTint="66"/>
                              <w:jc w:val="center"/>
                              <w:rPr>
                                <w:rFonts w:ascii="Arial" w:hAnsi="Arial" w:cs="Arial"/>
                                <w:sz w:val="20"/>
                                <w:szCs w:val="20"/>
                              </w:rPr>
                            </w:pPr>
                            <w:r w:rsidRPr="00214D84">
                              <w:rPr>
                                <w:rFonts w:ascii="Arial" w:hAnsi="Arial" w:cs="Arial"/>
                                <w:sz w:val="20"/>
                                <w:szCs w:val="20"/>
                              </w:rPr>
                              <w:t>Poverty and unemployment</w:t>
                            </w:r>
                            <w:r w:rsidRPr="00214D84">
                              <w:rPr>
                                <w:rFonts w:ascii="Arial" w:hAnsi="Arial" w:cs="Arial"/>
                                <w:sz w:val="20"/>
                                <w:szCs w:val="20"/>
                              </w:rPr>
                              <w:br/>
                              <w:t>Mental health problems</w:t>
                            </w:r>
                          </w:p>
                          <w:p w14:paraId="6F8E0183" w14:textId="77777777" w:rsidR="00DB3C29" w:rsidRPr="006C00E0" w:rsidRDefault="00DB3C29" w:rsidP="00214D84">
                            <w:pPr>
                              <w:pStyle w:val="NoSpacing"/>
                              <w:shd w:val="clear" w:color="auto" w:fill="83CAEB" w:themeFill="accent1" w:themeFillTint="66"/>
                              <w:jc w:val="center"/>
                              <w:rPr>
                                <w:sz w:val="20"/>
                                <w:szCs w:val="20"/>
                              </w:rPr>
                            </w:pPr>
                            <w:r w:rsidRPr="00214D84">
                              <w:rPr>
                                <w:rFonts w:ascii="Arial" w:hAnsi="Arial" w:cs="Arial"/>
                                <w:sz w:val="20"/>
                                <w:szCs w:val="20"/>
                              </w:rPr>
                              <w:t>Family breakdown</w:t>
                            </w:r>
                            <w:r w:rsidRPr="00214D84">
                              <w:rPr>
                                <w:rFonts w:ascii="Arial" w:hAnsi="Arial" w:cs="Arial"/>
                                <w:sz w:val="20"/>
                                <w:szCs w:val="20"/>
                              </w:rPr>
                              <w:br/>
                              <w:t>Peer pressure</w:t>
                            </w:r>
                            <w:r w:rsidRPr="00214D84">
                              <w:rPr>
                                <w:rFonts w:ascii="Arial" w:hAnsi="Arial" w:cs="Arial"/>
                                <w:sz w:val="20"/>
                                <w:szCs w:val="20"/>
                              </w:rPr>
                              <w:br/>
                              <w:t xml:space="preserve"> Social isolation</w:t>
                            </w:r>
                            <w:r w:rsidRPr="00214D84">
                              <w:rPr>
                                <w:rFonts w:ascii="Arial" w:hAnsi="Arial" w:cs="Arial"/>
                                <w:sz w:val="20"/>
                                <w:szCs w:val="20"/>
                              </w:rPr>
                              <w:br/>
                              <w:t xml:space="preserve"> Easy availability of drugs</w:t>
                            </w:r>
                            <w:r w:rsidRPr="00214D84">
                              <w:rPr>
                                <w:rFonts w:ascii="Arial" w:hAnsi="Arial" w:cs="Arial"/>
                                <w:sz w:val="20"/>
                                <w:szCs w:val="20"/>
                              </w:rPr>
                              <w:br/>
                              <w:t>Cannabis</w:t>
                            </w:r>
                            <w:r w:rsidRPr="006C00E0">
                              <w:rPr>
                                <w:sz w:val="20"/>
                                <w:szCs w:val="20"/>
                              </w:rPr>
                              <w:br/>
                            </w:r>
                            <w:r w:rsidRPr="00214D84">
                              <w:rPr>
                                <w:rFonts w:ascii="Arial" w:hAnsi="Arial" w:cs="Arial"/>
                                <w:sz w:val="20"/>
                                <w:szCs w:val="20"/>
                              </w:rPr>
                              <w:t xml:space="preserve"> Cocaine Heroin</w:t>
                            </w:r>
                            <w:r w:rsidRPr="006C00E0">
                              <w:rPr>
                                <w:sz w:val="20"/>
                                <w:szCs w:val="20"/>
                              </w:rPr>
                              <w:br/>
                              <w:t>Synthetic drugs</w:t>
                            </w:r>
                          </w:p>
                          <w:p w14:paraId="334A783D" w14:textId="77777777" w:rsidR="00DB3C29" w:rsidRPr="006C00E0" w:rsidRDefault="00DB3C29" w:rsidP="00214D84">
                            <w:pPr>
                              <w:shd w:val="clear" w:color="auto" w:fill="83CAEB" w:themeFill="accent1" w:themeFillTint="66"/>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EF560A" id="Rectangle: Rounded Corners 4" o:spid="_x0000_s1028" style="position:absolute;margin-left:-42.5pt;margin-top:23.8pt;width:146pt;height:13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" fillcolor="#83caeb [1300]" strokecolor="#030e13 [484]" strokeweight="1pt">
                <v:stroke joinstyle="miter"/>
                <v:textbox>
                  <w:txbxContent>
                    <w:p w14:paraId="11FABF89" w14:textId="7C14A46A" w:rsidR="006C00E0" w:rsidRPr="00214D84" w:rsidRDefault="006C00E0" w:rsidP="00214D84">
                      <w:pPr>
                        <w:pStyle w:val="NoSpacing"/>
                        <w:shd w:val="clear" w:color="auto" w:fill="83CAEB" w:themeFill="accent1" w:themeFillTint="66"/>
                        <w:jc w:val="center"/>
                        <w:rPr>
                          <w:rFonts w:ascii="Arial" w:hAnsi="Arial" w:cs="Arial"/>
                          <w:b/>
                          <w:bCs/>
                          <w:sz w:val="20"/>
                          <w:szCs w:val="20"/>
                          <w:u w:val="single"/>
                        </w:rPr>
                      </w:pPr>
                      <w:r w:rsidRPr="00214D84">
                        <w:rPr>
                          <w:rFonts w:ascii="Arial" w:hAnsi="Arial" w:cs="Arial"/>
                          <w:b/>
                          <w:bCs/>
                          <w:sz w:val="20"/>
                          <w:szCs w:val="20"/>
                          <w:u w:val="single"/>
                        </w:rPr>
                        <w:t>Causes</w:t>
                      </w:r>
                    </w:p>
                    <w:p w14:paraId="796D421B" w14:textId="43C3E1D0" w:rsidR="00DB3C29" w:rsidRPr="00214D84" w:rsidRDefault="00DB3C29" w:rsidP="00214D84">
                      <w:pPr>
                        <w:pStyle w:val="NoSpacing"/>
                        <w:shd w:val="clear" w:color="auto" w:fill="83CAEB" w:themeFill="accent1" w:themeFillTint="66"/>
                        <w:jc w:val="center"/>
                        <w:rPr>
                          <w:rFonts w:ascii="Arial" w:hAnsi="Arial" w:cs="Arial"/>
                          <w:sz w:val="20"/>
                          <w:szCs w:val="20"/>
                        </w:rPr>
                      </w:pPr>
                      <w:r w:rsidRPr="00214D84">
                        <w:rPr>
                          <w:rFonts w:ascii="Arial" w:hAnsi="Arial" w:cs="Arial"/>
                          <w:sz w:val="20"/>
                          <w:szCs w:val="20"/>
                        </w:rPr>
                        <w:t>Poverty and unemployment</w:t>
                      </w:r>
                      <w:r w:rsidRPr="00214D84">
                        <w:rPr>
                          <w:rFonts w:ascii="Arial" w:hAnsi="Arial" w:cs="Arial"/>
                          <w:sz w:val="20"/>
                          <w:szCs w:val="20"/>
                        </w:rPr>
                        <w:br/>
                        <w:t>Mental health problems</w:t>
                      </w:r>
                    </w:p>
                    <w:p w14:paraId="6F8E0183" w14:textId="77777777" w:rsidR="00DB3C29" w:rsidRPr="006C00E0" w:rsidRDefault="00DB3C29" w:rsidP="00214D84">
                      <w:pPr>
                        <w:pStyle w:val="NoSpacing"/>
                        <w:shd w:val="clear" w:color="auto" w:fill="83CAEB" w:themeFill="accent1" w:themeFillTint="66"/>
                        <w:jc w:val="center"/>
                        <w:rPr>
                          <w:sz w:val="20"/>
                          <w:szCs w:val="20"/>
                        </w:rPr>
                      </w:pPr>
                      <w:r w:rsidRPr="00214D84">
                        <w:rPr>
                          <w:rFonts w:ascii="Arial" w:hAnsi="Arial" w:cs="Arial"/>
                          <w:sz w:val="20"/>
                          <w:szCs w:val="20"/>
                        </w:rPr>
                        <w:t>Family breakdown</w:t>
                      </w:r>
                      <w:r w:rsidRPr="00214D84">
                        <w:rPr>
                          <w:rFonts w:ascii="Arial" w:hAnsi="Arial" w:cs="Arial"/>
                          <w:sz w:val="20"/>
                          <w:szCs w:val="20"/>
                        </w:rPr>
                        <w:br/>
                        <w:t>Peer pressure</w:t>
                      </w:r>
                      <w:r w:rsidRPr="00214D84">
                        <w:rPr>
                          <w:rFonts w:ascii="Arial" w:hAnsi="Arial" w:cs="Arial"/>
                          <w:sz w:val="20"/>
                          <w:szCs w:val="20"/>
                        </w:rPr>
                        <w:br/>
                        <w:t xml:space="preserve"> Social isolation</w:t>
                      </w:r>
                      <w:r w:rsidRPr="00214D84">
                        <w:rPr>
                          <w:rFonts w:ascii="Arial" w:hAnsi="Arial" w:cs="Arial"/>
                          <w:sz w:val="20"/>
                          <w:szCs w:val="20"/>
                        </w:rPr>
                        <w:br/>
                        <w:t xml:space="preserve"> Easy availability of drugs</w:t>
                      </w:r>
                      <w:r w:rsidRPr="00214D84">
                        <w:rPr>
                          <w:rFonts w:ascii="Arial" w:hAnsi="Arial" w:cs="Arial"/>
                          <w:sz w:val="20"/>
                          <w:szCs w:val="20"/>
                        </w:rPr>
                        <w:br/>
                        <w:t>Cannabis</w:t>
                      </w:r>
                      <w:r w:rsidRPr="006C00E0">
                        <w:rPr>
                          <w:sz w:val="20"/>
                          <w:szCs w:val="20"/>
                        </w:rPr>
                        <w:br/>
                      </w:r>
                      <w:r w:rsidRPr="00214D84">
                        <w:rPr>
                          <w:rFonts w:ascii="Arial" w:hAnsi="Arial" w:cs="Arial"/>
                          <w:sz w:val="20"/>
                          <w:szCs w:val="20"/>
                        </w:rPr>
                        <w:t xml:space="preserve"> Cocaine Heroin</w:t>
                      </w:r>
                      <w:r w:rsidRPr="006C00E0">
                        <w:rPr>
                          <w:sz w:val="20"/>
                          <w:szCs w:val="20"/>
                        </w:rPr>
                        <w:br/>
                        <w:t>Synthetic drugs</w:t>
                      </w:r>
                    </w:p>
                    <w:p w14:paraId="334A783D" w14:textId="77777777" w:rsidR="00DB3C29" w:rsidRPr="006C00E0" w:rsidRDefault="00DB3C29" w:rsidP="00214D84">
                      <w:pPr>
                        <w:shd w:val="clear" w:color="auto" w:fill="83CAEB" w:themeFill="accent1" w:themeFillTint="66"/>
                        <w:jc w:val="center"/>
                        <w:rPr>
                          <w:sz w:val="20"/>
                          <w:szCs w:val="20"/>
                        </w:rPr>
                      </w:pPr>
                    </w:p>
                  </w:txbxContent>
                </v:textbox>
                <w10:wrap anchorx="margin"/>
              </v:roundrect>
            </w:pict>
          </mc:Fallback>
        </mc:AlternateContent>
      </w:r>
    </w:p>
    <w:p w14:paraId="556DE1B8" w14:textId="366F1090" w:rsidR="00C24492" w:rsidRPr="00A60C38" w:rsidRDefault="0098578C" w:rsidP="00A60C38">
      <w:pPr>
        <w:spacing w:line="360" w:lineRule="auto"/>
        <w:rPr>
          <w:rFonts w:ascii="Arial" w:hAnsi="Arial" w:cs="Arial"/>
        </w:rPr>
      </w:pPr>
      <w:r w:rsidRPr="00A60C38">
        <w:rPr>
          <w:rFonts w:ascii="Arial" w:hAnsi="Arial" w:cs="Arial"/>
          <w:noProof/>
        </w:rPr>
        <mc:AlternateContent>
          <mc:Choice Requires="wps">
            <w:drawing>
              <wp:anchor distT="0" distB="0" distL="114300" distR="114300" simplePos="0" relativeHeight="251667456" behindDoc="0" locked="0" layoutInCell="1" allowOverlap="1" wp14:anchorId="49ED4852" wp14:editId="19DCC72C">
                <wp:simplePos x="0" y="0"/>
                <wp:positionH relativeFrom="column">
                  <wp:posOffset>3898900</wp:posOffset>
                </wp:positionH>
                <wp:positionV relativeFrom="paragraph">
                  <wp:posOffset>4445</wp:posOffset>
                </wp:positionV>
                <wp:extent cx="1949450" cy="1752600"/>
                <wp:effectExtent l="0" t="0" r="12700" b="19050"/>
                <wp:wrapNone/>
                <wp:docPr id="1525609739" name="Rectangle: Rounded Corners 9"/>
                <wp:cNvGraphicFramePr/>
                <a:graphic xmlns:a="http://schemas.openxmlformats.org/drawingml/2006/main">
                  <a:graphicData uri="http://schemas.microsoft.com/office/word/2010/wordprocessingShape">
                    <wps:wsp>
                      <wps:cNvSpPr/>
                      <wps:spPr>
                        <a:xfrm>
                          <a:off x="0" y="0"/>
                          <a:ext cx="1949450" cy="1752600"/>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8947768" w14:textId="51B16E9D" w:rsidR="00214D84" w:rsidRPr="0098578C" w:rsidRDefault="006C00E0" w:rsidP="00214D84">
                            <w:pPr>
                              <w:pStyle w:val="NoSpacing"/>
                              <w:jc w:val="center"/>
                              <w:rPr>
                                <w:color w:val="000000" w:themeColor="text1"/>
                              </w:rPr>
                            </w:pPr>
                            <w:r w:rsidRPr="0098578C">
                              <w:rPr>
                                <w:b/>
                                <w:bCs/>
                                <w:color w:val="000000" w:themeColor="text1"/>
                                <w:u w:val="single"/>
                              </w:rPr>
                              <w:t>Impacts</w:t>
                            </w:r>
                            <w:r w:rsidRPr="0098578C">
                              <w:rPr>
                                <w:b/>
                                <w:bCs/>
                                <w:color w:val="000000" w:themeColor="text1"/>
                                <w:u w:val="single"/>
                              </w:rPr>
                              <w:br/>
                            </w:r>
                            <w:r w:rsidRPr="0098578C">
                              <w:rPr>
                                <w:color w:val="000000" w:themeColor="text1"/>
                              </w:rPr>
                              <w:t xml:space="preserve"> Individuals</w:t>
                            </w:r>
                            <w:r w:rsidRPr="0098578C">
                              <w:rPr>
                                <w:color w:val="000000" w:themeColor="text1"/>
                              </w:rPr>
                              <w:br/>
                              <w:t>Addiction</w:t>
                            </w:r>
                            <w:r w:rsidRPr="0098578C">
                              <w:rPr>
                                <w:color w:val="000000" w:themeColor="text1"/>
                              </w:rPr>
                              <w:br/>
                              <w:t>Poor physical health</w:t>
                            </w:r>
                          </w:p>
                          <w:p w14:paraId="54442558" w14:textId="59C65414" w:rsidR="006C00E0" w:rsidRPr="0098578C" w:rsidRDefault="006C00E0" w:rsidP="00214D84">
                            <w:pPr>
                              <w:pStyle w:val="NoSpacing"/>
                              <w:jc w:val="center"/>
                              <w:rPr>
                                <w:color w:val="000000" w:themeColor="text1"/>
                              </w:rPr>
                            </w:pPr>
                            <w:r w:rsidRPr="0098578C">
                              <w:rPr>
                                <w:color w:val="000000" w:themeColor="text1"/>
                              </w:rPr>
                              <w:t>Poor mental health</w:t>
                            </w:r>
                            <w:r w:rsidRPr="0098578C">
                              <w:rPr>
                                <w:color w:val="000000" w:themeColor="text1"/>
                              </w:rPr>
                              <w:br/>
                              <w:t>Increased risk of overdose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ED4852" id="Rectangle: Rounded Corners 9" o:spid="_x0000_s1029" style="position:absolute;margin-left:307pt;margin-top:.35pt;width:153.5pt;height:1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" fillcolor="#83caeb [1300]" strokecolor="#030e13 [484]" strokeweight="1pt">
                <v:stroke joinstyle="miter"/>
                <v:textbox>
                  <w:txbxContent>
                    <w:p w14:paraId="28947768" w14:textId="51B16E9D" w:rsidR="00214D84" w:rsidRPr="0098578C" w:rsidRDefault="006C00E0" w:rsidP="00214D84">
                      <w:pPr>
                        <w:pStyle w:val="NoSpacing"/>
                        <w:jc w:val="center"/>
                        <w:rPr>
                          <w:color w:val="000000" w:themeColor="text1"/>
                        </w:rPr>
                      </w:pPr>
                      <w:r w:rsidRPr="0098578C">
                        <w:rPr>
                          <w:b/>
                          <w:bCs/>
                          <w:color w:val="000000" w:themeColor="text1"/>
                          <w:u w:val="single"/>
                        </w:rPr>
                        <w:t>Impacts</w:t>
                      </w:r>
                      <w:r w:rsidRPr="0098578C">
                        <w:rPr>
                          <w:b/>
                          <w:bCs/>
                          <w:color w:val="000000" w:themeColor="text1"/>
                          <w:u w:val="single"/>
                        </w:rPr>
                        <w:br/>
                      </w:r>
                      <w:r w:rsidRPr="0098578C">
                        <w:rPr>
                          <w:color w:val="000000" w:themeColor="text1"/>
                        </w:rPr>
                        <w:t xml:space="preserve"> Individuals</w:t>
                      </w:r>
                      <w:r w:rsidRPr="0098578C">
                        <w:rPr>
                          <w:color w:val="000000" w:themeColor="text1"/>
                        </w:rPr>
                        <w:br/>
                        <w:t>Addiction</w:t>
                      </w:r>
                      <w:r w:rsidRPr="0098578C">
                        <w:rPr>
                          <w:color w:val="000000" w:themeColor="text1"/>
                        </w:rPr>
                        <w:br/>
                        <w:t>Poor physical health</w:t>
                      </w:r>
                    </w:p>
                    <w:p w14:paraId="54442558" w14:textId="59C65414" w:rsidR="006C00E0" w:rsidRPr="0098578C" w:rsidRDefault="006C00E0" w:rsidP="00214D84">
                      <w:pPr>
                        <w:pStyle w:val="NoSpacing"/>
                        <w:jc w:val="center"/>
                        <w:rPr>
                          <w:color w:val="000000" w:themeColor="text1"/>
                        </w:rPr>
                      </w:pPr>
                      <w:r w:rsidRPr="0098578C">
                        <w:rPr>
                          <w:color w:val="000000" w:themeColor="text1"/>
                        </w:rPr>
                        <w:t>Poor mental health</w:t>
                      </w:r>
                      <w:r w:rsidRPr="0098578C">
                        <w:rPr>
                          <w:color w:val="000000" w:themeColor="text1"/>
                        </w:rPr>
                        <w:br/>
                        <w:t>Increased risk of overdose</w:t>
                      </w:r>
                    </w:p>
                  </w:txbxContent>
                </v:textbox>
              </v:roundrect>
            </w:pict>
          </mc:Fallback>
        </mc:AlternateContent>
      </w:r>
    </w:p>
    <w:p w14:paraId="0B99E0BB" w14:textId="6E972905" w:rsidR="00C24492" w:rsidRPr="00A60C38" w:rsidRDefault="00C24492" w:rsidP="00A60C38">
      <w:pPr>
        <w:spacing w:line="360" w:lineRule="auto"/>
        <w:rPr>
          <w:rFonts w:ascii="Arial" w:hAnsi="Arial" w:cs="Arial"/>
        </w:rPr>
      </w:pPr>
    </w:p>
    <w:p w14:paraId="5B241C17" w14:textId="0159935A" w:rsidR="00C24492" w:rsidRPr="00A60C38" w:rsidRDefault="00214D84" w:rsidP="00A60C38">
      <w:pPr>
        <w:spacing w:line="360" w:lineRule="auto"/>
        <w:rPr>
          <w:rFonts w:ascii="Arial" w:hAnsi="Arial" w:cs="Arial"/>
        </w:rPr>
      </w:pPr>
      <w:r w:rsidRPr="00A60C38">
        <w:rPr>
          <w:rFonts w:ascii="Arial" w:hAnsi="Arial" w:cs="Arial"/>
          <w:noProof/>
        </w:rPr>
        <mc:AlternateContent>
          <mc:Choice Requires="wps">
            <w:drawing>
              <wp:anchor distT="0" distB="0" distL="114300" distR="114300" simplePos="0" relativeHeight="251665408" behindDoc="0" locked="0" layoutInCell="1" allowOverlap="1" wp14:anchorId="5E0EBA18" wp14:editId="6320B711">
                <wp:simplePos x="0" y="0"/>
                <wp:positionH relativeFrom="column">
                  <wp:posOffset>3460750</wp:posOffset>
                </wp:positionH>
                <wp:positionV relativeFrom="paragraph">
                  <wp:posOffset>277495</wp:posOffset>
                </wp:positionV>
                <wp:extent cx="406400" cy="292100"/>
                <wp:effectExtent l="0" t="0" r="69850" b="50800"/>
                <wp:wrapNone/>
                <wp:docPr id="379715598" name="Straight Arrow Connector 7"/>
                <wp:cNvGraphicFramePr/>
                <a:graphic xmlns:a="http://schemas.openxmlformats.org/drawingml/2006/main">
                  <a:graphicData uri="http://schemas.microsoft.com/office/word/2010/wordprocessingShape">
                    <wps:wsp>
                      <wps:cNvCnPr/>
                      <wps:spPr>
                        <a:xfrm>
                          <a:off x="0" y="0"/>
                          <a:ext cx="406400"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5D6D27" id="_x0000_t32" coordsize="21600,21600" o:spt="32" o:oned="t" path="m,l21600,21600e" filled="f">
                <v:path arrowok="t" fillok="f" o:connecttype="none"/>
                <o:lock v:ext="edit" shapetype="t"/>
              </v:shapetype>
              <v:shape id="Straight Arrow Connector 7" o:spid="_x0000_s1026" type="#_x0000_t32" style="position:absolute;margin-left:272.5pt;margin-top:21.85pt;width:32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" strokecolor="#156082 [3204]" strokeweight=".5pt">
                <v:stroke endarrow="block" joinstyle="miter"/>
              </v:shape>
            </w:pict>
          </mc:Fallback>
        </mc:AlternateContent>
      </w:r>
      <w:r w:rsidR="006C00E0" w:rsidRPr="00A60C38">
        <w:rPr>
          <w:rFonts w:ascii="Arial" w:hAnsi="Arial" w:cs="Arial"/>
          <w:noProof/>
        </w:rPr>
        <mc:AlternateContent>
          <mc:Choice Requires="wps">
            <w:drawing>
              <wp:anchor distT="0" distB="0" distL="114300" distR="114300" simplePos="0" relativeHeight="251663360" behindDoc="0" locked="0" layoutInCell="1" allowOverlap="1" wp14:anchorId="7965F1C1" wp14:editId="614ECB95">
                <wp:simplePos x="0" y="0"/>
                <wp:positionH relativeFrom="column">
                  <wp:posOffset>1320800</wp:posOffset>
                </wp:positionH>
                <wp:positionV relativeFrom="paragraph">
                  <wp:posOffset>245745</wp:posOffset>
                </wp:positionV>
                <wp:extent cx="546100" cy="355600"/>
                <wp:effectExtent l="38100" t="0" r="25400" b="63500"/>
                <wp:wrapNone/>
                <wp:docPr id="1034757222" name="Straight Arrow Connector 5"/>
                <wp:cNvGraphicFramePr/>
                <a:graphic xmlns:a="http://schemas.openxmlformats.org/drawingml/2006/main">
                  <a:graphicData uri="http://schemas.microsoft.com/office/word/2010/wordprocessingShape">
                    <wps:wsp>
                      <wps:cNvCnPr/>
                      <wps:spPr>
                        <a:xfrm flipH="1">
                          <a:off x="0" y="0"/>
                          <a:ext cx="54610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8DBFC" id="Straight Arrow Connector 5" o:spid="_x0000_s1026" type="#_x0000_t32" style="position:absolute;margin-left:104pt;margin-top:19.35pt;width:43pt;height:28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" strokecolor="#156082 [3204]" strokeweight=".5pt">
                <v:stroke endarrow="block" joinstyle="miter"/>
              </v:shape>
            </w:pict>
          </mc:Fallback>
        </mc:AlternateContent>
      </w:r>
    </w:p>
    <w:p w14:paraId="799E0D31" w14:textId="647690A7" w:rsidR="00C24492" w:rsidRPr="00A60C38" w:rsidRDefault="00373517" w:rsidP="00A60C38">
      <w:pPr>
        <w:spacing w:line="360" w:lineRule="auto"/>
        <w:rPr>
          <w:rFonts w:ascii="Arial" w:hAnsi="Arial" w:cs="Arial"/>
        </w:rPr>
      </w:pPr>
      <w:r w:rsidRPr="00A60C38">
        <w:rPr>
          <w:rFonts w:ascii="Arial" w:hAnsi="Arial" w:cs="Arial"/>
          <w:noProof/>
        </w:rPr>
        <mc:AlternateContent>
          <mc:Choice Requires="wps">
            <w:drawing>
              <wp:anchor distT="0" distB="0" distL="114300" distR="114300" simplePos="0" relativeHeight="251666432" behindDoc="0" locked="0" layoutInCell="1" allowOverlap="1" wp14:anchorId="1A0738BB" wp14:editId="5BFC41F5">
                <wp:simplePos x="0" y="0"/>
                <wp:positionH relativeFrom="column">
                  <wp:posOffset>2619093</wp:posOffset>
                </wp:positionH>
                <wp:positionV relativeFrom="paragraph">
                  <wp:posOffset>68950</wp:posOffset>
                </wp:positionV>
                <wp:extent cx="45719" cy="682906"/>
                <wp:effectExtent l="38100" t="0" r="69215" b="60325"/>
                <wp:wrapNone/>
                <wp:docPr id="539021232" name="Straight Arrow Connector 8"/>
                <wp:cNvGraphicFramePr/>
                <a:graphic xmlns:a="http://schemas.openxmlformats.org/drawingml/2006/main">
                  <a:graphicData uri="http://schemas.microsoft.com/office/word/2010/wordprocessingShape">
                    <wps:wsp>
                      <wps:cNvCnPr/>
                      <wps:spPr>
                        <a:xfrm>
                          <a:off x="0" y="0"/>
                          <a:ext cx="45719" cy="6829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75C7D5" id="_x0000_t32" coordsize="21600,21600" o:spt="32" o:oned="t" path="m,l21600,21600e" filled="f">
                <v:path arrowok="t" fillok="f" o:connecttype="none"/>
                <o:lock v:ext="edit" shapetype="t"/>
              </v:shapetype>
              <v:shape id="Straight Arrow Connector 8" o:spid="_x0000_s1026" type="#_x0000_t32" style="position:absolute;margin-left:206.25pt;margin-top:5.45pt;width:3.6pt;height:5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" strokecolor="#156082 [3204]" strokeweight=".5pt">
                <v:stroke endarrow="block" joinstyle="miter"/>
              </v:shape>
            </w:pict>
          </mc:Fallback>
        </mc:AlternateContent>
      </w:r>
    </w:p>
    <w:p w14:paraId="55632E6C" w14:textId="31841BE1" w:rsidR="00C24492" w:rsidRPr="00A60C38" w:rsidRDefault="00C24492" w:rsidP="00A60C38">
      <w:pPr>
        <w:spacing w:line="360" w:lineRule="auto"/>
        <w:rPr>
          <w:rFonts w:ascii="Arial" w:hAnsi="Arial" w:cs="Arial"/>
        </w:rPr>
      </w:pPr>
    </w:p>
    <w:p w14:paraId="593A33E9" w14:textId="6DAEDBAD" w:rsidR="00C24492" w:rsidRPr="00A60C38" w:rsidRDefault="009C4C38" w:rsidP="00A60C38">
      <w:pPr>
        <w:spacing w:line="360" w:lineRule="auto"/>
        <w:rPr>
          <w:rFonts w:ascii="Arial" w:hAnsi="Arial" w:cs="Arial"/>
        </w:rPr>
      </w:pPr>
      <w:r w:rsidRPr="00A60C38">
        <w:rPr>
          <w:rFonts w:ascii="Arial" w:hAnsi="Arial" w:cs="Arial"/>
          <w:noProof/>
        </w:rPr>
        <mc:AlternateContent>
          <mc:Choice Requires="wps">
            <w:drawing>
              <wp:anchor distT="0" distB="0" distL="114300" distR="114300" simplePos="0" relativeHeight="251664384" behindDoc="0" locked="0" layoutInCell="1" allowOverlap="1" wp14:anchorId="672C4FFE" wp14:editId="501BA5CE">
                <wp:simplePos x="0" y="0"/>
                <wp:positionH relativeFrom="column">
                  <wp:posOffset>1446530</wp:posOffset>
                </wp:positionH>
                <wp:positionV relativeFrom="paragraph">
                  <wp:posOffset>72157</wp:posOffset>
                </wp:positionV>
                <wp:extent cx="2355850" cy="1545220"/>
                <wp:effectExtent l="0" t="0" r="25400" b="17145"/>
                <wp:wrapNone/>
                <wp:docPr id="448480843" name="Rectangle: Rounded Corners 6"/>
                <wp:cNvGraphicFramePr/>
                <a:graphic xmlns:a="http://schemas.openxmlformats.org/drawingml/2006/main">
                  <a:graphicData uri="http://schemas.microsoft.com/office/word/2010/wordprocessingShape">
                    <wps:wsp>
                      <wps:cNvSpPr/>
                      <wps:spPr>
                        <a:xfrm>
                          <a:off x="0" y="0"/>
                          <a:ext cx="2355850" cy="1545220"/>
                        </a:xfrm>
                        <a:prstGeom prst="roundRect">
                          <a:avLst/>
                        </a:prstGeom>
                        <a:solidFill>
                          <a:schemeClr val="accent1">
                            <a:lumMod val="40000"/>
                            <a:lumOff val="60000"/>
                          </a:schemeClr>
                        </a:solidFill>
                        <a:ln>
                          <a:solidFill>
                            <a:schemeClr val="accent1">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BAEAD0" w14:textId="35F76CFD" w:rsidR="006C00E0" w:rsidRPr="00214D84" w:rsidRDefault="006C00E0" w:rsidP="006C00E0">
                            <w:pPr>
                              <w:jc w:val="center"/>
                              <w:rPr>
                                <w:rFonts w:ascii="Arial" w:hAnsi="Arial" w:cs="Arial"/>
                                <w:color w:val="000000" w:themeColor="text1"/>
                                <w:sz w:val="20"/>
                                <w:szCs w:val="20"/>
                              </w:rPr>
                            </w:pPr>
                            <w:r w:rsidRPr="00214D84">
                              <w:rPr>
                                <w:rFonts w:ascii="Arial" w:eastAsia="Aptos" w:hAnsi="Arial" w:cs="Arial"/>
                                <w:b/>
                                <w:bCs/>
                                <w:color w:val="000000" w:themeColor="text1"/>
                                <w:sz w:val="20"/>
                                <w:szCs w:val="20"/>
                                <w:u w:val="single"/>
                                <w14:ligatures w14:val="none"/>
                              </w:rPr>
                              <w:t>Solutions</w:t>
                            </w:r>
                            <w:r w:rsidRPr="00214D84">
                              <w:rPr>
                                <w:rFonts w:ascii="Arial" w:eastAsia="Aptos" w:hAnsi="Arial" w:cs="Arial"/>
                                <w:color w:val="000000" w:themeColor="text1"/>
                                <w:sz w:val="20"/>
                                <w:szCs w:val="20"/>
                                <w14:ligatures w14:val="none"/>
                              </w:rPr>
                              <w:br/>
                              <w:t>Drug education programmes</w:t>
                            </w:r>
                            <w:r w:rsidRPr="00214D84">
                              <w:rPr>
                                <w:rFonts w:ascii="Arial" w:eastAsia="Aptos" w:hAnsi="Arial" w:cs="Arial"/>
                                <w:color w:val="000000" w:themeColor="text1"/>
                                <w:sz w:val="20"/>
                                <w:szCs w:val="20"/>
                                <w14:ligatures w14:val="none"/>
                              </w:rPr>
                              <w:br/>
                              <w:t>Community awareness campaigns</w:t>
                            </w:r>
                            <w:r w:rsidRPr="00214D84">
                              <w:rPr>
                                <w:rFonts w:ascii="Arial" w:eastAsia="Aptos" w:hAnsi="Arial" w:cs="Arial"/>
                                <w:color w:val="000000" w:themeColor="text1"/>
                                <w:sz w:val="20"/>
                                <w:szCs w:val="20"/>
                                <w14:ligatures w14:val="none"/>
                              </w:rPr>
                              <w:br/>
                              <w:t>Rehabilitation services</w:t>
                            </w:r>
                            <w:r w:rsidRPr="00214D84">
                              <w:rPr>
                                <w:rFonts w:ascii="Arial" w:eastAsia="Aptos" w:hAnsi="Arial" w:cs="Arial"/>
                                <w:color w:val="000000" w:themeColor="text1"/>
                                <w:sz w:val="20"/>
                                <w:szCs w:val="20"/>
                                <w14:ligatures w14:val="none"/>
                              </w:rPr>
                              <w:br/>
                              <w:t>Mental health support</w:t>
                            </w:r>
                            <w:r w:rsidRPr="00214D84">
                              <w:rPr>
                                <w:rFonts w:ascii="Arial" w:eastAsia="Aptos" w:hAnsi="Arial" w:cs="Arial"/>
                                <w:color w:val="000000" w:themeColor="text1"/>
                                <w:sz w:val="20"/>
                                <w:szCs w:val="20"/>
                                <w14:ligatures w14:val="none"/>
                              </w:rPr>
                              <w:br/>
                              <w:t>Family support services</w:t>
                            </w:r>
                            <w:r w:rsidRPr="00214D84">
                              <w:rPr>
                                <w:rFonts w:ascii="Arial" w:eastAsia="Aptos" w:hAnsi="Arial" w:cs="Arial"/>
                                <w:color w:val="000000" w:themeColor="text1"/>
                                <w:sz w:val="20"/>
                                <w:szCs w:val="20"/>
                                <w14:ligatures w14:val="none"/>
                              </w:rPr>
                              <w:br/>
                              <w:t>Community outreach programmes</w:t>
                            </w:r>
                            <w:r w:rsidRPr="00214D84">
                              <w:rPr>
                                <w:rFonts w:ascii="Arial" w:eastAsia="Aptos" w:hAnsi="Arial" w:cs="Arial"/>
                                <w:color w:val="000000" w:themeColor="text1"/>
                                <w:sz w:val="20"/>
                                <w:szCs w:val="20"/>
                                <w14:ligatures w14:val="none"/>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C4FFE" id="Rectangle: Rounded Corners 6" o:spid="_x0000_s1030" style="position:absolute;margin-left:113.9pt;margin-top:5.7pt;width:185.5pt;height:12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" fillcolor="#83caeb [1300]" strokecolor="#c1e4f5 [660]" strokeweight="1pt">
                <v:stroke joinstyle="miter"/>
                <v:textbox>
                  <w:txbxContent>
                    <w:p w14:paraId="46BAEAD0" w14:textId="35F76CFD" w:rsidR="006C00E0" w:rsidRPr="00214D84" w:rsidRDefault="006C00E0" w:rsidP="006C00E0">
                      <w:pPr>
                        <w:jc w:val="center"/>
                        <w:rPr>
                          <w:rFonts w:ascii="Arial" w:hAnsi="Arial" w:cs="Arial"/>
                          <w:color w:val="000000" w:themeColor="text1"/>
                          <w:sz w:val="20"/>
                          <w:szCs w:val="20"/>
                        </w:rPr>
                      </w:pPr>
                      <w:r w:rsidRPr="00214D84">
                        <w:rPr>
                          <w:rFonts w:ascii="Arial" w:eastAsia="Aptos" w:hAnsi="Arial" w:cs="Arial"/>
                          <w:b/>
                          <w:bCs/>
                          <w:color w:val="000000" w:themeColor="text1"/>
                          <w:sz w:val="20"/>
                          <w:szCs w:val="20"/>
                          <w:u w:val="single"/>
                          <w14:ligatures w14:val="none"/>
                        </w:rPr>
                        <w:t>Solutions</w:t>
                      </w:r>
                      <w:r w:rsidRPr="00214D84">
                        <w:rPr>
                          <w:rFonts w:ascii="Arial" w:eastAsia="Aptos" w:hAnsi="Arial" w:cs="Arial"/>
                          <w:color w:val="000000" w:themeColor="text1"/>
                          <w:sz w:val="20"/>
                          <w:szCs w:val="20"/>
                          <w14:ligatures w14:val="none"/>
                        </w:rPr>
                        <w:br/>
                        <w:t>Drug education programmes</w:t>
                      </w:r>
                      <w:r w:rsidRPr="00214D84">
                        <w:rPr>
                          <w:rFonts w:ascii="Arial" w:eastAsia="Aptos" w:hAnsi="Arial" w:cs="Arial"/>
                          <w:color w:val="000000" w:themeColor="text1"/>
                          <w:sz w:val="20"/>
                          <w:szCs w:val="20"/>
                          <w14:ligatures w14:val="none"/>
                        </w:rPr>
                        <w:br/>
                        <w:t>Community awareness campaigns</w:t>
                      </w:r>
                      <w:r w:rsidRPr="00214D84">
                        <w:rPr>
                          <w:rFonts w:ascii="Arial" w:eastAsia="Aptos" w:hAnsi="Arial" w:cs="Arial"/>
                          <w:color w:val="000000" w:themeColor="text1"/>
                          <w:sz w:val="20"/>
                          <w:szCs w:val="20"/>
                          <w14:ligatures w14:val="none"/>
                        </w:rPr>
                        <w:br/>
                        <w:t>Rehabilitation services</w:t>
                      </w:r>
                      <w:r w:rsidRPr="00214D84">
                        <w:rPr>
                          <w:rFonts w:ascii="Arial" w:eastAsia="Aptos" w:hAnsi="Arial" w:cs="Arial"/>
                          <w:color w:val="000000" w:themeColor="text1"/>
                          <w:sz w:val="20"/>
                          <w:szCs w:val="20"/>
                          <w14:ligatures w14:val="none"/>
                        </w:rPr>
                        <w:br/>
                        <w:t>Mental health support</w:t>
                      </w:r>
                      <w:r w:rsidRPr="00214D84">
                        <w:rPr>
                          <w:rFonts w:ascii="Arial" w:eastAsia="Aptos" w:hAnsi="Arial" w:cs="Arial"/>
                          <w:color w:val="000000" w:themeColor="text1"/>
                          <w:sz w:val="20"/>
                          <w:szCs w:val="20"/>
                          <w14:ligatures w14:val="none"/>
                        </w:rPr>
                        <w:br/>
                        <w:t>Family support services</w:t>
                      </w:r>
                      <w:r w:rsidRPr="00214D84">
                        <w:rPr>
                          <w:rFonts w:ascii="Arial" w:eastAsia="Aptos" w:hAnsi="Arial" w:cs="Arial"/>
                          <w:color w:val="000000" w:themeColor="text1"/>
                          <w:sz w:val="20"/>
                          <w:szCs w:val="20"/>
                          <w14:ligatures w14:val="none"/>
                        </w:rPr>
                        <w:br/>
                        <w:t>Community outreach programmes</w:t>
                      </w:r>
                      <w:r w:rsidRPr="00214D84">
                        <w:rPr>
                          <w:rFonts w:ascii="Arial" w:eastAsia="Aptos" w:hAnsi="Arial" w:cs="Arial"/>
                          <w:color w:val="000000" w:themeColor="text1"/>
                          <w:sz w:val="20"/>
                          <w:szCs w:val="20"/>
                          <w14:ligatures w14:val="none"/>
                        </w:rPr>
                        <w:br/>
                      </w:r>
                    </w:p>
                  </w:txbxContent>
                </v:textbox>
              </v:roundrect>
            </w:pict>
          </mc:Fallback>
        </mc:AlternateContent>
      </w:r>
    </w:p>
    <w:p w14:paraId="275D750A" w14:textId="2638D778" w:rsidR="00C24492" w:rsidRPr="00A60C38" w:rsidRDefault="00C24492" w:rsidP="00A60C38">
      <w:pPr>
        <w:spacing w:line="360" w:lineRule="auto"/>
        <w:rPr>
          <w:rFonts w:ascii="Arial" w:hAnsi="Arial" w:cs="Arial"/>
        </w:rPr>
      </w:pPr>
    </w:p>
    <w:p w14:paraId="682EC8CD" w14:textId="77777777" w:rsidR="000A0113" w:rsidRPr="00A60C38" w:rsidRDefault="000A0113" w:rsidP="00A60C38">
      <w:pPr>
        <w:spacing w:line="360" w:lineRule="auto"/>
        <w:rPr>
          <w:rFonts w:ascii="Arial" w:hAnsi="Arial" w:cs="Arial"/>
        </w:rPr>
      </w:pPr>
    </w:p>
    <w:p w14:paraId="31A8F75C" w14:textId="77777777" w:rsidR="00A60C38" w:rsidRDefault="00A60C38" w:rsidP="00A60C38">
      <w:pPr>
        <w:pStyle w:val="Subtitle"/>
        <w:spacing w:line="360" w:lineRule="auto"/>
        <w:rPr>
          <w:rFonts w:ascii="Arial" w:hAnsi="Arial" w:cs="Arial"/>
          <w:sz w:val="22"/>
          <w:szCs w:val="22"/>
        </w:rPr>
      </w:pPr>
    </w:p>
    <w:p w14:paraId="5318223F" w14:textId="24462292" w:rsidR="008E1E0F" w:rsidRPr="00A60C38" w:rsidRDefault="00C55A83" w:rsidP="00A60C38">
      <w:pPr>
        <w:pStyle w:val="Subtitle"/>
        <w:spacing w:line="360" w:lineRule="auto"/>
        <w:rPr>
          <w:rStyle w:val="SubtitleChar"/>
          <w:rFonts w:ascii="Arial" w:hAnsi="Arial" w:cs="Arial"/>
          <w:sz w:val="22"/>
          <w:szCs w:val="22"/>
        </w:rPr>
      </w:pPr>
      <w:r w:rsidRPr="00A60C38">
        <w:rPr>
          <w:rStyle w:val="SubtitleChar"/>
          <w:rFonts w:ascii="Arial" w:hAnsi="Arial" w:cs="Arial"/>
          <w:sz w:val="22"/>
          <w:szCs w:val="22"/>
        </w:rPr>
        <w:lastRenderedPageBreak/>
        <w:t>Explanation of the Mind Map</w:t>
      </w:r>
    </w:p>
    <w:p w14:paraId="6673C355" w14:textId="16AF2ECF" w:rsidR="002B50A9" w:rsidRPr="00A60C38" w:rsidRDefault="001038A4" w:rsidP="00A60C38">
      <w:pPr>
        <w:spacing w:line="360" w:lineRule="auto"/>
        <w:rPr>
          <w:rFonts w:ascii="Arial" w:hAnsi="Arial" w:cs="Arial"/>
        </w:rPr>
      </w:pPr>
      <w:r w:rsidRPr="00A60C38">
        <w:rPr>
          <w:rFonts w:ascii="Arial" w:hAnsi="Arial" w:cs="Arial"/>
        </w:rPr>
        <w:t xml:space="preserve">Drug misuse in Kennington is a significant health and social care problem affecting individuals, families, and the community. Making this mind map made it easier for me to comprehend how several factors, such as poverty, unemployment, mental health issues, family dissolution, peer pressure, and drug availability, contribute to drug misuse. It can lead to substance misuse such as cannabis, cocaine, and heroin. Addiction, poor physical and mental health, overdose, family disruption, and an increase in the need for social and health care services are some of the consequences. The Social Determinants of Health Framework explains that social and economic conditions affect health outcomes and substance misuse, which points to the importance of prevention (World Health </w:t>
      </w:r>
      <w:r w:rsidR="00032BBB" w:rsidRPr="00A60C38">
        <w:rPr>
          <w:rFonts w:ascii="Arial" w:hAnsi="Arial" w:cs="Arial"/>
        </w:rPr>
        <w:t>Organisation</w:t>
      </w:r>
      <w:r w:rsidRPr="00A60C38">
        <w:rPr>
          <w:rFonts w:ascii="Arial" w:hAnsi="Arial" w:cs="Arial"/>
        </w:rPr>
        <w:t>, 2010).</w:t>
      </w:r>
      <w:r w:rsidR="00C55A83" w:rsidRPr="00A60C38">
        <w:rPr>
          <w:rFonts w:ascii="Arial" w:hAnsi="Arial" w:cs="Arial"/>
        </w:rPr>
        <w:br/>
      </w:r>
      <w:r w:rsidR="00006DAD" w:rsidRPr="00A60C38">
        <w:rPr>
          <w:rFonts w:ascii="Arial" w:hAnsi="Arial" w:cs="Arial"/>
          <w:noProof/>
        </w:rPr>
        <w:drawing>
          <wp:inline distT="0" distB="0" distL="0" distR="0" wp14:anchorId="2A454EDA" wp14:editId="67CD565A">
            <wp:extent cx="5731510" cy="3073400"/>
            <wp:effectExtent l="0" t="0" r="2540" b="0"/>
            <wp:docPr id="241912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5731510" cy="3073400"/>
                    </a:xfrm>
                    <a:prstGeom prst="rect">
                      <a:avLst/>
                    </a:prstGeom>
                    <a:noFill/>
                    <a:ln>
                      <a:noFill/>
                    </a:ln>
                  </pic:spPr>
                </pic:pic>
              </a:graphicData>
            </a:graphic>
          </wp:inline>
        </w:drawing>
      </w:r>
    </w:p>
    <w:p w14:paraId="0E23BDAB" w14:textId="3C8F7477" w:rsidR="000C4161" w:rsidRPr="00A60C38" w:rsidRDefault="000C4161" w:rsidP="00A60C38">
      <w:pPr>
        <w:pStyle w:val="Heading3"/>
        <w:spacing w:line="360" w:lineRule="auto"/>
        <w:rPr>
          <w:rFonts w:ascii="Arial" w:hAnsi="Arial" w:cs="Arial"/>
          <w:sz w:val="22"/>
          <w:szCs w:val="22"/>
        </w:rPr>
      </w:pPr>
      <w:bookmarkStart w:id="3" w:name="_Toc234163960"/>
      <w:r w:rsidRPr="00A60C38">
        <w:rPr>
          <w:rFonts w:ascii="Arial" w:hAnsi="Arial" w:cs="Arial"/>
          <w:sz w:val="22"/>
          <w:szCs w:val="22"/>
        </w:rPr>
        <w:t>Task 3 – Self-Reflection of Group Activity (Gibbs’ Reflective Cycle)</w:t>
      </w:r>
      <w:bookmarkEnd w:id="3"/>
    </w:p>
    <w:p w14:paraId="575CE736" w14:textId="77777777" w:rsidR="00D77BEE" w:rsidRPr="00A60C38" w:rsidRDefault="00D77BEE" w:rsidP="00A60C38">
      <w:pPr>
        <w:spacing w:line="360" w:lineRule="auto"/>
        <w:rPr>
          <w:rFonts w:ascii="Arial" w:hAnsi="Arial" w:cs="Arial"/>
        </w:rPr>
      </w:pPr>
      <w:r w:rsidRPr="00A60C38">
        <w:rPr>
          <w:rFonts w:ascii="Arial" w:hAnsi="Arial" w:cs="Arial"/>
        </w:rPr>
        <w:t>I have utilised Gibbs’ Reflective Cycle (Gibbs, 1988) to reflect upon the convergent and divergent thinking group exercise.</w:t>
      </w:r>
    </w:p>
    <w:p w14:paraId="221EEAFF" w14:textId="10F50A70" w:rsidR="00D77BEE" w:rsidRPr="00A60C38" w:rsidRDefault="00D77BEE" w:rsidP="00A60C38">
      <w:pPr>
        <w:spacing w:line="360" w:lineRule="auto"/>
        <w:rPr>
          <w:rFonts w:ascii="Arial" w:hAnsi="Arial" w:cs="Arial"/>
        </w:rPr>
      </w:pPr>
      <w:r w:rsidRPr="00A60C38">
        <w:rPr>
          <w:rFonts w:ascii="Arial" w:hAnsi="Arial" w:cs="Arial"/>
          <w:b/>
          <w:bCs/>
        </w:rPr>
        <w:t>Description</w:t>
      </w:r>
      <w:r w:rsidRPr="00A60C38">
        <w:rPr>
          <w:rFonts w:ascii="Arial" w:hAnsi="Arial" w:cs="Arial"/>
        </w:rPr>
        <w:t xml:space="preserve">: In the activity, our group performed divergent thinking to produce various options and then convergent thinking to determine the best alternative. We were unable to reach consensus, so I suggested that we write pros and </w:t>
      </w:r>
      <w:r w:rsidR="003E4503" w:rsidRPr="00A60C38">
        <w:rPr>
          <w:rFonts w:ascii="Arial" w:hAnsi="Arial" w:cs="Arial"/>
        </w:rPr>
        <w:t>cons</w:t>
      </w:r>
      <w:r w:rsidRPr="00A60C38">
        <w:rPr>
          <w:rFonts w:ascii="Arial" w:hAnsi="Arial" w:cs="Arial"/>
        </w:rPr>
        <w:t xml:space="preserve"> based on our research criteria, which helped the group reach a collective opinion.</w:t>
      </w:r>
    </w:p>
    <w:p w14:paraId="1729FB7A" w14:textId="77777777" w:rsidR="00D77BEE" w:rsidRPr="00A60C38" w:rsidRDefault="00D77BEE" w:rsidP="00A60C38">
      <w:pPr>
        <w:spacing w:line="360" w:lineRule="auto"/>
        <w:rPr>
          <w:rFonts w:ascii="Arial" w:hAnsi="Arial" w:cs="Arial"/>
        </w:rPr>
      </w:pPr>
      <w:r w:rsidRPr="00A60C38">
        <w:rPr>
          <w:rFonts w:ascii="Arial" w:hAnsi="Arial" w:cs="Arial"/>
          <w:b/>
          <w:bCs/>
        </w:rPr>
        <w:t>Feelings:</w:t>
      </w:r>
      <w:r w:rsidRPr="00A60C38">
        <w:rPr>
          <w:rFonts w:ascii="Arial" w:hAnsi="Arial" w:cs="Arial"/>
        </w:rPr>
        <w:t xml:space="preserve"> The brainstorming was fun as a creative and open discourse. But I was disappointed in the group’s inability to establish consensus. I felt more secure and was able to participate productively since I had scientific material to refer to.</w:t>
      </w:r>
    </w:p>
    <w:p w14:paraId="40A12BB2" w14:textId="2212ED54" w:rsidR="00D77BEE" w:rsidRPr="00A60C38" w:rsidRDefault="00D77BEE" w:rsidP="00A60C38">
      <w:pPr>
        <w:spacing w:line="360" w:lineRule="auto"/>
        <w:rPr>
          <w:rFonts w:ascii="Arial" w:hAnsi="Arial" w:cs="Arial"/>
        </w:rPr>
      </w:pPr>
      <w:r w:rsidRPr="00A60C38">
        <w:rPr>
          <w:rFonts w:ascii="Arial" w:hAnsi="Arial" w:cs="Arial"/>
          <w:b/>
          <w:bCs/>
        </w:rPr>
        <w:lastRenderedPageBreak/>
        <w:t>Evaluation and Analysis:</w:t>
      </w:r>
      <w:r w:rsidRPr="00A60C38">
        <w:rPr>
          <w:rFonts w:ascii="Arial" w:hAnsi="Arial" w:cs="Arial"/>
        </w:rPr>
        <w:t xml:space="preserve"> This activity has helped me realise that divergent thinking supports the production of diverse ideas, whereas convergent thinking focuses on examining data to determine the most appropriate alternative (Benedek &amp; Fink, 2019). I realised I naturally tended toward convergent </w:t>
      </w:r>
      <w:r w:rsidR="00305DF1" w:rsidRPr="00A60C38">
        <w:rPr>
          <w:rFonts w:ascii="Arial" w:hAnsi="Arial" w:cs="Arial"/>
        </w:rPr>
        <w:t>thinking, as</w:t>
      </w:r>
      <w:r w:rsidRPr="00A60C38">
        <w:rPr>
          <w:rFonts w:ascii="Arial" w:hAnsi="Arial" w:cs="Arial"/>
        </w:rPr>
        <w:t xml:space="preserve"> I enjoyed </w:t>
      </w:r>
      <w:r w:rsidR="000F17DD" w:rsidRPr="00A60C38">
        <w:rPr>
          <w:rFonts w:ascii="Arial" w:hAnsi="Arial" w:cs="Arial"/>
        </w:rPr>
        <w:t>structuring my thoughts</w:t>
      </w:r>
      <w:r w:rsidRPr="00A60C38">
        <w:rPr>
          <w:rFonts w:ascii="Arial" w:hAnsi="Arial" w:cs="Arial"/>
        </w:rPr>
        <w:t xml:space="preserve"> and testing them against the evidence provided. I used Gibbs’ technique to critically reflect on my contribution, showing that organised reflection enhances learning and professional judgement (Nguyen et al. 2014).</w:t>
      </w:r>
    </w:p>
    <w:p w14:paraId="0F15859C" w14:textId="7623C1B2" w:rsidR="004714C9" w:rsidRPr="00A60C38" w:rsidRDefault="00D77BEE" w:rsidP="00A60C38">
      <w:pPr>
        <w:spacing w:line="360" w:lineRule="auto"/>
        <w:rPr>
          <w:rFonts w:ascii="Arial" w:hAnsi="Arial" w:cs="Arial"/>
        </w:rPr>
      </w:pPr>
      <w:r w:rsidRPr="00A60C38">
        <w:rPr>
          <w:rFonts w:ascii="Arial" w:hAnsi="Arial" w:cs="Arial"/>
          <w:b/>
          <w:bCs/>
        </w:rPr>
        <w:t>Conclusion and Action Plan:</w:t>
      </w:r>
      <w:r w:rsidRPr="00A60C38">
        <w:rPr>
          <w:rFonts w:ascii="Arial" w:hAnsi="Arial" w:cs="Arial"/>
        </w:rPr>
        <w:t xml:space="preserve"> I have </w:t>
      </w:r>
      <w:r w:rsidR="005026D7" w:rsidRPr="00A60C38">
        <w:rPr>
          <w:rFonts w:ascii="Arial" w:hAnsi="Arial" w:cs="Arial"/>
        </w:rPr>
        <w:t>learnt</w:t>
      </w:r>
      <w:r w:rsidRPr="00A60C38">
        <w:rPr>
          <w:rFonts w:ascii="Arial" w:hAnsi="Arial" w:cs="Arial"/>
        </w:rPr>
        <w:t xml:space="preserve"> that excellent cooperation involves a balance between invention and critical thinking.</w:t>
      </w:r>
    </w:p>
    <w:p w14:paraId="3FBB9FC1" w14:textId="7E16ADCF" w:rsidR="00824628" w:rsidRPr="00A60C38" w:rsidRDefault="00043E76" w:rsidP="00A60C38">
      <w:pPr>
        <w:spacing w:line="360" w:lineRule="auto"/>
        <w:rPr>
          <w:rFonts w:ascii="Arial" w:hAnsi="Arial" w:cs="Arial"/>
        </w:rPr>
      </w:pPr>
      <w:r w:rsidRPr="00A60C38">
        <w:rPr>
          <w:rFonts w:ascii="Arial" w:hAnsi="Arial" w:cs="Arial"/>
          <w:noProof/>
        </w:rPr>
        <w:drawing>
          <wp:inline distT="0" distB="0" distL="0" distR="0" wp14:anchorId="4716C6CD" wp14:editId="42E3F992">
            <wp:extent cx="5731510" cy="3223895"/>
            <wp:effectExtent l="0" t="0" r="2540" b="0"/>
            <wp:docPr id="4033157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15751" name="Picture 4033157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9C1A25" w14:textId="77777777" w:rsidR="0090695D" w:rsidRPr="00A60C38" w:rsidRDefault="0090695D" w:rsidP="00A60C38">
      <w:pPr>
        <w:pStyle w:val="Heading4"/>
        <w:spacing w:line="360" w:lineRule="auto"/>
        <w:rPr>
          <w:rFonts w:ascii="Arial" w:eastAsia="Aptos" w:hAnsi="Arial" w:cs="Arial"/>
        </w:rPr>
      </w:pPr>
    </w:p>
    <w:p w14:paraId="71205F73" w14:textId="5057C136" w:rsidR="003D6B9A" w:rsidRPr="00A60C38" w:rsidRDefault="003D6B9A" w:rsidP="00A60C38">
      <w:pPr>
        <w:pStyle w:val="Heading4"/>
        <w:spacing w:line="360" w:lineRule="auto"/>
        <w:rPr>
          <w:rFonts w:ascii="Arial" w:hAnsi="Arial" w:cs="Arial"/>
        </w:rPr>
      </w:pPr>
      <w:r w:rsidRPr="00A60C38">
        <w:rPr>
          <w:rFonts w:ascii="Arial" w:hAnsi="Arial" w:cs="Arial"/>
        </w:rPr>
        <w:t xml:space="preserve">Task </w:t>
      </w:r>
      <w:r w:rsidR="005027D7" w:rsidRPr="00A60C38">
        <w:rPr>
          <w:rFonts w:ascii="Arial" w:hAnsi="Arial" w:cs="Arial"/>
        </w:rPr>
        <w:t>Four</w:t>
      </w:r>
      <w:r w:rsidRPr="00A60C38">
        <w:rPr>
          <w:rFonts w:ascii="Arial" w:hAnsi="Arial" w:cs="Arial"/>
        </w:rPr>
        <w:t xml:space="preserve"> – </w:t>
      </w:r>
      <w:r w:rsidR="005027D7" w:rsidRPr="00A60C38">
        <w:rPr>
          <w:rFonts w:ascii="Arial" w:hAnsi="Arial" w:cs="Arial"/>
        </w:rPr>
        <w:t>Examination of a UK Innovation Case Study</w:t>
      </w:r>
    </w:p>
    <w:p w14:paraId="6880159C" w14:textId="66C48C2A" w:rsidR="00A60C38" w:rsidRPr="00A60C38" w:rsidRDefault="00841863" w:rsidP="00A60C38">
      <w:pPr>
        <w:spacing w:line="360" w:lineRule="auto"/>
        <w:rPr>
          <w:rFonts w:ascii="Arial" w:hAnsi="Arial" w:cs="Arial"/>
        </w:rPr>
      </w:pPr>
      <w:r w:rsidRPr="00A60C38">
        <w:rPr>
          <w:rFonts w:ascii="Arial" w:hAnsi="Arial" w:cs="Arial"/>
        </w:rPr>
        <w:t>An example of innovation in UK health and social care is the Technology Integrated Health Management (TIHM) for Dementia project, which was created as part of the NHS Test Beds programme. TIHM employs smart home sensors, wearable devices, and artificial intelligence to help monitor individuals with dementia in their homes (NHS England, 2023).</w:t>
      </w:r>
      <w:r w:rsidRPr="00A60C38">
        <w:rPr>
          <w:rFonts w:ascii="Arial" w:hAnsi="Arial" w:cs="Arial"/>
        </w:rPr>
        <w:t xml:space="preserve"> </w:t>
      </w:r>
      <w:r w:rsidR="000E01E6" w:rsidRPr="00A60C38">
        <w:rPr>
          <w:rFonts w:ascii="Arial" w:hAnsi="Arial" w:cs="Arial"/>
        </w:rPr>
        <w:t xml:space="preserve">I </w:t>
      </w:r>
      <w:r w:rsidR="00CA7475" w:rsidRPr="00A60C38">
        <w:rPr>
          <w:rFonts w:ascii="Arial" w:hAnsi="Arial" w:cs="Arial"/>
        </w:rPr>
        <w:t>learnt that the innovation was introduced because an increasing number</w:t>
      </w:r>
      <w:r w:rsidR="000E01E6" w:rsidRPr="00A60C38">
        <w:rPr>
          <w:rFonts w:ascii="Arial" w:hAnsi="Arial" w:cs="Arial"/>
        </w:rPr>
        <w:t xml:space="preserve"> of people with dementia require support to live independently while health and social care services face growing demand and workforce shortages. Traditional care often relies on reactive responses after people become unwell. Creativity is demonstrated by combining digital technology with health and social care to provide continuous monitoring. Smart home sensors detect changes in daily routines, including reduced movement, poor sleep and unusual door </w:t>
      </w:r>
      <w:r w:rsidR="000E01E6" w:rsidRPr="00A60C38">
        <w:rPr>
          <w:rFonts w:ascii="Arial" w:hAnsi="Arial" w:cs="Arial"/>
        </w:rPr>
        <w:lastRenderedPageBreak/>
        <w:t xml:space="preserve">activity, enabling healthcare professionals to intervene early before problems worsen (Wherton </w:t>
      </w:r>
      <w:r w:rsidR="000E01E6" w:rsidRPr="00A60C38">
        <w:rPr>
          <w:rFonts w:ascii="Arial" w:hAnsi="Arial" w:cs="Arial"/>
          <w:i/>
          <w:iCs/>
        </w:rPr>
        <w:t>et al</w:t>
      </w:r>
      <w:r w:rsidR="000E01E6" w:rsidRPr="00A60C38">
        <w:rPr>
          <w:rFonts w:ascii="Arial" w:hAnsi="Arial" w:cs="Arial"/>
        </w:rPr>
        <w:t xml:space="preserve">., 2025). This proactive approach improves safety, supports independent living and reduces avoidable hospital admissions. The innovation creates value by improving independence and reassuring family carers. Healthcare staff benefit from real-time information that supports clinical decision-making and more efficient resource use. Rogers' Diffusion of Innovation Theory explains why TIHM is likely to be adopted because it offers clear advantages over traditional care and demonstrates observable benefits </w:t>
      </w:r>
      <w:r w:rsidR="002F3267" w:rsidRPr="00A60C38">
        <w:rPr>
          <w:rFonts w:ascii="Arial" w:hAnsi="Arial" w:cs="Arial"/>
        </w:rPr>
        <w:t>sustainably.</w:t>
      </w:r>
    </w:p>
    <w:p w14:paraId="272B2EF8" w14:textId="2660F206" w:rsidR="008B2B19" w:rsidRPr="00A60C38" w:rsidRDefault="00AA60A4" w:rsidP="00A60C38">
      <w:pPr>
        <w:spacing w:line="360" w:lineRule="auto"/>
        <w:rPr>
          <w:rFonts w:ascii="Arial" w:hAnsi="Arial" w:cs="Arial"/>
        </w:rPr>
      </w:pPr>
      <w:r w:rsidRPr="00A60C38">
        <w:rPr>
          <w:rFonts w:ascii="Arial" w:hAnsi="Arial" w:cs="Arial"/>
          <w:noProof/>
          <w:lang w:val="en-US" w:eastAsia="en-GB"/>
        </w:rPr>
        <w:drawing>
          <wp:inline distT="0" distB="0" distL="0" distR="0" wp14:anchorId="70318AC5" wp14:editId="047562D0">
            <wp:extent cx="5728861" cy="3476531"/>
            <wp:effectExtent l="0" t="0" r="5715" b="0"/>
            <wp:docPr id="11459185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18571" name="Picture 114591857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8718" cy="3494650"/>
                    </a:xfrm>
                    <a:prstGeom prst="rect">
                      <a:avLst/>
                    </a:prstGeom>
                  </pic:spPr>
                </pic:pic>
              </a:graphicData>
            </a:graphic>
          </wp:inline>
        </w:drawing>
      </w:r>
    </w:p>
    <w:p w14:paraId="5B6EA5B8" w14:textId="77777777" w:rsidR="008B2B19" w:rsidRPr="00A60C38" w:rsidRDefault="008B2B19" w:rsidP="00A60C38">
      <w:pPr>
        <w:spacing w:line="360" w:lineRule="auto"/>
        <w:rPr>
          <w:rFonts w:ascii="Arial" w:hAnsi="Arial" w:cs="Arial"/>
        </w:rPr>
      </w:pPr>
    </w:p>
    <w:p w14:paraId="7BB01D68" w14:textId="265C785E" w:rsidR="003708CA" w:rsidRPr="00A60C38" w:rsidRDefault="003708CA" w:rsidP="00A60C38">
      <w:pPr>
        <w:pStyle w:val="Heading5"/>
        <w:spacing w:line="360" w:lineRule="auto"/>
        <w:rPr>
          <w:rFonts w:ascii="Arial" w:hAnsi="Arial" w:cs="Arial"/>
        </w:rPr>
      </w:pPr>
      <w:r w:rsidRPr="00A60C38">
        <w:rPr>
          <w:rFonts w:ascii="Arial" w:hAnsi="Arial" w:cs="Arial"/>
        </w:rPr>
        <w:t xml:space="preserve">Task </w:t>
      </w:r>
      <w:r w:rsidR="007C6BA0" w:rsidRPr="00A60C38">
        <w:rPr>
          <w:rFonts w:ascii="Arial" w:hAnsi="Arial" w:cs="Arial"/>
        </w:rPr>
        <w:t>Five</w:t>
      </w:r>
      <w:r w:rsidRPr="00A60C38">
        <w:rPr>
          <w:rFonts w:ascii="Arial" w:hAnsi="Arial" w:cs="Arial"/>
        </w:rPr>
        <w:t xml:space="preserve"> – Research Task: NHS Waiting Times</w:t>
      </w:r>
    </w:p>
    <w:p w14:paraId="0529D2DC" w14:textId="68EC5593" w:rsidR="001A2A80" w:rsidRPr="00A60C38" w:rsidRDefault="001A2A80" w:rsidP="00A60C38">
      <w:pPr>
        <w:spacing w:line="360" w:lineRule="auto"/>
        <w:rPr>
          <w:rFonts w:ascii="Arial" w:hAnsi="Arial" w:cs="Arial"/>
        </w:rPr>
      </w:pPr>
      <w:r w:rsidRPr="00A60C38">
        <w:rPr>
          <w:rFonts w:ascii="Arial" w:hAnsi="Arial" w:cs="Arial"/>
        </w:rPr>
        <w:t xml:space="preserve">Long NHS waiting times remain a major challenge because they delay treatment and worsen patient outcomes. Reviewing this research helped me understand that waiting times result from several interconnected factors. Paling et al. (2020) found that emergency department delays increase because of high bed occupancy, rising patient </w:t>
      </w:r>
      <w:r w:rsidR="00F01781" w:rsidRPr="00A60C38">
        <w:rPr>
          <w:rFonts w:ascii="Arial" w:hAnsi="Arial" w:cs="Arial"/>
        </w:rPr>
        <w:t>demand,</w:t>
      </w:r>
      <w:r w:rsidRPr="00A60C38">
        <w:rPr>
          <w:rFonts w:ascii="Arial" w:hAnsi="Arial" w:cs="Arial"/>
        </w:rPr>
        <w:t xml:space="preserve"> and delays transferring patients to inpatient wards, showing that pressures affect the whole healthcare system rather than one department.</w:t>
      </w:r>
    </w:p>
    <w:p w14:paraId="308AE49D" w14:textId="77777777" w:rsidR="001A2A80" w:rsidRPr="00A60C38" w:rsidRDefault="001A2A80" w:rsidP="00A60C38">
      <w:pPr>
        <w:spacing w:line="360" w:lineRule="auto"/>
        <w:rPr>
          <w:rFonts w:ascii="Arial" w:hAnsi="Arial" w:cs="Arial"/>
        </w:rPr>
      </w:pPr>
      <w:r w:rsidRPr="00A60C38">
        <w:rPr>
          <w:rFonts w:ascii="Arial" w:hAnsi="Arial" w:cs="Arial"/>
        </w:rPr>
        <w:t>Reichert and Jacobs (2018) examined waiting times in mental health services and found that longer delays were linked to poorer health outcomes because access to treatment was postponed. I found that this particularly affects patients who require early intervention to support recovery and wellbeing.</w:t>
      </w:r>
    </w:p>
    <w:p w14:paraId="7F262E85" w14:textId="34DD7950" w:rsidR="001A2A80" w:rsidRPr="00A60C38" w:rsidRDefault="001A2A80" w:rsidP="00A60C38">
      <w:pPr>
        <w:spacing w:line="360" w:lineRule="auto"/>
        <w:rPr>
          <w:rFonts w:ascii="Arial" w:hAnsi="Arial" w:cs="Arial"/>
        </w:rPr>
      </w:pPr>
      <w:r w:rsidRPr="00A60C38">
        <w:rPr>
          <w:rFonts w:ascii="Arial" w:hAnsi="Arial" w:cs="Arial"/>
        </w:rPr>
        <w:lastRenderedPageBreak/>
        <w:t xml:space="preserve">Both studies agree that long waiting times reduce the quality of patient care and highlight the need for service improvement. However, </w:t>
      </w:r>
      <w:proofErr w:type="gramStart"/>
      <w:r w:rsidRPr="00A60C38">
        <w:rPr>
          <w:rFonts w:ascii="Arial" w:hAnsi="Arial" w:cs="Arial"/>
        </w:rPr>
        <w:t>Paling</w:t>
      </w:r>
      <w:proofErr w:type="gramEnd"/>
      <w:r w:rsidRPr="00A60C38">
        <w:rPr>
          <w:rFonts w:ascii="Arial" w:hAnsi="Arial" w:cs="Arial"/>
        </w:rPr>
        <w:t xml:space="preserve"> et al. (2020) focus on organisational pressures, whereas Reichert and Jacobs (2018) emphasise the impact on individual patients. This comparison strengthened my understanding of </w:t>
      </w:r>
      <w:r w:rsidR="008F302D" w:rsidRPr="00A60C38">
        <w:rPr>
          <w:rFonts w:ascii="Arial" w:hAnsi="Arial" w:cs="Arial"/>
        </w:rPr>
        <w:t>systems theory,</w:t>
      </w:r>
      <w:r w:rsidRPr="00A60C38">
        <w:rPr>
          <w:rFonts w:ascii="Arial" w:hAnsi="Arial" w:cs="Arial"/>
        </w:rPr>
        <w:t xml:space="preserve"> which explains how problems in one part of the healthcare system affect others. In NHS practice, staff shortages, limited hospital </w:t>
      </w:r>
      <w:r w:rsidR="00025E71" w:rsidRPr="00A60C38">
        <w:rPr>
          <w:rFonts w:ascii="Arial" w:hAnsi="Arial" w:cs="Arial"/>
        </w:rPr>
        <w:t>beds,</w:t>
      </w:r>
      <w:r w:rsidRPr="00A60C38">
        <w:rPr>
          <w:rFonts w:ascii="Arial" w:hAnsi="Arial" w:cs="Arial"/>
        </w:rPr>
        <w:t xml:space="preserve"> and increasing demand continue to contribute to delayed patient care (Paling et al., 2020; Reichert and Jacobs, 2018).</w:t>
      </w:r>
    </w:p>
    <w:p w14:paraId="41B6AEC2" w14:textId="238A0B6E" w:rsidR="00024DB8" w:rsidRPr="00A60C38" w:rsidRDefault="00D84540" w:rsidP="00A60C38">
      <w:pPr>
        <w:spacing w:line="360" w:lineRule="auto"/>
        <w:rPr>
          <w:rFonts w:ascii="Arial" w:hAnsi="Arial" w:cs="Arial"/>
        </w:rPr>
      </w:pPr>
      <w:r w:rsidRPr="00A60C38">
        <w:rPr>
          <w:rFonts w:ascii="Arial" w:hAnsi="Arial" w:cs="Arial"/>
          <w:noProof/>
        </w:rPr>
        <w:drawing>
          <wp:inline distT="0" distB="0" distL="0" distR="0" wp14:anchorId="546488A8" wp14:editId="629037BD">
            <wp:extent cx="5731510" cy="3223895"/>
            <wp:effectExtent l="0" t="0" r="2540" b="0"/>
            <wp:docPr id="7864284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28429" name="Picture 78642842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4F95A3" w14:textId="35F2E136" w:rsidR="006F5D9C" w:rsidRPr="00A60C38" w:rsidRDefault="006F5D9C" w:rsidP="00A60C38">
      <w:pPr>
        <w:pStyle w:val="Heading6"/>
        <w:spacing w:line="360" w:lineRule="auto"/>
        <w:rPr>
          <w:rFonts w:ascii="Arial" w:hAnsi="Arial" w:cs="Arial"/>
        </w:rPr>
      </w:pPr>
      <w:r w:rsidRPr="00A60C38">
        <w:rPr>
          <w:rFonts w:ascii="Arial" w:hAnsi="Arial" w:cs="Arial"/>
        </w:rPr>
        <w:t xml:space="preserve">Task </w:t>
      </w:r>
      <w:r w:rsidR="005B45D4" w:rsidRPr="00A60C38">
        <w:rPr>
          <w:rFonts w:ascii="Arial" w:hAnsi="Arial" w:cs="Arial"/>
        </w:rPr>
        <w:t>Six</w:t>
      </w:r>
      <w:r w:rsidRPr="00A60C38">
        <w:rPr>
          <w:rFonts w:ascii="Arial" w:hAnsi="Arial" w:cs="Arial"/>
        </w:rPr>
        <w:t xml:space="preserve"> – Exploring Digital Innovation in Health and Social Care</w:t>
      </w:r>
    </w:p>
    <w:p w14:paraId="218215FB" w14:textId="5130EE9A" w:rsidR="00B46B16" w:rsidRPr="00A60C38" w:rsidRDefault="00B46B16" w:rsidP="00A60C38">
      <w:pPr>
        <w:spacing w:line="360" w:lineRule="auto"/>
        <w:rPr>
          <w:rFonts w:ascii="Arial" w:hAnsi="Arial" w:cs="Arial"/>
        </w:rPr>
      </w:pPr>
      <w:r w:rsidRPr="00A60C38">
        <w:rPr>
          <w:rStyle w:val="SubtitleChar"/>
          <w:rFonts w:ascii="Arial" w:hAnsi="Arial" w:cs="Arial"/>
          <w:sz w:val="22"/>
          <w:szCs w:val="22"/>
        </w:rPr>
        <w:br/>
      </w:r>
      <w:r w:rsidRPr="00A60C38">
        <w:rPr>
          <w:rFonts w:ascii="Arial" w:hAnsi="Arial" w:cs="Arial"/>
        </w:rPr>
        <w:t>Wearable health technologies, such as the Fitbit Charge, support people with chronic conditions by monitoring physical activity, heart rate and sleep. I learned that this information helps users manage their health and encourages healthier lifestyle choices. For example, a person with type 2 diabetes can use a Fitbit Charge to monitor daily exercise and improve blood glucose control. Healthcare professionals can also review the data to provide personalised advice. Recent evidence suggests that wearable devices improve self-management by encouraging behavioural change and increasing patient engagement (Gagnon et al., 2024). According to the Technology Acceptance Model, continued use depends on whether people perceive the technology as beneficial and simple to use (Davis, 1989). However, I recognised that some users may experience barriers such as digital literacy or the cost of wearable devices, which could limit their effectiveness.</w:t>
      </w:r>
    </w:p>
    <w:p w14:paraId="4E99F14A" w14:textId="77777777" w:rsidR="00790BAE" w:rsidRDefault="00790BAE" w:rsidP="00A60C38">
      <w:pPr>
        <w:spacing w:line="360" w:lineRule="auto"/>
        <w:rPr>
          <w:rFonts w:ascii="Arial" w:hAnsi="Arial" w:cs="Arial"/>
          <w:u w:val="single"/>
        </w:rPr>
      </w:pPr>
    </w:p>
    <w:p w14:paraId="35ADB147" w14:textId="56B73C87" w:rsidR="00512B49" w:rsidRPr="00A60C38" w:rsidRDefault="00B46B16" w:rsidP="00A60C38">
      <w:pPr>
        <w:spacing w:line="360" w:lineRule="auto"/>
        <w:rPr>
          <w:rFonts w:ascii="Arial" w:hAnsi="Arial" w:cs="Arial"/>
          <w:u w:val="single"/>
        </w:rPr>
      </w:pPr>
      <w:r w:rsidRPr="00A60C38">
        <w:rPr>
          <w:rFonts w:ascii="Arial" w:hAnsi="Arial" w:cs="Arial"/>
          <w:u w:val="single"/>
        </w:rPr>
        <w:lastRenderedPageBreak/>
        <w:t>Electronic Health Records (EHRs)</w:t>
      </w:r>
    </w:p>
    <w:p w14:paraId="5180D30A" w14:textId="77777777" w:rsidR="00790BAE" w:rsidRDefault="009E7FB9" w:rsidP="00A60C38">
      <w:pPr>
        <w:spacing w:line="360" w:lineRule="auto"/>
        <w:rPr>
          <w:rFonts w:ascii="Arial" w:hAnsi="Arial" w:cs="Arial"/>
        </w:rPr>
      </w:pPr>
      <w:r w:rsidRPr="00A60C38">
        <w:rPr>
          <w:rFonts w:ascii="Arial" w:hAnsi="Arial" w:cs="Arial"/>
        </w:rPr>
        <w:t>Electronic Health Records (EHRs) enhance communication by enabling healthcare providers to securely exchange patient data, such as medical history, prescriptions, and test results. I learnt from this section that this minimises duplication, promotes continuity of care, and lowers the risk of medication errors (Robertson et al., 2022). For instance, when a patient is discharged from hospital, their GP can instantly access updated records and continue treatment without delay. The Technology Acceptance Model indicates that healthcare professionals are more likely to use digital systems if they enhance clinical practice and are easy to integrate into existing workflows (Davis, 1989). While EHRs support collaboration, I found that organisations must ensure that staff receive proper training and maintain strict data security standards to maximise their benefits.</w:t>
      </w:r>
    </w:p>
    <w:p w14:paraId="739FE1D3" w14:textId="1E482A05" w:rsidR="00383E67" w:rsidRPr="00A60C38" w:rsidRDefault="00B46B16" w:rsidP="00A60C38">
      <w:pPr>
        <w:spacing w:line="360" w:lineRule="auto"/>
        <w:rPr>
          <w:rFonts w:ascii="Arial" w:hAnsi="Arial" w:cs="Arial"/>
        </w:rPr>
      </w:pPr>
      <w:r w:rsidRPr="00A60C38">
        <w:rPr>
          <w:rFonts w:ascii="Arial" w:hAnsi="Arial" w:cs="Arial"/>
          <w:u w:val="single"/>
        </w:rPr>
        <w:br/>
      </w:r>
      <w:r w:rsidR="000C155E" w:rsidRPr="00A60C38">
        <w:rPr>
          <w:rFonts w:ascii="Arial" w:hAnsi="Arial" w:cs="Arial"/>
          <w:u w:val="single"/>
        </w:rPr>
        <w:t>Health Promotion and Preventative Care</w:t>
      </w:r>
      <w:r w:rsidR="000C155E" w:rsidRPr="00A60C38">
        <w:rPr>
          <w:rFonts w:ascii="Arial" w:hAnsi="Arial" w:cs="Arial"/>
        </w:rPr>
        <w:br/>
        <w:t>Digital technology promotes preventative care by enabling individuals to track their health and detect risks before illnesses arise</w:t>
      </w:r>
      <w:r w:rsidRPr="00A60C38">
        <w:rPr>
          <w:rFonts w:ascii="Arial" w:hAnsi="Arial" w:cs="Arial"/>
        </w:rPr>
        <w:t xml:space="preserve">. For example, a Fitbit Charge can monitor physical activity, heart rate, and sleep while encouraging users to achieve personalised fitness goals. Healthcare professionals can use this information to recommend lifestyle changes before health problems develop. Researching this topic helped me understand that wearable technologies improve health awareness and encourage healthier behaviours, particularly among older adults (Sun et al., 2025). The Technology Acceptance Model indicates that people are more likely to engage with digital health tools when they recognise their value and </w:t>
      </w:r>
      <w:r w:rsidR="00BE5A05" w:rsidRPr="00A60C38">
        <w:rPr>
          <w:rFonts w:ascii="Arial" w:hAnsi="Arial" w:cs="Arial"/>
        </w:rPr>
        <w:t>consider</w:t>
      </w:r>
      <w:r w:rsidRPr="00A60C38">
        <w:rPr>
          <w:rFonts w:ascii="Arial" w:hAnsi="Arial" w:cs="Arial"/>
        </w:rPr>
        <w:t xml:space="preserve"> them easy to use (Davis, 1989). In my future practice, I will view digital technologies as tools that should complement, rather than replace, professional healthcare, ensuring that individuals without access to technology are not disadvantaged.</w:t>
      </w:r>
    </w:p>
    <w:p w14:paraId="50142BFE" w14:textId="50D05CF0" w:rsidR="00EA513E" w:rsidRPr="00A60C38" w:rsidRDefault="00DA4EF0" w:rsidP="00A60C38">
      <w:pPr>
        <w:spacing w:line="360" w:lineRule="auto"/>
        <w:rPr>
          <w:rStyle w:val="Heading7Char"/>
          <w:rFonts w:ascii="Arial" w:hAnsi="Arial" w:cs="Arial"/>
        </w:rPr>
      </w:pPr>
      <w:r w:rsidRPr="00A60C38">
        <w:rPr>
          <w:rFonts w:ascii="Arial" w:hAnsi="Arial" w:cs="Arial"/>
          <w:noProof/>
        </w:rPr>
        <w:drawing>
          <wp:inline distT="0" distB="0" distL="0" distR="0" wp14:anchorId="42C5320B" wp14:editId="52ACCA6F">
            <wp:extent cx="5728921" cy="2711487"/>
            <wp:effectExtent l="0" t="0" r="5715" b="0"/>
            <wp:docPr id="7190403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40372" name="Picture 7190403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71472" cy="2731626"/>
                    </a:xfrm>
                    <a:prstGeom prst="rect">
                      <a:avLst/>
                    </a:prstGeom>
                  </pic:spPr>
                </pic:pic>
              </a:graphicData>
            </a:graphic>
          </wp:inline>
        </w:drawing>
      </w:r>
    </w:p>
    <w:p w14:paraId="7DF913F4" w14:textId="3051A7C2" w:rsidR="00EA513E" w:rsidRPr="00A60C38" w:rsidRDefault="00F74748" w:rsidP="00A60C38">
      <w:pPr>
        <w:pStyle w:val="Heading7"/>
        <w:spacing w:line="360" w:lineRule="auto"/>
        <w:rPr>
          <w:rStyle w:val="Heading7Char"/>
          <w:rFonts w:ascii="Arial" w:hAnsi="Arial" w:cs="Arial"/>
        </w:rPr>
      </w:pPr>
      <w:r w:rsidRPr="00A60C38">
        <w:rPr>
          <w:rStyle w:val="Heading7Char"/>
          <w:rFonts w:ascii="Arial" w:hAnsi="Arial" w:cs="Arial"/>
        </w:rPr>
        <w:lastRenderedPageBreak/>
        <w:t xml:space="preserve">Task </w:t>
      </w:r>
      <w:r w:rsidR="007F4F90" w:rsidRPr="00A60C38">
        <w:rPr>
          <w:rStyle w:val="Heading7Char"/>
          <w:rFonts w:ascii="Arial" w:hAnsi="Arial" w:cs="Arial"/>
        </w:rPr>
        <w:t xml:space="preserve">Seven </w:t>
      </w:r>
      <w:r w:rsidRPr="00A60C38">
        <w:rPr>
          <w:rStyle w:val="Heading7Char"/>
          <w:rFonts w:ascii="Arial" w:hAnsi="Arial" w:cs="Arial"/>
        </w:rPr>
        <w:t>– Understanding the NHS Leadership Framework</w:t>
      </w:r>
      <w:r w:rsidR="00B24B42" w:rsidRPr="00A60C38">
        <w:rPr>
          <w:rStyle w:val="Heading7Char"/>
          <w:rFonts w:ascii="Arial" w:hAnsi="Arial" w:cs="Arial"/>
        </w:rPr>
        <w:t xml:space="preserve"> </w:t>
      </w:r>
    </w:p>
    <w:p w14:paraId="5378D1F2" w14:textId="00A3C727" w:rsidR="002B02EF" w:rsidRPr="00A60C38" w:rsidRDefault="00E5284C" w:rsidP="00A60C38">
      <w:pPr>
        <w:spacing w:line="360" w:lineRule="auto"/>
        <w:rPr>
          <w:rFonts w:ascii="Arial" w:hAnsi="Arial" w:cs="Arial"/>
        </w:rPr>
      </w:pPr>
      <w:r w:rsidRPr="00A60C38">
        <w:rPr>
          <w:rFonts w:ascii="Arial" w:hAnsi="Arial" w:cs="Arial"/>
        </w:rPr>
        <w:t xml:space="preserve">The NHS Healthcare Leadership Model highlights key behaviours for effective leadership in health and social care. It emphasises that leadership is a shared responsibility among all staff, regardless of their roles, and encourages collaborative </w:t>
      </w:r>
      <w:r w:rsidRPr="00A60C38">
        <w:rPr>
          <w:rFonts w:ascii="Arial" w:hAnsi="Arial" w:cs="Arial"/>
        </w:rPr>
        <w:t>work</w:t>
      </w:r>
      <w:r w:rsidRPr="00A60C38">
        <w:rPr>
          <w:rFonts w:ascii="Arial" w:hAnsi="Arial" w:cs="Arial"/>
        </w:rPr>
        <w:t xml:space="preserve"> to enhance patient outcomes (NHS Leadership Academy, 2013). The model outlines behaviours such as caring leadership, vision sharing, team engagement, influencing outcomes, information evaluation, service connection, and accountability. These behaviours support leaders in building positive workplaces where staff feel valued, motivated, and empowered to provide safe, person-centred care. Strong leadership boosts communication, teamwork, decision-making, and ongoing learning, all of which lead to improved care quality and patient experiences. The framework also drives innovation by encouraging leaders to involve staff in service improvements and adapt to changing healthcare needs (West et al., 2017).</w:t>
      </w:r>
    </w:p>
    <w:p w14:paraId="06B26498" w14:textId="79F1FCB6" w:rsidR="00C77736" w:rsidRPr="00A60C38" w:rsidRDefault="00F74748" w:rsidP="00A60C38">
      <w:pPr>
        <w:spacing w:line="360" w:lineRule="auto"/>
        <w:rPr>
          <w:rFonts w:ascii="Arial" w:eastAsiaTheme="majorEastAsia" w:hAnsi="Arial" w:cs="Arial"/>
          <w:b/>
          <w:bCs/>
          <w:color w:val="000000" w:themeColor="text1"/>
        </w:rPr>
      </w:pPr>
      <w:r w:rsidRPr="00A60C38">
        <w:rPr>
          <w:rFonts w:ascii="Arial" w:eastAsiaTheme="majorEastAsia" w:hAnsi="Arial" w:cs="Arial"/>
          <w:color w:val="000000" w:themeColor="text1"/>
        </w:rPr>
        <w:t xml:space="preserve"> </w:t>
      </w:r>
      <w:r w:rsidRPr="00A60C38">
        <w:rPr>
          <w:rFonts w:ascii="Arial" w:eastAsiaTheme="majorEastAsia" w:hAnsi="Arial" w:cs="Arial"/>
          <w:b/>
          <w:bCs/>
          <w:color w:val="000000" w:themeColor="text1"/>
        </w:rPr>
        <w:t>Leading with Care</w:t>
      </w:r>
    </w:p>
    <w:p w14:paraId="5F551EC1" w14:textId="0C69B386" w:rsidR="00EA513E" w:rsidRPr="00A60C38" w:rsidRDefault="00F74748" w:rsidP="00A60C38">
      <w:pPr>
        <w:spacing w:line="360" w:lineRule="auto"/>
        <w:rPr>
          <w:rFonts w:ascii="Arial" w:eastAsiaTheme="majorEastAsia" w:hAnsi="Arial" w:cs="Arial"/>
          <w:color w:val="000000" w:themeColor="text1"/>
        </w:rPr>
      </w:pPr>
      <w:r w:rsidRPr="00A60C38">
        <w:rPr>
          <w:rFonts w:ascii="Arial" w:eastAsiaTheme="majorEastAsia" w:hAnsi="Arial" w:cs="Arial"/>
          <w:color w:val="000000" w:themeColor="text1"/>
        </w:rPr>
        <w:t xml:space="preserve">Leading with care involves demonstrating compassion, empathy, and respect </w:t>
      </w:r>
      <w:r w:rsidR="00BC1AC0" w:rsidRPr="00A60C38">
        <w:rPr>
          <w:rFonts w:ascii="Arial" w:eastAsiaTheme="majorEastAsia" w:hAnsi="Arial" w:cs="Arial"/>
          <w:color w:val="000000" w:themeColor="text1"/>
        </w:rPr>
        <w:t>for</w:t>
      </w:r>
      <w:r w:rsidRPr="00A60C38">
        <w:rPr>
          <w:rFonts w:ascii="Arial" w:eastAsiaTheme="majorEastAsia" w:hAnsi="Arial" w:cs="Arial"/>
          <w:color w:val="000000" w:themeColor="text1"/>
        </w:rPr>
        <w:t xml:space="preserve"> staff and patients. Leaders who value staff wellbeing create trusting environments where employees feel confident sharing ideas and suggesting improvements. This encourages creativity because team members feel safe challenging existing practices and developing innovative solutions. For example, a manager who listens to staff feedback may identify new ways to improve patient communication or reduce waiting times. This behaviour reflects </w:t>
      </w:r>
      <w:r w:rsidR="00C95565" w:rsidRPr="00A60C38">
        <w:rPr>
          <w:rFonts w:ascii="Arial" w:eastAsiaTheme="majorEastAsia" w:hAnsi="Arial" w:cs="Arial"/>
          <w:color w:val="000000" w:themeColor="text1"/>
        </w:rPr>
        <w:t>transformational leadership,</w:t>
      </w:r>
      <w:r w:rsidRPr="00A60C38">
        <w:rPr>
          <w:rFonts w:ascii="Arial" w:eastAsiaTheme="majorEastAsia" w:hAnsi="Arial" w:cs="Arial"/>
          <w:color w:val="000000" w:themeColor="text1"/>
        </w:rPr>
        <w:t xml:space="preserve"> where leaders inspire and motivate others to achieve positive change through encouragement, support, and a shared vision (Bass and Avolio, 1994).</w:t>
      </w:r>
    </w:p>
    <w:p w14:paraId="5289946E" w14:textId="77777777" w:rsidR="00EA513E" w:rsidRPr="00A60C38" w:rsidRDefault="00F74748" w:rsidP="00A60C38">
      <w:pPr>
        <w:spacing w:line="360" w:lineRule="auto"/>
        <w:rPr>
          <w:rFonts w:ascii="Arial" w:eastAsiaTheme="majorEastAsia" w:hAnsi="Arial" w:cs="Arial"/>
          <w:b/>
          <w:bCs/>
          <w:color w:val="000000" w:themeColor="text1"/>
        </w:rPr>
      </w:pPr>
      <w:r w:rsidRPr="00A60C38">
        <w:rPr>
          <w:rFonts w:ascii="Arial" w:eastAsiaTheme="majorEastAsia" w:hAnsi="Arial" w:cs="Arial"/>
          <w:b/>
          <w:bCs/>
          <w:color w:val="000000" w:themeColor="text1"/>
        </w:rPr>
        <w:t>Reflective Journal Entry</w:t>
      </w:r>
    </w:p>
    <w:p w14:paraId="24D8F967" w14:textId="7C1E89B0" w:rsidR="00F74748" w:rsidRPr="00A60C38" w:rsidRDefault="00C40431" w:rsidP="00A60C38">
      <w:pPr>
        <w:spacing w:line="360" w:lineRule="auto"/>
        <w:rPr>
          <w:rFonts w:ascii="Arial" w:eastAsiaTheme="majorEastAsia" w:hAnsi="Arial" w:cs="Arial"/>
          <w:color w:val="000000" w:themeColor="text1"/>
        </w:rPr>
      </w:pPr>
      <w:r w:rsidRPr="00A60C38">
        <w:rPr>
          <w:rFonts w:ascii="Arial" w:eastAsiaTheme="majorEastAsia" w:hAnsi="Arial" w:cs="Arial"/>
          <w:color w:val="000000" w:themeColor="text1"/>
        </w:rPr>
        <w:t>This module has greatly deepened my understanding of creativity and value creation in health and social care. I used to think creativity was mostly about bringing in new technology, but I now see it also involves everyday changes that improve patient care</w:t>
      </w:r>
      <w:r w:rsidR="00F74748" w:rsidRPr="00A60C38">
        <w:rPr>
          <w:rFonts w:ascii="Arial" w:eastAsiaTheme="majorEastAsia" w:hAnsi="Arial" w:cs="Arial"/>
          <w:color w:val="000000" w:themeColor="text1"/>
        </w:rPr>
        <w:t xml:space="preserve">. Learning about the NHS Healthcare Leadership Model and Transformational Leadership showed me that compassionate leadership encourages innovation by supporting staff and valuing different perspectives. Class activities and discussions helped me appreciate the importance of collaboration, reflection, and continuous improvement. In my future career, I will aim to apply these principles by encouraging teamwork, listening to others, and promoting person-centred, innovative </w:t>
      </w:r>
      <w:r w:rsidR="003A2509" w:rsidRPr="00A60C38">
        <w:rPr>
          <w:rFonts w:ascii="Arial" w:eastAsiaTheme="majorEastAsia" w:hAnsi="Arial" w:cs="Arial"/>
          <w:color w:val="000000" w:themeColor="text1"/>
        </w:rPr>
        <w:t>practices that improve</w:t>
      </w:r>
      <w:r w:rsidR="00F74748" w:rsidRPr="00A60C38">
        <w:rPr>
          <w:rFonts w:ascii="Arial" w:eastAsiaTheme="majorEastAsia" w:hAnsi="Arial" w:cs="Arial"/>
          <w:color w:val="000000" w:themeColor="text1"/>
        </w:rPr>
        <w:t xml:space="preserve"> outcomes </w:t>
      </w:r>
      <w:r w:rsidR="00BC1AC0" w:rsidRPr="00A60C38">
        <w:rPr>
          <w:rFonts w:ascii="Arial" w:eastAsiaTheme="majorEastAsia" w:hAnsi="Arial" w:cs="Arial"/>
          <w:color w:val="000000" w:themeColor="text1"/>
        </w:rPr>
        <w:t>for both patients</w:t>
      </w:r>
      <w:r w:rsidR="00F74748" w:rsidRPr="00A60C38">
        <w:rPr>
          <w:rFonts w:ascii="Arial" w:eastAsiaTheme="majorEastAsia" w:hAnsi="Arial" w:cs="Arial"/>
          <w:color w:val="000000" w:themeColor="text1"/>
        </w:rPr>
        <w:t xml:space="preserve"> and colleagues.</w:t>
      </w:r>
    </w:p>
    <w:p w14:paraId="13FB740C" w14:textId="5947505F" w:rsidR="003F283D" w:rsidRPr="00A60C38" w:rsidRDefault="007F4F90" w:rsidP="00A60C38">
      <w:pPr>
        <w:spacing w:line="360" w:lineRule="auto"/>
        <w:rPr>
          <w:rFonts w:ascii="Arial" w:hAnsi="Arial" w:cs="Arial"/>
        </w:rPr>
      </w:pPr>
      <w:r w:rsidRPr="00A60C38">
        <w:rPr>
          <w:rFonts w:ascii="Arial" w:hAnsi="Arial" w:cs="Arial"/>
          <w:noProof/>
        </w:rPr>
        <w:lastRenderedPageBreak/>
        <w:drawing>
          <wp:inline distT="0" distB="0" distL="0" distR="0" wp14:anchorId="6B7FB595" wp14:editId="458A9A53">
            <wp:extent cx="5731510" cy="3223895"/>
            <wp:effectExtent l="0" t="0" r="2540" b="0"/>
            <wp:docPr id="13227105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10547" name="Picture 132271054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46BDE6" w14:textId="77777777" w:rsidR="00B0020E" w:rsidRDefault="00B0020E" w:rsidP="00790BAE">
      <w:pPr>
        <w:pStyle w:val="Heading8"/>
        <w:spacing w:line="360" w:lineRule="auto"/>
        <w:rPr>
          <w:rFonts w:ascii="Arial" w:hAnsi="Arial" w:cs="Arial"/>
        </w:rPr>
      </w:pPr>
    </w:p>
    <w:p w14:paraId="61B79E3F" w14:textId="6FFC90AA" w:rsidR="003E4503" w:rsidRPr="00A60C38" w:rsidRDefault="00047188" w:rsidP="00790BAE">
      <w:pPr>
        <w:pStyle w:val="Heading8"/>
        <w:spacing w:line="360" w:lineRule="auto"/>
        <w:rPr>
          <w:rFonts w:ascii="Arial" w:hAnsi="Arial" w:cs="Arial"/>
        </w:rPr>
      </w:pPr>
      <w:r w:rsidRPr="00A60C38">
        <w:rPr>
          <w:rFonts w:ascii="Arial" w:hAnsi="Arial" w:cs="Arial"/>
        </w:rPr>
        <w:t>Task Eight – Self-Reflection Journal Entry</w:t>
      </w:r>
    </w:p>
    <w:p w14:paraId="26A3A479" w14:textId="63FECC84" w:rsidR="00C24492" w:rsidRPr="00A60C38" w:rsidRDefault="00047188" w:rsidP="00A60C38">
      <w:pPr>
        <w:pStyle w:val="Heading9"/>
        <w:spacing w:line="360" w:lineRule="auto"/>
        <w:rPr>
          <w:rFonts w:ascii="Arial" w:hAnsi="Arial" w:cs="Arial"/>
        </w:rPr>
      </w:pPr>
      <w:r w:rsidRPr="00A60C38">
        <w:rPr>
          <w:rFonts w:ascii="Arial" w:hAnsi="Arial" w:cs="Arial"/>
        </w:rPr>
        <w:t xml:space="preserve">This module changed my understanding of creativity, innovation, and value creation in health and social care. Before, I believed creativity mainly involved developing new technology or major service changes. However, during Week 4, the lecturer asked us to draw three health and social care-related pictures using only a circle. This activity challenged my thinking and showed me that creativity involves seeing familiar situations from different perspectives. Using Gibbs' Reflective Cycle (1988), I realised that innovation often begins with simple ideas and reflective thinking rather </w:t>
      </w:r>
      <w:r w:rsidR="00B12AD0" w:rsidRPr="00A60C38">
        <w:rPr>
          <w:rFonts w:ascii="Arial" w:hAnsi="Arial" w:cs="Arial"/>
        </w:rPr>
        <w:t>than with complex</w:t>
      </w:r>
      <w:r w:rsidRPr="00A60C38">
        <w:rPr>
          <w:rFonts w:ascii="Arial" w:hAnsi="Arial" w:cs="Arial"/>
        </w:rPr>
        <w:t xml:space="preserve"> solutions. This experience taught me that small, creative changes can improve communication, problem-solving, and patient experiences. In future placements and professional roles, I will encourage colleagues to share ideas, remain open to different approaches, and reflect regularly on practice. I will carry forward the belief that creativity is a practical skill that supports continuous improvement and person-centred care every day.</w:t>
      </w:r>
    </w:p>
    <w:p w14:paraId="52306FA7" w14:textId="77777777" w:rsidR="00D57006" w:rsidRPr="00A60C38" w:rsidRDefault="00D57006" w:rsidP="00A60C38">
      <w:pPr>
        <w:spacing w:line="360" w:lineRule="auto"/>
        <w:rPr>
          <w:rFonts w:ascii="Arial" w:hAnsi="Arial" w:cs="Arial"/>
        </w:rPr>
      </w:pPr>
    </w:p>
    <w:p w14:paraId="43C209AC" w14:textId="64247EC7" w:rsidR="00AA7425" w:rsidRPr="00A60C38" w:rsidRDefault="00FA6897" w:rsidP="00A60C38">
      <w:pPr>
        <w:pStyle w:val="Title"/>
        <w:spacing w:line="360" w:lineRule="auto"/>
        <w:rPr>
          <w:rFonts w:ascii="Arial" w:hAnsi="Arial" w:cs="Arial"/>
          <w:b/>
          <w:bCs/>
          <w:sz w:val="22"/>
          <w:szCs w:val="22"/>
        </w:rPr>
      </w:pPr>
      <w:r w:rsidRPr="00A60C38">
        <w:rPr>
          <w:rFonts w:ascii="Arial" w:hAnsi="Arial" w:cs="Arial"/>
          <w:b/>
          <w:bCs/>
          <w:sz w:val="22"/>
          <w:szCs w:val="22"/>
        </w:rPr>
        <w:t>Conclusio</w:t>
      </w:r>
      <w:r w:rsidR="00AA7425" w:rsidRPr="00A60C38">
        <w:rPr>
          <w:rFonts w:ascii="Arial" w:hAnsi="Arial" w:cs="Arial"/>
          <w:b/>
          <w:bCs/>
          <w:sz w:val="22"/>
          <w:szCs w:val="22"/>
        </w:rPr>
        <w:t>n</w:t>
      </w:r>
    </w:p>
    <w:p w14:paraId="7EF496A4" w14:textId="77777777" w:rsidR="005950AB" w:rsidRPr="00A60C38" w:rsidRDefault="005950AB" w:rsidP="00A60C38">
      <w:pPr>
        <w:spacing w:line="360" w:lineRule="auto"/>
        <w:rPr>
          <w:rFonts w:ascii="Arial" w:hAnsi="Arial" w:cs="Arial"/>
        </w:rPr>
      </w:pPr>
      <w:r w:rsidRPr="00A60C38">
        <w:rPr>
          <w:rFonts w:ascii="Arial" w:hAnsi="Arial" w:cs="Arial"/>
        </w:rPr>
        <w:t>This portfolio has deepened my understanding of creativity, innovation, and leadership within health and social care. I have discovered that reflection, teamwork, and evidence-based practice are essential for ongoing improvement. These learnings will equip me to deliver person-centred care, adopt innovative approaches, and play a valuable role in enhancing services in my future career.</w:t>
      </w:r>
    </w:p>
    <w:p w14:paraId="28205A1B" w14:textId="224CFF8D" w:rsidR="00665056" w:rsidRPr="009C4C38" w:rsidRDefault="00665056" w:rsidP="009C4C38">
      <w:pPr>
        <w:spacing w:line="360" w:lineRule="auto"/>
        <w:rPr>
          <w:rFonts w:ascii="Arial" w:hAnsi="Arial" w:cs="Arial"/>
        </w:rPr>
      </w:pPr>
    </w:p>
    <w:p w14:paraId="6ACD267D" w14:textId="472FB501" w:rsidR="009039EF" w:rsidRDefault="00F759A3" w:rsidP="009C4C38">
      <w:pPr>
        <w:pStyle w:val="Heading1"/>
        <w:spacing w:line="360" w:lineRule="auto"/>
        <w:rPr>
          <w:rFonts w:ascii="Arial" w:hAnsi="Arial" w:cs="Arial"/>
          <w:sz w:val="32"/>
          <w:szCs w:val="32"/>
        </w:rPr>
      </w:pPr>
      <w:bookmarkStart w:id="4" w:name="_Toc234163961"/>
      <w:r w:rsidRPr="00665056">
        <w:rPr>
          <w:rFonts w:ascii="Arial" w:hAnsi="Arial" w:cs="Arial"/>
          <w:sz w:val="32"/>
          <w:szCs w:val="32"/>
        </w:rPr>
        <w:t>Reference List</w:t>
      </w:r>
      <w:bookmarkEnd w:id="4"/>
      <w:r w:rsidR="009A175F" w:rsidRPr="00665056">
        <w:rPr>
          <w:rFonts w:ascii="Arial" w:hAnsi="Arial" w:cs="Arial"/>
          <w:vanish/>
          <w:sz w:val="32"/>
          <w:szCs w:val="32"/>
        </w:rPr>
        <w:t>Bottom of Form</w:t>
      </w:r>
    </w:p>
    <w:p w14:paraId="024EE513" w14:textId="77777777" w:rsidR="00220839" w:rsidRPr="00220839" w:rsidRDefault="00220839" w:rsidP="00220839">
      <w:pPr>
        <w:spacing w:line="360" w:lineRule="auto"/>
        <w:rPr>
          <w:rFonts w:ascii="Arial" w:hAnsi="Arial" w:cs="Arial"/>
        </w:rPr>
      </w:pPr>
      <w:r w:rsidRPr="00220839">
        <w:rPr>
          <w:rFonts w:ascii="Arial" w:hAnsi="Arial" w:cs="Arial"/>
        </w:rPr>
        <w:t xml:space="preserve">Amabile, T.M. and Pratt, M.G. (2016) 'The dynamic componential model of creativity and innovation in organizations: Making progress, making meaning', </w:t>
      </w:r>
      <w:r w:rsidRPr="00220839">
        <w:rPr>
          <w:rFonts w:ascii="Arial" w:hAnsi="Arial" w:cs="Arial"/>
          <w:i/>
          <w:iCs/>
        </w:rPr>
        <w:t xml:space="preserve">Research in Organizational </w:t>
      </w:r>
      <w:proofErr w:type="spellStart"/>
      <w:r w:rsidRPr="00220839">
        <w:rPr>
          <w:rFonts w:ascii="Arial" w:hAnsi="Arial" w:cs="Arial"/>
          <w:i/>
          <w:iCs/>
        </w:rPr>
        <w:t>Behavior</w:t>
      </w:r>
      <w:proofErr w:type="spellEnd"/>
      <w:r w:rsidRPr="00220839">
        <w:rPr>
          <w:rFonts w:ascii="Arial" w:hAnsi="Arial" w:cs="Arial"/>
        </w:rPr>
        <w:t xml:space="preserve">, </w:t>
      </w:r>
      <w:r w:rsidRPr="00220839">
        <w:rPr>
          <w:rFonts w:ascii="Arial" w:hAnsi="Arial" w:cs="Arial"/>
          <w:b/>
          <w:bCs/>
        </w:rPr>
        <w:t>36</w:t>
      </w:r>
      <w:r w:rsidRPr="00220839">
        <w:rPr>
          <w:rFonts w:ascii="Arial" w:hAnsi="Arial" w:cs="Arial"/>
        </w:rPr>
        <w:t>, pp. 157–183.</w:t>
      </w:r>
    </w:p>
    <w:p w14:paraId="27B6AF5E" w14:textId="77777777" w:rsidR="00220839" w:rsidRPr="00220839" w:rsidRDefault="00220839" w:rsidP="00220839">
      <w:pPr>
        <w:spacing w:line="360" w:lineRule="auto"/>
        <w:rPr>
          <w:rFonts w:ascii="Arial" w:hAnsi="Arial" w:cs="Arial"/>
        </w:rPr>
      </w:pPr>
      <w:r w:rsidRPr="00220839">
        <w:rPr>
          <w:rFonts w:ascii="Arial" w:hAnsi="Arial" w:cs="Arial"/>
        </w:rPr>
        <w:t xml:space="preserve">Bass, B.M. and Avolio, B.J. (1994) </w:t>
      </w:r>
      <w:r w:rsidRPr="00220839">
        <w:rPr>
          <w:rFonts w:ascii="Arial" w:hAnsi="Arial" w:cs="Arial"/>
          <w:i/>
          <w:iCs/>
        </w:rPr>
        <w:t>Improving Organizational Effectiveness through Transformational Leadership</w:t>
      </w:r>
      <w:r w:rsidRPr="00220839">
        <w:rPr>
          <w:rFonts w:ascii="Arial" w:hAnsi="Arial" w:cs="Arial"/>
        </w:rPr>
        <w:t>. Thousand Oaks, CA: Sage.</w:t>
      </w:r>
    </w:p>
    <w:p w14:paraId="26727C19" w14:textId="77777777" w:rsidR="00220839" w:rsidRPr="00220839" w:rsidRDefault="00220839" w:rsidP="00220839">
      <w:pPr>
        <w:spacing w:line="360" w:lineRule="auto"/>
        <w:rPr>
          <w:rFonts w:ascii="Arial" w:hAnsi="Arial" w:cs="Arial"/>
        </w:rPr>
      </w:pPr>
      <w:r w:rsidRPr="00220839">
        <w:rPr>
          <w:rFonts w:ascii="Arial" w:hAnsi="Arial" w:cs="Arial"/>
        </w:rPr>
        <w:t xml:space="preserve">Benedek, M. and Fink, A. (2019) 'Toward a neurocognitive framework of creative cognition: The role of high-level control processes', </w:t>
      </w:r>
      <w:r w:rsidRPr="00220839">
        <w:rPr>
          <w:rFonts w:ascii="Arial" w:hAnsi="Arial" w:cs="Arial"/>
          <w:i/>
          <w:iCs/>
        </w:rPr>
        <w:t>Annals of the New York Academy of Sciences</w:t>
      </w:r>
      <w:r w:rsidRPr="00220839">
        <w:rPr>
          <w:rFonts w:ascii="Arial" w:hAnsi="Arial" w:cs="Arial"/>
        </w:rPr>
        <w:t xml:space="preserve">, </w:t>
      </w:r>
      <w:r w:rsidRPr="00220839">
        <w:rPr>
          <w:rFonts w:ascii="Arial" w:hAnsi="Arial" w:cs="Arial"/>
          <w:b/>
          <w:bCs/>
        </w:rPr>
        <w:t>1476</w:t>
      </w:r>
      <w:r w:rsidRPr="00220839">
        <w:rPr>
          <w:rFonts w:ascii="Arial" w:hAnsi="Arial" w:cs="Arial"/>
        </w:rPr>
        <w:t>(1), pp. 5–19. Available at: https://doi.org/10.1111/nyas.14130</w:t>
      </w:r>
    </w:p>
    <w:p w14:paraId="110F987C" w14:textId="77777777" w:rsidR="00220839" w:rsidRPr="00220839" w:rsidRDefault="00220839" w:rsidP="00220839">
      <w:pPr>
        <w:spacing w:line="360" w:lineRule="auto"/>
        <w:rPr>
          <w:rFonts w:ascii="Arial" w:hAnsi="Arial" w:cs="Arial"/>
        </w:rPr>
      </w:pPr>
      <w:r w:rsidRPr="00220839">
        <w:rPr>
          <w:rFonts w:ascii="Arial" w:hAnsi="Arial" w:cs="Arial"/>
        </w:rPr>
        <w:t xml:space="preserve">Berwick, D.M., Nolan, T.W. and Whittington, J. (2008) 'The Triple Aim: Care, health, and cost', </w:t>
      </w:r>
      <w:r w:rsidRPr="00220839">
        <w:rPr>
          <w:rFonts w:ascii="Arial" w:hAnsi="Arial" w:cs="Arial"/>
          <w:i/>
          <w:iCs/>
        </w:rPr>
        <w:t>Health Affairs</w:t>
      </w:r>
      <w:r w:rsidRPr="00220839">
        <w:rPr>
          <w:rFonts w:ascii="Arial" w:hAnsi="Arial" w:cs="Arial"/>
        </w:rPr>
        <w:t xml:space="preserve">, </w:t>
      </w:r>
      <w:r w:rsidRPr="00220839">
        <w:rPr>
          <w:rFonts w:ascii="Arial" w:hAnsi="Arial" w:cs="Arial"/>
          <w:b/>
          <w:bCs/>
        </w:rPr>
        <w:t>27</w:t>
      </w:r>
      <w:r w:rsidRPr="00220839">
        <w:rPr>
          <w:rFonts w:ascii="Arial" w:hAnsi="Arial" w:cs="Arial"/>
        </w:rPr>
        <w:t>(3), pp. 759–769.</w:t>
      </w:r>
    </w:p>
    <w:p w14:paraId="1E5998E0" w14:textId="77777777" w:rsidR="00220839" w:rsidRPr="00220839" w:rsidRDefault="00220839" w:rsidP="00220839">
      <w:pPr>
        <w:spacing w:line="360" w:lineRule="auto"/>
        <w:rPr>
          <w:rFonts w:ascii="Arial" w:hAnsi="Arial" w:cs="Arial"/>
        </w:rPr>
      </w:pPr>
      <w:r w:rsidRPr="00220839">
        <w:rPr>
          <w:rFonts w:ascii="Arial" w:hAnsi="Arial" w:cs="Arial"/>
        </w:rPr>
        <w:t xml:space="preserve">Burnes, B. (2020) 'The origins of Lewin's three-step model of change', </w:t>
      </w:r>
      <w:r w:rsidRPr="00220839">
        <w:rPr>
          <w:rFonts w:ascii="Arial" w:hAnsi="Arial" w:cs="Arial"/>
          <w:i/>
          <w:iCs/>
        </w:rPr>
        <w:t xml:space="preserve">The Journal of Applied </w:t>
      </w:r>
      <w:proofErr w:type="spellStart"/>
      <w:r w:rsidRPr="00220839">
        <w:rPr>
          <w:rFonts w:ascii="Arial" w:hAnsi="Arial" w:cs="Arial"/>
          <w:i/>
          <w:iCs/>
        </w:rPr>
        <w:t>Behavioral</w:t>
      </w:r>
      <w:proofErr w:type="spellEnd"/>
      <w:r w:rsidRPr="00220839">
        <w:rPr>
          <w:rFonts w:ascii="Arial" w:hAnsi="Arial" w:cs="Arial"/>
          <w:i/>
          <w:iCs/>
        </w:rPr>
        <w:t xml:space="preserve"> Science</w:t>
      </w:r>
      <w:r w:rsidRPr="00220839">
        <w:rPr>
          <w:rFonts w:ascii="Arial" w:hAnsi="Arial" w:cs="Arial"/>
        </w:rPr>
        <w:t xml:space="preserve">, </w:t>
      </w:r>
      <w:r w:rsidRPr="00220839">
        <w:rPr>
          <w:rFonts w:ascii="Arial" w:hAnsi="Arial" w:cs="Arial"/>
          <w:b/>
          <w:bCs/>
        </w:rPr>
        <w:t>56</w:t>
      </w:r>
      <w:r w:rsidRPr="00220839">
        <w:rPr>
          <w:rFonts w:ascii="Arial" w:hAnsi="Arial" w:cs="Arial"/>
        </w:rPr>
        <w:t>(1), pp. 32–59.</w:t>
      </w:r>
    </w:p>
    <w:p w14:paraId="6E4A9C51" w14:textId="77777777" w:rsidR="00220839" w:rsidRPr="00220839" w:rsidRDefault="00220839" w:rsidP="00220839">
      <w:pPr>
        <w:spacing w:line="360" w:lineRule="auto"/>
        <w:rPr>
          <w:rFonts w:ascii="Arial" w:hAnsi="Arial" w:cs="Arial"/>
        </w:rPr>
      </w:pPr>
      <w:r w:rsidRPr="00220839">
        <w:rPr>
          <w:rFonts w:ascii="Arial" w:hAnsi="Arial" w:cs="Arial"/>
        </w:rPr>
        <w:t xml:space="preserve">Corazza, G.E. (2016) 'Potential originality and effectiveness: The dynamic definition of creativity', </w:t>
      </w:r>
      <w:r w:rsidRPr="00220839">
        <w:rPr>
          <w:rFonts w:ascii="Arial" w:hAnsi="Arial" w:cs="Arial"/>
          <w:i/>
          <w:iCs/>
        </w:rPr>
        <w:t>Creativity Research Journal</w:t>
      </w:r>
      <w:r w:rsidRPr="00220839">
        <w:rPr>
          <w:rFonts w:ascii="Arial" w:hAnsi="Arial" w:cs="Arial"/>
        </w:rPr>
        <w:t xml:space="preserve">, </w:t>
      </w:r>
      <w:r w:rsidRPr="00220839">
        <w:rPr>
          <w:rFonts w:ascii="Arial" w:hAnsi="Arial" w:cs="Arial"/>
          <w:b/>
          <w:bCs/>
        </w:rPr>
        <w:t>28</w:t>
      </w:r>
      <w:r w:rsidRPr="00220839">
        <w:rPr>
          <w:rFonts w:ascii="Arial" w:hAnsi="Arial" w:cs="Arial"/>
        </w:rPr>
        <w:t>(3), pp. 258–267.</w:t>
      </w:r>
    </w:p>
    <w:p w14:paraId="3F5BD28D" w14:textId="77777777" w:rsidR="00220839" w:rsidRPr="00220839" w:rsidRDefault="00220839" w:rsidP="00220839">
      <w:pPr>
        <w:spacing w:line="360" w:lineRule="auto"/>
        <w:rPr>
          <w:rFonts w:ascii="Arial" w:hAnsi="Arial" w:cs="Arial"/>
        </w:rPr>
      </w:pPr>
      <w:r w:rsidRPr="00220839">
        <w:rPr>
          <w:rFonts w:ascii="Arial" w:hAnsi="Arial" w:cs="Arial"/>
        </w:rPr>
        <w:t xml:space="preserve">Davis, F.D. (1989) 'Perceived usefulness, perceived ease of use, and user acceptance of information technology', </w:t>
      </w:r>
      <w:r w:rsidRPr="00220839">
        <w:rPr>
          <w:rFonts w:ascii="Arial" w:hAnsi="Arial" w:cs="Arial"/>
          <w:i/>
          <w:iCs/>
        </w:rPr>
        <w:t>MIS Quarterly</w:t>
      </w:r>
      <w:r w:rsidRPr="00220839">
        <w:rPr>
          <w:rFonts w:ascii="Arial" w:hAnsi="Arial" w:cs="Arial"/>
        </w:rPr>
        <w:t xml:space="preserve">, </w:t>
      </w:r>
      <w:r w:rsidRPr="00220839">
        <w:rPr>
          <w:rFonts w:ascii="Arial" w:hAnsi="Arial" w:cs="Arial"/>
          <w:b/>
          <w:bCs/>
        </w:rPr>
        <w:t>13</w:t>
      </w:r>
      <w:r w:rsidRPr="00220839">
        <w:rPr>
          <w:rFonts w:ascii="Arial" w:hAnsi="Arial" w:cs="Arial"/>
        </w:rPr>
        <w:t>(3), pp. 319–340.</w:t>
      </w:r>
    </w:p>
    <w:p w14:paraId="40A94044" w14:textId="77777777" w:rsidR="00220839" w:rsidRPr="00220839" w:rsidRDefault="00220839" w:rsidP="00220839">
      <w:pPr>
        <w:spacing w:line="360" w:lineRule="auto"/>
        <w:rPr>
          <w:rFonts w:ascii="Arial" w:hAnsi="Arial" w:cs="Arial"/>
        </w:rPr>
      </w:pPr>
      <w:r w:rsidRPr="00220839">
        <w:rPr>
          <w:rFonts w:ascii="Arial" w:hAnsi="Arial" w:cs="Arial"/>
        </w:rPr>
        <w:t xml:space="preserve">Gagnon, M.-P., Ouellet, S., </w:t>
      </w:r>
      <w:proofErr w:type="spellStart"/>
      <w:r w:rsidRPr="00220839">
        <w:rPr>
          <w:rFonts w:ascii="Arial" w:hAnsi="Arial" w:cs="Arial"/>
        </w:rPr>
        <w:t>Attisso</w:t>
      </w:r>
      <w:proofErr w:type="spellEnd"/>
      <w:r w:rsidRPr="00220839">
        <w:rPr>
          <w:rFonts w:ascii="Arial" w:hAnsi="Arial" w:cs="Arial"/>
        </w:rPr>
        <w:t xml:space="preserve">, E., Supper, W., Amil, S., </w:t>
      </w:r>
      <w:proofErr w:type="spellStart"/>
      <w:r w:rsidRPr="00220839">
        <w:rPr>
          <w:rFonts w:ascii="Arial" w:hAnsi="Arial" w:cs="Arial"/>
        </w:rPr>
        <w:t>Rhéaume</w:t>
      </w:r>
      <w:proofErr w:type="spellEnd"/>
      <w:r w:rsidRPr="00220839">
        <w:rPr>
          <w:rFonts w:ascii="Arial" w:hAnsi="Arial" w:cs="Arial"/>
        </w:rPr>
        <w:t xml:space="preserve">, C., Paquette, J.-S., Chabot, C., Laferrière, M.-C. and Sasseville, M. (2024) 'Wearable devices for supporting chronic disease self-management: Scoping review', </w:t>
      </w:r>
      <w:r w:rsidRPr="00220839">
        <w:rPr>
          <w:rFonts w:ascii="Arial" w:hAnsi="Arial" w:cs="Arial"/>
          <w:i/>
          <w:iCs/>
        </w:rPr>
        <w:t>Interactive Journal of Medical Research</w:t>
      </w:r>
      <w:r w:rsidRPr="00220839">
        <w:rPr>
          <w:rFonts w:ascii="Arial" w:hAnsi="Arial" w:cs="Arial"/>
        </w:rPr>
        <w:t xml:space="preserve">, </w:t>
      </w:r>
      <w:r w:rsidRPr="00220839">
        <w:rPr>
          <w:rFonts w:ascii="Arial" w:hAnsi="Arial" w:cs="Arial"/>
          <w:b/>
          <w:bCs/>
        </w:rPr>
        <w:t>13</w:t>
      </w:r>
      <w:r w:rsidRPr="00220839">
        <w:rPr>
          <w:rFonts w:ascii="Arial" w:hAnsi="Arial" w:cs="Arial"/>
        </w:rPr>
        <w:t>, e55925. Available at: https://doi.org/10.2196/55925</w:t>
      </w:r>
    </w:p>
    <w:p w14:paraId="381350C3" w14:textId="77777777" w:rsidR="00220839" w:rsidRPr="00220839" w:rsidRDefault="00220839" w:rsidP="00220839">
      <w:pPr>
        <w:spacing w:line="360" w:lineRule="auto"/>
        <w:rPr>
          <w:rFonts w:ascii="Arial" w:hAnsi="Arial" w:cs="Arial"/>
        </w:rPr>
      </w:pPr>
      <w:r w:rsidRPr="00220839">
        <w:rPr>
          <w:rFonts w:ascii="Arial" w:hAnsi="Arial" w:cs="Arial"/>
        </w:rPr>
        <w:t xml:space="preserve">Gibbs, G. (1988) </w:t>
      </w:r>
      <w:r w:rsidRPr="00220839">
        <w:rPr>
          <w:rFonts w:ascii="Arial" w:hAnsi="Arial" w:cs="Arial"/>
          <w:i/>
          <w:iCs/>
        </w:rPr>
        <w:t>Learning by Doing: A Guide to Teaching and Learning Methods</w:t>
      </w:r>
      <w:r w:rsidRPr="00220839">
        <w:rPr>
          <w:rFonts w:ascii="Arial" w:hAnsi="Arial" w:cs="Arial"/>
        </w:rPr>
        <w:t>. Oxford: Oxford Polytechnic.</w:t>
      </w:r>
    </w:p>
    <w:p w14:paraId="580E1D6F" w14:textId="77777777" w:rsidR="00220839" w:rsidRPr="00220839" w:rsidRDefault="00220839" w:rsidP="00220839">
      <w:pPr>
        <w:spacing w:line="360" w:lineRule="auto"/>
        <w:rPr>
          <w:rFonts w:ascii="Arial" w:hAnsi="Arial" w:cs="Arial"/>
        </w:rPr>
      </w:pPr>
      <w:r w:rsidRPr="00220839">
        <w:rPr>
          <w:rFonts w:ascii="Arial" w:hAnsi="Arial" w:cs="Arial"/>
        </w:rPr>
        <w:t xml:space="preserve">Gray, M. (2017) 'Value based healthcare', </w:t>
      </w:r>
      <w:r w:rsidRPr="00220839">
        <w:rPr>
          <w:rFonts w:ascii="Arial" w:hAnsi="Arial" w:cs="Arial"/>
          <w:i/>
          <w:iCs/>
        </w:rPr>
        <w:t>BMJ</w:t>
      </w:r>
      <w:r w:rsidRPr="00220839">
        <w:rPr>
          <w:rFonts w:ascii="Arial" w:hAnsi="Arial" w:cs="Arial"/>
        </w:rPr>
        <w:t xml:space="preserve">, </w:t>
      </w:r>
      <w:r w:rsidRPr="00220839">
        <w:rPr>
          <w:rFonts w:ascii="Arial" w:hAnsi="Arial" w:cs="Arial"/>
          <w:b/>
          <w:bCs/>
        </w:rPr>
        <w:t>356</w:t>
      </w:r>
      <w:r w:rsidRPr="00220839">
        <w:rPr>
          <w:rFonts w:ascii="Arial" w:hAnsi="Arial" w:cs="Arial"/>
        </w:rPr>
        <w:t>, j437. Available at: https://doi.org/10.1136/bmj.j437</w:t>
      </w:r>
    </w:p>
    <w:p w14:paraId="308C07F0" w14:textId="77777777" w:rsidR="00220839" w:rsidRPr="00220839" w:rsidRDefault="00220839" w:rsidP="00220839">
      <w:pPr>
        <w:spacing w:line="360" w:lineRule="auto"/>
        <w:rPr>
          <w:rFonts w:ascii="Arial" w:hAnsi="Arial" w:cs="Arial"/>
        </w:rPr>
      </w:pPr>
      <w:r w:rsidRPr="00220839">
        <w:rPr>
          <w:rFonts w:ascii="Arial" w:hAnsi="Arial" w:cs="Arial"/>
        </w:rPr>
        <w:t xml:space="preserve">Harrison, R., Fischer, S., </w:t>
      </w:r>
      <w:proofErr w:type="spellStart"/>
      <w:r w:rsidRPr="00220839">
        <w:rPr>
          <w:rFonts w:ascii="Arial" w:hAnsi="Arial" w:cs="Arial"/>
        </w:rPr>
        <w:t>Walpola</w:t>
      </w:r>
      <w:proofErr w:type="spellEnd"/>
      <w:r w:rsidRPr="00220839">
        <w:rPr>
          <w:rFonts w:ascii="Arial" w:hAnsi="Arial" w:cs="Arial"/>
        </w:rPr>
        <w:t xml:space="preserve">, R.L., Chauhan, A., Babalola, T. and Mears, S. (2021) 'Where do models for change management, improvement and implementation meet? A systematic review of the applications of change management models in healthcare', </w:t>
      </w:r>
      <w:r w:rsidRPr="00220839">
        <w:rPr>
          <w:rFonts w:ascii="Arial" w:hAnsi="Arial" w:cs="Arial"/>
          <w:i/>
          <w:iCs/>
        </w:rPr>
        <w:t>Journal of Healthcare Leadership</w:t>
      </w:r>
      <w:r w:rsidRPr="00220839">
        <w:rPr>
          <w:rFonts w:ascii="Arial" w:hAnsi="Arial" w:cs="Arial"/>
        </w:rPr>
        <w:t xml:space="preserve">, </w:t>
      </w:r>
      <w:r w:rsidRPr="00220839">
        <w:rPr>
          <w:rFonts w:ascii="Arial" w:hAnsi="Arial" w:cs="Arial"/>
          <w:b/>
          <w:bCs/>
        </w:rPr>
        <w:t>13</w:t>
      </w:r>
      <w:r w:rsidRPr="00220839">
        <w:rPr>
          <w:rFonts w:ascii="Arial" w:hAnsi="Arial" w:cs="Arial"/>
        </w:rPr>
        <w:t>, pp. 85–108.</w:t>
      </w:r>
    </w:p>
    <w:p w14:paraId="7017EACD" w14:textId="77777777" w:rsidR="00220839" w:rsidRPr="00220839" w:rsidRDefault="00220839" w:rsidP="00220839">
      <w:pPr>
        <w:spacing w:line="360" w:lineRule="auto"/>
        <w:rPr>
          <w:rFonts w:ascii="Arial" w:hAnsi="Arial" w:cs="Arial"/>
        </w:rPr>
      </w:pPr>
      <w:r w:rsidRPr="00220839">
        <w:rPr>
          <w:rFonts w:ascii="Arial" w:hAnsi="Arial" w:cs="Arial"/>
        </w:rPr>
        <w:lastRenderedPageBreak/>
        <w:t xml:space="preserve">Nguyen, Q.D., Fernandez, N., </w:t>
      </w:r>
      <w:proofErr w:type="spellStart"/>
      <w:r w:rsidRPr="00220839">
        <w:rPr>
          <w:rFonts w:ascii="Arial" w:hAnsi="Arial" w:cs="Arial"/>
        </w:rPr>
        <w:t>Karsenti</w:t>
      </w:r>
      <w:proofErr w:type="spellEnd"/>
      <w:r w:rsidRPr="00220839">
        <w:rPr>
          <w:rFonts w:ascii="Arial" w:hAnsi="Arial" w:cs="Arial"/>
        </w:rPr>
        <w:t xml:space="preserve">, T. and Charlin, B. (2014) 'What is reflection? A conceptual review of reflective practice', </w:t>
      </w:r>
      <w:r w:rsidRPr="00220839">
        <w:rPr>
          <w:rFonts w:ascii="Arial" w:hAnsi="Arial" w:cs="Arial"/>
          <w:i/>
          <w:iCs/>
        </w:rPr>
        <w:t>Academic Medicine</w:t>
      </w:r>
      <w:r w:rsidRPr="00220839">
        <w:rPr>
          <w:rFonts w:ascii="Arial" w:hAnsi="Arial" w:cs="Arial"/>
        </w:rPr>
        <w:t xml:space="preserve">, </w:t>
      </w:r>
      <w:r w:rsidRPr="00220839">
        <w:rPr>
          <w:rFonts w:ascii="Arial" w:hAnsi="Arial" w:cs="Arial"/>
          <w:b/>
          <w:bCs/>
        </w:rPr>
        <w:t>89</w:t>
      </w:r>
      <w:r w:rsidRPr="00220839">
        <w:rPr>
          <w:rFonts w:ascii="Arial" w:hAnsi="Arial" w:cs="Arial"/>
        </w:rPr>
        <w:t>(5), pp. 701–712. Available at: https://doi.org/10.1097/ACM.0000000000000322</w:t>
      </w:r>
    </w:p>
    <w:p w14:paraId="6097BCEC" w14:textId="77777777" w:rsidR="00220839" w:rsidRPr="00220839" w:rsidRDefault="00220839" w:rsidP="00220839">
      <w:pPr>
        <w:spacing w:line="360" w:lineRule="auto"/>
        <w:rPr>
          <w:rFonts w:ascii="Arial" w:hAnsi="Arial" w:cs="Arial"/>
        </w:rPr>
      </w:pPr>
      <w:r w:rsidRPr="00220839">
        <w:rPr>
          <w:rFonts w:ascii="Arial" w:hAnsi="Arial" w:cs="Arial"/>
        </w:rPr>
        <w:t xml:space="preserve">NHS England (2023) </w:t>
      </w:r>
      <w:r w:rsidRPr="00220839">
        <w:rPr>
          <w:rFonts w:ascii="Arial" w:hAnsi="Arial" w:cs="Arial"/>
          <w:i/>
          <w:iCs/>
        </w:rPr>
        <w:t>NHS Test Beds Programme: Technology Integrated Health Management (TIHM) for Dementia</w:t>
      </w:r>
      <w:r w:rsidRPr="00220839">
        <w:rPr>
          <w:rFonts w:ascii="Arial" w:hAnsi="Arial" w:cs="Arial"/>
        </w:rPr>
        <w:t xml:space="preserve">. Available at: </w:t>
      </w:r>
      <w:hyperlink r:id="rId15" w:tgtFrame="_new" w:history="1">
        <w:r w:rsidRPr="00220839">
          <w:rPr>
            <w:rStyle w:val="Hyperlink"/>
            <w:rFonts w:ascii="Arial" w:hAnsi="Arial" w:cs="Arial"/>
          </w:rPr>
          <w:t>https://www.england.nhs.uk/aac/what-we-do/how-can-the-aac-help-me/test-beds/</w:t>
        </w:r>
      </w:hyperlink>
      <w:r w:rsidRPr="00220839">
        <w:rPr>
          <w:rFonts w:ascii="Arial" w:hAnsi="Arial" w:cs="Arial"/>
        </w:rPr>
        <w:t xml:space="preserve"> (Accessed: 2 June 2026).</w:t>
      </w:r>
    </w:p>
    <w:p w14:paraId="38378CB7" w14:textId="77777777" w:rsidR="00220839" w:rsidRPr="00220839" w:rsidRDefault="00220839" w:rsidP="00220839">
      <w:pPr>
        <w:spacing w:line="360" w:lineRule="auto"/>
        <w:rPr>
          <w:rFonts w:ascii="Arial" w:hAnsi="Arial" w:cs="Arial"/>
        </w:rPr>
      </w:pPr>
      <w:r w:rsidRPr="00220839">
        <w:rPr>
          <w:rFonts w:ascii="Arial" w:hAnsi="Arial" w:cs="Arial"/>
        </w:rPr>
        <w:t xml:space="preserve">NHS Leadership Academy (2013) </w:t>
      </w:r>
      <w:r w:rsidRPr="00220839">
        <w:rPr>
          <w:rFonts w:ascii="Arial" w:hAnsi="Arial" w:cs="Arial"/>
          <w:i/>
          <w:iCs/>
        </w:rPr>
        <w:t>Healthcare Leadership Model</w:t>
      </w:r>
      <w:r w:rsidRPr="00220839">
        <w:rPr>
          <w:rFonts w:ascii="Arial" w:hAnsi="Arial" w:cs="Arial"/>
        </w:rPr>
        <w:t xml:space="preserve">. Leeds: NHS Leadership Academy. Available at: </w:t>
      </w:r>
      <w:hyperlink r:id="rId16" w:tgtFrame="_new" w:history="1">
        <w:r w:rsidRPr="00220839">
          <w:rPr>
            <w:rStyle w:val="Hyperlink"/>
            <w:rFonts w:ascii="Arial" w:hAnsi="Arial" w:cs="Arial"/>
          </w:rPr>
          <w:t>https://www.leadershipacademy.nhs.uk/resources/healthcare-leadership-model/</w:t>
        </w:r>
      </w:hyperlink>
      <w:r w:rsidRPr="00220839">
        <w:rPr>
          <w:rFonts w:ascii="Arial" w:hAnsi="Arial" w:cs="Arial"/>
        </w:rPr>
        <w:t xml:space="preserve"> (Accessed: 14 July 2026).</w:t>
      </w:r>
    </w:p>
    <w:p w14:paraId="461E204C" w14:textId="77777777" w:rsidR="00220839" w:rsidRPr="00220839" w:rsidRDefault="00220839" w:rsidP="00220839">
      <w:pPr>
        <w:spacing w:line="360" w:lineRule="auto"/>
        <w:rPr>
          <w:rFonts w:ascii="Arial" w:hAnsi="Arial" w:cs="Arial"/>
        </w:rPr>
      </w:pPr>
      <w:r w:rsidRPr="00220839">
        <w:rPr>
          <w:rFonts w:ascii="Arial" w:hAnsi="Arial" w:cs="Arial"/>
        </w:rPr>
        <w:t xml:space="preserve">Nolte, E. (2018) </w:t>
      </w:r>
      <w:r w:rsidRPr="00220839">
        <w:rPr>
          <w:rFonts w:ascii="Arial" w:hAnsi="Arial" w:cs="Arial"/>
          <w:i/>
          <w:iCs/>
        </w:rPr>
        <w:t>How Do We Ensure That Innovation in Health Service Delivery and Organisation Is Implemented, Sustained and Spread?</w:t>
      </w:r>
      <w:r w:rsidRPr="00220839">
        <w:rPr>
          <w:rFonts w:ascii="Arial" w:hAnsi="Arial" w:cs="Arial"/>
        </w:rPr>
        <w:t xml:space="preserve"> Copenhagen: World Health Organization.</w:t>
      </w:r>
    </w:p>
    <w:p w14:paraId="0CC9D8F5" w14:textId="77777777" w:rsidR="00220839" w:rsidRPr="00220839" w:rsidRDefault="00220839" w:rsidP="00220839">
      <w:pPr>
        <w:spacing w:line="360" w:lineRule="auto"/>
        <w:rPr>
          <w:rFonts w:ascii="Arial" w:hAnsi="Arial" w:cs="Arial"/>
        </w:rPr>
      </w:pPr>
      <w:r w:rsidRPr="00220839">
        <w:rPr>
          <w:rFonts w:ascii="Arial" w:hAnsi="Arial" w:cs="Arial"/>
        </w:rPr>
        <w:t xml:space="preserve">Paling, S., Jones, D., Morton, A. and Clements, G. (2020) 'Exploring the factors associated with longer patient waits for emergency admission in English hospitals using routinely collected daily data', </w:t>
      </w:r>
      <w:r w:rsidRPr="00220839">
        <w:rPr>
          <w:rFonts w:ascii="Arial" w:hAnsi="Arial" w:cs="Arial"/>
          <w:i/>
          <w:iCs/>
        </w:rPr>
        <w:t>Emergency Medicine Journal</w:t>
      </w:r>
      <w:r w:rsidRPr="00220839">
        <w:rPr>
          <w:rFonts w:ascii="Arial" w:hAnsi="Arial" w:cs="Arial"/>
        </w:rPr>
        <w:t xml:space="preserve">, </w:t>
      </w:r>
      <w:r w:rsidRPr="00220839">
        <w:rPr>
          <w:rFonts w:ascii="Arial" w:hAnsi="Arial" w:cs="Arial"/>
          <w:b/>
          <w:bCs/>
        </w:rPr>
        <w:t>37</w:t>
      </w:r>
      <w:r w:rsidRPr="00220839">
        <w:rPr>
          <w:rFonts w:ascii="Arial" w:hAnsi="Arial" w:cs="Arial"/>
        </w:rPr>
        <w:t>(12), pp. 781–786.</w:t>
      </w:r>
    </w:p>
    <w:p w14:paraId="3694DE36" w14:textId="77777777" w:rsidR="00220839" w:rsidRPr="00220839" w:rsidRDefault="00220839" w:rsidP="00220839">
      <w:pPr>
        <w:spacing w:line="360" w:lineRule="auto"/>
        <w:rPr>
          <w:rFonts w:ascii="Arial" w:hAnsi="Arial" w:cs="Arial"/>
        </w:rPr>
      </w:pPr>
      <w:r w:rsidRPr="00220839">
        <w:rPr>
          <w:rFonts w:ascii="Arial" w:hAnsi="Arial" w:cs="Arial"/>
        </w:rPr>
        <w:t xml:space="preserve">Reichert, A. and Jacobs, R. (2018) 'The impact of waiting time on patient outcomes: Evidence from early intervention in psychosis services in England', </w:t>
      </w:r>
      <w:r w:rsidRPr="00220839">
        <w:rPr>
          <w:rFonts w:ascii="Arial" w:hAnsi="Arial" w:cs="Arial"/>
          <w:i/>
          <w:iCs/>
        </w:rPr>
        <w:t>Health Economics</w:t>
      </w:r>
      <w:r w:rsidRPr="00220839">
        <w:rPr>
          <w:rFonts w:ascii="Arial" w:hAnsi="Arial" w:cs="Arial"/>
        </w:rPr>
        <w:t xml:space="preserve">, </w:t>
      </w:r>
      <w:r w:rsidRPr="00220839">
        <w:rPr>
          <w:rFonts w:ascii="Arial" w:hAnsi="Arial" w:cs="Arial"/>
          <w:b/>
          <w:bCs/>
        </w:rPr>
        <w:t>27</w:t>
      </w:r>
      <w:r w:rsidRPr="00220839">
        <w:rPr>
          <w:rFonts w:ascii="Arial" w:hAnsi="Arial" w:cs="Arial"/>
        </w:rPr>
        <w:t>(11), pp. 1772–1787.</w:t>
      </w:r>
    </w:p>
    <w:p w14:paraId="081D81BB" w14:textId="77777777" w:rsidR="00220839" w:rsidRPr="00220839" w:rsidRDefault="00220839" w:rsidP="00220839">
      <w:pPr>
        <w:spacing w:line="360" w:lineRule="auto"/>
        <w:rPr>
          <w:rFonts w:ascii="Arial" w:hAnsi="Arial" w:cs="Arial"/>
        </w:rPr>
      </w:pPr>
      <w:r w:rsidRPr="00220839">
        <w:rPr>
          <w:rFonts w:ascii="Arial" w:hAnsi="Arial" w:cs="Arial"/>
        </w:rPr>
        <w:t xml:space="preserve">Robertson, S.T., Callen, J., Mumford, V., Li, J. and Westbrook, J.I. (2022) 'The effect of the electronic health record on interprofessional practice: A systematic review', </w:t>
      </w:r>
      <w:r w:rsidRPr="00220839">
        <w:rPr>
          <w:rFonts w:ascii="Arial" w:hAnsi="Arial" w:cs="Arial"/>
          <w:i/>
          <w:iCs/>
        </w:rPr>
        <w:t>Journal of Interprofessional Care</w:t>
      </w:r>
      <w:r w:rsidRPr="00220839">
        <w:rPr>
          <w:rFonts w:ascii="Arial" w:hAnsi="Arial" w:cs="Arial"/>
        </w:rPr>
        <w:t xml:space="preserve">, </w:t>
      </w:r>
      <w:r w:rsidRPr="00220839">
        <w:rPr>
          <w:rFonts w:ascii="Arial" w:hAnsi="Arial" w:cs="Arial"/>
          <w:b/>
          <w:bCs/>
        </w:rPr>
        <w:t>36</w:t>
      </w:r>
      <w:r w:rsidRPr="00220839">
        <w:rPr>
          <w:rFonts w:ascii="Arial" w:hAnsi="Arial" w:cs="Arial"/>
        </w:rPr>
        <w:t>(6), pp. 825–838. Available at: https://doi.org/10.1080/13561820.2027422</w:t>
      </w:r>
    </w:p>
    <w:p w14:paraId="6F069AAD" w14:textId="77777777" w:rsidR="00220839" w:rsidRPr="00220839" w:rsidRDefault="00220839" w:rsidP="00220839">
      <w:pPr>
        <w:spacing w:line="360" w:lineRule="auto"/>
        <w:rPr>
          <w:rFonts w:ascii="Arial" w:hAnsi="Arial" w:cs="Arial"/>
        </w:rPr>
      </w:pPr>
      <w:r w:rsidRPr="00220839">
        <w:rPr>
          <w:rFonts w:ascii="Arial" w:hAnsi="Arial" w:cs="Arial"/>
        </w:rPr>
        <w:t xml:space="preserve">Rogers, E.M. (2003) </w:t>
      </w:r>
      <w:r w:rsidRPr="00220839">
        <w:rPr>
          <w:rFonts w:ascii="Arial" w:hAnsi="Arial" w:cs="Arial"/>
          <w:i/>
          <w:iCs/>
        </w:rPr>
        <w:t>Diffusion of Innovations</w:t>
      </w:r>
      <w:r w:rsidRPr="00220839">
        <w:rPr>
          <w:rFonts w:ascii="Arial" w:hAnsi="Arial" w:cs="Arial"/>
        </w:rPr>
        <w:t xml:space="preserve">. 5th </w:t>
      </w:r>
      <w:proofErr w:type="spellStart"/>
      <w:r w:rsidRPr="00220839">
        <w:rPr>
          <w:rFonts w:ascii="Arial" w:hAnsi="Arial" w:cs="Arial"/>
        </w:rPr>
        <w:t>edn</w:t>
      </w:r>
      <w:proofErr w:type="spellEnd"/>
      <w:r w:rsidRPr="00220839">
        <w:rPr>
          <w:rFonts w:ascii="Arial" w:hAnsi="Arial" w:cs="Arial"/>
        </w:rPr>
        <w:t>. New York: Free Press.</w:t>
      </w:r>
    </w:p>
    <w:p w14:paraId="6B68E471" w14:textId="77777777" w:rsidR="00220839" w:rsidRPr="00220839" w:rsidRDefault="00220839" w:rsidP="00220839">
      <w:pPr>
        <w:spacing w:line="360" w:lineRule="auto"/>
        <w:rPr>
          <w:rFonts w:ascii="Arial" w:hAnsi="Arial" w:cs="Arial"/>
        </w:rPr>
      </w:pPr>
      <w:r w:rsidRPr="00220839">
        <w:rPr>
          <w:rFonts w:ascii="Arial" w:hAnsi="Arial" w:cs="Arial"/>
        </w:rPr>
        <w:t xml:space="preserve">Sun, Y., Chen, J., Ji, M. and Li, X. (2025) 'Wearable technologies for health promotion and disease prevention in older adults: Systematic scoping review and evidence map', </w:t>
      </w:r>
      <w:r w:rsidRPr="00220839">
        <w:rPr>
          <w:rFonts w:ascii="Arial" w:hAnsi="Arial" w:cs="Arial"/>
          <w:i/>
          <w:iCs/>
        </w:rPr>
        <w:t>Journal of Medical Internet Research</w:t>
      </w:r>
      <w:r w:rsidRPr="00220839">
        <w:rPr>
          <w:rFonts w:ascii="Arial" w:hAnsi="Arial" w:cs="Arial"/>
        </w:rPr>
        <w:t xml:space="preserve">, </w:t>
      </w:r>
      <w:r w:rsidRPr="00220839">
        <w:rPr>
          <w:rFonts w:ascii="Arial" w:hAnsi="Arial" w:cs="Arial"/>
          <w:b/>
          <w:bCs/>
        </w:rPr>
        <w:t>27</w:t>
      </w:r>
      <w:r w:rsidRPr="00220839">
        <w:rPr>
          <w:rFonts w:ascii="Arial" w:hAnsi="Arial" w:cs="Arial"/>
        </w:rPr>
        <w:t>, e69077.</w:t>
      </w:r>
    </w:p>
    <w:p w14:paraId="3210BE29" w14:textId="77777777" w:rsidR="00220839" w:rsidRPr="00220839" w:rsidRDefault="00220839" w:rsidP="00220839">
      <w:pPr>
        <w:spacing w:line="360" w:lineRule="auto"/>
        <w:rPr>
          <w:rFonts w:ascii="Arial" w:hAnsi="Arial" w:cs="Arial"/>
        </w:rPr>
      </w:pPr>
      <w:r w:rsidRPr="00220839">
        <w:rPr>
          <w:rFonts w:ascii="Arial" w:hAnsi="Arial" w:cs="Arial"/>
        </w:rPr>
        <w:t xml:space="preserve">West, M., Eckert, R., Collins, B. and Chowla, R. (2017) </w:t>
      </w:r>
      <w:r w:rsidRPr="00220839">
        <w:rPr>
          <w:rFonts w:ascii="Arial" w:hAnsi="Arial" w:cs="Arial"/>
          <w:i/>
          <w:iCs/>
        </w:rPr>
        <w:t>Caring to Change: How Compassionate Leadership Can Stimulate Innovation in Health Care</w:t>
      </w:r>
      <w:r w:rsidRPr="00220839">
        <w:rPr>
          <w:rFonts w:ascii="Arial" w:hAnsi="Arial" w:cs="Arial"/>
        </w:rPr>
        <w:t>. London: The King's Fund.</w:t>
      </w:r>
    </w:p>
    <w:p w14:paraId="475BEF27" w14:textId="77777777" w:rsidR="00220839" w:rsidRPr="00220839" w:rsidRDefault="00220839" w:rsidP="00220839">
      <w:pPr>
        <w:spacing w:line="360" w:lineRule="auto"/>
        <w:rPr>
          <w:rFonts w:ascii="Arial" w:hAnsi="Arial" w:cs="Arial"/>
        </w:rPr>
      </w:pPr>
      <w:r w:rsidRPr="00220839">
        <w:rPr>
          <w:rFonts w:ascii="Arial" w:hAnsi="Arial" w:cs="Arial"/>
        </w:rPr>
        <w:t xml:space="preserve">Wherton, J., </w:t>
      </w:r>
      <w:proofErr w:type="spellStart"/>
      <w:r w:rsidRPr="00220839">
        <w:rPr>
          <w:rFonts w:ascii="Arial" w:hAnsi="Arial" w:cs="Arial"/>
        </w:rPr>
        <w:t>Sugarhood</w:t>
      </w:r>
      <w:proofErr w:type="spellEnd"/>
      <w:r w:rsidRPr="00220839">
        <w:rPr>
          <w:rFonts w:ascii="Arial" w:hAnsi="Arial" w:cs="Arial"/>
        </w:rPr>
        <w:t xml:space="preserve">, P., Procter, R., Greenhalgh, T., </w:t>
      </w:r>
      <w:proofErr w:type="spellStart"/>
      <w:r w:rsidRPr="00220839">
        <w:rPr>
          <w:rFonts w:ascii="Arial" w:hAnsi="Arial" w:cs="Arial"/>
        </w:rPr>
        <w:t>Rouncefield</w:t>
      </w:r>
      <w:proofErr w:type="spellEnd"/>
      <w:r w:rsidRPr="00220839">
        <w:rPr>
          <w:rFonts w:ascii="Arial" w:hAnsi="Arial" w:cs="Arial"/>
        </w:rPr>
        <w:t xml:space="preserve">, M., Dewsbury, G., Hinder, S. and Porter, A. (2025) 'Adopting and embedding home sensors in social care: </w:t>
      </w:r>
      <w:r w:rsidRPr="00220839">
        <w:rPr>
          <w:rFonts w:ascii="Arial" w:hAnsi="Arial" w:cs="Arial"/>
        </w:rPr>
        <w:lastRenderedPageBreak/>
        <w:t xml:space="preserve">Lessons from implementation', </w:t>
      </w:r>
      <w:r w:rsidRPr="00220839">
        <w:rPr>
          <w:rFonts w:ascii="Arial" w:hAnsi="Arial" w:cs="Arial"/>
          <w:i/>
          <w:iCs/>
        </w:rPr>
        <w:t>Journal of Long-Term Care</w:t>
      </w:r>
      <w:r w:rsidRPr="00220839">
        <w:rPr>
          <w:rFonts w:ascii="Arial" w:hAnsi="Arial" w:cs="Arial"/>
        </w:rPr>
        <w:t xml:space="preserve">. Available at: </w:t>
      </w:r>
      <w:hyperlink r:id="rId17" w:tgtFrame="_new" w:history="1">
        <w:r w:rsidRPr="00220839">
          <w:rPr>
            <w:rStyle w:val="Hyperlink"/>
            <w:rFonts w:ascii="Arial" w:hAnsi="Arial" w:cs="Arial"/>
          </w:rPr>
          <w:t>https://journal.ilpnetwork.org/articles/10.31389/jltc.369</w:t>
        </w:r>
      </w:hyperlink>
      <w:r w:rsidRPr="00220839">
        <w:rPr>
          <w:rFonts w:ascii="Arial" w:hAnsi="Arial" w:cs="Arial"/>
        </w:rPr>
        <w:t xml:space="preserve"> (Accessed: 29 June 2026).</w:t>
      </w:r>
    </w:p>
    <w:p w14:paraId="2CF29737" w14:textId="77777777" w:rsidR="00220839" w:rsidRPr="00220839" w:rsidRDefault="00220839" w:rsidP="00220839">
      <w:pPr>
        <w:spacing w:line="360" w:lineRule="auto"/>
        <w:rPr>
          <w:rFonts w:ascii="Arial" w:hAnsi="Arial" w:cs="Arial"/>
        </w:rPr>
      </w:pPr>
      <w:r w:rsidRPr="00220839">
        <w:rPr>
          <w:rFonts w:ascii="Arial" w:hAnsi="Arial" w:cs="Arial"/>
        </w:rPr>
        <w:t xml:space="preserve">World Health Organization (2010) </w:t>
      </w:r>
      <w:r w:rsidRPr="00220839">
        <w:rPr>
          <w:rFonts w:ascii="Arial" w:hAnsi="Arial" w:cs="Arial"/>
          <w:i/>
          <w:iCs/>
        </w:rPr>
        <w:t>A Conceptual Framework for Action on the Social Determinants of Health</w:t>
      </w:r>
      <w:r w:rsidRPr="00220839">
        <w:rPr>
          <w:rFonts w:ascii="Arial" w:hAnsi="Arial" w:cs="Arial"/>
        </w:rPr>
        <w:t>. Geneva: World Health Organization</w:t>
      </w:r>
    </w:p>
    <w:p w14:paraId="64572838" w14:textId="77777777" w:rsidR="00220839" w:rsidRPr="00220839" w:rsidRDefault="00220839" w:rsidP="00220839"/>
    <w:sectPr w:rsidR="00220839" w:rsidRPr="00220839" w:rsidSect="009B6D63">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44ED3" w14:textId="77777777" w:rsidR="0091727E" w:rsidRDefault="0091727E" w:rsidP="00C6300E">
      <w:pPr>
        <w:spacing w:after="0" w:line="240" w:lineRule="auto"/>
      </w:pPr>
      <w:r>
        <w:separator/>
      </w:r>
    </w:p>
  </w:endnote>
  <w:endnote w:type="continuationSeparator" w:id="0">
    <w:p w14:paraId="28603492" w14:textId="77777777" w:rsidR="0091727E" w:rsidRDefault="0091727E" w:rsidP="00C63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267556"/>
      <w:docPartObj>
        <w:docPartGallery w:val="Page Numbers (Bottom of Page)"/>
        <w:docPartUnique/>
      </w:docPartObj>
    </w:sdtPr>
    <w:sdtEndPr/>
    <w:sdtContent>
      <w:p w14:paraId="3469BEC1" w14:textId="11783D74" w:rsidR="00C6300E" w:rsidRDefault="00C6300E">
        <w:pPr>
          <w:pStyle w:val="Footer"/>
          <w:jc w:val="center"/>
        </w:pPr>
        <w:r>
          <w:fldChar w:fldCharType="begin"/>
        </w:r>
        <w:r>
          <w:instrText>PAGE   \* MERGEFORMAT</w:instrText>
        </w:r>
        <w:r>
          <w:fldChar w:fldCharType="separate"/>
        </w:r>
        <w:r>
          <w:t>2</w:t>
        </w:r>
        <w:r>
          <w:fldChar w:fldCharType="end"/>
        </w:r>
      </w:p>
    </w:sdtContent>
  </w:sdt>
  <w:p w14:paraId="64621DBA" w14:textId="77777777" w:rsidR="00C6300E" w:rsidRDefault="00C63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2CABB" w14:textId="77777777" w:rsidR="0091727E" w:rsidRDefault="0091727E" w:rsidP="00C6300E">
      <w:pPr>
        <w:spacing w:after="0" w:line="240" w:lineRule="auto"/>
      </w:pPr>
      <w:r>
        <w:separator/>
      </w:r>
    </w:p>
  </w:footnote>
  <w:footnote w:type="continuationSeparator" w:id="0">
    <w:p w14:paraId="59D2DB43" w14:textId="77777777" w:rsidR="0091727E" w:rsidRDefault="0091727E" w:rsidP="00C63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45A22"/>
    <w:multiLevelType w:val="hybridMultilevel"/>
    <w:tmpl w:val="262490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BF51E37"/>
    <w:multiLevelType w:val="hybridMultilevel"/>
    <w:tmpl w:val="AACA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B176F"/>
    <w:multiLevelType w:val="multilevel"/>
    <w:tmpl w:val="6480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D84347"/>
    <w:multiLevelType w:val="hybridMultilevel"/>
    <w:tmpl w:val="7A9E9D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85725362">
    <w:abstractNumId w:val="1"/>
  </w:num>
  <w:num w:numId="2" w16cid:durableId="1769427552">
    <w:abstractNumId w:val="2"/>
  </w:num>
  <w:num w:numId="3" w16cid:durableId="1269005863">
    <w:abstractNumId w:val="3"/>
  </w:num>
  <w:num w:numId="4" w16cid:durableId="1008754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FA"/>
    <w:rsid w:val="00006DAD"/>
    <w:rsid w:val="000177A0"/>
    <w:rsid w:val="00024DB8"/>
    <w:rsid w:val="00025E71"/>
    <w:rsid w:val="00032BBB"/>
    <w:rsid w:val="00035FCD"/>
    <w:rsid w:val="0003644C"/>
    <w:rsid w:val="00043E76"/>
    <w:rsid w:val="00047188"/>
    <w:rsid w:val="00052DCF"/>
    <w:rsid w:val="000644B4"/>
    <w:rsid w:val="00086B71"/>
    <w:rsid w:val="0009397A"/>
    <w:rsid w:val="000A0113"/>
    <w:rsid w:val="000C155E"/>
    <w:rsid w:val="000C4161"/>
    <w:rsid w:val="000E01E6"/>
    <w:rsid w:val="000E193C"/>
    <w:rsid w:val="000E6ABA"/>
    <w:rsid w:val="000F17DD"/>
    <w:rsid w:val="000F7147"/>
    <w:rsid w:val="00100D01"/>
    <w:rsid w:val="00101271"/>
    <w:rsid w:val="001038A4"/>
    <w:rsid w:val="0011138E"/>
    <w:rsid w:val="00123E8E"/>
    <w:rsid w:val="00140DEB"/>
    <w:rsid w:val="0014700A"/>
    <w:rsid w:val="001608A6"/>
    <w:rsid w:val="001624F1"/>
    <w:rsid w:val="00166F9D"/>
    <w:rsid w:val="0017441A"/>
    <w:rsid w:val="00175ADF"/>
    <w:rsid w:val="00186056"/>
    <w:rsid w:val="001874D0"/>
    <w:rsid w:val="0019365F"/>
    <w:rsid w:val="00193ECC"/>
    <w:rsid w:val="001A2A80"/>
    <w:rsid w:val="001B0918"/>
    <w:rsid w:val="001F2EAF"/>
    <w:rsid w:val="00211A31"/>
    <w:rsid w:val="0021304B"/>
    <w:rsid w:val="00214D84"/>
    <w:rsid w:val="00220839"/>
    <w:rsid w:val="00236FB0"/>
    <w:rsid w:val="00250203"/>
    <w:rsid w:val="002531B4"/>
    <w:rsid w:val="002835A5"/>
    <w:rsid w:val="002876B8"/>
    <w:rsid w:val="002933BE"/>
    <w:rsid w:val="002951F4"/>
    <w:rsid w:val="002A0E87"/>
    <w:rsid w:val="002B02EF"/>
    <w:rsid w:val="002B50A9"/>
    <w:rsid w:val="002F278C"/>
    <w:rsid w:val="002F3267"/>
    <w:rsid w:val="00303D98"/>
    <w:rsid w:val="00305DF1"/>
    <w:rsid w:val="00342748"/>
    <w:rsid w:val="00352149"/>
    <w:rsid w:val="0035502E"/>
    <w:rsid w:val="00366194"/>
    <w:rsid w:val="003708CA"/>
    <w:rsid w:val="0037319C"/>
    <w:rsid w:val="00373517"/>
    <w:rsid w:val="0038025F"/>
    <w:rsid w:val="00383361"/>
    <w:rsid w:val="00383A8C"/>
    <w:rsid w:val="00383E67"/>
    <w:rsid w:val="003A2509"/>
    <w:rsid w:val="003A6402"/>
    <w:rsid w:val="003A7B0C"/>
    <w:rsid w:val="003D6B9A"/>
    <w:rsid w:val="003E4503"/>
    <w:rsid w:val="003F0948"/>
    <w:rsid w:val="003F283D"/>
    <w:rsid w:val="004217F9"/>
    <w:rsid w:val="00422678"/>
    <w:rsid w:val="00432DE3"/>
    <w:rsid w:val="00442E6F"/>
    <w:rsid w:val="004714C9"/>
    <w:rsid w:val="00473E7C"/>
    <w:rsid w:val="0049053D"/>
    <w:rsid w:val="004A6EA5"/>
    <w:rsid w:val="004C071A"/>
    <w:rsid w:val="004C61BC"/>
    <w:rsid w:val="004D57A8"/>
    <w:rsid w:val="004F5C08"/>
    <w:rsid w:val="005026D7"/>
    <w:rsid w:val="005027D7"/>
    <w:rsid w:val="00512B49"/>
    <w:rsid w:val="00523502"/>
    <w:rsid w:val="00525550"/>
    <w:rsid w:val="005264E1"/>
    <w:rsid w:val="0053116C"/>
    <w:rsid w:val="0053730C"/>
    <w:rsid w:val="00541278"/>
    <w:rsid w:val="00545355"/>
    <w:rsid w:val="00557B19"/>
    <w:rsid w:val="005658C5"/>
    <w:rsid w:val="005950AB"/>
    <w:rsid w:val="00595E96"/>
    <w:rsid w:val="005B45D4"/>
    <w:rsid w:val="005C2A49"/>
    <w:rsid w:val="005D02FC"/>
    <w:rsid w:val="005D53F2"/>
    <w:rsid w:val="005D695B"/>
    <w:rsid w:val="005E1A38"/>
    <w:rsid w:val="005E47B2"/>
    <w:rsid w:val="00643A47"/>
    <w:rsid w:val="00650CB5"/>
    <w:rsid w:val="00665056"/>
    <w:rsid w:val="0067390B"/>
    <w:rsid w:val="00677130"/>
    <w:rsid w:val="006844D7"/>
    <w:rsid w:val="006B4E43"/>
    <w:rsid w:val="006C00E0"/>
    <w:rsid w:val="006D1B33"/>
    <w:rsid w:val="006E26D3"/>
    <w:rsid w:val="006E5BA2"/>
    <w:rsid w:val="006F5D9C"/>
    <w:rsid w:val="006F6FA5"/>
    <w:rsid w:val="007135F2"/>
    <w:rsid w:val="0071474F"/>
    <w:rsid w:val="007177A3"/>
    <w:rsid w:val="00730534"/>
    <w:rsid w:val="00736119"/>
    <w:rsid w:val="007639A8"/>
    <w:rsid w:val="00790BAE"/>
    <w:rsid w:val="00795455"/>
    <w:rsid w:val="007B6870"/>
    <w:rsid w:val="007C1017"/>
    <w:rsid w:val="007C44F2"/>
    <w:rsid w:val="007C6BA0"/>
    <w:rsid w:val="007D3AF3"/>
    <w:rsid w:val="007F3F0A"/>
    <w:rsid w:val="007F4F90"/>
    <w:rsid w:val="007F6968"/>
    <w:rsid w:val="008123FB"/>
    <w:rsid w:val="0081302A"/>
    <w:rsid w:val="00824628"/>
    <w:rsid w:val="008339E0"/>
    <w:rsid w:val="00841863"/>
    <w:rsid w:val="00845789"/>
    <w:rsid w:val="00851DAC"/>
    <w:rsid w:val="00857A7C"/>
    <w:rsid w:val="00862320"/>
    <w:rsid w:val="008659ED"/>
    <w:rsid w:val="00875A93"/>
    <w:rsid w:val="00887A31"/>
    <w:rsid w:val="008925C2"/>
    <w:rsid w:val="008A00AE"/>
    <w:rsid w:val="008A2E9D"/>
    <w:rsid w:val="008B0854"/>
    <w:rsid w:val="008B2B19"/>
    <w:rsid w:val="008D3C15"/>
    <w:rsid w:val="008D3F31"/>
    <w:rsid w:val="008D4CC7"/>
    <w:rsid w:val="008E1E0F"/>
    <w:rsid w:val="008E6BCB"/>
    <w:rsid w:val="008F302D"/>
    <w:rsid w:val="009039EF"/>
    <w:rsid w:val="0090695D"/>
    <w:rsid w:val="0091727E"/>
    <w:rsid w:val="00922BC5"/>
    <w:rsid w:val="00927275"/>
    <w:rsid w:val="009319A1"/>
    <w:rsid w:val="009321AE"/>
    <w:rsid w:val="00953D04"/>
    <w:rsid w:val="00982501"/>
    <w:rsid w:val="0098578C"/>
    <w:rsid w:val="009A175F"/>
    <w:rsid w:val="009A731A"/>
    <w:rsid w:val="009B10A5"/>
    <w:rsid w:val="009B6D63"/>
    <w:rsid w:val="009C4C38"/>
    <w:rsid w:val="009D3B67"/>
    <w:rsid w:val="009E6E37"/>
    <w:rsid w:val="009E7FB9"/>
    <w:rsid w:val="00A11909"/>
    <w:rsid w:val="00A14EA3"/>
    <w:rsid w:val="00A241C9"/>
    <w:rsid w:val="00A344FA"/>
    <w:rsid w:val="00A42E5A"/>
    <w:rsid w:val="00A430D8"/>
    <w:rsid w:val="00A60C38"/>
    <w:rsid w:val="00A635EF"/>
    <w:rsid w:val="00A71FC6"/>
    <w:rsid w:val="00AA07BA"/>
    <w:rsid w:val="00AA60A4"/>
    <w:rsid w:val="00AA7425"/>
    <w:rsid w:val="00AF460C"/>
    <w:rsid w:val="00AF7B10"/>
    <w:rsid w:val="00B0020E"/>
    <w:rsid w:val="00B12AD0"/>
    <w:rsid w:val="00B16AA3"/>
    <w:rsid w:val="00B21AAB"/>
    <w:rsid w:val="00B24B42"/>
    <w:rsid w:val="00B25D16"/>
    <w:rsid w:val="00B36A54"/>
    <w:rsid w:val="00B46B16"/>
    <w:rsid w:val="00B6322E"/>
    <w:rsid w:val="00B66A76"/>
    <w:rsid w:val="00B7428B"/>
    <w:rsid w:val="00B80DD0"/>
    <w:rsid w:val="00B863CB"/>
    <w:rsid w:val="00B87420"/>
    <w:rsid w:val="00BA1DF4"/>
    <w:rsid w:val="00BA727F"/>
    <w:rsid w:val="00BB6726"/>
    <w:rsid w:val="00BB7AFF"/>
    <w:rsid w:val="00BC105C"/>
    <w:rsid w:val="00BC1AC0"/>
    <w:rsid w:val="00BC570D"/>
    <w:rsid w:val="00BE5A05"/>
    <w:rsid w:val="00BF0AC2"/>
    <w:rsid w:val="00BF56A0"/>
    <w:rsid w:val="00C24492"/>
    <w:rsid w:val="00C40431"/>
    <w:rsid w:val="00C55A83"/>
    <w:rsid w:val="00C55AFC"/>
    <w:rsid w:val="00C6230B"/>
    <w:rsid w:val="00C6300E"/>
    <w:rsid w:val="00C71216"/>
    <w:rsid w:val="00C71257"/>
    <w:rsid w:val="00C77736"/>
    <w:rsid w:val="00C85FA4"/>
    <w:rsid w:val="00C95565"/>
    <w:rsid w:val="00CA7475"/>
    <w:rsid w:val="00CB7E1C"/>
    <w:rsid w:val="00CC31A6"/>
    <w:rsid w:val="00CC3F46"/>
    <w:rsid w:val="00CD0179"/>
    <w:rsid w:val="00CE1CB5"/>
    <w:rsid w:val="00CE2120"/>
    <w:rsid w:val="00D13973"/>
    <w:rsid w:val="00D417DB"/>
    <w:rsid w:val="00D57006"/>
    <w:rsid w:val="00D77BEE"/>
    <w:rsid w:val="00D8340B"/>
    <w:rsid w:val="00D84540"/>
    <w:rsid w:val="00DA473B"/>
    <w:rsid w:val="00DA4EF0"/>
    <w:rsid w:val="00DB3C29"/>
    <w:rsid w:val="00DB55EE"/>
    <w:rsid w:val="00DC113E"/>
    <w:rsid w:val="00DE696B"/>
    <w:rsid w:val="00DE7395"/>
    <w:rsid w:val="00DF67D0"/>
    <w:rsid w:val="00E06A00"/>
    <w:rsid w:val="00E14513"/>
    <w:rsid w:val="00E263DB"/>
    <w:rsid w:val="00E434CA"/>
    <w:rsid w:val="00E471B3"/>
    <w:rsid w:val="00E5284C"/>
    <w:rsid w:val="00E63D36"/>
    <w:rsid w:val="00E74E41"/>
    <w:rsid w:val="00E75203"/>
    <w:rsid w:val="00E76F41"/>
    <w:rsid w:val="00E77728"/>
    <w:rsid w:val="00E84B36"/>
    <w:rsid w:val="00EA513E"/>
    <w:rsid w:val="00EC08A5"/>
    <w:rsid w:val="00EC09E3"/>
    <w:rsid w:val="00EC6F3F"/>
    <w:rsid w:val="00ED55F5"/>
    <w:rsid w:val="00EE75CA"/>
    <w:rsid w:val="00EF6239"/>
    <w:rsid w:val="00F01781"/>
    <w:rsid w:val="00F207FA"/>
    <w:rsid w:val="00F30309"/>
    <w:rsid w:val="00F322B0"/>
    <w:rsid w:val="00F3799A"/>
    <w:rsid w:val="00F47ACC"/>
    <w:rsid w:val="00F50ACB"/>
    <w:rsid w:val="00F51838"/>
    <w:rsid w:val="00F6004B"/>
    <w:rsid w:val="00F65518"/>
    <w:rsid w:val="00F74748"/>
    <w:rsid w:val="00F759A3"/>
    <w:rsid w:val="00F76AC2"/>
    <w:rsid w:val="00F9669D"/>
    <w:rsid w:val="00FA213B"/>
    <w:rsid w:val="00FA6746"/>
    <w:rsid w:val="00FA6897"/>
    <w:rsid w:val="00FB4097"/>
    <w:rsid w:val="00FE3FB1"/>
    <w:rsid w:val="00FF5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CADE"/>
  <w15:chartTrackingRefBased/>
  <w15:docId w15:val="{67E5FD7F-CF8D-4DE9-A3D7-78EE9F93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4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4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34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34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344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344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344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344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4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4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34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34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34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344F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34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344FA"/>
    <w:rPr>
      <w:rFonts w:eastAsiaTheme="majorEastAsia" w:cstheme="majorBidi"/>
      <w:color w:val="272727" w:themeColor="text1" w:themeTint="D8"/>
    </w:rPr>
  </w:style>
  <w:style w:type="paragraph" w:styleId="Title">
    <w:name w:val="Title"/>
    <w:basedOn w:val="Normal"/>
    <w:next w:val="Normal"/>
    <w:link w:val="TitleChar"/>
    <w:uiPriority w:val="10"/>
    <w:qFormat/>
    <w:rsid w:val="00A34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4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4FA"/>
    <w:pPr>
      <w:spacing w:before="160"/>
      <w:jc w:val="center"/>
    </w:pPr>
    <w:rPr>
      <w:i/>
      <w:iCs/>
      <w:color w:val="404040" w:themeColor="text1" w:themeTint="BF"/>
    </w:rPr>
  </w:style>
  <w:style w:type="character" w:customStyle="1" w:styleId="QuoteChar">
    <w:name w:val="Quote Char"/>
    <w:basedOn w:val="DefaultParagraphFont"/>
    <w:link w:val="Quote"/>
    <w:uiPriority w:val="29"/>
    <w:rsid w:val="00A344FA"/>
    <w:rPr>
      <w:i/>
      <w:iCs/>
      <w:color w:val="404040" w:themeColor="text1" w:themeTint="BF"/>
    </w:rPr>
  </w:style>
  <w:style w:type="paragraph" w:styleId="ListParagraph">
    <w:name w:val="List Paragraph"/>
    <w:basedOn w:val="Normal"/>
    <w:uiPriority w:val="34"/>
    <w:qFormat/>
    <w:rsid w:val="00A344FA"/>
    <w:pPr>
      <w:ind w:left="720"/>
      <w:contextualSpacing/>
    </w:pPr>
  </w:style>
  <w:style w:type="character" w:styleId="IntenseEmphasis">
    <w:name w:val="Intense Emphasis"/>
    <w:basedOn w:val="DefaultParagraphFont"/>
    <w:uiPriority w:val="21"/>
    <w:qFormat/>
    <w:rsid w:val="00A344FA"/>
    <w:rPr>
      <w:i/>
      <w:iCs/>
      <w:color w:val="0F4761" w:themeColor="accent1" w:themeShade="BF"/>
    </w:rPr>
  </w:style>
  <w:style w:type="paragraph" w:styleId="IntenseQuote">
    <w:name w:val="Intense Quote"/>
    <w:basedOn w:val="Normal"/>
    <w:next w:val="Normal"/>
    <w:link w:val="IntenseQuoteChar"/>
    <w:uiPriority w:val="30"/>
    <w:qFormat/>
    <w:rsid w:val="00A34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4FA"/>
    <w:rPr>
      <w:i/>
      <w:iCs/>
      <w:color w:val="0F4761" w:themeColor="accent1" w:themeShade="BF"/>
    </w:rPr>
  </w:style>
  <w:style w:type="character" w:styleId="IntenseReference">
    <w:name w:val="Intense Reference"/>
    <w:basedOn w:val="DefaultParagraphFont"/>
    <w:uiPriority w:val="32"/>
    <w:qFormat/>
    <w:rsid w:val="00A344FA"/>
    <w:rPr>
      <w:b/>
      <w:bCs/>
      <w:smallCaps/>
      <w:color w:val="0F4761" w:themeColor="accent1" w:themeShade="BF"/>
      <w:spacing w:val="5"/>
    </w:rPr>
  </w:style>
  <w:style w:type="paragraph" w:styleId="NoSpacing">
    <w:name w:val="No Spacing"/>
    <w:link w:val="NoSpacingChar"/>
    <w:uiPriority w:val="1"/>
    <w:qFormat/>
    <w:rsid w:val="005E47B2"/>
    <w:pPr>
      <w:spacing w:after="0" w:line="240" w:lineRule="auto"/>
    </w:pPr>
  </w:style>
  <w:style w:type="paragraph" w:styleId="Header">
    <w:name w:val="header"/>
    <w:basedOn w:val="Normal"/>
    <w:link w:val="HeaderChar"/>
    <w:uiPriority w:val="99"/>
    <w:unhideWhenUsed/>
    <w:rsid w:val="00C63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00E"/>
  </w:style>
  <w:style w:type="paragraph" w:styleId="Footer">
    <w:name w:val="footer"/>
    <w:basedOn w:val="Normal"/>
    <w:link w:val="FooterChar"/>
    <w:uiPriority w:val="99"/>
    <w:unhideWhenUsed/>
    <w:rsid w:val="00C63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00E"/>
  </w:style>
  <w:style w:type="character" w:styleId="Hyperlink">
    <w:name w:val="Hyperlink"/>
    <w:basedOn w:val="DefaultParagraphFont"/>
    <w:uiPriority w:val="99"/>
    <w:unhideWhenUsed/>
    <w:rsid w:val="00166F9D"/>
    <w:rPr>
      <w:color w:val="467886" w:themeColor="hyperlink"/>
      <w:u w:val="single"/>
    </w:rPr>
  </w:style>
  <w:style w:type="character" w:styleId="UnresolvedMention">
    <w:name w:val="Unresolved Mention"/>
    <w:basedOn w:val="DefaultParagraphFont"/>
    <w:uiPriority w:val="99"/>
    <w:semiHidden/>
    <w:unhideWhenUsed/>
    <w:rsid w:val="00166F9D"/>
    <w:rPr>
      <w:color w:val="605E5C"/>
      <w:shd w:val="clear" w:color="auto" w:fill="E1DFDD"/>
    </w:rPr>
  </w:style>
  <w:style w:type="character" w:styleId="SubtleEmphasis">
    <w:name w:val="Subtle Emphasis"/>
    <w:basedOn w:val="DefaultParagraphFont"/>
    <w:uiPriority w:val="19"/>
    <w:qFormat/>
    <w:rsid w:val="005B45D4"/>
    <w:rPr>
      <w:i/>
      <w:iCs/>
      <w:color w:val="404040" w:themeColor="text1" w:themeTint="BF"/>
    </w:rPr>
  </w:style>
  <w:style w:type="character" w:customStyle="1" w:styleId="NoSpacingChar">
    <w:name w:val="No Spacing Char"/>
    <w:basedOn w:val="DefaultParagraphFont"/>
    <w:link w:val="NoSpacing"/>
    <w:uiPriority w:val="1"/>
    <w:rsid w:val="009B6D63"/>
  </w:style>
  <w:style w:type="paragraph" w:styleId="TOCHeading">
    <w:name w:val="TOC Heading"/>
    <w:basedOn w:val="Heading1"/>
    <w:next w:val="Normal"/>
    <w:uiPriority w:val="39"/>
    <w:unhideWhenUsed/>
    <w:qFormat/>
    <w:rsid w:val="00086B7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86B71"/>
    <w:pPr>
      <w:spacing w:after="100"/>
    </w:pPr>
  </w:style>
  <w:style w:type="paragraph" w:styleId="TOC2">
    <w:name w:val="toc 2"/>
    <w:basedOn w:val="Normal"/>
    <w:next w:val="Normal"/>
    <w:autoRedefine/>
    <w:uiPriority w:val="39"/>
    <w:unhideWhenUsed/>
    <w:rsid w:val="00086B71"/>
    <w:pPr>
      <w:spacing w:after="100"/>
      <w:ind w:left="220"/>
    </w:pPr>
  </w:style>
  <w:style w:type="paragraph" w:styleId="TOC3">
    <w:name w:val="toc 3"/>
    <w:basedOn w:val="Normal"/>
    <w:next w:val="Normal"/>
    <w:autoRedefine/>
    <w:uiPriority w:val="39"/>
    <w:unhideWhenUsed/>
    <w:rsid w:val="00086B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urnal.ilpnetwork.org/articles/10.31389/jltc.369" TargetMode="External"/><Relationship Id="rId2" Type="http://schemas.openxmlformats.org/officeDocument/2006/relationships/numbering" Target="numbering.xml"/><Relationship Id="rId16" Type="http://schemas.openxmlformats.org/officeDocument/2006/relationships/hyperlink" Target="https://www.leadershipacademy.nhs.uk/resources/healthcare-leadership-mode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ngland.nhs.uk/aac/what-we-do/how-can-the-aac-help-me/test-bed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A0376-663D-481D-A67E-9D73FE77A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14</Pages>
  <Words>3172</Words>
  <Characters>18086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Component 1: Online portfolio of set exercises</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Online portfolio of set exercises</dc:title>
  <dc:subject>Changemakers: Creativity and Value Creation Professions (BMHP5014)</dc:subject>
  <dc:creator/>
  <cp:keywords/>
  <dc:description/>
  <cp:lastModifiedBy>Laura Gando (2428547)</cp:lastModifiedBy>
  <cp:revision>234</cp:revision>
  <dcterms:created xsi:type="dcterms:W3CDTF">2026-06-21T16:38:00Z</dcterms:created>
  <dcterms:modified xsi:type="dcterms:W3CDTF">2026-07-27T13:03:00Z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b51b1a74-06d0-4ce3-9380-df9a208e3e70</vt:lpwstr>
  </property>
</Properties>
</file>