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w:jc w:val="center"/>
        <w:rPr>
          <w:b w:val="1"/>
          <w:bCs w:val="1"/>
          <w:sz w:val="26"/>
          <w:szCs w:val="26"/>
          <w:u w:val="single"/>
        </w:rPr>
      </w:pPr>
      <w:r>
        <w:rPr>
          <w:b w:val="1"/>
          <w:bCs w:val="1"/>
          <w:sz w:val="26"/>
          <w:szCs w:val="26"/>
          <w:u w:val="single"/>
          <w:rtl w:val="0"/>
          <w:lang w:val="en-US"/>
        </w:rPr>
        <w:t>Explanation</w:t>
      </w:r>
    </w:p>
    <w:p>
      <w:pPr>
        <w:pStyle w:val="Body"/>
        <w:jc w:val="center"/>
        <w:rPr>
          <w:sz w:val="26"/>
          <w:szCs w:val="26"/>
        </w:rPr>
      </w:pPr>
    </w:p>
    <w:p>
      <w:pPr>
        <w:pStyle w:val="Body"/>
        <w:jc w:val="both"/>
        <w:rPr>
          <w:sz w:val="26"/>
          <w:szCs w:val="26"/>
        </w:rPr>
      </w:pPr>
      <w:r>
        <w:rPr>
          <w:sz w:val="26"/>
          <w:szCs w:val="26"/>
          <w:rtl w:val="0"/>
          <w:lang w:val="en-US"/>
        </w:rPr>
        <w:t xml:space="preserve">Education for Sustainable Development and global citizenship (ESDGC) can be understood as the </w:t>
      </w:r>
      <w:r>
        <w:rPr>
          <w:sz w:val="26"/>
          <w:szCs w:val="26"/>
          <w:rtl w:val="0"/>
        </w:rPr>
        <w:t>‘</w:t>
      </w:r>
      <w:r>
        <w:rPr>
          <w:sz w:val="26"/>
          <w:szCs w:val="26"/>
          <w:rtl w:val="0"/>
          <w:lang w:val="en-US"/>
        </w:rPr>
        <w:t>development that meets the needs of the present without compromising the ability of future generations to meet their own needs</w:t>
      </w:r>
      <w:r>
        <w:rPr>
          <w:sz w:val="26"/>
          <w:szCs w:val="26"/>
          <w:rtl w:val="0"/>
        </w:rPr>
        <w:t>’</w:t>
      </w:r>
      <w:r>
        <w:rPr>
          <w:sz w:val="26"/>
          <w:szCs w:val="26"/>
          <w:rtl w:val="0"/>
        </w:rPr>
        <w:t>.</w:t>
      </w:r>
      <w:r>
        <w:rPr>
          <w:sz w:val="26"/>
          <w:szCs w:val="26"/>
          <w:rtl w:val="0"/>
          <w:lang w:val="en-US"/>
        </w:rPr>
        <w:t xml:space="preserve"> (</w:t>
      </w:r>
      <w:r>
        <w:rPr>
          <w:sz w:val="26"/>
          <w:szCs w:val="26"/>
          <w:rtl w:val="0"/>
          <w:lang w:val="de-DE"/>
        </w:rPr>
        <w:t>Brundland Report 1987</w:t>
      </w:r>
      <w:r>
        <w:rPr>
          <w:sz w:val="26"/>
          <w:szCs w:val="26"/>
          <w:rtl w:val="0"/>
          <w:lang w:val="en-US"/>
        </w:rPr>
        <w:t>). Although ESDGC shouldn</w:t>
      </w:r>
      <w:r>
        <w:rPr>
          <w:sz w:val="26"/>
          <w:szCs w:val="26"/>
          <w:rtl w:val="0"/>
          <w:lang w:val="en-US"/>
        </w:rPr>
        <w:t>’</w:t>
      </w:r>
      <w:r>
        <w:rPr>
          <w:sz w:val="26"/>
          <w:szCs w:val="26"/>
          <w:rtl w:val="0"/>
          <w:lang w:val="en-US"/>
        </w:rPr>
        <w:t xml:space="preserve">t be seen as a individual subject but more of an </w:t>
      </w:r>
      <w:r>
        <w:rPr>
          <w:sz w:val="26"/>
          <w:szCs w:val="26"/>
          <w:rtl w:val="0"/>
          <w:lang w:val="en-US"/>
        </w:rPr>
        <w:t>‘</w:t>
      </w:r>
      <w:r>
        <w:rPr>
          <w:sz w:val="26"/>
          <w:szCs w:val="26"/>
          <w:rtl w:val="0"/>
          <w:lang w:val="en-US"/>
        </w:rPr>
        <w:t>ethos</w:t>
      </w:r>
      <w:r>
        <w:rPr>
          <w:sz w:val="26"/>
          <w:szCs w:val="26"/>
          <w:rtl w:val="0"/>
          <w:lang w:val="en-US"/>
        </w:rPr>
        <w:t xml:space="preserve">’ </w:t>
      </w:r>
      <w:r>
        <w:rPr>
          <w:sz w:val="26"/>
          <w:szCs w:val="26"/>
          <w:rtl w:val="0"/>
          <w:lang w:val="en-US"/>
        </w:rPr>
        <w:t xml:space="preserve">that should be embedded into daily school live. (DCELLS </w:t>
      </w:r>
      <w:r>
        <w:rPr>
          <w:sz w:val="26"/>
          <w:szCs w:val="26"/>
          <w:rtl w:val="0"/>
        </w:rPr>
        <w:t>2008:4)</w:t>
      </w:r>
      <w:r>
        <w:rPr>
          <w:sz w:val="26"/>
          <w:szCs w:val="26"/>
          <w:rtl w:val="0"/>
          <w:lang w:val="en-US"/>
        </w:rPr>
        <w:t xml:space="preserve">  ESDGC is seen as a holistic approach to education today which should prepare the next generation for the challenges they may face in the future. </w:t>
      </w:r>
      <w:r>
        <w:rPr>
          <w:sz w:val="26"/>
          <w:szCs w:val="26"/>
          <w:rtl w:val="0"/>
        </w:rPr>
        <w:t>(</w:t>
      </w:r>
      <w:r>
        <w:rPr>
          <w:sz w:val="26"/>
          <w:szCs w:val="26"/>
          <w:rtl w:val="0"/>
          <w:lang w:val="en-US"/>
        </w:rPr>
        <w:t>DCELLS</w:t>
      </w:r>
      <w:r>
        <w:rPr>
          <w:sz w:val="26"/>
          <w:szCs w:val="26"/>
          <w:rtl w:val="0"/>
        </w:rPr>
        <w:t>2008:4)</w:t>
      </w:r>
    </w:p>
    <w:p>
      <w:pPr>
        <w:pStyle w:val="Body"/>
        <w:jc w:val="both"/>
        <w:rPr>
          <w:b w:val="1"/>
          <w:bCs w:val="1"/>
          <w:color w:val="ed220b"/>
          <w:sz w:val="26"/>
          <w:szCs w:val="26"/>
          <w:u w:val="single"/>
        </w:rPr>
      </w:pPr>
    </w:p>
    <w:p>
      <w:pPr>
        <w:pStyle w:val="Body"/>
        <w:jc w:val="both"/>
        <w:rPr>
          <w:sz w:val="26"/>
          <w:szCs w:val="26"/>
        </w:rPr>
      </w:pPr>
      <w:r>
        <w:rPr>
          <w:sz w:val="26"/>
          <w:szCs w:val="26"/>
          <w:rtl w:val="0"/>
          <w:lang w:val="en-US"/>
        </w:rPr>
        <w:t xml:space="preserve">ESDGC is broken down into seven themes which should be included in daily school activities.  These themes include: the natural environment (in which the children learn about their local area and how important it is that we look after it), consumption and waste (this involves the impact it will have on our future if we do not make a change soon), climate change (learning about this major problem that is occurring today and will occur in the future), wealth and poverty (this is the inequality of wealth around the world), identity and culture (knowing about the multi-cultural world we live in and knowing who we are as an individual), choices and decisions (how they may affect ourselves as well as others around us) and finally health (learning about their own health as well as other people).  </w:t>
      </w:r>
    </w:p>
    <w:p>
      <w:pPr>
        <w:pStyle w:val="Body"/>
        <w:jc w:val="both"/>
        <w:rPr>
          <w:sz w:val="26"/>
          <w:szCs w:val="26"/>
        </w:rPr>
      </w:pPr>
    </w:p>
    <w:p>
      <w:pPr>
        <w:pStyle w:val="Body"/>
        <w:jc w:val="both"/>
        <w:rPr>
          <w:sz w:val="26"/>
          <w:szCs w:val="26"/>
        </w:rPr>
      </w:pPr>
      <w:r>
        <w:rPr>
          <w:sz w:val="26"/>
          <w:szCs w:val="26"/>
          <w:rtl w:val="0"/>
          <w:lang w:val="en-US"/>
        </w:rPr>
        <w:t xml:space="preserve">ESDGC was founded by the department for international development in the early 2000s.  However in the Estyn 2014 report in 2006 teacher still found it difficult to show a clear understanding of the definition of ESDGC and the benefits of it in daily school life. Although from 2006 the teachers have worked hard to incorporate ESDGC they still struggle and Estyn recognises that </w:t>
      </w:r>
      <w:r>
        <w:rPr>
          <w:sz w:val="26"/>
          <w:szCs w:val="26"/>
          <w:rtl w:val="0"/>
          <w:lang w:val="en-US"/>
        </w:rPr>
        <w:t>‘</w:t>
      </w:r>
      <w:r>
        <w:rPr>
          <w:sz w:val="26"/>
          <w:szCs w:val="26"/>
          <w:rtl w:val="0"/>
          <w:lang w:val="en-US"/>
        </w:rPr>
        <w:t>Most schools visited would benefit from further training in specific aspects of ESDGC</w:t>
      </w:r>
      <w:r>
        <w:rPr>
          <w:sz w:val="26"/>
          <w:szCs w:val="26"/>
          <w:rtl w:val="0"/>
          <w:lang w:val="en-US"/>
        </w:rPr>
        <w:t>’</w:t>
      </w:r>
      <w:r>
        <w:rPr>
          <w:sz w:val="26"/>
          <w:szCs w:val="26"/>
          <w:rtl w:val="0"/>
        </w:rPr>
        <w:t xml:space="preserve">. </w:t>
      </w:r>
      <w:r>
        <w:rPr>
          <w:sz w:val="26"/>
          <w:szCs w:val="26"/>
          <w:rtl w:val="0"/>
          <w:lang w:val="en-US"/>
        </w:rPr>
        <w:t xml:space="preserve"> </w:t>
      </w:r>
    </w:p>
    <w:p>
      <w:pPr>
        <w:pStyle w:val="Body"/>
        <w:jc w:val="both"/>
        <w:rPr>
          <w:sz w:val="26"/>
          <w:szCs w:val="26"/>
        </w:rPr>
      </w:pPr>
      <w:r>
        <w:rPr>
          <w:sz w:val="26"/>
          <w:szCs w:val="26"/>
          <w:rtl w:val="0"/>
          <w:lang w:val="en-US"/>
        </w:rPr>
        <w:t xml:space="preserve">(Estyn 2014:5) </w:t>
      </w:r>
    </w:p>
    <w:p>
      <w:pPr>
        <w:pStyle w:val="Body"/>
        <w:jc w:val="both"/>
        <w:rPr>
          <w:sz w:val="26"/>
          <w:szCs w:val="26"/>
        </w:rPr>
      </w:pPr>
    </w:p>
    <w:p>
      <w:pPr>
        <w:pStyle w:val="Body"/>
        <w:jc w:val="both"/>
        <w:rPr>
          <w:sz w:val="26"/>
          <w:szCs w:val="26"/>
        </w:rPr>
      </w:pPr>
      <w:r>
        <w:rPr>
          <w:sz w:val="26"/>
          <w:szCs w:val="26"/>
          <w:rtl w:val="0"/>
          <w:lang w:val="en-US"/>
        </w:rPr>
        <w:t xml:space="preserve">However reading Donaldsons Successful futures the four main purposes can be linked to the themes of ESDGC as children should develop to be; ambitious capable learners which links to ESDGC as the children should want to know what they need to do to maintain their environment and to prevent climate change, enterprising creative contributors which links to wealth and poverty as the children should learn that </w:t>
      </w:r>
      <w:r>
        <w:rPr>
          <w:sz w:val="26"/>
          <w:szCs w:val="26"/>
          <w:rtl w:val="0"/>
          <w:lang w:val="en-US"/>
        </w:rPr>
        <w:t>inequality</w:t>
      </w:r>
      <w:r>
        <w:rPr>
          <w:sz w:val="26"/>
          <w:szCs w:val="26"/>
          <w:rtl w:val="0"/>
          <w:lang w:val="en-US"/>
        </w:rPr>
        <w:t xml:space="preserve"> shouldn</w:t>
      </w:r>
      <w:r>
        <w:rPr>
          <w:sz w:val="26"/>
          <w:szCs w:val="26"/>
          <w:rtl w:val="0"/>
          <w:lang w:val="en-US"/>
        </w:rPr>
        <w:t>’</w:t>
      </w:r>
      <w:r>
        <w:rPr>
          <w:sz w:val="26"/>
          <w:szCs w:val="26"/>
          <w:rtl w:val="0"/>
          <w:lang w:val="en-US"/>
        </w:rPr>
        <w:t>t occur. Children should also be ethical informed citizens of Wales and the world, this would link to the identity and culture them in ESDGC as the children would need to learn about their own culture as well as others so that there is no racism and inequality in the world.Children should also develop to be healthy, confident individuals, ready to lead fulfilling lives which links to health as to live a healthy live they need to participate as well as have the knowledge of what a healthy lifestyle really is.  (Donaldson 2015:71)</w:t>
      </w:r>
    </w:p>
    <w:p>
      <w:pPr>
        <w:pStyle w:val="Body"/>
        <w:jc w:val="both"/>
        <w:rPr>
          <w:sz w:val="26"/>
          <w:szCs w:val="26"/>
        </w:rPr>
      </w:pPr>
    </w:p>
    <w:p>
      <w:pPr>
        <w:pStyle w:val="Body"/>
        <w:jc w:val="both"/>
        <w:rPr>
          <w:sz w:val="26"/>
          <w:szCs w:val="26"/>
        </w:rPr>
      </w:pPr>
      <w:r>
        <w:rPr>
          <w:sz w:val="26"/>
          <w:szCs w:val="26"/>
          <w:rtl w:val="0"/>
          <w:lang w:val="en-US"/>
        </w:rPr>
        <w:t>However the ESDGC themes can also be linked to some of the six areas of learning:</w:t>
      </w:r>
    </w:p>
    <w:p>
      <w:pPr>
        <w:pStyle w:val="Body"/>
        <w:jc w:val="both"/>
        <w:rPr>
          <w:sz w:val="26"/>
          <w:szCs w:val="26"/>
        </w:rPr>
      </w:pPr>
      <w:r>
        <w:rPr>
          <w:b w:val="1"/>
          <w:bCs w:val="1"/>
          <w:sz w:val="26"/>
          <w:szCs w:val="26"/>
          <w:rtl w:val="0"/>
          <w:lang w:val="de-DE"/>
        </w:rPr>
        <w:t>Expressive Arts</w:t>
      </w:r>
      <w:r>
        <w:rPr>
          <w:sz w:val="26"/>
          <w:szCs w:val="26"/>
          <w:rtl w:val="0"/>
          <w:lang w:val="en-US"/>
        </w:rPr>
        <w:t xml:space="preserve">- Choices and decision </w:t>
      </w:r>
    </w:p>
    <w:p>
      <w:pPr>
        <w:pStyle w:val="Body"/>
        <w:jc w:val="both"/>
        <w:rPr>
          <w:sz w:val="26"/>
          <w:szCs w:val="26"/>
        </w:rPr>
      </w:pPr>
      <w:r>
        <w:rPr>
          <w:b w:val="1"/>
          <w:bCs w:val="1"/>
          <w:sz w:val="26"/>
          <w:szCs w:val="26"/>
          <w:rtl w:val="0"/>
          <w:lang w:val="en-US"/>
        </w:rPr>
        <w:t>Health and Wellbeing</w:t>
      </w:r>
      <w:r>
        <w:rPr>
          <w:sz w:val="26"/>
          <w:szCs w:val="26"/>
          <w:rtl w:val="0"/>
          <w:lang w:val="en-US"/>
        </w:rPr>
        <w:t>- Health</w:t>
      </w:r>
    </w:p>
    <w:p>
      <w:pPr>
        <w:pStyle w:val="Body"/>
        <w:jc w:val="both"/>
        <w:rPr>
          <w:sz w:val="26"/>
          <w:szCs w:val="26"/>
        </w:rPr>
      </w:pPr>
      <w:r>
        <w:rPr>
          <w:b w:val="1"/>
          <w:bCs w:val="1"/>
          <w:sz w:val="26"/>
          <w:szCs w:val="26"/>
          <w:rtl w:val="0"/>
          <w:lang w:val="fr-FR"/>
        </w:rPr>
        <w:t>Humanities</w:t>
      </w:r>
      <w:r>
        <w:rPr>
          <w:b w:val="1"/>
          <w:bCs w:val="1"/>
          <w:sz w:val="26"/>
          <w:szCs w:val="26"/>
          <w:rtl w:val="0"/>
          <w:lang w:val="en-US"/>
        </w:rPr>
        <w:t xml:space="preserve"> (Geography/History/RE)</w:t>
      </w:r>
      <w:r>
        <w:rPr>
          <w:sz w:val="26"/>
          <w:szCs w:val="26"/>
          <w:rtl w:val="0"/>
          <w:lang w:val="en-US"/>
        </w:rPr>
        <w:t>- Consumption and Waste/Climate Change/Natural Environment/ Choices and Decisions</w:t>
      </w:r>
    </w:p>
    <w:p>
      <w:pPr>
        <w:pStyle w:val="Body"/>
        <w:jc w:val="both"/>
        <w:rPr>
          <w:sz w:val="26"/>
          <w:szCs w:val="26"/>
        </w:rPr>
      </w:pPr>
      <w:r>
        <w:rPr>
          <w:b w:val="1"/>
          <w:bCs w:val="1"/>
          <w:sz w:val="26"/>
          <w:szCs w:val="26"/>
          <w:rtl w:val="0"/>
          <w:lang w:val="en-US"/>
        </w:rPr>
        <w:t>Science and Technology</w:t>
      </w:r>
      <w:r>
        <w:rPr>
          <w:b w:val="1"/>
          <w:bCs w:val="1"/>
          <w:sz w:val="26"/>
          <w:szCs w:val="26"/>
          <w:rtl w:val="0"/>
          <w:lang w:val="en-US"/>
        </w:rPr>
        <w:t>-</w:t>
      </w:r>
      <w:r>
        <w:rPr>
          <w:sz w:val="26"/>
          <w:szCs w:val="26"/>
          <w:rtl w:val="0"/>
          <w:lang w:val="en-US"/>
        </w:rPr>
        <w:t xml:space="preserve"> Consumption and Waste/Climate Change/Natural Environment </w:t>
      </w:r>
    </w:p>
    <w:p>
      <w:pPr>
        <w:pStyle w:val="Body"/>
        <w:jc w:val="both"/>
        <w:rPr>
          <w:b w:val="1"/>
          <w:bCs w:val="1"/>
          <w:sz w:val="26"/>
          <w:szCs w:val="26"/>
        </w:rPr>
      </w:pPr>
      <w:r>
        <w:rPr>
          <w:b w:val="1"/>
          <w:bCs w:val="1"/>
          <w:sz w:val="26"/>
          <w:szCs w:val="26"/>
          <w:rtl w:val="0"/>
          <w:lang w:val="en-US"/>
        </w:rPr>
        <w:t>Literacy, Languages and Communication</w:t>
      </w:r>
    </w:p>
    <w:p>
      <w:pPr>
        <w:pStyle w:val="Body"/>
        <w:jc w:val="both"/>
        <w:rPr>
          <w:b w:val="1"/>
          <w:bCs w:val="1"/>
          <w:sz w:val="26"/>
          <w:szCs w:val="26"/>
        </w:rPr>
      </w:pPr>
      <w:r>
        <w:rPr>
          <w:b w:val="1"/>
          <w:bCs w:val="1"/>
          <w:sz w:val="26"/>
          <w:szCs w:val="26"/>
          <w:rtl w:val="0"/>
          <w:lang w:val="en-US"/>
        </w:rPr>
        <w:t>Mathematics and Numeracy</w:t>
      </w:r>
    </w:p>
    <w:p>
      <w:pPr>
        <w:pStyle w:val="Body"/>
        <w:jc w:val="both"/>
        <w:rPr>
          <w:sz w:val="26"/>
          <w:szCs w:val="26"/>
        </w:rPr>
      </w:pPr>
    </w:p>
    <w:p>
      <w:pPr>
        <w:pStyle w:val="Body"/>
        <w:jc w:val="both"/>
        <w:rPr>
          <w:rFonts w:ascii="Times" w:cs="Times" w:hAnsi="Times" w:eastAsia="Times"/>
          <w:sz w:val="24"/>
          <w:szCs w:val="24"/>
        </w:rPr>
      </w:pPr>
      <w:r>
        <w:rPr>
          <w:sz w:val="26"/>
          <w:szCs w:val="26"/>
          <w:rtl w:val="0"/>
          <w:lang w:val="en-US"/>
        </w:rPr>
        <w:t>However here are 6 resources (3 Foundation phase, 3 KS2) that have been created to help promote ESDGC during primary school lessons. These resources cover a range of different curriculum subjects such as science, physical education (PE) and Personal and Social Education(PSE).</w:t>
      </w:r>
    </w:p>
    <w:p>
      <w:pPr>
        <w:pStyle w:val="Body"/>
        <w:jc w:val="both"/>
        <w:rPr>
          <w:sz w:val="26"/>
          <w:szCs w:val="26"/>
        </w:rPr>
      </w:pPr>
    </w:p>
    <w:p>
      <w:pPr>
        <w:pStyle w:val="Body"/>
        <w:jc w:val="both"/>
        <w:rPr>
          <w:sz w:val="26"/>
          <w:szCs w:val="26"/>
        </w:rPr>
      </w:pPr>
      <w:r>
        <w:rPr>
          <w:sz w:val="26"/>
          <w:szCs w:val="26"/>
          <w:rtl w:val="0"/>
          <w:lang w:val="en-US"/>
        </w:rPr>
        <w:t xml:space="preserve">Throughout the 3 foundation phase resources the theme is based on mini beasts.  Here each lesson the children will be given more in-depth information about the mini beasts as well as their appearances and they're habitats.  </w:t>
      </w:r>
    </w:p>
    <w:p>
      <w:pPr>
        <w:pStyle w:val="Body"/>
        <w:jc w:val="both"/>
        <w:rPr>
          <w:sz w:val="26"/>
          <w:szCs w:val="26"/>
        </w:rPr>
      </w:pPr>
    </w:p>
    <w:p>
      <w:pPr>
        <w:pStyle w:val="Body"/>
        <w:jc w:val="both"/>
        <w:rPr>
          <w:sz w:val="26"/>
          <w:szCs w:val="26"/>
        </w:rPr>
      </w:pPr>
      <w:r>
        <w:rPr>
          <w:sz w:val="26"/>
          <w:szCs w:val="26"/>
          <w:rtl w:val="0"/>
          <w:lang w:val="en-US"/>
        </w:rPr>
        <w:t xml:space="preserve">The first lesson is based on the children showing the teacher what they already know about the topic.  The Children will be learning basic appearances of mini beasts as well as correctly naming the mini beast. During this lesson the aim is to try and familiarise the children with the appearances of each mini beast, during one activity they can use their creative skills by creating  a mini beasts out of play dough.  As well as this another task will be creating their own mini beast by using other mini beast features.  This activity allows the children to think alone and be independent learners, as they would use their imagination to see an image in their head and try and reproduce it using the resources given.  When looking at the curriculum coverage this lesson comes under knowledge and understanding of the world,  as they are investigating indoors and the outdoors environment. Therefore in relation too ESDGC this lesson would best be suited under the national environment strand. Under the natural environment the children should understand that our natural environment is not only important for us ourselves but the habitat that live in it. They must begin to show awareness and question when learning  during this topic.  Incorporating this in the lesson would therefore teach the children at a young age they must look after our environment otherwise in the future it will look very different.  During this lesson they will also develop literacy and oracy skills as well as incorporating welsh phrases and words for the children to develop during the theme.  </w:t>
      </w:r>
    </w:p>
    <w:p>
      <w:pPr>
        <w:pStyle w:val="Body"/>
        <w:jc w:val="both"/>
        <w:rPr>
          <w:sz w:val="26"/>
          <w:szCs w:val="26"/>
        </w:rPr>
      </w:pPr>
      <w:r>
        <w:rPr>
          <w:sz w:val="26"/>
          <w:szCs w:val="26"/>
          <w:rtl w:val="0"/>
          <w:lang w:val="en-US"/>
        </w:rPr>
        <w:t xml:space="preserve">The key skills during this lesson is allowing the children to learn through play as this helps motivate the children to learn as well develop their social skills with children they may not normally socialise with.  </w:t>
      </w:r>
      <w:r>
        <w:rPr>
          <w:sz w:val="26"/>
          <w:szCs w:val="26"/>
          <w:rtl w:val="0"/>
          <w:lang w:val="en-US"/>
        </w:rPr>
        <w:t>“</w:t>
      </w:r>
      <w:r>
        <w:rPr>
          <w:sz w:val="26"/>
          <w:szCs w:val="26"/>
          <w:rtl w:val="0"/>
          <w:lang w:val="en-US"/>
        </w:rPr>
        <w:t>Play is an essential part of every child</w:t>
      </w:r>
      <w:r>
        <w:rPr>
          <w:sz w:val="26"/>
          <w:szCs w:val="26"/>
          <w:rtl w:val="0"/>
        </w:rPr>
        <w:t>’</w:t>
      </w:r>
      <w:r>
        <w:rPr>
          <w:sz w:val="26"/>
          <w:szCs w:val="26"/>
          <w:rtl w:val="0"/>
          <w:lang w:val="en-US"/>
        </w:rPr>
        <w:t>s life and is vital for the enjoyment of childhood as well as social, emotional, intellectual and physical development</w:t>
      </w:r>
      <w:r>
        <w:rPr>
          <w:sz w:val="26"/>
          <w:szCs w:val="26"/>
          <w:rtl w:val="0"/>
          <w:lang w:val="en-US"/>
        </w:rPr>
        <w:t>”</w:t>
      </w:r>
      <w:r>
        <w:rPr>
          <w:sz w:val="26"/>
          <w:szCs w:val="26"/>
          <w:rtl w:val="0"/>
        </w:rPr>
        <w:t>.</w:t>
      </w:r>
      <w:r>
        <w:rPr>
          <w:sz w:val="26"/>
          <w:szCs w:val="26"/>
          <w:rtl w:val="0"/>
          <w:lang w:val="en-US"/>
        </w:rPr>
        <w:t xml:space="preserve"> (</w:t>
      </w:r>
      <w:r>
        <w:rPr>
          <w:sz w:val="26"/>
          <w:szCs w:val="26"/>
          <w:rtl w:val="0"/>
          <w:lang w:val="en-US"/>
        </w:rPr>
        <w:t>Why play is important</w:t>
      </w:r>
      <w:r>
        <w:rPr>
          <w:sz w:val="26"/>
          <w:szCs w:val="26"/>
          <w:rtl w:val="0"/>
          <w:lang w:val="en-US"/>
        </w:rPr>
        <w:t xml:space="preserve">) </w:t>
      </w:r>
    </w:p>
    <w:p>
      <w:pPr>
        <w:pStyle w:val="Body"/>
        <w:jc w:val="both"/>
        <w:rPr>
          <w:sz w:val="26"/>
          <w:szCs w:val="26"/>
        </w:rPr>
      </w:pPr>
    </w:p>
    <w:p>
      <w:pPr>
        <w:pStyle w:val="Body"/>
        <w:jc w:val="both"/>
        <w:rPr>
          <w:sz w:val="26"/>
          <w:szCs w:val="26"/>
        </w:rPr>
      </w:pPr>
      <w:r>
        <w:rPr>
          <w:sz w:val="26"/>
          <w:szCs w:val="26"/>
          <w:rtl w:val="0"/>
          <w:lang w:val="en-US"/>
        </w:rPr>
        <w:t>This second lesson is based on a trip to the National Botanical Garden.  During this trip the children should learn about where mini beasts live and their natural habitat.  This trip is also for the children to ask the professionals any questions so that if they have any queries they can be answered as well as gain a more in-depth knowledge of the theme. Again this lesson covers the natural environment when looking at the seven ESDGC themes as the children would be demonstrating care and respect for living things as well as the environment.  As this time the children are learning about the habitats in which the mini beasts live, as well as gain a basic understanding of a butterfly life cycle.  As well as this the children will develop ICT skills, literacy and oracy skills as well as independent learning.  All learning will be done outdoors during this trip which is beneficial for children as is encourages holistic development.  (</w:t>
      </w:r>
      <w:r>
        <w:rPr>
          <w:sz w:val="26"/>
          <w:szCs w:val="26"/>
          <w:rtl w:val="0"/>
          <w:lang w:val="en-US"/>
        </w:rPr>
        <w:t>10 Ways that Outdoor Learning Benefits your Child</w:t>
      </w:r>
      <w:r>
        <w:rPr>
          <w:sz w:val="26"/>
          <w:szCs w:val="26"/>
          <w:rtl w:val="0"/>
          <w:lang w:val="en-US"/>
        </w:rPr>
        <w:t xml:space="preserve">) </w:t>
      </w:r>
    </w:p>
    <w:p>
      <w:pPr>
        <w:pStyle w:val="Body"/>
        <w:jc w:val="both"/>
        <w:rPr>
          <w:sz w:val="26"/>
          <w:szCs w:val="26"/>
        </w:rPr>
      </w:pPr>
    </w:p>
    <w:p>
      <w:pPr>
        <w:pStyle w:val="Body"/>
        <w:jc w:val="both"/>
        <w:rPr>
          <w:sz w:val="26"/>
          <w:szCs w:val="26"/>
        </w:rPr>
      </w:pPr>
      <w:r>
        <w:rPr>
          <w:sz w:val="26"/>
          <w:szCs w:val="26"/>
          <w:rtl w:val="0"/>
          <w:lang w:val="en-US"/>
        </w:rPr>
        <w:t>The third lesson during the foundation phase is an outdoor activity where the children are creating mini beast hotels.  This lesson is all about the children using the resources given and using them in a creative way, to create the best hotel which will protect/attract the most mini beasts.  All resources the children will be given are all natural which allows the children to understand there is many ways they can use our environment. Again for this final lesson the children are incorporating the natural environment which would be enhancing their ESDGC.  Due to the fact they are learning in the outdoors they are also using all natural resources which makes the children more aware and care more for their environment. As well as this the activity allowed the children to express their own feeling, opinions and ideas by using their imagination. (Foundation Phase Framework 2015)</w:t>
      </w:r>
    </w:p>
    <w:p>
      <w:pPr>
        <w:pStyle w:val="Body"/>
        <w:jc w:val="both"/>
        <w:rPr>
          <w:sz w:val="26"/>
          <w:szCs w:val="26"/>
        </w:rPr>
      </w:pPr>
    </w:p>
    <w:p>
      <w:pPr>
        <w:pStyle w:val="Body"/>
        <w:jc w:val="both"/>
        <w:rPr>
          <w:sz w:val="26"/>
          <w:szCs w:val="26"/>
        </w:rPr>
      </w:pPr>
      <w:r>
        <w:rPr>
          <w:sz w:val="26"/>
          <w:szCs w:val="26"/>
          <w:rtl w:val="0"/>
          <w:lang w:val="en-US"/>
        </w:rPr>
        <w:t xml:space="preserve">During the KS2 resources the each lesson plan is based on a different section of the curriculum.  </w:t>
      </w:r>
    </w:p>
    <w:p>
      <w:pPr>
        <w:pStyle w:val="Body"/>
        <w:jc w:val="both"/>
        <w:rPr>
          <w:sz w:val="26"/>
          <w:szCs w:val="26"/>
        </w:rPr>
      </w:pPr>
    </w:p>
    <w:p>
      <w:pPr>
        <w:pStyle w:val="Body"/>
        <w:jc w:val="both"/>
        <w:rPr>
          <w:sz w:val="26"/>
          <w:szCs w:val="26"/>
        </w:rPr>
      </w:pPr>
      <w:r>
        <w:rPr>
          <w:sz w:val="26"/>
          <w:szCs w:val="26"/>
          <w:rtl w:val="0"/>
          <w:lang w:val="en-US"/>
        </w:rPr>
        <w:t>During the first resource for KS2 the children main focus is Science.  Their main activity during this lesson is pond dipping, searching the pond with a net looking for the different creatures.  During this activity they will need to collect data on how many different creatures they find in that certain pond.  Once they have found all their data they will then go indoors and incorporate their Mathematical skills by creating a bar graph of their findings. Once they have created this graph they can then identify which creature is the most popular and the least popular creature which looks at biodiversity of the pond.  This would then come under the ESDGC theme natural environment.   During the lesson we will incorporate ESDGC by learning about the different varieties of wildlife, this will allow the children to think about what happens if the biodiversity of the pond changes. During this lesson the children will spend majority of the time learning in the outdoors around the ponds  which allows the children to develop self-awareness as well as self esteem.  Learning in the outdoors also allows the children to develop an understanding of how to look after out environment. (</w:t>
      </w:r>
      <w:r>
        <w:rPr>
          <w:rStyle w:val="Hyperlink.0"/>
          <w:sz w:val="26"/>
          <w:szCs w:val="26"/>
        </w:rPr>
        <w:fldChar w:fldCharType="begin" w:fldLock="0"/>
      </w:r>
      <w:r>
        <w:rPr>
          <w:rStyle w:val="Hyperlink.0"/>
          <w:sz w:val="26"/>
          <w:szCs w:val="26"/>
        </w:rPr>
        <w:instrText xml:space="preserve"> HYPERLINK "https://www.independentschoolparent.com/school/outdoor-learning-benefits/"</w:instrText>
      </w:r>
      <w:r>
        <w:rPr>
          <w:rStyle w:val="Hyperlink.0"/>
          <w:sz w:val="26"/>
          <w:szCs w:val="26"/>
        </w:rPr>
        <w:fldChar w:fldCharType="separate" w:fldLock="0"/>
      </w:r>
      <w:r>
        <w:rPr>
          <w:rStyle w:val="Hyperlink.0"/>
          <w:sz w:val="26"/>
          <w:szCs w:val="26"/>
          <w:rtl w:val="0"/>
          <w:lang w:val="en-US"/>
        </w:rPr>
        <w:t>https://www.independentschoolparent.com/school/outdoor-learning-benefits/</w:t>
      </w:r>
      <w:r>
        <w:rPr>
          <w:sz w:val="26"/>
          <w:szCs w:val="26"/>
        </w:rPr>
        <w:fldChar w:fldCharType="end" w:fldLock="0"/>
      </w:r>
      <w:r>
        <w:rPr>
          <w:sz w:val="26"/>
          <w:szCs w:val="26"/>
          <w:rtl w:val="0"/>
          <w:lang w:val="en-US"/>
        </w:rPr>
        <w:t xml:space="preserve">) </w:t>
      </w:r>
    </w:p>
    <w:p>
      <w:pPr>
        <w:pStyle w:val="Body"/>
        <w:jc w:val="both"/>
        <w:rPr>
          <w:sz w:val="26"/>
          <w:szCs w:val="26"/>
        </w:rPr>
      </w:pPr>
    </w:p>
    <w:p>
      <w:pPr>
        <w:pStyle w:val="Body"/>
        <w:jc w:val="both"/>
        <w:rPr>
          <w:sz w:val="26"/>
          <w:szCs w:val="26"/>
        </w:rPr>
      </w:pPr>
    </w:p>
    <w:p>
      <w:pPr>
        <w:pStyle w:val="Default"/>
        <w:bidi w:val="0"/>
        <w:ind w:left="0" w:right="0" w:firstLine="0"/>
        <w:jc w:val="both"/>
        <w:rPr>
          <w:rFonts w:ascii="Helvetica" w:cs="Helvetica" w:hAnsi="Helvetica" w:eastAsia="Helvetica"/>
          <w:color w:val="212121"/>
          <w:sz w:val="26"/>
          <w:szCs w:val="26"/>
          <w:shd w:val="clear" w:color="auto" w:fill="ffffff"/>
          <w:rtl w:val="0"/>
        </w:rPr>
      </w:pPr>
      <w:r>
        <w:rPr>
          <w:rFonts w:ascii="Helvetica" w:hAnsi="Helvetica"/>
          <w:color w:val="212121"/>
          <w:sz w:val="26"/>
          <w:szCs w:val="26"/>
          <w:shd w:val="clear" w:color="auto" w:fill="ffffff"/>
          <w:rtl w:val="0"/>
          <w:lang w:val="en-US"/>
        </w:rPr>
        <w:t xml:space="preserve">The second resource, the children are learning about healthy eating and the eat well plate.  During this lesson the children will develop and try to understand what a balanced diet is and how to live a healthy lifestyle while learning the different food groups. The children will be able to express their ideas opinions and feelings in smaller groups on their tables about the topic, and will be given the opportunity to tell others in the class what they think a balanced diet involves.  </w:t>
      </w:r>
      <w:r>
        <w:rPr>
          <w:rFonts w:ascii="Helvetica" w:hAnsi="Helvetica"/>
          <w:color w:val="212121"/>
          <w:sz w:val="26"/>
          <w:szCs w:val="26"/>
          <w:shd w:val="clear" w:color="auto" w:fill="ffffff"/>
          <w:rtl w:val="0"/>
          <w:lang w:val="en-US"/>
        </w:rPr>
        <w:t xml:space="preserve">Personal and social education (PSE) </w:t>
      </w:r>
      <w:r>
        <w:rPr>
          <w:rFonts w:ascii="Helvetica" w:hAnsi="Helvetica"/>
          <w:color w:val="212121"/>
          <w:sz w:val="26"/>
          <w:szCs w:val="26"/>
          <w:shd w:val="clear" w:color="auto" w:fill="ffffff"/>
          <w:rtl w:val="0"/>
          <w:lang w:val="en-US"/>
        </w:rPr>
        <w:t xml:space="preserve"> is the main focus when looking at the curriculum in this lesson. But however when looking at the seven themes of ESDGC this lesson would mainly be focussing on health, as the children will be understanding the basic ingredients of a healthy lifestyle.  Smith revealed that </w:t>
      </w:r>
      <w:r>
        <w:rPr>
          <w:rFonts w:ascii="Helvetica" w:hAnsi="Helvetica" w:hint="default"/>
          <w:color w:val="212121"/>
          <w:sz w:val="26"/>
          <w:szCs w:val="26"/>
          <w:shd w:val="clear" w:color="auto" w:fill="ffffff"/>
          <w:rtl w:val="0"/>
          <w:lang w:val="en-US"/>
        </w:rPr>
        <w:t>“</w:t>
      </w:r>
      <w:r>
        <w:rPr>
          <w:rFonts w:ascii="Helvetica" w:hAnsi="Helvetica"/>
          <w:color w:val="212121"/>
          <w:sz w:val="26"/>
          <w:szCs w:val="26"/>
          <w:shd w:val="clear" w:color="auto" w:fill="ffffff"/>
          <w:rtl w:val="0"/>
          <w:lang w:val="en-US"/>
        </w:rPr>
        <w:t>12.4% of four and five-year-old children in Wales were classed as obese in 2016-17</w:t>
      </w:r>
      <w:r>
        <w:rPr>
          <w:rFonts w:ascii="Helvetica" w:hAnsi="Helvetica" w:hint="default"/>
          <w:color w:val="212121"/>
          <w:sz w:val="26"/>
          <w:szCs w:val="26"/>
          <w:shd w:val="clear" w:color="auto" w:fill="ffffff"/>
          <w:rtl w:val="0"/>
          <w:lang w:val="en-US"/>
        </w:rPr>
        <w:t>”</w:t>
      </w:r>
      <w:r>
        <w:rPr>
          <w:rFonts w:ascii="Helvetica" w:hAnsi="Helvetica"/>
          <w:color w:val="212121"/>
          <w:sz w:val="26"/>
          <w:szCs w:val="26"/>
          <w:shd w:val="clear" w:color="auto" w:fill="ffffff"/>
          <w:rtl w:val="0"/>
        </w:rPr>
        <w:t>.</w:t>
      </w:r>
      <w:r>
        <w:rPr>
          <w:rFonts w:ascii="Helvetica" w:hAnsi="Helvetica"/>
          <w:color w:val="212121"/>
          <w:sz w:val="26"/>
          <w:szCs w:val="26"/>
          <w:shd w:val="clear" w:color="auto" w:fill="ffffff"/>
          <w:rtl w:val="0"/>
          <w:lang w:val="en-US"/>
        </w:rPr>
        <w:t xml:space="preserve"> This statistic shows that children as well as adults don</w:t>
      </w:r>
      <w:r>
        <w:rPr>
          <w:rFonts w:ascii="Helvetica" w:hAnsi="Helvetica" w:hint="default"/>
          <w:color w:val="212121"/>
          <w:sz w:val="26"/>
          <w:szCs w:val="26"/>
          <w:shd w:val="clear" w:color="auto" w:fill="ffffff"/>
          <w:rtl w:val="0"/>
          <w:lang w:val="en-US"/>
        </w:rPr>
        <w:t>’</w:t>
      </w:r>
      <w:r>
        <w:rPr>
          <w:rFonts w:ascii="Helvetica" w:hAnsi="Helvetica"/>
          <w:color w:val="212121"/>
          <w:sz w:val="26"/>
          <w:szCs w:val="26"/>
          <w:shd w:val="clear" w:color="auto" w:fill="ffffff"/>
          <w:rtl w:val="0"/>
          <w:lang w:val="en-US"/>
        </w:rPr>
        <w:t xml:space="preserve">t understand what a balanced/ healthy lifestyle consists of.   If by the age of four and five children are obese the likely hood is that once they get older and turn into adults they will maintain overweight.  </w:t>
      </w:r>
      <w:r>
        <w:rPr>
          <w:rFonts w:ascii="Helvetica" w:hAnsi="Helvetica"/>
          <w:color w:val="212121"/>
          <w:sz w:val="26"/>
          <w:szCs w:val="26"/>
          <w:shd w:val="clear" w:color="auto" w:fill="ffffff"/>
          <w:rtl w:val="0"/>
          <w:lang w:val="en-US"/>
        </w:rPr>
        <w:t>Therefore more PSE lessons need to take place in schools to allow the children to understand that they need to live a healthy lifestyle.</w:t>
      </w:r>
      <w:r>
        <w:rPr>
          <w:rFonts w:ascii="Helvetica" w:hAnsi="Helvetica"/>
          <w:color w:val="212121"/>
          <w:sz w:val="26"/>
          <w:szCs w:val="26"/>
          <w:shd w:val="clear" w:color="auto" w:fill="ffffff"/>
          <w:rtl w:val="0"/>
          <w:lang w:val="en-US"/>
        </w:rPr>
        <w:t xml:space="preserve"> If change doe not occur this will place a massive demand on the NHS as well as the Welsh Government. (Mark Smith- health correspondent) </w:t>
      </w:r>
    </w:p>
    <w:p>
      <w:pPr>
        <w:pStyle w:val="Default"/>
        <w:bidi w:val="0"/>
        <w:ind w:left="0" w:right="0" w:firstLine="0"/>
        <w:jc w:val="both"/>
        <w:rPr>
          <w:rFonts w:ascii="Helvetica" w:cs="Helvetica" w:hAnsi="Helvetica" w:eastAsia="Helvetica"/>
          <w:color w:val="212121"/>
          <w:sz w:val="26"/>
          <w:szCs w:val="26"/>
          <w:shd w:val="clear" w:color="auto" w:fill="ffffff"/>
          <w:rtl w:val="0"/>
        </w:rPr>
      </w:pPr>
    </w:p>
    <w:p>
      <w:pPr>
        <w:pStyle w:val="Default"/>
        <w:bidi w:val="0"/>
        <w:ind w:left="0" w:right="0" w:firstLine="0"/>
        <w:jc w:val="both"/>
        <w:rPr>
          <w:rFonts w:ascii="Helvetica" w:cs="Helvetica" w:hAnsi="Helvetica" w:eastAsia="Helvetica"/>
          <w:color w:val="212121"/>
          <w:sz w:val="26"/>
          <w:szCs w:val="26"/>
          <w:shd w:val="clear" w:color="auto" w:fill="ffffff"/>
          <w:rtl w:val="0"/>
        </w:rPr>
      </w:pPr>
      <w:r>
        <w:rPr>
          <w:rFonts w:ascii="Helvetica" w:hAnsi="Helvetica"/>
          <w:color w:val="212121"/>
          <w:sz w:val="26"/>
          <w:szCs w:val="26"/>
          <w:shd w:val="clear" w:color="auto" w:fill="ffffff"/>
          <w:rtl w:val="0"/>
          <w:lang w:val="en-US"/>
        </w:rPr>
        <w:t>During the third resource the children will be taking part in a Physical Education (PE) lesson.  The main focus in this PE lesson is for the children to gain a basic understanding of the Old Welsh Folk dancing in preparation for the school Eisteddfod.   The main activity during the lesson will be led by a professional folk dancer so that the children are gaining the correct foot work as well as the correct skills for the dance.  Although this activity is mainly teacher based delivering most of the skills, the children will be given the opportunity at the end to create their own little dance if they want to.  This allows the children to be creative and imaginative while learning independently during a physical activity. During this activity the children will be recorded and will analyse their performance against another video to compare and contrast.  Health as well as Identity and culture would be the best themes to incorporate ESDGC during this lesson.    Health as the children are recognising the benefit to improve their well-being, and maintain a healthy lifestyle.  As well as that identity and culture plays a huge part, as the children are learning about the welsh culture.  "</w:t>
      </w:r>
      <w:r>
        <w:rPr>
          <w:rFonts w:ascii="Helvetica" w:hAnsi="Helvetica"/>
          <w:color w:val="212121"/>
          <w:sz w:val="26"/>
          <w:szCs w:val="26"/>
          <w:shd w:val="clear" w:color="auto" w:fill="ffffff"/>
          <w:rtl w:val="0"/>
          <w:lang w:val="en-US"/>
        </w:rPr>
        <w:t>Having a strong sense of their own cultural history and traditions helps children build a positive cultural identity for themselves</w:t>
      </w:r>
      <w:r>
        <w:rPr>
          <w:rFonts w:ascii="Helvetica" w:hAnsi="Helvetica" w:hint="default"/>
          <w:color w:val="212121"/>
          <w:sz w:val="26"/>
          <w:szCs w:val="26"/>
          <w:shd w:val="clear" w:color="auto" w:fill="ffffff"/>
          <w:rtl w:val="0"/>
          <w:lang w:val="en-US"/>
        </w:rPr>
        <w:t>”</w:t>
      </w:r>
      <w:r>
        <w:rPr>
          <w:rFonts w:ascii="Helvetica" w:hAnsi="Helvetica"/>
          <w:color w:val="212121"/>
          <w:sz w:val="26"/>
          <w:szCs w:val="26"/>
          <w:shd w:val="clear" w:color="auto" w:fill="ffffff"/>
          <w:rtl w:val="0"/>
          <w:lang w:val="en-US"/>
        </w:rPr>
        <w:t xml:space="preserve">. (Australian Government). This PE lesson would allow the children to learn about the cultural history in Wales, by learning the folk dancing.  </w:t>
      </w:r>
    </w:p>
    <w:p>
      <w:pPr>
        <w:pStyle w:val="Default"/>
        <w:bidi w:val="0"/>
        <w:ind w:left="0" w:right="0" w:firstLine="0"/>
        <w:jc w:val="both"/>
        <w:rPr>
          <w:rFonts w:ascii="Helvetica" w:cs="Helvetica" w:hAnsi="Helvetica" w:eastAsia="Helvetica"/>
          <w:color w:val="212121"/>
          <w:sz w:val="26"/>
          <w:szCs w:val="26"/>
          <w:shd w:val="clear" w:color="auto" w:fill="ffffff"/>
          <w:rtl w:val="0"/>
        </w:rPr>
      </w:pPr>
    </w:p>
    <w:p>
      <w:pPr>
        <w:pStyle w:val="Default"/>
        <w:bidi w:val="0"/>
        <w:ind w:left="0" w:right="0" w:firstLine="0"/>
        <w:jc w:val="both"/>
        <w:rPr>
          <w:rFonts w:ascii="Helvetica" w:cs="Helvetica" w:hAnsi="Helvetica" w:eastAsia="Helvetica"/>
          <w:color w:val="212121"/>
          <w:sz w:val="26"/>
          <w:szCs w:val="26"/>
          <w:shd w:val="clear" w:color="auto" w:fill="ffffff"/>
          <w:rtl w:val="0"/>
        </w:rPr>
      </w:pPr>
    </w:p>
    <w:p>
      <w:pPr>
        <w:pStyle w:val="Default"/>
        <w:bidi w:val="0"/>
        <w:ind w:left="0" w:right="0" w:firstLine="0"/>
        <w:jc w:val="both"/>
        <w:rPr>
          <w:rFonts w:ascii="Helvetica" w:cs="Helvetica" w:hAnsi="Helvetica" w:eastAsia="Helvetica"/>
          <w:color w:val="212121"/>
          <w:sz w:val="26"/>
          <w:szCs w:val="26"/>
          <w:shd w:val="clear" w:color="auto" w:fill="ffffff"/>
          <w:rtl w:val="0"/>
        </w:rPr>
      </w:pPr>
      <w:r>
        <w:rPr>
          <w:rFonts w:ascii="Helvetica" w:hAnsi="Helvetica" w:hint="default"/>
          <w:color w:val="212121"/>
          <w:sz w:val="26"/>
          <w:szCs w:val="26"/>
          <w:shd w:val="clear" w:color="auto" w:fill="ffffff"/>
          <w:rtl w:val="0"/>
          <w:lang w:val="en-US"/>
        </w:rPr>
        <w:t>“</w:t>
      </w:r>
      <w:r>
        <w:rPr>
          <w:rFonts w:ascii="Helvetica" w:hAnsi="Helvetica"/>
          <w:color w:val="212121"/>
          <w:sz w:val="26"/>
          <w:szCs w:val="26"/>
          <w:shd w:val="clear" w:color="auto" w:fill="ffffff"/>
          <w:rtl w:val="0"/>
          <w:lang w:val="en-US"/>
        </w:rPr>
        <w:t>Education is the most powerful weapon you can use to change the world</w:t>
      </w:r>
      <w:r>
        <w:rPr>
          <w:rFonts w:ascii="Helvetica" w:hAnsi="Helvetica" w:hint="default"/>
          <w:color w:val="212121"/>
          <w:sz w:val="26"/>
          <w:szCs w:val="26"/>
          <w:shd w:val="clear" w:color="auto" w:fill="ffffff"/>
          <w:rtl w:val="0"/>
          <w:lang w:val="en-US"/>
        </w:rPr>
        <w:t>”</w:t>
      </w:r>
      <w:r>
        <w:rPr>
          <w:rFonts w:ascii="Helvetica" w:hAnsi="Helvetica"/>
          <w:color w:val="212121"/>
          <w:sz w:val="26"/>
          <w:szCs w:val="26"/>
          <w:shd w:val="clear" w:color="auto" w:fill="ffffff"/>
          <w:rtl w:val="0"/>
          <w:lang w:val="en-US"/>
        </w:rPr>
        <w:t>. (Nelson Mandela). Overall, ESDGC is vitally important to be incorporating in primary schools and professionals in the education sector should be prompting the importance of the seven themes within ESDGC. By incorporating ESDGC and linking to a topic in school provides an opportunity to demonstrate the greatly important themes in a cross-curricular pedagogy. I dread to think without incorporating ESDGC into primary schools what the future would look like.</w:t>
      </w:r>
    </w:p>
    <w:p>
      <w:pPr>
        <w:pStyle w:val="Default"/>
        <w:bidi w:val="0"/>
        <w:ind w:left="0" w:right="0" w:firstLine="0"/>
        <w:jc w:val="both"/>
        <w:rPr>
          <w:rFonts w:ascii="Helvetica" w:cs="Helvetica" w:hAnsi="Helvetica" w:eastAsia="Helvetica"/>
          <w:color w:val="212121"/>
          <w:sz w:val="26"/>
          <w:szCs w:val="26"/>
          <w:shd w:val="clear" w:color="auto" w:fill="ffffff"/>
          <w:rtl w:val="0"/>
        </w:rPr>
      </w:pPr>
    </w:p>
    <w:p>
      <w:pPr>
        <w:pStyle w:val="Body"/>
        <w:jc w:val="both"/>
        <w:rPr>
          <w:sz w:val="26"/>
          <w:szCs w:val="26"/>
        </w:rPr>
      </w:pPr>
      <w:r>
        <w:rPr>
          <w:sz w:val="26"/>
          <w:szCs w:val="26"/>
          <w:rtl w:val="0"/>
          <w:lang w:val="en-US"/>
        </w:rPr>
        <w:t xml:space="preserve">ESDGC is </w:t>
      </w:r>
      <w:r>
        <w:rPr>
          <w:sz w:val="26"/>
          <w:szCs w:val="26"/>
          <w:rtl w:val="0"/>
          <w:lang w:val="en-US"/>
        </w:rPr>
        <w:t>‘</w:t>
      </w:r>
      <w:r>
        <w:rPr>
          <w:sz w:val="26"/>
          <w:szCs w:val="26"/>
          <w:rtl w:val="0"/>
          <w:lang w:val="en-US"/>
        </w:rPr>
        <w:t>Living today with tomorrow in mind</w:t>
      </w:r>
      <w:r>
        <w:rPr>
          <w:sz w:val="26"/>
          <w:szCs w:val="26"/>
          <w:rtl w:val="0"/>
          <w:lang w:val="en-US"/>
        </w:rPr>
        <w:t>’</w:t>
      </w:r>
      <w:r>
        <w:rPr>
          <w:sz w:val="26"/>
          <w:szCs w:val="26"/>
          <w:rtl w:val="0"/>
          <w:lang w:val="en-US"/>
        </w:rPr>
        <w:t>.</w:t>
      </w:r>
    </w:p>
    <w:p>
      <w:pPr>
        <w:pStyle w:val="Body"/>
        <w:jc w:val="both"/>
        <w:rPr>
          <w:sz w:val="26"/>
          <w:szCs w:val="26"/>
        </w:rPr>
      </w:pPr>
    </w:p>
    <w:p>
      <w:pPr>
        <w:pStyle w:val="Default"/>
        <w:bidi w:val="0"/>
        <w:spacing w:after="240" w:line="360" w:lineRule="atLeast"/>
        <w:ind w:left="0" w:right="0" w:firstLine="0"/>
        <w:jc w:val="both"/>
        <w:rPr>
          <w:rFonts w:ascii="Times" w:cs="Times" w:hAnsi="Times" w:eastAsia="Times"/>
          <w:color w:val="000000"/>
          <w:sz w:val="24"/>
          <w:szCs w:val="24"/>
          <w:rtl w:val="0"/>
        </w:rPr>
      </w:pPr>
    </w:p>
    <w:p>
      <w:pPr>
        <w:pStyle w:val="Default"/>
        <w:bidi w:val="0"/>
        <w:spacing w:after="240" w:line="360" w:lineRule="atLeast"/>
        <w:ind w:left="0" w:right="0" w:firstLine="0"/>
        <w:jc w:val="both"/>
        <w:rPr>
          <w:rtl w:val="0"/>
        </w:rPr>
        <w:sectPr>
          <w:headerReference w:type="default" r:id="rId4"/>
          <w:footerReference w:type="default" r:id="rId5"/>
          <w:pgSz w:w="11906" w:h="16838" w:orient="portrait"/>
          <w:pgMar w:top="1134" w:right="1134" w:bottom="1134" w:left="1134" w:header="709" w:footer="850"/>
          <w:bidi w:val="0"/>
        </w:sectPr>
      </w:pPr>
      <w:r>
        <w:rPr>
          <w:color w:val="000000"/>
          <w:sz w:val="24"/>
          <w:szCs w:val="24"/>
          <w:rtl w:val="0"/>
          <w:lang w:val="en-US"/>
        </w:rPr>
        <w:t>Words:2042</w:t>
      </w:r>
    </w:p>
    <w:p>
      <w:pPr>
        <w:pStyle w:val="Body"/>
        <w:jc w:val="both"/>
        <w:rPr>
          <w:sz w:val="26"/>
          <w:szCs w:val="26"/>
        </w:rPr>
      </w:pPr>
      <w:r>
        <w:rPr>
          <w:sz w:val="26"/>
          <w:szCs w:val="26"/>
          <w:rtl w:val="0"/>
          <w:lang w:val="en-US"/>
        </w:rPr>
        <w:t>References-</w:t>
      </w:r>
    </w:p>
    <w:p>
      <w:pPr>
        <w:pStyle w:val="Body"/>
        <w:jc w:val="both"/>
        <w:rPr>
          <w:sz w:val="26"/>
          <w:szCs w:val="26"/>
        </w:rPr>
      </w:pPr>
    </w:p>
    <w:p>
      <w:pPr>
        <w:pStyle w:val="Body"/>
        <w:jc w:val="both"/>
        <w:rPr>
          <w:sz w:val="26"/>
          <w:szCs w:val="26"/>
        </w:rPr>
      </w:pPr>
      <w:r>
        <w:rPr>
          <w:sz w:val="26"/>
          <w:szCs w:val="26"/>
          <w:rtl w:val="0"/>
          <w:lang w:val="en-US"/>
        </w:rPr>
        <w:t xml:space="preserve">Learning.gov.wales. (2008). Education for sustainable Development and Global Citizenship. [online] Available at: </w:t>
      </w:r>
      <w:r>
        <w:rPr>
          <w:rStyle w:val="Hyperlink.0"/>
          <w:sz w:val="26"/>
          <w:szCs w:val="26"/>
        </w:rPr>
        <w:fldChar w:fldCharType="begin" w:fldLock="0"/>
      </w:r>
      <w:r>
        <w:rPr>
          <w:rStyle w:val="Hyperlink.0"/>
          <w:sz w:val="26"/>
          <w:szCs w:val="26"/>
        </w:rPr>
        <w:instrText xml:space="preserve"> HYPERLINK "http://learning.gov.wales/docs/learningwales/publications/081204infoteachertraineesen.pdf"</w:instrText>
      </w:r>
      <w:r>
        <w:rPr>
          <w:rStyle w:val="Hyperlink.0"/>
          <w:sz w:val="26"/>
          <w:szCs w:val="26"/>
        </w:rPr>
        <w:fldChar w:fldCharType="separate" w:fldLock="0"/>
      </w:r>
      <w:r>
        <w:rPr>
          <w:rStyle w:val="Hyperlink.0"/>
          <w:sz w:val="26"/>
          <w:szCs w:val="26"/>
          <w:rtl w:val="0"/>
          <w:lang w:val="en-US"/>
        </w:rPr>
        <w:t>http://learning.gov.wales/docs/learningwales/publications/081204infoteachertraineesen.pdf</w:t>
      </w:r>
      <w:r>
        <w:rPr>
          <w:sz w:val="26"/>
          <w:szCs w:val="26"/>
        </w:rPr>
        <w:fldChar w:fldCharType="end" w:fldLock="0"/>
      </w:r>
      <w:r>
        <w:rPr>
          <w:sz w:val="26"/>
          <w:szCs w:val="26"/>
          <w:rtl w:val="0"/>
          <w:lang w:val="en-US"/>
        </w:rPr>
        <w:t xml:space="preserve">  [accessed on 18th Nov]</w:t>
      </w:r>
    </w:p>
    <w:p>
      <w:pPr>
        <w:pStyle w:val="Body"/>
        <w:jc w:val="both"/>
        <w:rPr>
          <w:sz w:val="26"/>
          <w:szCs w:val="26"/>
        </w:rPr>
      </w:pPr>
    </w:p>
    <w:p>
      <w:pPr>
        <w:pStyle w:val="Body"/>
        <w:jc w:val="both"/>
        <w:rPr>
          <w:sz w:val="26"/>
          <w:szCs w:val="26"/>
        </w:rPr>
      </w:pPr>
      <w:r>
        <w:rPr>
          <w:sz w:val="26"/>
          <w:szCs w:val="26"/>
          <w:rtl w:val="0"/>
          <w:lang w:val="en-US"/>
        </w:rPr>
        <w:t>Towards a Common Understanding and Development of Education for Sustainable Development and Global Citizenship (ESDGC)</w:t>
      </w:r>
      <w:r>
        <w:rPr>
          <w:sz w:val="26"/>
          <w:szCs w:val="26"/>
          <w:rtl w:val="0"/>
          <w:lang w:val="en-US"/>
        </w:rPr>
        <w:t xml:space="preserve"> 2010. [online] available at: </w:t>
      </w:r>
      <w:r>
        <w:rPr>
          <w:rStyle w:val="Hyperlink.0"/>
          <w:sz w:val="26"/>
          <w:szCs w:val="26"/>
        </w:rPr>
        <w:fldChar w:fldCharType="begin" w:fldLock="0"/>
      </w:r>
      <w:r>
        <w:rPr>
          <w:rStyle w:val="Hyperlink.0"/>
          <w:sz w:val="26"/>
          <w:szCs w:val="26"/>
        </w:rPr>
        <w:instrText xml:space="preserve"> HYPERLINK "https://www.hefcw.ac.uk/documents/about_he_in_wales/wag_priorities_and_policies/Common%20Understanding%20of%20ESDGC%20.pdf"</w:instrText>
      </w:r>
      <w:r>
        <w:rPr>
          <w:rStyle w:val="Hyperlink.0"/>
          <w:sz w:val="26"/>
          <w:szCs w:val="26"/>
        </w:rPr>
        <w:fldChar w:fldCharType="separate" w:fldLock="0"/>
      </w:r>
      <w:r>
        <w:rPr>
          <w:rStyle w:val="Hyperlink.0"/>
          <w:sz w:val="26"/>
          <w:szCs w:val="26"/>
          <w:rtl w:val="0"/>
          <w:lang w:val="en-US"/>
        </w:rPr>
        <w:t>https://www.hefcw.ac.uk/documents/about_he_in_wales/wag_priorities_and_policies/Common%20Understanding%20of%20ESDGC%20.pdf</w:t>
      </w:r>
      <w:r>
        <w:rPr>
          <w:sz w:val="26"/>
          <w:szCs w:val="26"/>
        </w:rPr>
        <w:fldChar w:fldCharType="end" w:fldLock="0"/>
      </w:r>
      <w:r>
        <w:rPr>
          <w:sz w:val="26"/>
          <w:szCs w:val="26"/>
          <w:rtl w:val="0"/>
          <w:lang w:val="en-US"/>
        </w:rPr>
        <w:t xml:space="preserve"> [accessed on 18th nov]</w:t>
      </w:r>
    </w:p>
    <w:p>
      <w:pPr>
        <w:pStyle w:val="Body"/>
        <w:jc w:val="both"/>
        <w:rPr>
          <w:sz w:val="26"/>
          <w:szCs w:val="26"/>
        </w:rPr>
      </w:pPr>
    </w:p>
    <w:p>
      <w:pPr>
        <w:pStyle w:val="Body"/>
        <w:jc w:val="both"/>
        <w:rPr>
          <w:sz w:val="26"/>
          <w:szCs w:val="26"/>
        </w:rPr>
      </w:pPr>
      <w:r>
        <w:rPr>
          <w:sz w:val="26"/>
          <w:szCs w:val="26"/>
          <w:rtl w:val="0"/>
          <w:lang w:val="en-US"/>
        </w:rPr>
        <w:t>DCELLS(2008) Education for Sustainable Development and Global Citizenship:Inforamtion for teacher trainees and new teachers in Wales. Cardiff: Welsh Assembly Government(WAG) (Copy available on Moodle)</w:t>
      </w:r>
    </w:p>
    <w:p>
      <w:pPr>
        <w:pStyle w:val="Body"/>
        <w:jc w:val="both"/>
        <w:rPr>
          <w:sz w:val="26"/>
          <w:szCs w:val="26"/>
        </w:rPr>
      </w:pPr>
    </w:p>
    <w:p>
      <w:pPr>
        <w:pStyle w:val="Body"/>
        <w:jc w:val="both"/>
        <w:rPr>
          <w:sz w:val="26"/>
          <w:szCs w:val="26"/>
        </w:rPr>
      </w:pPr>
    </w:p>
    <w:p>
      <w:pPr>
        <w:pStyle w:val="Body"/>
        <w:jc w:val="both"/>
        <w:rPr>
          <w:sz w:val="26"/>
          <w:szCs w:val="26"/>
        </w:rPr>
      </w:pPr>
      <w:r>
        <w:rPr>
          <w:rStyle w:val="Hyperlink.0"/>
          <w:sz w:val="26"/>
          <w:szCs w:val="26"/>
        </w:rPr>
        <w:fldChar w:fldCharType="begin" w:fldLock="0"/>
      </w:r>
      <w:r>
        <w:rPr>
          <w:rStyle w:val="Hyperlink.0"/>
          <w:sz w:val="26"/>
          <w:szCs w:val="26"/>
        </w:rPr>
        <w:instrText xml:space="preserve"> HYPERLINK "http://learning.gov.wales/docs/learningwales/publications/081204infoteachertraineesen.pdf"</w:instrText>
      </w:r>
      <w:r>
        <w:rPr>
          <w:rStyle w:val="Hyperlink.0"/>
          <w:sz w:val="26"/>
          <w:szCs w:val="26"/>
        </w:rPr>
        <w:fldChar w:fldCharType="separate" w:fldLock="0"/>
      </w:r>
      <w:r>
        <w:rPr>
          <w:rStyle w:val="Hyperlink.0"/>
          <w:sz w:val="26"/>
          <w:szCs w:val="26"/>
          <w:rtl w:val="0"/>
          <w:lang w:val="en-US"/>
        </w:rPr>
        <w:t>http://learning.gov.wales/docs/learningwales/publications/081204infoteachertraineesen.pdf</w:t>
      </w:r>
      <w:r>
        <w:rPr>
          <w:sz w:val="26"/>
          <w:szCs w:val="26"/>
        </w:rPr>
        <w:fldChar w:fldCharType="end" w:fldLock="0"/>
      </w:r>
      <w:r>
        <w:rPr>
          <w:sz w:val="26"/>
          <w:szCs w:val="26"/>
          <w:rtl w:val="0"/>
          <w:lang w:val="en-US"/>
        </w:rPr>
        <w:t xml:space="preserve"> </w:t>
      </w:r>
    </w:p>
    <w:p>
      <w:pPr>
        <w:pStyle w:val="Body"/>
        <w:jc w:val="both"/>
        <w:rPr>
          <w:sz w:val="26"/>
          <w:szCs w:val="26"/>
        </w:rPr>
      </w:pPr>
    </w:p>
    <w:p>
      <w:pPr>
        <w:pStyle w:val="Default"/>
        <w:bidi w:val="0"/>
        <w:spacing w:after="240"/>
        <w:ind w:left="0" w:right="0" w:firstLine="0"/>
        <w:jc w:val="both"/>
        <w:rPr>
          <w:sz w:val="26"/>
          <w:szCs w:val="26"/>
          <w:rtl w:val="0"/>
        </w:rPr>
      </w:pPr>
      <w:r>
        <w:rPr>
          <w:sz w:val="26"/>
          <w:szCs w:val="26"/>
          <w:rtl w:val="0"/>
          <w:lang w:val="pt-PT"/>
        </w:rPr>
        <w:t>ESDG</w:t>
      </w:r>
      <w:r>
        <w:rPr>
          <w:sz w:val="26"/>
          <w:szCs w:val="26"/>
          <w:rtl w:val="0"/>
          <w:lang w:val="en-US"/>
        </w:rPr>
        <w:t xml:space="preserve">C </w:t>
      </w:r>
      <w:r>
        <w:rPr>
          <w:sz w:val="26"/>
          <w:szCs w:val="26"/>
          <w:rtl w:val="0"/>
          <w:lang w:val="en-US"/>
        </w:rPr>
        <w:t>Progress in education for sustainable development and global citizenship</w:t>
      </w:r>
      <w:r>
        <w:rPr>
          <w:sz w:val="26"/>
          <w:szCs w:val="26"/>
          <w:rtl w:val="0"/>
          <w:lang w:val="en-US"/>
        </w:rPr>
        <w:t>. (Estyn 2014) [online] (accessed 18th Nov 2018)</w:t>
      </w:r>
    </w:p>
    <w:p>
      <w:pPr>
        <w:pStyle w:val="Default"/>
        <w:bidi w:val="0"/>
        <w:spacing w:after="240"/>
        <w:ind w:left="0" w:right="0" w:firstLine="0"/>
        <w:jc w:val="both"/>
        <w:rPr>
          <w:color w:val="000000"/>
          <w:sz w:val="24"/>
          <w:szCs w:val="24"/>
          <w:rtl w:val="0"/>
        </w:rPr>
      </w:pPr>
      <w:r>
        <w:rPr>
          <w:sz w:val="26"/>
          <w:szCs w:val="26"/>
          <w:rtl w:val="0"/>
          <w:lang w:val="en-US"/>
        </w:rPr>
        <w:t xml:space="preserve">Successful Futures </w:t>
      </w:r>
      <w:r>
        <w:rPr>
          <w:sz w:val="26"/>
          <w:szCs w:val="26"/>
          <w:rtl w:val="0"/>
          <w:lang w:val="en-US"/>
        </w:rPr>
        <w:t>:</w:t>
      </w:r>
      <w:r>
        <w:rPr>
          <w:sz w:val="26"/>
          <w:szCs w:val="26"/>
          <w:rtl w:val="0"/>
          <w:lang w:val="en-US"/>
        </w:rPr>
        <w:t>Independent Review of Curriculum</w:t>
      </w:r>
      <w:r>
        <w:rPr>
          <w:sz w:val="26"/>
          <w:szCs w:val="26"/>
          <w:rtl w:val="0"/>
          <w:lang w:val="en-US"/>
        </w:rPr>
        <w:t xml:space="preserve"> </w:t>
      </w:r>
      <w:r>
        <w:rPr>
          <w:sz w:val="26"/>
          <w:szCs w:val="26"/>
          <w:rtl w:val="0"/>
          <w:lang w:val="en-US"/>
        </w:rPr>
        <w:t>and Assessment Arrangements in Wales</w:t>
      </w:r>
      <w:r>
        <w:rPr>
          <w:sz w:val="26"/>
          <w:szCs w:val="26"/>
          <w:rtl w:val="0"/>
          <w:lang w:val="en-US"/>
        </w:rPr>
        <w:t xml:space="preserve">, </w:t>
      </w:r>
      <w:r>
        <w:rPr>
          <w:sz w:val="26"/>
          <w:szCs w:val="26"/>
          <w:rtl w:val="0"/>
          <w:lang w:val="de-DE"/>
        </w:rPr>
        <w:t xml:space="preserve">Professor Graham Donaldson CB </w:t>
      </w:r>
      <w:r>
        <w:rPr>
          <w:sz w:val="26"/>
          <w:szCs w:val="26"/>
          <w:rtl w:val="0"/>
          <w:lang w:val="en-US"/>
        </w:rPr>
        <w:t>,</w:t>
      </w:r>
      <w:r>
        <w:rPr>
          <w:sz w:val="26"/>
          <w:szCs w:val="26"/>
          <w:rtl w:val="0"/>
          <w:lang w:val="en-US"/>
        </w:rPr>
        <w:t xml:space="preserve">February 2015 </w:t>
      </w:r>
      <w:r>
        <w:rPr>
          <w:sz w:val="26"/>
          <w:szCs w:val="26"/>
          <w:rtl w:val="0"/>
          <w:lang w:val="en-US"/>
        </w:rPr>
        <w:t>page 42</w:t>
      </w:r>
    </w:p>
    <w:p>
      <w:pPr>
        <w:pStyle w:val="Default"/>
        <w:bidi w:val="0"/>
        <w:ind w:left="0" w:right="0" w:firstLine="0"/>
        <w:jc w:val="both"/>
        <w:rPr>
          <w:rFonts w:ascii="Helvetica" w:cs="Helvetica" w:hAnsi="Helvetica" w:eastAsia="Helvetica"/>
          <w:color w:val="000000"/>
          <w:sz w:val="26"/>
          <w:szCs w:val="26"/>
          <w:shd w:val="clear" w:color="auto" w:fill="ffffff"/>
          <w:rtl w:val="0"/>
        </w:rPr>
      </w:pPr>
      <w:r>
        <w:rPr>
          <w:rFonts w:ascii="Helvetica" w:hAnsi="Helvetica"/>
          <w:color w:val="000000"/>
          <w:sz w:val="24"/>
          <w:szCs w:val="24"/>
          <w:shd w:val="clear" w:color="auto" w:fill="ffffff"/>
          <w:rtl w:val="0"/>
          <w:lang w:val="en-US"/>
        </w:rPr>
        <w:t>Why play is important</w:t>
      </w:r>
      <w:r>
        <w:rPr>
          <w:rFonts w:ascii="Helvetica" w:hAnsi="Helvetica"/>
          <w:color w:val="000000"/>
          <w:sz w:val="24"/>
          <w:szCs w:val="24"/>
          <w:shd w:val="clear" w:color="auto" w:fill="ffffff"/>
          <w:rtl w:val="0"/>
          <w:lang w:val="en-US"/>
        </w:rPr>
        <w:t xml:space="preserve"> </w:t>
      </w:r>
      <w:r>
        <w:rPr>
          <w:rFonts w:ascii="Helvetica" w:hAnsi="Helvetica"/>
          <w:color w:val="000000"/>
          <w:sz w:val="26"/>
          <w:szCs w:val="26"/>
          <w:shd w:val="clear" w:color="auto" w:fill="ffffff"/>
          <w:rtl w:val="0"/>
          <w:lang w:val="en-US"/>
        </w:rPr>
        <w:t>(</w:t>
      </w:r>
      <w:r>
        <w:rPr>
          <w:rStyle w:val="Hyperlink.1"/>
          <w:rFonts w:ascii="Helvetica" w:cs="Helvetica" w:hAnsi="Helvetica" w:eastAsia="Helvetica"/>
          <w:color w:val="3f3f3f"/>
          <w:sz w:val="26"/>
          <w:szCs w:val="26"/>
          <w:shd w:val="clear" w:color="auto" w:fill="ffffff"/>
          <w:rtl w:val="0"/>
        </w:rPr>
        <w:fldChar w:fldCharType="begin" w:fldLock="0"/>
      </w:r>
      <w:r>
        <w:rPr>
          <w:rStyle w:val="Hyperlink.1"/>
          <w:rFonts w:ascii="Helvetica" w:cs="Helvetica" w:hAnsi="Helvetica" w:eastAsia="Helvetica"/>
          <w:color w:val="3f3f3f"/>
          <w:sz w:val="26"/>
          <w:szCs w:val="26"/>
          <w:shd w:val="clear" w:color="auto" w:fill="ffffff"/>
          <w:rtl w:val="0"/>
        </w:rPr>
        <w:instrText xml:space="preserve"> HYPERLINK "http://www.playengland.org.uk/about-us/why-play-is-important/"</w:instrText>
      </w:r>
      <w:r>
        <w:rPr>
          <w:rStyle w:val="Hyperlink.1"/>
          <w:rFonts w:ascii="Helvetica" w:cs="Helvetica" w:hAnsi="Helvetica" w:eastAsia="Helvetica"/>
          <w:color w:val="3f3f3f"/>
          <w:sz w:val="26"/>
          <w:szCs w:val="26"/>
          <w:shd w:val="clear" w:color="auto" w:fill="ffffff"/>
          <w:rtl w:val="0"/>
        </w:rPr>
        <w:fldChar w:fldCharType="separate" w:fldLock="0"/>
      </w:r>
      <w:r>
        <w:rPr>
          <w:rStyle w:val="Hyperlink.1"/>
          <w:rFonts w:ascii="Helvetica" w:hAnsi="Helvetica"/>
          <w:color w:val="3f3f3f"/>
          <w:sz w:val="26"/>
          <w:szCs w:val="26"/>
          <w:shd w:val="clear" w:color="auto" w:fill="ffffff"/>
          <w:rtl w:val="0"/>
          <w:lang w:val="en-US"/>
        </w:rPr>
        <w:t>http://www.playengland.org.uk/about-us/why-play-is-important/</w:t>
      </w:r>
      <w:r>
        <w:rPr>
          <w:rFonts w:ascii="Helvetica" w:cs="Helvetica" w:hAnsi="Helvetica" w:eastAsia="Helvetica"/>
          <w:color w:val="3f3f3f"/>
          <w:sz w:val="40"/>
          <w:szCs w:val="40"/>
          <w:shd w:val="clear" w:color="auto" w:fill="ffffff"/>
          <w:rtl w:val="0"/>
        </w:rPr>
        <w:fldChar w:fldCharType="end" w:fldLock="0"/>
      </w:r>
      <w:r>
        <w:rPr>
          <w:rFonts w:ascii="Helvetica" w:hAnsi="Helvetica"/>
          <w:color w:val="000000"/>
          <w:sz w:val="26"/>
          <w:szCs w:val="26"/>
          <w:shd w:val="clear" w:color="auto" w:fill="ffffff"/>
          <w:rtl w:val="0"/>
          <w:lang w:val="en-US"/>
        </w:rPr>
        <w:t>)  Date-Unknown (accessed Nov 20th 2018)</w:t>
      </w:r>
    </w:p>
    <w:p>
      <w:pPr>
        <w:pStyle w:val="Default"/>
        <w:bidi w:val="0"/>
        <w:ind w:left="0" w:right="0" w:firstLine="0"/>
        <w:jc w:val="both"/>
        <w:rPr>
          <w:rFonts w:ascii="Helvetica" w:cs="Helvetica" w:hAnsi="Helvetica" w:eastAsia="Helvetica"/>
          <w:color w:val="000000"/>
          <w:sz w:val="26"/>
          <w:szCs w:val="26"/>
          <w:shd w:val="clear" w:color="auto" w:fill="ffffff"/>
          <w:rtl w:val="0"/>
        </w:rPr>
      </w:pPr>
    </w:p>
    <w:p>
      <w:pPr>
        <w:pStyle w:val="Body"/>
        <w:jc w:val="both"/>
        <w:rPr>
          <w:sz w:val="26"/>
          <w:szCs w:val="26"/>
        </w:rPr>
      </w:pPr>
      <w:r>
        <w:rPr>
          <w:color w:val="000000"/>
          <w:sz w:val="26"/>
          <w:szCs w:val="26"/>
          <w:rtl w:val="0"/>
          <w:lang w:val="en-US"/>
        </w:rPr>
        <w:t>10 Ways that Outdoor Learning Benefits your Child</w:t>
      </w:r>
      <w:r>
        <w:rPr>
          <w:color w:val="000000"/>
          <w:sz w:val="26"/>
          <w:szCs w:val="26"/>
          <w:rtl w:val="0"/>
          <w:lang w:val="en-US"/>
        </w:rPr>
        <w:t>- (</w:t>
      </w:r>
      <w:r>
        <w:rPr>
          <w:rStyle w:val="Hyperlink.2"/>
        </w:rPr>
        <w:fldChar w:fldCharType="begin" w:fldLock="0"/>
      </w:r>
      <w:r>
        <w:rPr>
          <w:rStyle w:val="Hyperlink.2"/>
        </w:rPr>
        <w:instrText xml:space="preserve"> HYPERLINK "https://www.independentschoolparent.com/school/outdoor-learning-benefits/"</w:instrText>
      </w:r>
      <w:r>
        <w:rPr>
          <w:rStyle w:val="Hyperlink.2"/>
        </w:rPr>
        <w:fldChar w:fldCharType="separate" w:fldLock="0"/>
      </w:r>
      <w:r>
        <w:rPr>
          <w:rStyle w:val="Hyperlink.2"/>
          <w:rtl w:val="0"/>
          <w:lang w:val="en-US"/>
        </w:rPr>
        <w:t>https://www.independentschoolparent.com/school/outdoor-learning-benefits/</w:t>
      </w:r>
      <w:r>
        <w:rPr/>
        <w:fldChar w:fldCharType="end" w:fldLock="0"/>
      </w:r>
      <w:r>
        <w:rPr>
          <w:color w:val="000000"/>
          <w:sz w:val="26"/>
          <w:szCs w:val="26"/>
          <w:rtl w:val="0"/>
          <w:lang w:val="en-US"/>
        </w:rPr>
        <w:t xml:space="preserve">) written </w:t>
      </w:r>
      <w:r>
        <w:rPr>
          <w:color w:val="000000"/>
          <w:sz w:val="26"/>
          <w:szCs w:val="26"/>
          <w:rtl w:val="0"/>
          <w:lang w:val="en-US"/>
        </w:rPr>
        <w:t xml:space="preserve">By </w:t>
      </w:r>
      <w:r>
        <w:rPr>
          <w:rStyle w:val="Hyperlink.2"/>
        </w:rPr>
        <w:fldChar w:fldCharType="begin" w:fldLock="0"/>
      </w:r>
      <w:r>
        <w:rPr>
          <w:rStyle w:val="Hyperlink.2"/>
        </w:rPr>
        <w:instrText xml:space="preserve"> HYPERLINK "https://www.independentschoolparent.com/author/independent-school-parent/"</w:instrText>
      </w:r>
      <w:r>
        <w:rPr>
          <w:rStyle w:val="Hyperlink.2"/>
        </w:rPr>
        <w:fldChar w:fldCharType="separate" w:fldLock="0"/>
      </w:r>
      <w:r>
        <w:rPr>
          <w:rStyle w:val="Hyperlink.2"/>
          <w:rtl w:val="0"/>
          <w:lang w:val="en-US"/>
        </w:rPr>
        <w:t>Independent School Parent</w:t>
      </w:r>
      <w:r>
        <w:rPr/>
        <w:fldChar w:fldCharType="end" w:fldLock="0"/>
      </w:r>
      <w:r>
        <w:rPr>
          <w:rtl w:val="0"/>
          <w:lang w:val="en-US"/>
        </w:rPr>
        <w:t xml:space="preserve"> </w:t>
      </w:r>
      <w:r>
        <w:rPr>
          <w:sz w:val="26"/>
          <w:szCs w:val="26"/>
          <w:rtl w:val="0"/>
          <w:lang w:val="en-US"/>
        </w:rPr>
        <w:t>(Accessed 20th Nov)</w:t>
      </w:r>
    </w:p>
    <w:p>
      <w:pPr>
        <w:pStyle w:val="Body"/>
        <w:jc w:val="both"/>
        <w:rPr>
          <w:sz w:val="26"/>
          <w:szCs w:val="26"/>
        </w:rPr>
      </w:pPr>
    </w:p>
    <w:p>
      <w:pPr>
        <w:pStyle w:val="Body"/>
        <w:jc w:val="both"/>
      </w:pPr>
      <w:r>
        <w:rPr>
          <w:sz w:val="26"/>
          <w:szCs w:val="26"/>
          <w:rtl w:val="0"/>
          <w:lang w:val="en-US"/>
        </w:rPr>
        <w:t>Curriculum for Wales- Foundation Phase Framework 2015 (</w:t>
      </w:r>
      <w:r>
        <w:rPr>
          <w:rStyle w:val="Hyperlink.0"/>
        </w:rPr>
        <w:fldChar w:fldCharType="begin" w:fldLock="0"/>
      </w:r>
      <w:r>
        <w:rPr>
          <w:rStyle w:val="Hyperlink.0"/>
        </w:rPr>
        <w:instrText xml:space="preserve"> HYPERLINK "https://beta.gov.wales/sites/default/files/publications/2018-02/foundation-phase-framework-revised-2015.pdf"</w:instrText>
      </w:r>
      <w:r>
        <w:rPr>
          <w:rStyle w:val="Hyperlink.0"/>
        </w:rPr>
        <w:fldChar w:fldCharType="separate" w:fldLock="0"/>
      </w:r>
      <w:r>
        <w:rPr>
          <w:rStyle w:val="Hyperlink.0"/>
          <w:rtl w:val="0"/>
          <w:lang w:val="en-US"/>
        </w:rPr>
        <w:t>https://beta.gov.wales/sites/default/files/publications/2018-02/foundation-phase-framework-revised-2015.pdf</w:t>
      </w:r>
      <w:r>
        <w:rPr/>
        <w:fldChar w:fldCharType="end" w:fldLock="0"/>
      </w:r>
      <w:r>
        <w:rPr>
          <w:sz w:val="26"/>
          <w:szCs w:val="26"/>
          <w:rtl w:val="0"/>
          <w:lang w:val="en-US"/>
        </w:rPr>
        <w:t>) (accessed 20th Nov)</w:t>
      </w:r>
    </w:p>
    <w:sectPr>
      <w:head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Hyperlink.0">
    <w:name w:val="Hyperlink.0"/>
    <w:basedOn w:val="Hyperlink"/>
    <w:next w:val="Hyperlink.0"/>
    <w:rPr>
      <w:u w:val="singl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Hyperlink.1">
    <w:name w:val="Hyperlink.1"/>
    <w:basedOn w:val="Hyperlink.0"/>
    <w:next w:val="Hyperlink.1"/>
    <w:rPr>
      <w:sz w:val="26"/>
      <w:szCs w:val="26"/>
    </w:rPr>
  </w:style>
  <w:style w:type="character" w:styleId="Hyperlink.2">
    <w:name w:val="Hyperlink.2"/>
    <w:basedOn w:val="Hyperlink.0"/>
    <w:next w:val="Hyperlink.2"/>
    <w:rPr>
      <w:color w:val="000000"/>
      <w:sz w:val="26"/>
      <w:szCs w:val="26"/>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header" Target="header2.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