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sz w:val="44"/>
          <w:szCs w:val="44"/>
          <w:lang w:val="en-US" w:eastAsia="zh-CN"/>
        </w:rPr>
      </w:pPr>
      <w:r>
        <w:rPr>
          <w:rFonts w:hint="default" w:ascii="Times New Roman" w:hAnsi="Times New Roman" w:cs="Times New Roman"/>
          <w:sz w:val="44"/>
          <w:szCs w:val="44"/>
          <w:lang w:val="en-US" w:eastAsia="zh-CN"/>
        </w:rPr>
        <w:t>Unit name: Leading and Developing People</w:t>
      </w:r>
    </w:p>
    <w:p>
      <w:pPr>
        <w:jc w:val="center"/>
        <w:rPr>
          <w:rFonts w:hint="default" w:ascii="Times New Roman" w:hAnsi="Times New Roman" w:cs="Times New Roman"/>
          <w:sz w:val="44"/>
          <w:szCs w:val="44"/>
          <w:lang w:val="en-US" w:eastAsia="zh-CN"/>
        </w:rPr>
      </w:pPr>
    </w:p>
    <w:p>
      <w:pPr>
        <w:jc w:val="center"/>
        <w:rPr>
          <w:rFonts w:hint="default" w:ascii="Times New Roman" w:hAnsi="Times New Roman" w:cs="Times New Roman"/>
          <w:sz w:val="44"/>
          <w:szCs w:val="44"/>
          <w:lang w:val="en-US" w:eastAsia="zh-CN"/>
        </w:rPr>
      </w:pPr>
      <w:r>
        <w:rPr>
          <w:rFonts w:hint="default" w:ascii="Times New Roman" w:hAnsi="Times New Roman" w:cs="Times New Roman"/>
          <w:sz w:val="44"/>
          <w:szCs w:val="44"/>
          <w:lang w:val="en-US" w:eastAsia="zh-CN"/>
        </w:rPr>
        <w:t>Module code: BMBM6012</w:t>
      </w:r>
    </w:p>
    <w:p>
      <w:pPr>
        <w:jc w:val="center"/>
        <w:rPr>
          <w:rFonts w:hint="default" w:ascii="Times New Roman" w:hAnsi="Times New Roman" w:cs="Times New Roman"/>
          <w:sz w:val="44"/>
          <w:szCs w:val="44"/>
          <w:lang w:val="en-US" w:eastAsia="zh-CN"/>
        </w:rPr>
      </w:pPr>
    </w:p>
    <w:p>
      <w:pPr>
        <w:jc w:val="center"/>
        <w:rPr>
          <w:rFonts w:hint="default" w:ascii="Times New Roman" w:hAnsi="Times New Roman" w:cs="Times New Roman"/>
          <w:sz w:val="44"/>
          <w:szCs w:val="44"/>
          <w:lang w:val="en-US" w:eastAsia="zh-CN"/>
        </w:rPr>
      </w:pPr>
      <w:r>
        <w:rPr>
          <w:rFonts w:hint="default" w:ascii="Times New Roman" w:hAnsi="Times New Roman" w:cs="Times New Roman"/>
          <w:sz w:val="44"/>
          <w:szCs w:val="44"/>
          <w:lang w:val="en-US" w:eastAsia="zh-CN"/>
        </w:rPr>
        <w:t>Instructor: Rebecca Francis-Davies</w:t>
      </w:r>
    </w:p>
    <w:p>
      <w:pPr>
        <w:jc w:val="center"/>
        <w:rPr>
          <w:rFonts w:hint="default" w:ascii="Times New Roman" w:hAnsi="Times New Roman" w:cs="Times New Roman"/>
          <w:sz w:val="44"/>
          <w:szCs w:val="44"/>
          <w:lang w:val="en-US" w:eastAsia="zh-CN"/>
        </w:rPr>
      </w:pPr>
    </w:p>
    <w:p>
      <w:pPr>
        <w:jc w:val="center"/>
        <w:rPr>
          <w:rFonts w:hint="default" w:ascii="Times New Roman" w:hAnsi="Times New Roman" w:cs="Times New Roman"/>
          <w:sz w:val="44"/>
          <w:szCs w:val="44"/>
          <w:lang w:val="en-US" w:eastAsia="zh-CN"/>
        </w:rPr>
      </w:pPr>
      <w:r>
        <w:rPr>
          <w:rFonts w:hint="default" w:ascii="Times New Roman" w:hAnsi="Times New Roman" w:cs="Times New Roman"/>
          <w:sz w:val="44"/>
          <w:szCs w:val="44"/>
          <w:lang w:val="en-US" w:eastAsia="zh-CN"/>
        </w:rPr>
        <w:t>Student name: Yaotao Zhang</w:t>
      </w:r>
    </w:p>
    <w:p>
      <w:pPr>
        <w:jc w:val="center"/>
        <w:rPr>
          <w:rFonts w:hint="default" w:ascii="Times New Roman" w:hAnsi="Times New Roman" w:cs="Times New Roman"/>
          <w:sz w:val="44"/>
          <w:szCs w:val="44"/>
          <w:lang w:val="en-US" w:eastAsia="zh-CN"/>
        </w:rPr>
      </w:pPr>
    </w:p>
    <w:p>
      <w:pPr>
        <w:jc w:val="center"/>
        <w:rPr>
          <w:rFonts w:hint="default" w:ascii="Times New Roman" w:hAnsi="Times New Roman" w:cs="Times New Roman"/>
          <w:sz w:val="44"/>
          <w:szCs w:val="44"/>
          <w:lang w:val="en-US" w:eastAsia="zh-CN"/>
        </w:rPr>
      </w:pPr>
      <w:r>
        <w:rPr>
          <w:rFonts w:hint="default" w:ascii="Times New Roman" w:hAnsi="Times New Roman" w:cs="Times New Roman"/>
          <w:sz w:val="44"/>
          <w:szCs w:val="44"/>
          <w:lang w:val="en-US" w:eastAsia="zh-CN"/>
        </w:rPr>
        <w:t>Student ID number: 2307177</w:t>
      </w:r>
    </w:p>
    <w:p>
      <w:pPr>
        <w:jc w:val="center"/>
        <w:rPr>
          <w:rFonts w:hint="default" w:ascii="Times New Roman" w:hAnsi="Times New Roman" w:cs="Times New Roman"/>
          <w:sz w:val="44"/>
          <w:szCs w:val="44"/>
          <w:lang w:val="en-US" w:eastAsia="zh-CN"/>
        </w:rPr>
      </w:pPr>
    </w:p>
    <w:p>
      <w:pPr>
        <w:jc w:val="center"/>
        <w:rPr>
          <w:rFonts w:hint="default" w:ascii="Times New Roman" w:hAnsi="Times New Roman" w:cs="Times New Roman"/>
          <w:sz w:val="44"/>
          <w:szCs w:val="44"/>
          <w:lang w:val="en-US" w:eastAsia="zh-CN"/>
        </w:rPr>
      </w:pPr>
      <w:r>
        <w:rPr>
          <w:rFonts w:hint="default" w:ascii="Times New Roman" w:hAnsi="Times New Roman" w:cs="Times New Roman"/>
          <w:sz w:val="44"/>
          <w:szCs w:val="44"/>
          <w:lang w:val="en-US" w:eastAsia="zh-CN"/>
        </w:rPr>
        <w:t>Submission date: April 15, 2024</w:t>
      </w:r>
    </w:p>
    <w:p>
      <w:pPr>
        <w:jc w:val="center"/>
        <w:rPr>
          <w:rFonts w:hint="default" w:ascii="Times New Roman" w:hAnsi="Times New Roman" w:cs="Times New Roman"/>
          <w:sz w:val="44"/>
          <w:szCs w:val="44"/>
          <w:lang w:val="en-US" w:eastAsia="zh-CN"/>
        </w:rPr>
      </w:pPr>
      <w:r>
        <w:rPr>
          <w:rFonts w:hint="eastAsia" w:ascii="Times New Roman" w:hAnsi="Times New Roman" w:cs="Times New Roman"/>
          <w:sz w:val="44"/>
          <w:szCs w:val="44"/>
          <w:lang w:val="en-US" w:eastAsia="zh-CN"/>
        </w:rPr>
        <w:t>LINK：https://youtu.be/ZJBNrbMizhw</w:t>
      </w:r>
      <w:bookmarkStart w:id="0" w:name="_GoBack"/>
      <w:bookmarkEnd w:id="0"/>
    </w:p>
    <w:p>
      <w:pPr>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br w:type="page"/>
      </w:r>
    </w:p>
    <w:p>
      <w:pPr>
        <w:jc w:val="both"/>
        <w:rPr>
          <w:rFonts w:hint="default" w:ascii="Times New Roman" w:hAnsi="Times New Roman" w:cs="Times New Roman"/>
          <w:sz w:val="24"/>
          <w:szCs w:val="24"/>
        </w:rPr>
      </w:pPr>
      <w:r>
        <w:rPr>
          <w:rFonts w:hint="default" w:ascii="Times New Roman" w:hAnsi="Times New Roman" w:cs="Times New Roman"/>
          <w:sz w:val="24"/>
          <w:szCs w:val="24"/>
        </w:rPr>
        <w:t>1.</w:t>
      </w:r>
    </w:p>
    <w:p>
      <w:pPr>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In the present highly competitive job market, the intense pursuit of top-tier talents has escalated into a non-violent "Robbery battle" In this conflict, the significance of an employer's brand is paramount in attracting and retaining these invaluable resources. NVIDIA emerges as a premier employer, leveraging its distinctive organizational culture and principles to attract an abundant supply of exceptional individuals. Its esteemed status as a leading employer positions it as the ideal destination for ambitious professionals seeking challenging and fulfilling careers. In my discussion, I will delve into the unique allure of NVIDIA as a company possessing a robust and respected employer brand.（</w:t>
      </w:r>
      <w:r>
        <w:rPr>
          <w:rFonts w:hint="default" w:ascii="Times New Roman" w:hAnsi="Times New Roman" w:eastAsia="宋体" w:cs="Times New Roman"/>
          <w:kern w:val="0"/>
          <w:sz w:val="24"/>
          <w:szCs w:val="24"/>
          <w:lang w:val="en-US" w:eastAsia="zh-CN" w:bidi="ar"/>
        </w:rPr>
        <w:t>Research Methodology. (2023)）</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2. Mission and Culture</w:t>
      </w:r>
    </w:p>
    <w:p>
      <w:pPr>
        <w:jc w:val="both"/>
        <w:rPr>
          <w:rFonts w:hint="default" w:ascii="Times New Roman" w:hAnsi="Times New Roman" w:cs="Times New Roman"/>
          <w:sz w:val="24"/>
          <w:szCs w:val="24"/>
        </w:rPr>
      </w:pPr>
    </w:p>
    <w:p>
      <w:pPr>
        <w:jc w:val="both"/>
        <w:rPr>
          <w:rFonts w:hint="default" w:ascii="Times New Roman" w:hAnsi="Times New Roman" w:cs="Times New Roman" w:eastAsiaTheme="minorEastAsia"/>
          <w:sz w:val="24"/>
          <w:szCs w:val="24"/>
          <w:lang w:eastAsia="zh-CN"/>
        </w:rPr>
      </w:pPr>
      <w:r>
        <w:rPr>
          <w:rFonts w:hint="default" w:ascii="Times New Roman" w:hAnsi="Times New Roman" w:cs="Times New Roman"/>
          <w:sz w:val="24"/>
          <w:szCs w:val="24"/>
          <w:lang w:eastAsia="zh-CN"/>
        </w:rPr>
        <w:t>NVIDIA is driven by innovative technology and aims to shape the future of computing. This mission is the heart of the company's culture, motivating employees towards technological breakthroughs. Teamwork, continuous innovation, and excellence are core values that drive NVIDIA's development. This cultural atmosphere fosters a dynamic and collaborative work environment, fully utilizing employee potential to promote the company's progress.</w:t>
      </w:r>
    </w:p>
    <w:p>
      <w:pPr>
        <w:jc w:val="both"/>
        <w:rPr>
          <w:rFonts w:hint="default" w:ascii="Times New Roman" w:hAnsi="Times New Roman" w:cs="Times New Roman"/>
          <w:kern w:val="2"/>
          <w:sz w:val="24"/>
          <w:szCs w:val="24"/>
          <w:lang w:val="en-US" w:eastAsia="zh-CN" w:bidi="ar-SA"/>
        </w:rPr>
      </w:pPr>
    </w:p>
    <w:p>
      <w:pPr>
        <w:jc w:val="both"/>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NVIDIA's AI vehicle platform Drive AGX is a scalable computing platform that can handle a variety of applications from ADAS to fully autonomous driving. The platform uses NVIDIA's powerful GPU and AI technology to process sensor data and make decisions in real time. It has been adopted by the world's leading automobile manufacturers and autonomous driving technology companies such as Mercedes-Benz, Volvo, and Audi to develop innovative solutions such as autonomous parking, autonomous driving, and autonomous emergency braking.（</w:t>
      </w:r>
      <w:r>
        <w:rPr>
          <w:rFonts w:hint="default" w:ascii="Times New Roman" w:hAnsi="Times New Roman" w:eastAsia="宋体" w:cs="Times New Roman"/>
          <w:kern w:val="0"/>
          <w:sz w:val="24"/>
          <w:szCs w:val="24"/>
          <w:lang w:val="en-US" w:eastAsia="zh-CN" w:bidi="ar"/>
        </w:rPr>
        <w:t>Muller, T., Askaripoor, H., &amp; Knoll, A. (2022)）</w:t>
      </w:r>
    </w:p>
    <w:p>
      <w:pPr>
        <w:jc w:val="both"/>
        <w:rPr>
          <w:rFonts w:hint="default" w:ascii="Times New Roman" w:hAnsi="Times New Roman" w:cs="Times New Roman"/>
          <w:kern w:val="2"/>
          <w:sz w:val="24"/>
          <w:szCs w:val="24"/>
          <w:lang w:val="en-US" w:eastAsia="zh-CN" w:bidi="ar-SA"/>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3. Employee value proposition</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EVP represents the unique benefits and value a company provides to its employees, including compensation, welfare, career advancement, work environment, and corporate culture. （</w:t>
      </w:r>
      <w:r>
        <w:rPr>
          <w:rFonts w:hint="default" w:ascii="Times New Roman" w:hAnsi="Times New Roman" w:eastAsia="宋体" w:cs="Times New Roman"/>
          <w:kern w:val="0"/>
          <w:sz w:val="24"/>
          <w:szCs w:val="24"/>
          <w:lang w:val="en-US" w:eastAsia="zh-CN" w:bidi="ar"/>
        </w:rPr>
        <w:t>Phungula, N., Dhanpat, N., &amp; Braine, R. de. (2022)）</w:t>
      </w:r>
    </w:p>
    <w:p>
      <w:pPr>
        <w:keepNext w:val="0"/>
        <w:keepLines w:val="0"/>
        <w:widowControl/>
        <w:numPr>
          <w:ilvl w:val="0"/>
          <w:numId w:val="0"/>
        </w:numPr>
        <w:suppressLineNumbers w:val="0"/>
        <w:spacing w:before="0" w:beforeAutospacing="1" w:after="0" w:afterAutospacing="1"/>
        <w:jc w:val="both"/>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NVIDIA offers competitive salaries, benefits, career development, and learning opportunities. It promotes cross-department collaboration for employee impact and innovative work environment. NVIDIA's EVP combines generous rewards with a supportive culture for growth.</w:t>
      </w:r>
    </w:p>
    <w:p>
      <w:pPr>
        <w:keepNext w:val="0"/>
        <w:keepLines w:val="0"/>
        <w:widowControl/>
        <w:numPr>
          <w:ilvl w:val="0"/>
          <w:numId w:val="0"/>
        </w:numPr>
        <w:suppressLineNumbers w:val="0"/>
        <w:spacing w:before="0" w:beforeAutospacing="1" w:after="0" w:afterAutospacing="1"/>
        <w:jc w:val="both"/>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Employee Benefits and Career Development: NVIDIA offers competitive compensation and benefits, including Stanford Health Navigator program for medical consultation and care.（</w:t>
      </w:r>
      <w:r>
        <w:rPr>
          <w:rFonts w:hint="default" w:ascii="Times New Roman" w:hAnsi="Times New Roman" w:cs="Times New Roman"/>
          <w:sz w:val="24"/>
          <w:szCs w:val="24"/>
          <w:lang w:eastAsia="zh-CN"/>
        </w:rPr>
        <w:t>NVIDIA. (</w:t>
      </w:r>
      <w:r>
        <w:rPr>
          <w:rFonts w:hint="default" w:ascii="Times New Roman" w:hAnsi="Times New Roman" w:cs="Times New Roman"/>
          <w:sz w:val="24"/>
          <w:szCs w:val="24"/>
          <w:lang w:val="en-US" w:eastAsia="zh-CN"/>
        </w:rPr>
        <w:t>2024</w:t>
      </w:r>
      <w:r>
        <w:rPr>
          <w:rFonts w:hint="default" w:ascii="Times New Roman" w:hAnsi="Times New Roman" w:cs="Times New Roman"/>
          <w:sz w:val="24"/>
          <w:szCs w:val="24"/>
          <w:lang w:eastAsia="zh-CN"/>
        </w:rPr>
        <w:t>)）</w:t>
      </w:r>
    </w:p>
    <w:p>
      <w:pPr>
        <w:keepNext w:val="0"/>
        <w:keepLines w:val="0"/>
        <w:widowControl/>
        <w:numPr>
          <w:ilvl w:val="0"/>
          <w:numId w:val="0"/>
        </w:numPr>
        <w:suppressLineNumbers w:val="0"/>
        <w:spacing w:before="0" w:beforeAutospacing="1" w:after="100" w:afterAutospacing="1"/>
        <w:jc w:val="both"/>
        <w:rPr>
          <w:rFonts w:hint="default" w:ascii="Times New Roman" w:hAnsi="Times New Roman" w:cs="Times New Roman"/>
          <w:kern w:val="2"/>
          <w:sz w:val="24"/>
          <w:szCs w:val="24"/>
          <w:lang w:val="en-US" w:eastAsia="zh-CN" w:bidi="ar-SA"/>
        </w:rPr>
      </w:pPr>
      <w:r>
        <w:rPr>
          <w:rFonts w:hint="default" w:ascii="Times New Roman" w:hAnsi="Times New Roman" w:cs="Times New Roman"/>
          <w:kern w:val="2"/>
          <w:sz w:val="24"/>
          <w:szCs w:val="24"/>
          <w:lang w:val="en-US" w:eastAsia="zh-CN" w:bidi="ar-SA"/>
        </w:rPr>
        <w:t>Cross-department collaboration: NVIDIA cooperates with 14 universities, including Dartmouth College and Stanford University, to promote graphics research advancement and stay connected with the latest research developments.（</w:t>
      </w:r>
      <w:r>
        <w:rPr>
          <w:rFonts w:hint="default" w:ascii="Times New Roman" w:hAnsi="Times New Roman" w:cs="Times New Roman"/>
          <w:sz w:val="24"/>
          <w:szCs w:val="24"/>
          <w:lang w:eastAsia="zh-CN"/>
        </w:rPr>
        <w:t>NVIDIA. (</w:t>
      </w:r>
      <w:r>
        <w:rPr>
          <w:rFonts w:hint="default" w:ascii="Times New Roman" w:hAnsi="Times New Roman" w:cs="Times New Roman"/>
          <w:sz w:val="24"/>
          <w:szCs w:val="24"/>
          <w:lang w:val="en-US" w:eastAsia="zh-CN"/>
        </w:rPr>
        <w:t>2024</w:t>
      </w:r>
      <w:r>
        <w:rPr>
          <w:rFonts w:hint="default" w:ascii="Times New Roman" w:hAnsi="Times New Roman" w:cs="Times New Roman"/>
          <w:sz w:val="24"/>
          <w:szCs w:val="24"/>
          <w:lang w:eastAsia="zh-CN"/>
        </w:rPr>
        <w:t>)）</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4. Focus on employee satisfaction and retention</w:t>
      </w:r>
    </w:p>
    <w:p>
      <w:pPr>
        <w:jc w:val="both"/>
        <w:rPr>
          <w:rFonts w:hint="default" w:ascii="Times New Roman" w:hAnsi="Times New Roman" w:cs="Times New Roman"/>
          <w:sz w:val="24"/>
          <w:szCs w:val="24"/>
        </w:rPr>
      </w:pPr>
    </w:p>
    <w:p>
      <w:pPr>
        <w:jc w:val="both"/>
        <w:rPr>
          <w:rFonts w:hint="default" w:ascii="Times New Roman" w:hAnsi="Times New Roman" w:cs="Times New Roman" w:eastAsiaTheme="minorEastAsia"/>
          <w:sz w:val="24"/>
          <w:szCs w:val="24"/>
          <w:lang w:eastAsia="zh-CN"/>
        </w:rPr>
      </w:pPr>
      <w:r>
        <w:rPr>
          <w:rFonts w:hint="default" w:ascii="Times New Roman" w:hAnsi="Times New Roman" w:cs="Times New Roman"/>
          <w:sz w:val="24"/>
          <w:szCs w:val="24"/>
          <w:lang w:eastAsia="zh-CN"/>
        </w:rPr>
        <w:t>Employee satisfaction and retention are measures of how content employees are with their work experiences and their decision to remain with the company instead of seeking other opportunities.（</w:t>
      </w:r>
      <w:r>
        <w:rPr>
          <w:rFonts w:hint="default" w:ascii="Times New Roman" w:hAnsi="Times New Roman" w:eastAsia="宋体" w:cs="Times New Roman"/>
          <w:kern w:val="0"/>
          <w:sz w:val="24"/>
          <w:szCs w:val="24"/>
          <w:lang w:val="en-US" w:eastAsia="zh-CN" w:bidi="ar"/>
        </w:rPr>
        <w:t>Copeland, C. (2022)）</w:t>
      </w:r>
    </w:p>
    <w:p>
      <w:pPr>
        <w:jc w:val="both"/>
        <w:rPr>
          <w:rFonts w:hint="default" w:ascii="Times New Roman" w:hAnsi="Times New Roman" w:cs="Times New Roman"/>
          <w:sz w:val="24"/>
          <w:szCs w:val="24"/>
          <w:lang w:eastAsia="zh-CN"/>
        </w:rPr>
      </w:pPr>
    </w:p>
    <w:p>
      <w:pPr>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NVIDIA knows that happy employees are key to organizational growth. Regular surveys help us improve areas that need attention and we value employee opinions. We also focus on career development, offering comprehensive plans and clear paths. Our goal is to create a supportive workplace that fosters loyalty and long-term retention.</w:t>
      </w:r>
    </w:p>
    <w:p>
      <w:pPr>
        <w:keepNext w:val="0"/>
        <w:keepLines w:val="0"/>
        <w:widowControl/>
        <w:numPr>
          <w:ilvl w:val="0"/>
          <w:numId w:val="0"/>
        </w:numPr>
        <w:suppressLineNumbers w:val="0"/>
        <w:spacing w:before="0" w:beforeAutospacing="1" w:after="100" w:afterAutospacing="1"/>
        <w:jc w:val="both"/>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kern w:val="2"/>
          <w:sz w:val="24"/>
          <w:szCs w:val="24"/>
          <w:lang w:val="en-US" w:eastAsia="zh-CN" w:bidi="ar-SA"/>
        </w:rPr>
        <w:t>Employee Satisfaction: NVIDIA employees' feedback has been consistently positive on Glassdoor. 98% of employees approve of Jensen Huang's leadership, and 94% would recommend working at NVIDIA.（</w:t>
      </w:r>
      <w:r>
        <w:rPr>
          <w:rFonts w:hint="default" w:ascii="Times New Roman" w:hAnsi="Times New Roman" w:cs="Times New Roman"/>
          <w:sz w:val="24"/>
          <w:szCs w:val="24"/>
          <w:lang w:eastAsia="zh-CN"/>
        </w:rPr>
        <w:t>NVIDIA. (</w:t>
      </w:r>
      <w:r>
        <w:rPr>
          <w:rFonts w:hint="default" w:ascii="Times New Roman" w:hAnsi="Times New Roman" w:cs="Times New Roman"/>
          <w:sz w:val="24"/>
          <w:szCs w:val="24"/>
          <w:lang w:val="en-US" w:eastAsia="zh-CN"/>
        </w:rPr>
        <w:t>2024</w:t>
      </w:r>
      <w:r>
        <w:rPr>
          <w:rFonts w:hint="default" w:ascii="Times New Roman" w:hAnsi="Times New Roman" w:cs="Times New Roman"/>
          <w:sz w:val="24"/>
          <w:szCs w:val="24"/>
          <w:lang w:eastAsia="zh-CN"/>
        </w:rPr>
        <w:t>)）</w:t>
      </w:r>
    </w:p>
    <w:p>
      <w:pPr>
        <w:keepNext w:val="0"/>
        <w:keepLines w:val="0"/>
        <w:widowControl/>
        <w:numPr>
          <w:ilvl w:val="0"/>
          <w:numId w:val="0"/>
        </w:numPr>
        <w:suppressLineNumbers w:val="0"/>
        <w:spacing w:before="0" w:beforeAutospacing="1" w:after="100" w:afterAutospacing="1"/>
        <w:jc w:val="both"/>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kern w:val="2"/>
          <w:sz w:val="24"/>
          <w:szCs w:val="24"/>
          <w:lang w:val="en-US" w:eastAsia="zh-CN" w:bidi="ar-SA"/>
        </w:rPr>
        <w:t>Employee loyalty and retention: NVIDIA is among the top 10% of its peers in retaining quality staff, according to Comparably. Seventy-nine percent of employees refuse higher-paying jobs to stay with NVIDIA, and eighty percent look forward to working there daily.（</w:t>
      </w:r>
      <w:r>
        <w:rPr>
          <w:rFonts w:hint="default" w:ascii="Times New Roman" w:hAnsi="Times New Roman" w:eastAsia="宋体" w:cs="Times New Roman"/>
          <w:kern w:val="0"/>
          <w:sz w:val="24"/>
          <w:szCs w:val="24"/>
          <w:lang w:val="en-US" w:eastAsia="zh-CN" w:bidi="ar"/>
        </w:rPr>
        <w:t>Comparably. (2024)）</w:t>
      </w:r>
    </w:p>
    <w:p>
      <w:pPr>
        <w:jc w:val="both"/>
        <w:rPr>
          <w:rFonts w:hint="default" w:ascii="Times New Roman" w:hAnsi="Times New Roman" w:cs="Times New Roman" w:eastAsiaTheme="minorEastAsia"/>
          <w:kern w:val="2"/>
          <w:sz w:val="24"/>
          <w:szCs w:val="24"/>
          <w:lang w:val="en-US" w:eastAsia="zh-CN" w:bidi="ar-SA"/>
        </w:rPr>
      </w:pPr>
    </w:p>
    <w:p>
      <w:pPr>
        <w:jc w:val="both"/>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5. Social media analysis and promotion plan</w:t>
      </w:r>
    </w:p>
    <w:p>
      <w:pPr>
        <w:jc w:val="both"/>
        <w:rPr>
          <w:rFonts w:hint="default" w:ascii="Times New Roman" w:hAnsi="Times New Roman" w:cs="Times New Roman" w:eastAsiaTheme="minorEastAsia"/>
          <w:kern w:val="2"/>
          <w:sz w:val="24"/>
          <w:szCs w:val="24"/>
          <w:lang w:val="en-US" w:eastAsia="zh-CN" w:bidi="ar-SA"/>
        </w:rPr>
      </w:pPr>
    </w:p>
    <w:p>
      <w:pPr>
        <w:jc w:val="both"/>
        <w:rPr>
          <w:rFonts w:hint="default" w:ascii="Times New Roman" w:hAnsi="Times New Roman" w:eastAsia="宋体" w:cs="Times New Roman"/>
          <w:kern w:val="0"/>
          <w:sz w:val="24"/>
          <w:szCs w:val="24"/>
          <w:lang w:val="en-US" w:eastAsia="zh-CN" w:bidi="ar"/>
        </w:rPr>
      </w:pPr>
      <w:r>
        <w:rPr>
          <w:rFonts w:hint="default" w:ascii="Times New Roman" w:hAnsi="Times New Roman" w:cs="Times New Roman" w:eastAsiaTheme="minorEastAsia"/>
          <w:kern w:val="2"/>
          <w:sz w:val="24"/>
          <w:szCs w:val="24"/>
          <w:lang w:val="en-US" w:eastAsia="zh-CN" w:bidi="ar-SA"/>
        </w:rPr>
        <w:t>Social media analysis and promotion plan aim to understand audience behavior, preferences, and trends on social media platforms. Targeted</w:t>
      </w:r>
      <w:r>
        <w:rPr>
          <w:rFonts w:hint="default" w:ascii="Times New Roman" w:hAnsi="Times New Roman" w:cs="Times New Roman"/>
          <w:sz w:val="24"/>
          <w:szCs w:val="24"/>
          <w:lang w:eastAsia="zh-CN"/>
        </w:rPr>
        <w:t xml:space="preserve"> promotional campaigns are then created to improve brand visibility, engagement, and marketing goals.（</w:t>
      </w:r>
      <w:r>
        <w:rPr>
          <w:rFonts w:hint="default" w:ascii="Times New Roman" w:hAnsi="Times New Roman" w:eastAsia="宋体" w:cs="Times New Roman"/>
          <w:kern w:val="0"/>
          <w:sz w:val="24"/>
          <w:szCs w:val="24"/>
          <w:lang w:val="en-US" w:eastAsia="zh-CN" w:bidi="ar"/>
        </w:rPr>
        <w:t>Khurana, T., Pannu, S., &amp; Dalal, G. (2024)）</w:t>
      </w:r>
    </w:p>
    <w:p>
      <w:pPr>
        <w:jc w:val="both"/>
        <w:rPr>
          <w:rFonts w:hint="default" w:ascii="Times New Roman" w:hAnsi="Times New Roman" w:eastAsia="宋体" w:cs="Times New Roman"/>
          <w:kern w:val="0"/>
          <w:sz w:val="24"/>
          <w:szCs w:val="24"/>
          <w:lang w:val="en-US" w:eastAsia="zh-CN" w:bidi="ar"/>
        </w:rPr>
      </w:pPr>
    </w:p>
    <w:p>
      <w:pPr>
        <w:jc w:val="both"/>
        <w:rPr>
          <w:rFonts w:hint="default" w:ascii="Times New Roman" w:hAnsi="Times New Roman" w:cs="Times New Roman" w:eastAsiaTheme="minorEastAsia"/>
          <w:sz w:val="24"/>
          <w:szCs w:val="24"/>
          <w:lang w:eastAsia="zh-CN"/>
        </w:rPr>
      </w:pPr>
      <w:r>
        <w:rPr>
          <w:rFonts w:hint="default" w:ascii="Times New Roman" w:hAnsi="Times New Roman" w:cs="Times New Roman"/>
          <w:sz w:val="24"/>
          <w:szCs w:val="24"/>
          <w:lang w:eastAsia="zh-CN"/>
        </w:rPr>
        <w:t>NVIDIA utilizes social media and data analysis to monitor employee emotions and engagement. The company also focuses on cultivating an advocate group of passionate employees who share positive experiences and insights on social media, thereby boosting NVIDIA's brand influence and attracting top talent. NVIDIA leverages its employees' voices to enhance its employer brand and cement its position as a preferred employer in the competitive technology industry.（</w:t>
      </w:r>
      <w:r>
        <w:rPr>
          <w:rFonts w:hint="default" w:ascii="Times New Roman" w:hAnsi="Times New Roman" w:eastAsia="宋体" w:cs="Times New Roman"/>
          <w:kern w:val="0"/>
          <w:sz w:val="24"/>
          <w:szCs w:val="24"/>
          <w:lang w:val="en-US" w:eastAsia="zh-CN" w:bidi="ar"/>
        </w:rPr>
        <w:t>Verdict. (2023)）</w:t>
      </w:r>
    </w:p>
    <w:p>
      <w:pPr>
        <w:jc w:val="both"/>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6.</w:t>
      </w:r>
    </w:p>
    <w:p>
      <w:pPr>
        <w:jc w:val="both"/>
        <w:rPr>
          <w:rFonts w:hint="default" w:ascii="Times New Roman" w:hAnsi="Times New Roman" w:cs="Times New Roman"/>
          <w:sz w:val="24"/>
          <w:szCs w:val="24"/>
        </w:rPr>
      </w:pPr>
      <w:r>
        <w:rPr>
          <w:rFonts w:hint="default" w:ascii="Times New Roman" w:hAnsi="Times New Roman" w:cs="Times New Roman"/>
          <w:sz w:val="24"/>
          <w:szCs w:val="24"/>
        </w:rPr>
        <w:t>Overall, NVIDIA remains true to its mission, vibrant culture, and strong employee value proposition with a strong focus on employee satisfaction and retention, solidifying its position as an employer brand innovator. By leveraging social media advocacy and prioritizing employee well-being, NVIDIA creates compelling stories that resonate deeply with exceptional talent, laying the foundation for continued success and leadership in a rapidly evolving technology space.</w:t>
      </w:r>
    </w:p>
    <w:p>
      <w:pPr>
        <w:jc w:val="both"/>
        <w:rPr>
          <w:rFonts w:hint="default" w:ascii="Times New Roman" w:hAnsi="Times New Roman" w:cs="Times New Roman"/>
          <w:sz w:val="24"/>
          <w:szCs w:val="24"/>
        </w:rPr>
      </w:pPr>
      <w:r>
        <w:rPr>
          <w:rFonts w:hint="default" w:ascii="Times New Roman" w:hAnsi="Times New Roman" w:cs="Times New Roman"/>
          <w:sz w:val="24"/>
          <w:szCs w:val="24"/>
        </w:rPr>
        <w:br w:type="page"/>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Reference</w:t>
      </w:r>
    </w:p>
    <w:p>
      <w:pPr>
        <w:keepNext w:val="0"/>
        <w:keepLines w:val="0"/>
        <w:widowControl/>
        <w:suppressLineNumbers w:val="0"/>
        <w:jc w:val="both"/>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1.Research Methodology. (2023). NVIDIA Organizational Culture Overview. Retrieved from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"https://research-methodology.net/nvidia-organizational-culture-overview/" </w:instrText>
      </w:r>
      <w:r>
        <w:rPr>
          <w:rFonts w:hint="default" w:ascii="Times New Roman" w:hAnsi="Times New Roman" w:eastAsia="宋体" w:cs="Times New Roman"/>
          <w:kern w:val="0"/>
          <w:sz w:val="24"/>
          <w:szCs w:val="24"/>
          <w:lang w:val="en-US" w:eastAsia="zh-CN" w:bidi="ar"/>
        </w:rPr>
        <w:fldChar w:fldCharType="separate"/>
      </w:r>
      <w:r>
        <w:rPr>
          <w:rStyle w:val="5"/>
          <w:rFonts w:hint="default" w:ascii="Times New Roman" w:hAnsi="Times New Roman" w:eastAsia="宋体" w:cs="Times New Roman"/>
          <w:kern w:val="0"/>
          <w:sz w:val="24"/>
          <w:szCs w:val="24"/>
          <w:lang w:val="en-US" w:eastAsia="zh-CN" w:bidi="ar"/>
        </w:rPr>
        <w:t>https://research-methodology.net/nvidia-organizational-culture-overview/</w:t>
      </w:r>
      <w:r>
        <w:rPr>
          <w:rFonts w:hint="default" w:ascii="Times New Roman" w:hAnsi="Times New Roman" w:eastAsia="宋体" w:cs="Times New Roman"/>
          <w:kern w:val="0"/>
          <w:sz w:val="24"/>
          <w:szCs w:val="24"/>
          <w:lang w:val="en-US" w:eastAsia="zh-CN" w:bidi="ar"/>
        </w:rPr>
        <w:fldChar w:fldCharType="end"/>
      </w:r>
    </w:p>
    <w:p>
      <w:pPr>
        <w:keepNext w:val="0"/>
        <w:keepLines w:val="0"/>
        <w:widowControl/>
        <w:suppressLineNumbers w:val="0"/>
        <w:jc w:val="both"/>
        <w:rPr>
          <w:rFonts w:hint="default" w:ascii="Times New Roman" w:hAnsi="Times New Roman" w:eastAsia="宋体" w:cs="Times New Roman"/>
          <w:kern w:val="0"/>
          <w:sz w:val="24"/>
          <w:szCs w:val="24"/>
          <w:lang w:val="en-US" w:eastAsia="zh-CN" w:bidi="ar"/>
        </w:rPr>
      </w:pPr>
    </w:p>
    <w:p>
      <w:pPr>
        <w:keepNext w:val="0"/>
        <w:keepLines w:val="0"/>
        <w:widowControl/>
        <w:suppressLineNumbers w:val="0"/>
        <w:jc w:val="both"/>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2.Muller, T., Askaripoor, H., &amp; Knoll, A. (2022). Performance Analysis of KVM Hypervisor Using a Self-Driving Developer Kit. </w:t>
      </w:r>
      <w:r>
        <w:rPr>
          <w:rFonts w:hint="default" w:ascii="Times New Roman" w:hAnsi="Times New Roman" w:eastAsia="宋体" w:cs="Times New Roman"/>
          <w:i/>
          <w:iCs/>
          <w:kern w:val="0"/>
          <w:sz w:val="24"/>
          <w:szCs w:val="24"/>
          <w:lang w:val="en-US" w:eastAsia="zh-CN" w:bidi="ar"/>
        </w:rPr>
        <w:t>IECON 2022 – 48th Annual Conference of the IEEE Industrial Electronics Society</w:t>
      </w:r>
      <w:r>
        <w:rPr>
          <w:rFonts w:hint="default" w:ascii="Times New Roman" w:hAnsi="Times New Roman" w:eastAsia="宋体" w:cs="Times New Roman"/>
          <w:kern w:val="0"/>
          <w:sz w:val="24"/>
          <w:szCs w:val="24"/>
          <w:lang w:val="en-US" w:eastAsia="zh-CN" w:bidi="ar"/>
        </w:rPr>
        <w:t xml:space="preserve">, 1–7.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"https://doi.org/10.1109/IECON49645.2022.9968908" </w:instrText>
      </w:r>
      <w:r>
        <w:rPr>
          <w:rFonts w:hint="default" w:ascii="Times New Roman" w:hAnsi="Times New Roman" w:eastAsia="宋体" w:cs="Times New Roman"/>
          <w:kern w:val="0"/>
          <w:sz w:val="24"/>
          <w:szCs w:val="24"/>
          <w:lang w:val="en-US" w:eastAsia="zh-CN" w:bidi="ar"/>
        </w:rPr>
        <w:fldChar w:fldCharType="separate"/>
      </w:r>
      <w:r>
        <w:rPr>
          <w:rStyle w:val="5"/>
          <w:rFonts w:hint="default" w:ascii="Times New Roman" w:hAnsi="Times New Roman" w:eastAsia="宋体" w:cs="Times New Roman"/>
          <w:kern w:val="0"/>
          <w:sz w:val="24"/>
          <w:szCs w:val="24"/>
          <w:lang w:val="en-US" w:eastAsia="zh-CN" w:bidi="ar"/>
        </w:rPr>
        <w:t>https://doi.org/10.1109/IECON49645.2022.9968908</w:t>
      </w:r>
      <w:r>
        <w:rPr>
          <w:rFonts w:hint="default" w:ascii="Times New Roman" w:hAnsi="Times New Roman" w:eastAsia="宋体" w:cs="Times New Roman"/>
          <w:kern w:val="0"/>
          <w:sz w:val="24"/>
          <w:szCs w:val="24"/>
          <w:lang w:val="en-US" w:eastAsia="zh-CN" w:bidi="ar"/>
        </w:rPr>
        <w:fldChar w:fldCharType="end"/>
      </w:r>
    </w:p>
    <w:p>
      <w:pPr>
        <w:keepNext w:val="0"/>
        <w:keepLines w:val="0"/>
        <w:widowControl/>
        <w:suppressLineNumbers w:val="0"/>
        <w:jc w:val="both"/>
        <w:rPr>
          <w:rFonts w:hint="default" w:ascii="Times New Roman" w:hAnsi="Times New Roman" w:eastAsia="宋体" w:cs="Times New Roman"/>
          <w:kern w:val="0"/>
          <w:sz w:val="24"/>
          <w:szCs w:val="24"/>
          <w:lang w:val="en-US" w:eastAsia="zh-CN" w:bidi="ar"/>
        </w:rPr>
      </w:pPr>
    </w:p>
    <w:p>
      <w:pPr>
        <w:keepNext w:val="0"/>
        <w:keepLines w:val="0"/>
        <w:widowControl/>
        <w:numPr>
          <w:ilvl w:val="0"/>
          <w:numId w:val="1"/>
        </w:numPr>
        <w:suppressLineNumbers w:val="0"/>
        <w:jc w:val="both"/>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Phungula, N., Dhanpat, N., &amp; Braine, R. de. (2022). The effect of employee value proposition on normative commitment. </w:t>
      </w:r>
      <w:r>
        <w:rPr>
          <w:rFonts w:hint="default" w:ascii="Times New Roman" w:hAnsi="Times New Roman" w:eastAsia="宋体" w:cs="Times New Roman"/>
          <w:i/>
          <w:iCs/>
          <w:kern w:val="0"/>
          <w:sz w:val="24"/>
          <w:szCs w:val="24"/>
          <w:lang w:val="en-US" w:eastAsia="zh-CN" w:bidi="ar"/>
        </w:rPr>
        <w:t>Eureka, Social and Humanities (Online)</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i/>
          <w:iCs/>
          <w:kern w:val="0"/>
          <w:sz w:val="24"/>
          <w:szCs w:val="24"/>
          <w:lang w:val="en-US" w:eastAsia="zh-CN" w:bidi="ar"/>
        </w:rPr>
        <w:t>2</w:t>
      </w:r>
      <w:r>
        <w:rPr>
          <w:rFonts w:hint="default" w:ascii="Times New Roman" w:hAnsi="Times New Roman" w:eastAsia="宋体" w:cs="Times New Roman"/>
          <w:kern w:val="0"/>
          <w:sz w:val="24"/>
          <w:szCs w:val="24"/>
          <w:lang w:val="en-US" w:eastAsia="zh-CN" w:bidi="ar"/>
        </w:rPr>
        <w:t xml:space="preserve">, 46–57.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"https://doi.org/10.21303/2504-5571.2022.002322" </w:instrText>
      </w:r>
      <w:r>
        <w:rPr>
          <w:rFonts w:hint="default" w:ascii="Times New Roman" w:hAnsi="Times New Roman" w:eastAsia="宋体" w:cs="Times New Roman"/>
          <w:kern w:val="0"/>
          <w:sz w:val="24"/>
          <w:szCs w:val="24"/>
          <w:lang w:val="en-US" w:eastAsia="zh-CN" w:bidi="ar"/>
        </w:rPr>
        <w:fldChar w:fldCharType="separate"/>
      </w:r>
      <w:r>
        <w:rPr>
          <w:rStyle w:val="5"/>
          <w:rFonts w:hint="default" w:ascii="Times New Roman" w:hAnsi="Times New Roman" w:eastAsia="宋体" w:cs="Times New Roman"/>
          <w:kern w:val="0"/>
          <w:sz w:val="24"/>
          <w:szCs w:val="24"/>
          <w:lang w:val="en-US" w:eastAsia="zh-CN" w:bidi="ar"/>
        </w:rPr>
        <w:t>https://doi.org/10.21303/2504-5571.2022.002322</w:t>
      </w:r>
      <w:r>
        <w:rPr>
          <w:rFonts w:hint="default" w:ascii="Times New Roman" w:hAnsi="Times New Roman" w:eastAsia="宋体" w:cs="Times New Roman"/>
          <w:kern w:val="0"/>
          <w:sz w:val="24"/>
          <w:szCs w:val="24"/>
          <w:lang w:val="en-US" w:eastAsia="zh-CN" w:bidi="ar"/>
        </w:rPr>
        <w:fldChar w:fldCharType="end"/>
      </w:r>
    </w:p>
    <w:p>
      <w:pPr>
        <w:jc w:val="both"/>
        <w:rPr>
          <w:rFonts w:hint="default" w:ascii="Times New Roman" w:hAnsi="Times New Roman" w:cs="Times New Roman"/>
          <w:sz w:val="24"/>
          <w:szCs w:val="24"/>
        </w:rPr>
      </w:pPr>
    </w:p>
    <w:p>
      <w:pPr>
        <w:numPr>
          <w:ilvl w:val="0"/>
          <w:numId w:val="2"/>
        </w:numPr>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NVIDIA. (</w:t>
      </w:r>
      <w:r>
        <w:rPr>
          <w:rFonts w:hint="default" w:ascii="Times New Roman" w:hAnsi="Times New Roman" w:cs="Times New Roman"/>
          <w:sz w:val="24"/>
          <w:szCs w:val="24"/>
          <w:lang w:val="en-US" w:eastAsia="zh-CN"/>
        </w:rPr>
        <w:t>2024</w:t>
      </w:r>
      <w:r>
        <w:rPr>
          <w:rFonts w:hint="default" w:ascii="Times New Roman" w:hAnsi="Times New Roman" w:cs="Times New Roman"/>
          <w:sz w:val="24"/>
          <w:szCs w:val="24"/>
          <w:lang w:eastAsia="zh-CN"/>
        </w:rPr>
        <w:t xml:space="preserve">). Benefits. Retrieved from </w:t>
      </w: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HYPERLINK "https://www.nvidia.com/en-us/about-nvidia/benefits/" </w:instrText>
      </w:r>
      <w:r>
        <w:rPr>
          <w:rFonts w:hint="default" w:ascii="Times New Roman" w:hAnsi="Times New Roman" w:cs="Times New Roman"/>
          <w:sz w:val="24"/>
          <w:szCs w:val="24"/>
          <w:lang w:eastAsia="zh-CN"/>
        </w:rPr>
        <w:fldChar w:fldCharType="separate"/>
      </w:r>
      <w:r>
        <w:rPr>
          <w:rStyle w:val="5"/>
          <w:rFonts w:hint="default" w:ascii="Times New Roman" w:hAnsi="Times New Roman" w:cs="Times New Roman"/>
          <w:sz w:val="24"/>
          <w:szCs w:val="24"/>
          <w:lang w:eastAsia="zh-CN"/>
        </w:rPr>
        <w:t>https://www.nvidia.com/en-us/about-nvidia/benefits/</w:t>
      </w:r>
      <w:r>
        <w:rPr>
          <w:rFonts w:hint="default" w:ascii="Times New Roman" w:hAnsi="Times New Roman" w:cs="Times New Roman"/>
          <w:sz w:val="24"/>
          <w:szCs w:val="24"/>
          <w:lang w:eastAsia="zh-CN"/>
        </w:rPr>
        <w:fldChar w:fldCharType="end"/>
      </w:r>
    </w:p>
    <w:p>
      <w:pPr>
        <w:widowControl w:val="0"/>
        <w:numPr>
          <w:ilvl w:val="0"/>
          <w:numId w:val="0"/>
        </w:numPr>
        <w:jc w:val="both"/>
        <w:rPr>
          <w:rFonts w:hint="default" w:ascii="Times New Roman" w:hAnsi="Times New Roman" w:cs="Times New Roman"/>
          <w:sz w:val="24"/>
          <w:szCs w:val="24"/>
          <w:lang w:eastAsia="zh-CN"/>
        </w:rPr>
      </w:pP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NVIDIA. (2024). Academic Research. Retrieved from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"https://www.nvidia.com/en-us/research/academic/" </w:instrText>
      </w:r>
      <w:r>
        <w:rPr>
          <w:rFonts w:hint="default" w:ascii="Times New Roman" w:hAnsi="Times New Roman" w:cs="Times New Roman"/>
          <w:sz w:val="24"/>
          <w:szCs w:val="24"/>
          <w:lang w:val="en-US" w:eastAsia="zh-CN"/>
        </w:rPr>
        <w:fldChar w:fldCharType="separate"/>
      </w:r>
      <w:r>
        <w:rPr>
          <w:rStyle w:val="5"/>
          <w:rFonts w:hint="default" w:ascii="Times New Roman" w:hAnsi="Times New Roman" w:cs="Times New Roman"/>
          <w:sz w:val="24"/>
          <w:szCs w:val="24"/>
          <w:lang w:val="en-US" w:eastAsia="zh-CN"/>
        </w:rPr>
        <w:t>https://www.nvidia.com/en-us/research/academic/</w:t>
      </w:r>
      <w:r>
        <w:rPr>
          <w:rFonts w:hint="default" w:ascii="Times New Roman" w:hAnsi="Times New Roman" w:cs="Times New Roman"/>
          <w:sz w:val="24"/>
          <w:szCs w:val="24"/>
          <w:lang w:val="en-US" w:eastAsia="zh-CN"/>
        </w:rPr>
        <w:fldChar w:fldCharType="end"/>
      </w:r>
    </w:p>
    <w:p>
      <w:pPr>
        <w:widowControl w:val="0"/>
        <w:numPr>
          <w:ilvl w:val="0"/>
          <w:numId w:val="0"/>
        </w:numPr>
        <w:ind w:leftChars="0"/>
        <w:jc w:val="both"/>
        <w:rPr>
          <w:rFonts w:hint="default" w:ascii="Times New Roman" w:hAnsi="Times New Roman" w:cs="Times New Roman"/>
          <w:sz w:val="24"/>
          <w:szCs w:val="24"/>
          <w:lang w:val="en-US" w:eastAsia="zh-CN"/>
        </w:rPr>
      </w:pPr>
    </w:p>
    <w:p>
      <w:pPr>
        <w:keepNext w:val="0"/>
        <w:keepLines w:val="0"/>
        <w:widowControl/>
        <w:numPr>
          <w:ilvl w:val="0"/>
          <w:numId w:val="2"/>
        </w:numPr>
        <w:suppressLineNumbers w:val="0"/>
        <w:ind w:left="0" w:leftChars="0" w:firstLine="0" w:firstLineChars="0"/>
        <w:jc w:val="both"/>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Copeland, C. (2022). 2022 EBRI Financial Wellbeing Employer Survey: Employee Satisfaction and Retention a Primary Focus. </w:t>
      </w:r>
      <w:r>
        <w:rPr>
          <w:rFonts w:hint="default" w:ascii="Times New Roman" w:hAnsi="Times New Roman" w:eastAsia="宋体" w:cs="Times New Roman"/>
          <w:i/>
          <w:iCs/>
          <w:kern w:val="0"/>
          <w:sz w:val="24"/>
          <w:szCs w:val="24"/>
          <w:lang w:val="en-US" w:eastAsia="zh-CN" w:bidi="ar"/>
        </w:rPr>
        <w:t>EBRI Issue Brief</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i/>
          <w:iCs/>
          <w:kern w:val="0"/>
          <w:sz w:val="24"/>
          <w:szCs w:val="24"/>
          <w:lang w:val="en-US" w:eastAsia="zh-CN" w:bidi="ar"/>
        </w:rPr>
        <w:t>573</w:t>
      </w:r>
      <w:r>
        <w:rPr>
          <w:rFonts w:hint="default" w:ascii="Times New Roman" w:hAnsi="Times New Roman" w:eastAsia="宋体" w:cs="Times New Roman"/>
          <w:kern w:val="0"/>
          <w:sz w:val="24"/>
          <w:szCs w:val="24"/>
          <w:lang w:val="en-US" w:eastAsia="zh-CN" w:bidi="ar"/>
        </w:rPr>
        <w:t>, 1–28.</w:t>
      </w:r>
    </w:p>
    <w:p>
      <w:pPr>
        <w:keepNext w:val="0"/>
        <w:keepLines w:val="0"/>
        <w:widowControl/>
        <w:numPr>
          <w:ilvl w:val="0"/>
          <w:numId w:val="0"/>
        </w:numPr>
        <w:suppressLineNumbers w:val="0"/>
        <w:ind w:leftChars="0"/>
        <w:jc w:val="both"/>
        <w:rPr>
          <w:rFonts w:hint="default" w:ascii="Times New Roman" w:hAnsi="Times New Roman" w:eastAsia="宋体" w:cs="Times New Roman"/>
          <w:kern w:val="0"/>
          <w:sz w:val="24"/>
          <w:szCs w:val="24"/>
          <w:lang w:val="en-US" w:eastAsia="zh-CN" w:bidi="ar"/>
        </w:rPr>
      </w:pPr>
    </w:p>
    <w:p>
      <w:pPr>
        <w:keepNext w:val="0"/>
        <w:keepLines w:val="0"/>
        <w:widowControl/>
        <w:numPr>
          <w:ilvl w:val="0"/>
          <w:numId w:val="2"/>
        </w:numPr>
        <w:suppressLineNumbers w:val="0"/>
        <w:ind w:left="0" w:leftChars="0" w:firstLine="0" w:firstLineChars="0"/>
        <w:jc w:val="both"/>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NVIDIA. (2024). NVIDIA Life: Glassdoor Best Place to Work 2024. Retrieved from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"https://blogs.nvidia.com/blog/nvidia-life-glassdoor-best-place-work-2024/" </w:instrText>
      </w:r>
      <w:r>
        <w:rPr>
          <w:rFonts w:hint="default" w:ascii="Times New Roman" w:hAnsi="Times New Roman" w:eastAsia="宋体" w:cs="Times New Roman"/>
          <w:kern w:val="0"/>
          <w:sz w:val="24"/>
          <w:szCs w:val="24"/>
          <w:lang w:val="en-US" w:eastAsia="zh-CN" w:bidi="ar"/>
        </w:rPr>
        <w:fldChar w:fldCharType="separate"/>
      </w:r>
      <w:r>
        <w:rPr>
          <w:rStyle w:val="5"/>
          <w:rFonts w:hint="default" w:ascii="Times New Roman" w:hAnsi="Times New Roman" w:eastAsia="宋体" w:cs="Times New Roman"/>
          <w:kern w:val="0"/>
          <w:sz w:val="24"/>
          <w:szCs w:val="24"/>
          <w:lang w:val="en-US" w:eastAsia="zh-CN" w:bidi="ar"/>
        </w:rPr>
        <w:t>https://blogs.nvidia.com/blog/nvidia-life-glassdoor-best-place-work-2024/</w:t>
      </w:r>
      <w:r>
        <w:rPr>
          <w:rFonts w:hint="default" w:ascii="Times New Roman" w:hAnsi="Times New Roman" w:eastAsia="宋体" w:cs="Times New Roman"/>
          <w:kern w:val="0"/>
          <w:sz w:val="24"/>
          <w:szCs w:val="24"/>
          <w:lang w:val="en-US" w:eastAsia="zh-CN" w:bidi="ar"/>
        </w:rPr>
        <w:fldChar w:fldCharType="end"/>
      </w:r>
    </w:p>
    <w:p>
      <w:pPr>
        <w:keepNext w:val="0"/>
        <w:keepLines w:val="0"/>
        <w:widowControl/>
        <w:numPr>
          <w:ilvl w:val="0"/>
          <w:numId w:val="0"/>
        </w:numPr>
        <w:suppressLineNumbers w:val="0"/>
        <w:jc w:val="both"/>
        <w:rPr>
          <w:rFonts w:hint="default" w:ascii="Times New Roman" w:hAnsi="Times New Roman" w:eastAsia="宋体" w:cs="Times New Roman"/>
          <w:kern w:val="0"/>
          <w:sz w:val="24"/>
          <w:szCs w:val="24"/>
          <w:lang w:val="en-US" w:eastAsia="zh-CN" w:bidi="ar"/>
        </w:rPr>
      </w:pPr>
    </w:p>
    <w:p>
      <w:pPr>
        <w:keepNext w:val="0"/>
        <w:keepLines w:val="0"/>
        <w:widowControl/>
        <w:numPr>
          <w:ilvl w:val="0"/>
          <w:numId w:val="2"/>
        </w:numPr>
        <w:suppressLineNumbers w:val="0"/>
        <w:ind w:left="0" w:leftChars="0" w:firstLine="0" w:firstLineChars="0"/>
        <w:jc w:val="both"/>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Comparably. (2024). NVIDIA Retention. Retrieved from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"https://www.comparably.com/companies/nvidia/retention" </w:instrText>
      </w:r>
      <w:r>
        <w:rPr>
          <w:rFonts w:hint="default" w:ascii="Times New Roman" w:hAnsi="Times New Roman" w:eastAsia="宋体" w:cs="Times New Roman"/>
          <w:kern w:val="0"/>
          <w:sz w:val="24"/>
          <w:szCs w:val="24"/>
          <w:lang w:val="en-US" w:eastAsia="zh-CN" w:bidi="ar"/>
        </w:rPr>
        <w:fldChar w:fldCharType="separate"/>
      </w:r>
      <w:r>
        <w:rPr>
          <w:rStyle w:val="5"/>
          <w:rFonts w:hint="default" w:ascii="Times New Roman" w:hAnsi="Times New Roman" w:eastAsia="宋体" w:cs="Times New Roman"/>
          <w:kern w:val="0"/>
          <w:sz w:val="24"/>
          <w:szCs w:val="24"/>
          <w:lang w:val="en-US" w:eastAsia="zh-CN" w:bidi="ar"/>
        </w:rPr>
        <w:t>https://www.comparably.com/companies/nvidia/retention</w:t>
      </w:r>
      <w:r>
        <w:rPr>
          <w:rFonts w:hint="default" w:ascii="Times New Roman" w:hAnsi="Times New Roman" w:eastAsia="宋体" w:cs="Times New Roman"/>
          <w:kern w:val="0"/>
          <w:sz w:val="24"/>
          <w:szCs w:val="24"/>
          <w:lang w:val="en-US" w:eastAsia="zh-CN" w:bidi="ar"/>
        </w:rPr>
        <w:fldChar w:fldCharType="end"/>
      </w:r>
    </w:p>
    <w:p>
      <w:pPr>
        <w:keepNext w:val="0"/>
        <w:keepLines w:val="0"/>
        <w:widowControl/>
        <w:numPr>
          <w:ilvl w:val="0"/>
          <w:numId w:val="0"/>
        </w:numPr>
        <w:suppressLineNumbers w:val="0"/>
        <w:jc w:val="both"/>
        <w:rPr>
          <w:rFonts w:hint="default" w:ascii="Times New Roman" w:hAnsi="Times New Roman" w:eastAsia="宋体" w:cs="Times New Roman"/>
          <w:kern w:val="0"/>
          <w:sz w:val="24"/>
          <w:szCs w:val="24"/>
          <w:lang w:val="en-US" w:eastAsia="zh-CN" w:bidi="ar"/>
        </w:rPr>
      </w:pPr>
    </w:p>
    <w:p>
      <w:pPr>
        <w:keepNext w:val="0"/>
        <w:keepLines w:val="0"/>
        <w:widowControl/>
        <w:numPr>
          <w:ilvl w:val="0"/>
          <w:numId w:val="2"/>
        </w:numPr>
        <w:suppressLineNumbers w:val="0"/>
        <w:ind w:left="0" w:leftChars="0" w:firstLine="0" w:firstLineChars="0"/>
        <w:jc w:val="both"/>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Khurana, T., Pannu, S., &amp; Dalal, G. (2024). Social Media Influencer Marketing: Building a Deeper Understanding through Bibliometric Analysis. </w:t>
      </w:r>
      <w:r>
        <w:rPr>
          <w:rFonts w:hint="default" w:ascii="Times New Roman" w:hAnsi="Times New Roman" w:eastAsia="宋体" w:cs="Times New Roman"/>
          <w:i/>
          <w:iCs/>
          <w:kern w:val="0"/>
          <w:sz w:val="24"/>
          <w:szCs w:val="24"/>
          <w:lang w:val="en-US" w:eastAsia="zh-CN" w:bidi="ar"/>
        </w:rPr>
        <w:t>Vision (New Delhi, India)</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"https://doi.org/10.1177/09722629231225567" </w:instrText>
      </w:r>
      <w:r>
        <w:rPr>
          <w:rFonts w:hint="default" w:ascii="Times New Roman" w:hAnsi="Times New Roman" w:eastAsia="宋体" w:cs="Times New Roman"/>
          <w:kern w:val="0"/>
          <w:sz w:val="24"/>
          <w:szCs w:val="24"/>
          <w:lang w:val="en-US" w:eastAsia="zh-CN" w:bidi="ar"/>
        </w:rPr>
        <w:fldChar w:fldCharType="separate"/>
      </w:r>
      <w:r>
        <w:rPr>
          <w:rStyle w:val="5"/>
          <w:rFonts w:hint="default" w:ascii="Times New Roman" w:hAnsi="Times New Roman" w:eastAsia="宋体" w:cs="Times New Roman"/>
          <w:kern w:val="0"/>
          <w:sz w:val="24"/>
          <w:szCs w:val="24"/>
          <w:lang w:val="en-US" w:eastAsia="zh-CN" w:bidi="ar"/>
        </w:rPr>
        <w:t>https://doi.org/10.1177/09722629231225567</w:t>
      </w:r>
      <w:r>
        <w:rPr>
          <w:rFonts w:hint="default" w:ascii="Times New Roman" w:hAnsi="Times New Roman" w:eastAsia="宋体" w:cs="Times New Roman"/>
          <w:kern w:val="0"/>
          <w:sz w:val="24"/>
          <w:szCs w:val="24"/>
          <w:lang w:val="en-US" w:eastAsia="zh-CN" w:bidi="ar"/>
        </w:rPr>
        <w:fldChar w:fldCharType="end"/>
      </w:r>
    </w:p>
    <w:p>
      <w:pPr>
        <w:keepNext w:val="0"/>
        <w:keepLines w:val="0"/>
        <w:widowControl/>
        <w:numPr>
          <w:ilvl w:val="0"/>
          <w:numId w:val="0"/>
        </w:numPr>
        <w:suppressLineNumbers w:val="0"/>
        <w:jc w:val="both"/>
        <w:rPr>
          <w:rFonts w:hint="default" w:ascii="Times New Roman" w:hAnsi="Times New Roman" w:eastAsia="宋体" w:cs="Times New Roman"/>
          <w:kern w:val="0"/>
          <w:sz w:val="24"/>
          <w:szCs w:val="24"/>
          <w:lang w:val="en-US" w:eastAsia="zh-CN" w:bidi="ar"/>
        </w:rPr>
      </w:pPr>
    </w:p>
    <w:p>
      <w:pPr>
        <w:keepNext w:val="0"/>
        <w:keepLines w:val="0"/>
        <w:widowControl/>
        <w:numPr>
          <w:ilvl w:val="0"/>
          <w:numId w:val="2"/>
        </w:numPr>
        <w:suppressLineNumbers w:val="0"/>
        <w:ind w:left="0" w:leftChars="0" w:firstLine="0" w:firstLineChars="0"/>
        <w:jc w:val="both"/>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Verdict. (2023). NVIDIA in Social Media: Theme, Innovation, Strategy. Retrieved from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"https://www.verdict.co.uk/nvidia-in-social-media-theme-innovation-strategy/" </w:instrText>
      </w:r>
      <w:r>
        <w:rPr>
          <w:rFonts w:hint="default" w:ascii="Times New Roman" w:hAnsi="Times New Roman" w:eastAsia="宋体" w:cs="Times New Roman"/>
          <w:kern w:val="0"/>
          <w:sz w:val="24"/>
          <w:szCs w:val="24"/>
          <w:lang w:val="en-US" w:eastAsia="zh-CN" w:bidi="ar"/>
        </w:rPr>
        <w:fldChar w:fldCharType="separate"/>
      </w:r>
      <w:r>
        <w:rPr>
          <w:rStyle w:val="5"/>
          <w:rFonts w:hint="default" w:ascii="Times New Roman" w:hAnsi="Times New Roman" w:eastAsia="宋体" w:cs="Times New Roman"/>
          <w:kern w:val="0"/>
          <w:sz w:val="24"/>
          <w:szCs w:val="24"/>
          <w:lang w:val="en-US" w:eastAsia="zh-CN" w:bidi="ar"/>
        </w:rPr>
        <w:t>https://www.verdict.co.uk/nvidia-in-social-media-theme-innovation-strategy/</w:t>
      </w:r>
      <w:r>
        <w:rPr>
          <w:rFonts w:hint="default" w:ascii="Times New Roman" w:hAnsi="Times New Roman" w:eastAsia="宋体" w:cs="Times New Roman"/>
          <w:kern w:val="0"/>
          <w:sz w:val="24"/>
          <w:szCs w:val="24"/>
          <w:lang w:val="en-US" w:eastAsia="zh-CN" w:bidi="ar"/>
        </w:rPr>
        <w:fldChar w:fldCharType="end"/>
      </w:r>
    </w:p>
    <w:p>
      <w:pPr>
        <w:keepNext w:val="0"/>
        <w:keepLines w:val="0"/>
        <w:widowControl/>
        <w:numPr>
          <w:ilvl w:val="0"/>
          <w:numId w:val="0"/>
        </w:numPr>
        <w:suppressLineNumbers w:val="0"/>
        <w:ind w:leftChars="0"/>
        <w:jc w:val="both"/>
        <w:rPr>
          <w:rFonts w:hint="default" w:ascii="Times New Roman" w:hAnsi="Times New Roman" w:eastAsia="宋体" w:cs="Times New Roman"/>
          <w:kern w:val="0"/>
          <w:sz w:val="24"/>
          <w:szCs w:val="24"/>
          <w:lang w:val="en-US" w:eastAsia="zh-CN" w:bidi="ar"/>
        </w:rPr>
      </w:pPr>
    </w:p>
    <w:p>
      <w:pPr>
        <w:keepNext w:val="0"/>
        <w:keepLines w:val="0"/>
        <w:widowControl/>
        <w:numPr>
          <w:ilvl w:val="0"/>
          <w:numId w:val="0"/>
        </w:numPr>
        <w:suppressLineNumbers w:val="0"/>
        <w:jc w:val="both"/>
        <w:rPr>
          <w:rFonts w:hint="default" w:ascii="Times New Roman" w:hAnsi="Times New Roman" w:eastAsia="宋体" w:cs="Times New Roman"/>
          <w:kern w:val="0"/>
          <w:sz w:val="24"/>
          <w:szCs w:val="24"/>
          <w:lang w:val="en-US" w:eastAsia="zh-CN" w:bidi="ar"/>
        </w:rPr>
      </w:pPr>
    </w:p>
    <w:p>
      <w:pPr>
        <w:keepNext w:val="0"/>
        <w:keepLines w:val="0"/>
        <w:widowControl/>
        <w:numPr>
          <w:ilvl w:val="0"/>
          <w:numId w:val="0"/>
        </w:numPr>
        <w:suppressLineNumbers w:val="0"/>
        <w:jc w:val="both"/>
        <w:rPr>
          <w:rFonts w:hint="default" w:ascii="Times New Roman" w:hAnsi="Times New Roman" w:eastAsia="宋体" w:cs="Times New Roman"/>
          <w:kern w:val="0"/>
          <w:sz w:val="24"/>
          <w:szCs w:val="24"/>
          <w:lang w:val="en-US" w:eastAsia="zh-CN" w:bidi="ar"/>
        </w:rPr>
      </w:pPr>
    </w:p>
    <w:p>
      <w:pPr>
        <w:widowControl w:val="0"/>
        <w:numPr>
          <w:ilvl w:val="0"/>
          <w:numId w:val="0"/>
        </w:numPr>
        <w:ind w:leftChars="0"/>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373B13"/>
    <w:multiLevelType w:val="singleLevel"/>
    <w:tmpl w:val="85373B13"/>
    <w:lvl w:ilvl="0" w:tentative="0">
      <w:start w:val="3"/>
      <w:numFmt w:val="decimal"/>
      <w:lvlText w:val="%1."/>
      <w:lvlJc w:val="left"/>
      <w:pPr>
        <w:tabs>
          <w:tab w:val="left" w:pos="312"/>
        </w:tabs>
      </w:pPr>
    </w:lvl>
  </w:abstractNum>
  <w:abstractNum w:abstractNumId="1">
    <w:nsid w:val="9C3811B0"/>
    <w:multiLevelType w:val="singleLevel"/>
    <w:tmpl w:val="9C3811B0"/>
    <w:lvl w:ilvl="0" w:tentative="0">
      <w:start w:val="4"/>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JjNTE2ZmE2NWNhMGFiNzE1Y2VkNjM3MGFkYzJlMTYifQ=="/>
  </w:docVars>
  <w:rsids>
    <w:rsidRoot w:val="0DC42568"/>
    <w:rsid w:val="0DC42568"/>
    <w:rsid w:val="68D939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autoRedefine/>
    <w:semiHidden/>
    <w:uiPriority w:val="0"/>
    <w:tblPr>
      <w:tblCellMar>
        <w:top w:w="0" w:type="dxa"/>
        <w:left w:w="108" w:type="dxa"/>
        <w:bottom w:w="0" w:type="dxa"/>
        <w:right w:w="108" w:type="dxa"/>
      </w:tblCellMar>
    </w:tblPr>
  </w:style>
  <w:style w:type="paragraph" w:styleId="2">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41</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2024-04-15T13:36:00Z</dcterms:created>
  <dc:creator>Jeremy harwood</dc:creator>
  <cp:lastModifiedBy>Jeremy harwood</cp:lastModifiedBy>
  <dcterms:modified xsi:type="dcterms:W3CDTF">2024-04-15T17:19:55Z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AF47F33E4146495698A0A9A5F4C22F5A_11</vt:lpwstr>
  </property>
</Properties>
</file>