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8274E1" w14:textId="77777777" w:rsidR="00102FC3" w:rsidRDefault="00102FC3" w:rsidP="00102FC3">
      <w:pPr>
        <w:spacing w:line="276" w:lineRule="auto"/>
        <w:jc w:val="center"/>
        <w:rPr>
          <w:rFonts w:cs="Times New Roman"/>
          <w:b/>
          <w:sz w:val="48"/>
          <w:szCs w:val="48"/>
        </w:rPr>
      </w:pPr>
    </w:p>
    <w:p w14:paraId="5ECA98A7" w14:textId="77777777" w:rsidR="00102FC3" w:rsidRDefault="00102FC3" w:rsidP="00102FC3">
      <w:pPr>
        <w:spacing w:line="276" w:lineRule="auto"/>
        <w:jc w:val="center"/>
        <w:rPr>
          <w:rFonts w:cs="Times New Roman"/>
          <w:b/>
          <w:sz w:val="48"/>
          <w:szCs w:val="48"/>
        </w:rPr>
      </w:pPr>
    </w:p>
    <w:p w14:paraId="1D4F325C" w14:textId="77777777" w:rsidR="00102FC3" w:rsidRPr="00EA3852" w:rsidRDefault="00102FC3" w:rsidP="00102FC3">
      <w:pPr>
        <w:spacing w:line="276" w:lineRule="auto"/>
        <w:jc w:val="center"/>
        <w:rPr>
          <w:rFonts w:cs="Times New Roman"/>
          <w:b/>
          <w:sz w:val="48"/>
          <w:szCs w:val="48"/>
        </w:rPr>
      </w:pPr>
      <w:r>
        <w:rPr>
          <w:rFonts w:cs="Times New Roman"/>
          <w:b/>
          <w:sz w:val="48"/>
          <w:szCs w:val="48"/>
        </w:rPr>
        <w:t xml:space="preserve">BA </w:t>
      </w:r>
      <w:r w:rsidRPr="00EA3852">
        <w:rPr>
          <w:rFonts w:cs="Times New Roman"/>
          <w:b/>
          <w:sz w:val="48"/>
          <w:szCs w:val="48"/>
        </w:rPr>
        <w:t xml:space="preserve">International Hotel Management </w:t>
      </w:r>
    </w:p>
    <w:p w14:paraId="024BB849" w14:textId="77777777" w:rsidR="00102FC3" w:rsidRDefault="00102FC3" w:rsidP="00102FC3">
      <w:pPr>
        <w:spacing w:line="276" w:lineRule="auto"/>
        <w:jc w:val="center"/>
        <w:rPr>
          <w:rFonts w:cs="Times New Roman"/>
          <w:b/>
          <w:sz w:val="28"/>
          <w:szCs w:val="28"/>
        </w:rPr>
      </w:pPr>
    </w:p>
    <w:p w14:paraId="2DE97939" w14:textId="77777777" w:rsidR="00102FC3" w:rsidRDefault="00102FC3" w:rsidP="00102FC3">
      <w:pPr>
        <w:spacing w:line="276" w:lineRule="auto"/>
        <w:jc w:val="center"/>
        <w:rPr>
          <w:rFonts w:cs="Times New Roman"/>
          <w:b/>
          <w:sz w:val="28"/>
          <w:szCs w:val="28"/>
        </w:rPr>
      </w:pPr>
      <w:r>
        <w:rPr>
          <w:rFonts w:cs="Times New Roman"/>
          <w:b/>
          <w:sz w:val="28"/>
          <w:szCs w:val="28"/>
        </w:rPr>
        <w:t>Module- International Meetings Management for the Hotel Industry</w:t>
      </w:r>
    </w:p>
    <w:p w14:paraId="70DC5C18" w14:textId="77777777" w:rsidR="00102FC3" w:rsidRDefault="00102FC3" w:rsidP="00102FC3">
      <w:pPr>
        <w:spacing w:line="276" w:lineRule="auto"/>
        <w:jc w:val="center"/>
        <w:rPr>
          <w:rFonts w:cs="Times New Roman"/>
          <w:b/>
          <w:sz w:val="28"/>
          <w:szCs w:val="28"/>
        </w:rPr>
      </w:pPr>
      <w:r>
        <w:rPr>
          <w:rFonts w:cs="Times New Roman"/>
          <w:b/>
          <w:sz w:val="28"/>
          <w:szCs w:val="28"/>
        </w:rPr>
        <w:t>Module Code - BMIH6007</w:t>
      </w:r>
    </w:p>
    <w:p w14:paraId="50C5F423" w14:textId="77777777" w:rsidR="00102FC3" w:rsidRDefault="00102FC3" w:rsidP="00102FC3">
      <w:pPr>
        <w:spacing w:line="276" w:lineRule="auto"/>
        <w:jc w:val="center"/>
        <w:rPr>
          <w:rFonts w:cs="Times New Roman"/>
          <w:b/>
          <w:sz w:val="28"/>
          <w:szCs w:val="28"/>
        </w:rPr>
      </w:pPr>
    </w:p>
    <w:p w14:paraId="5533C073" w14:textId="77777777" w:rsidR="00102FC3" w:rsidRDefault="00102FC3" w:rsidP="00102FC3">
      <w:pPr>
        <w:spacing w:line="276" w:lineRule="auto"/>
        <w:jc w:val="center"/>
        <w:rPr>
          <w:rFonts w:cs="Times New Roman"/>
          <w:b/>
          <w:sz w:val="28"/>
          <w:szCs w:val="28"/>
        </w:rPr>
      </w:pPr>
    </w:p>
    <w:p w14:paraId="3D6ADE89" w14:textId="77777777" w:rsidR="00102FC3" w:rsidRDefault="00102FC3" w:rsidP="00102FC3">
      <w:pPr>
        <w:spacing w:line="276" w:lineRule="auto"/>
        <w:jc w:val="center"/>
        <w:rPr>
          <w:rFonts w:cs="Times New Roman"/>
          <w:b/>
          <w:sz w:val="28"/>
          <w:szCs w:val="28"/>
        </w:rPr>
      </w:pPr>
      <w:r>
        <w:rPr>
          <w:rFonts w:cs="Times New Roman"/>
          <w:b/>
          <w:sz w:val="28"/>
          <w:szCs w:val="28"/>
        </w:rPr>
        <w:t>Assignment title- Feasibility Plan for an International Meeting.</w:t>
      </w:r>
    </w:p>
    <w:p w14:paraId="47E7F0AE" w14:textId="77777777" w:rsidR="00102FC3" w:rsidRDefault="00102FC3" w:rsidP="00102FC3">
      <w:pPr>
        <w:spacing w:line="276" w:lineRule="auto"/>
        <w:jc w:val="center"/>
        <w:rPr>
          <w:rFonts w:cs="Times New Roman"/>
          <w:sz w:val="28"/>
          <w:szCs w:val="28"/>
        </w:rPr>
      </w:pPr>
    </w:p>
    <w:p w14:paraId="280924EB" w14:textId="77777777" w:rsidR="00102FC3" w:rsidRDefault="00102FC3" w:rsidP="00102FC3">
      <w:pPr>
        <w:spacing w:line="276" w:lineRule="auto"/>
        <w:jc w:val="center"/>
        <w:rPr>
          <w:rFonts w:cs="Times New Roman"/>
          <w:b/>
          <w:sz w:val="28"/>
          <w:szCs w:val="28"/>
        </w:rPr>
      </w:pPr>
      <w:r>
        <w:rPr>
          <w:rFonts w:cs="Times New Roman"/>
          <w:b/>
          <w:sz w:val="28"/>
          <w:szCs w:val="28"/>
        </w:rPr>
        <w:t xml:space="preserve">Student Name- </w:t>
      </w:r>
      <w:proofErr w:type="spellStart"/>
      <w:r>
        <w:rPr>
          <w:rFonts w:cs="Times New Roman"/>
          <w:b/>
          <w:sz w:val="28"/>
          <w:szCs w:val="28"/>
        </w:rPr>
        <w:t>Tuhel</w:t>
      </w:r>
      <w:proofErr w:type="spellEnd"/>
      <w:r>
        <w:rPr>
          <w:rFonts w:cs="Times New Roman"/>
          <w:b/>
          <w:sz w:val="28"/>
          <w:szCs w:val="28"/>
        </w:rPr>
        <w:t xml:space="preserve"> Miah</w:t>
      </w:r>
    </w:p>
    <w:p w14:paraId="01DA1FD2" w14:textId="77777777" w:rsidR="00102FC3" w:rsidRDefault="00102FC3" w:rsidP="00102FC3">
      <w:pPr>
        <w:spacing w:line="276" w:lineRule="auto"/>
        <w:jc w:val="center"/>
        <w:rPr>
          <w:rFonts w:cs="Times New Roman"/>
          <w:b/>
          <w:sz w:val="28"/>
          <w:szCs w:val="28"/>
        </w:rPr>
      </w:pPr>
      <w:r>
        <w:rPr>
          <w:rFonts w:cs="Times New Roman"/>
          <w:b/>
          <w:sz w:val="28"/>
          <w:szCs w:val="28"/>
        </w:rPr>
        <w:t xml:space="preserve">Student ID- </w:t>
      </w:r>
      <w:r w:rsidRPr="00EA3852">
        <w:rPr>
          <w:rFonts w:cs="Times New Roman"/>
          <w:b/>
          <w:sz w:val="28"/>
          <w:szCs w:val="28"/>
        </w:rPr>
        <w:t>2126977</w:t>
      </w:r>
    </w:p>
    <w:p w14:paraId="2803639A" w14:textId="77777777" w:rsidR="00102FC3" w:rsidRDefault="00102FC3" w:rsidP="00102FC3">
      <w:pPr>
        <w:spacing w:line="276" w:lineRule="auto"/>
        <w:jc w:val="center"/>
        <w:rPr>
          <w:rFonts w:cs="Times New Roman"/>
        </w:rPr>
      </w:pPr>
      <w:r>
        <w:rPr>
          <w:rFonts w:cs="Times New Roman"/>
          <w:b/>
          <w:sz w:val="28"/>
          <w:szCs w:val="28"/>
        </w:rPr>
        <w:t>Lecturer Name: Kathryn Flynn</w:t>
      </w:r>
      <w:r>
        <w:rPr>
          <w:rFonts w:cs="Times New Roman"/>
        </w:rPr>
        <w:br w:type="page"/>
      </w:r>
    </w:p>
    <w:p w14:paraId="2510DA26" w14:textId="77777777" w:rsidR="00102FC3" w:rsidRDefault="00102FC3" w:rsidP="00102FC3">
      <w:r>
        <w:rPr>
          <w:noProof/>
          <w14:ligatures w14:val="standardContextual"/>
        </w:rPr>
        <w:lastRenderedPageBreak/>
        <w:drawing>
          <wp:inline distT="0" distB="0" distL="0" distR="0" wp14:anchorId="37A95A19" wp14:editId="76F23F14">
            <wp:extent cx="5731510" cy="3223895"/>
            <wp:effectExtent l="0" t="0" r="2540" b="0"/>
            <wp:docPr id="102870720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707204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8DAE10" w14:textId="77777777" w:rsidR="00102FC3" w:rsidRDefault="00102FC3" w:rsidP="00102FC3"/>
    <w:p w14:paraId="605B4F83" w14:textId="77777777" w:rsidR="00102FC3" w:rsidRDefault="00102FC3" w:rsidP="00102FC3"/>
    <w:p w14:paraId="2A063B2B" w14:textId="77777777" w:rsidR="00102FC3" w:rsidRDefault="00102FC3" w:rsidP="00102FC3">
      <w:r>
        <w:rPr>
          <w:noProof/>
          <w14:ligatures w14:val="standardContextual"/>
        </w:rPr>
        <w:drawing>
          <wp:inline distT="0" distB="0" distL="0" distR="0" wp14:anchorId="466AE5D7" wp14:editId="0E004173">
            <wp:extent cx="5731510" cy="3223895"/>
            <wp:effectExtent l="0" t="0" r="2540" b="0"/>
            <wp:docPr id="19969115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6911574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18ADA6" w14:textId="77777777" w:rsidR="00102FC3" w:rsidRDefault="00102FC3" w:rsidP="00102FC3"/>
    <w:p w14:paraId="69CA88A7" w14:textId="77777777" w:rsidR="00102FC3" w:rsidRDefault="00102FC3" w:rsidP="00102FC3"/>
    <w:p w14:paraId="19E95639" w14:textId="77777777" w:rsidR="00102FC3" w:rsidRDefault="00102FC3" w:rsidP="00102FC3">
      <w:r>
        <w:rPr>
          <w:noProof/>
          <w14:ligatures w14:val="standardContextual"/>
        </w:rPr>
        <w:lastRenderedPageBreak/>
        <w:drawing>
          <wp:inline distT="0" distB="0" distL="0" distR="0" wp14:anchorId="3ADB922C" wp14:editId="14838112">
            <wp:extent cx="5731510" cy="3223895"/>
            <wp:effectExtent l="0" t="0" r="2540" b="0"/>
            <wp:docPr id="2227419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74199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9D7D3C" w14:textId="77777777" w:rsidR="00102FC3" w:rsidRDefault="00102FC3" w:rsidP="00102FC3"/>
    <w:p w14:paraId="5FDA26EF" w14:textId="77777777" w:rsidR="00102FC3" w:rsidRDefault="00102FC3" w:rsidP="00102FC3"/>
    <w:p w14:paraId="4F148B3F" w14:textId="77777777" w:rsidR="00102FC3" w:rsidRDefault="00102FC3" w:rsidP="00102FC3">
      <w:r>
        <w:rPr>
          <w:noProof/>
          <w14:ligatures w14:val="standardContextual"/>
        </w:rPr>
        <w:drawing>
          <wp:inline distT="0" distB="0" distL="0" distR="0" wp14:anchorId="13FB5646" wp14:editId="2C2980E4">
            <wp:extent cx="5731510" cy="3223895"/>
            <wp:effectExtent l="0" t="0" r="2540" b="0"/>
            <wp:docPr id="17951147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511473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2EC35B" w14:textId="77777777" w:rsidR="00102FC3" w:rsidRDefault="00102FC3" w:rsidP="00102FC3"/>
    <w:p w14:paraId="3709613C" w14:textId="77777777" w:rsidR="00102FC3" w:rsidRDefault="00102FC3" w:rsidP="00102FC3">
      <w:r>
        <w:rPr>
          <w:noProof/>
          <w14:ligatures w14:val="standardContextual"/>
        </w:rPr>
        <w:lastRenderedPageBreak/>
        <w:drawing>
          <wp:inline distT="0" distB="0" distL="0" distR="0" wp14:anchorId="4F426CEA" wp14:editId="42592ECA">
            <wp:extent cx="5731510" cy="3223895"/>
            <wp:effectExtent l="0" t="0" r="2540" b="0"/>
            <wp:docPr id="52453463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4534635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E41934" w14:textId="77777777" w:rsidR="00102FC3" w:rsidRDefault="00102FC3" w:rsidP="00102FC3"/>
    <w:p w14:paraId="32A7DB00" w14:textId="77777777" w:rsidR="00102FC3" w:rsidRDefault="00102FC3" w:rsidP="00102FC3"/>
    <w:p w14:paraId="6C895342" w14:textId="77777777" w:rsidR="00102FC3" w:rsidRDefault="00102FC3" w:rsidP="00102FC3"/>
    <w:p w14:paraId="6B4BF705" w14:textId="77777777" w:rsidR="00102FC3" w:rsidRDefault="00102FC3" w:rsidP="00102FC3">
      <w:r>
        <w:rPr>
          <w:noProof/>
          <w14:ligatures w14:val="standardContextual"/>
        </w:rPr>
        <w:drawing>
          <wp:inline distT="0" distB="0" distL="0" distR="0" wp14:anchorId="7264D6CB" wp14:editId="21911AAA">
            <wp:extent cx="5731510" cy="3223895"/>
            <wp:effectExtent l="0" t="0" r="2540" b="0"/>
            <wp:docPr id="32471699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716999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507852" w14:textId="77777777" w:rsidR="00102FC3" w:rsidRDefault="00102FC3" w:rsidP="00102FC3"/>
    <w:p w14:paraId="1624C539" w14:textId="77777777" w:rsidR="00102FC3" w:rsidRDefault="00102FC3" w:rsidP="00102FC3">
      <w:r>
        <w:rPr>
          <w:noProof/>
          <w14:ligatures w14:val="standardContextual"/>
        </w:rPr>
        <w:lastRenderedPageBreak/>
        <w:drawing>
          <wp:inline distT="0" distB="0" distL="0" distR="0" wp14:anchorId="56B8BB68" wp14:editId="07FA61D9">
            <wp:extent cx="5731510" cy="3223895"/>
            <wp:effectExtent l="0" t="0" r="2540" b="0"/>
            <wp:docPr id="172614147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6141476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AED09C" w14:textId="77777777" w:rsidR="00102FC3" w:rsidRDefault="00102FC3" w:rsidP="00102FC3"/>
    <w:p w14:paraId="1C85AD4B" w14:textId="77777777" w:rsidR="00102FC3" w:rsidRDefault="00102FC3" w:rsidP="00102FC3">
      <w:r>
        <w:rPr>
          <w:noProof/>
          <w14:ligatures w14:val="standardContextual"/>
        </w:rPr>
        <w:drawing>
          <wp:inline distT="0" distB="0" distL="0" distR="0" wp14:anchorId="2B8865E0" wp14:editId="2AB90404">
            <wp:extent cx="5731510" cy="3223895"/>
            <wp:effectExtent l="0" t="0" r="2540" b="0"/>
            <wp:docPr id="20333495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3349517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55C7B3" w14:textId="77777777" w:rsidR="00102FC3" w:rsidRDefault="00102FC3" w:rsidP="00102FC3"/>
    <w:p w14:paraId="28DAF35F" w14:textId="77777777" w:rsidR="00102FC3" w:rsidRDefault="00102FC3" w:rsidP="00102FC3">
      <w:r>
        <w:rPr>
          <w:noProof/>
          <w14:ligatures w14:val="standardContextual"/>
        </w:rPr>
        <w:lastRenderedPageBreak/>
        <w:drawing>
          <wp:inline distT="0" distB="0" distL="0" distR="0" wp14:anchorId="16DBC56D" wp14:editId="0831B461">
            <wp:extent cx="5731510" cy="3223895"/>
            <wp:effectExtent l="0" t="0" r="2540" b="0"/>
            <wp:docPr id="157637496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637496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B75914" w14:textId="77777777" w:rsidR="00102FC3" w:rsidRDefault="00102FC3" w:rsidP="00102FC3"/>
    <w:p w14:paraId="7EE13EBC" w14:textId="77777777" w:rsidR="00102FC3" w:rsidRDefault="00102FC3" w:rsidP="00102FC3"/>
    <w:p w14:paraId="2230B6D9" w14:textId="77777777" w:rsidR="00102FC3" w:rsidRDefault="00102FC3" w:rsidP="00102FC3">
      <w:r>
        <w:rPr>
          <w:noProof/>
          <w14:ligatures w14:val="standardContextual"/>
        </w:rPr>
        <w:drawing>
          <wp:inline distT="0" distB="0" distL="0" distR="0" wp14:anchorId="75E18F2E" wp14:editId="693EBC6A">
            <wp:extent cx="5731510" cy="3223895"/>
            <wp:effectExtent l="0" t="0" r="2540" b="0"/>
            <wp:docPr id="13968595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85958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E362BF" w14:textId="77777777" w:rsidR="00102FC3" w:rsidRDefault="00102FC3" w:rsidP="00102FC3"/>
    <w:p w14:paraId="4B5010E7" w14:textId="77777777" w:rsidR="00102FC3" w:rsidRDefault="00102FC3" w:rsidP="00102FC3"/>
    <w:p w14:paraId="59A54DC0" w14:textId="77777777" w:rsidR="00102FC3" w:rsidRDefault="00102FC3" w:rsidP="00102FC3"/>
    <w:p w14:paraId="35A4A4CE" w14:textId="77777777" w:rsidR="00102FC3" w:rsidRDefault="00102FC3" w:rsidP="00102FC3"/>
    <w:p w14:paraId="08533573" w14:textId="77777777" w:rsidR="00102FC3" w:rsidRDefault="00102FC3" w:rsidP="00102FC3"/>
    <w:p w14:paraId="7B36429B" w14:textId="77777777" w:rsidR="00102FC3" w:rsidRDefault="00102FC3" w:rsidP="008C372C">
      <w:pPr>
        <w:spacing w:line="360" w:lineRule="auto"/>
        <w:rPr>
          <w:sz w:val="32"/>
          <w:szCs w:val="32"/>
        </w:rPr>
      </w:pPr>
      <w:r w:rsidRPr="00EA3852">
        <w:rPr>
          <w:sz w:val="32"/>
          <w:szCs w:val="32"/>
        </w:rPr>
        <w:lastRenderedPageBreak/>
        <w:t>References:</w:t>
      </w:r>
    </w:p>
    <w:p w14:paraId="6BA63F99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 xml:space="preserve">Ahmed, A. M., </w:t>
      </w:r>
      <w:proofErr w:type="spellStart"/>
      <w:r w:rsidRPr="00C42BC9">
        <w:rPr>
          <w:sz w:val="32"/>
          <w:szCs w:val="32"/>
          <w:lang w:val="en-US"/>
        </w:rPr>
        <w:t>Qiu</w:t>
      </w:r>
      <w:proofErr w:type="spellEnd"/>
      <w:r w:rsidRPr="00C42BC9">
        <w:rPr>
          <w:sz w:val="32"/>
          <w:szCs w:val="32"/>
          <w:lang w:val="en-US"/>
        </w:rPr>
        <w:t xml:space="preserve">, T., Xia, F., </w:t>
      </w:r>
      <w:proofErr w:type="spellStart"/>
      <w:r w:rsidRPr="00C42BC9">
        <w:rPr>
          <w:sz w:val="32"/>
          <w:szCs w:val="32"/>
          <w:lang w:val="en-US"/>
        </w:rPr>
        <w:t>Jedari</w:t>
      </w:r>
      <w:proofErr w:type="spellEnd"/>
      <w:r w:rsidRPr="00C42BC9">
        <w:rPr>
          <w:sz w:val="32"/>
          <w:szCs w:val="32"/>
          <w:lang w:val="en-US"/>
        </w:rPr>
        <w:t xml:space="preserve">, B., and </w:t>
      </w:r>
      <w:proofErr w:type="spellStart"/>
      <w:r w:rsidRPr="00C42BC9">
        <w:rPr>
          <w:sz w:val="32"/>
          <w:szCs w:val="32"/>
          <w:lang w:val="en-US"/>
        </w:rPr>
        <w:t>Abolfazli</w:t>
      </w:r>
      <w:proofErr w:type="spellEnd"/>
      <w:r w:rsidRPr="00C42BC9">
        <w:rPr>
          <w:sz w:val="32"/>
          <w:szCs w:val="32"/>
          <w:lang w:val="en-US"/>
        </w:rPr>
        <w:t>, S. (2014). Event-based mobile social networks: Services, technologies, and applications. </w:t>
      </w:r>
      <w:r w:rsidRPr="00C42BC9">
        <w:rPr>
          <w:i/>
          <w:iCs/>
          <w:sz w:val="32"/>
          <w:szCs w:val="32"/>
          <w:lang w:val="en-US"/>
        </w:rPr>
        <w:t>IEEE Access</w:t>
      </w:r>
      <w:r w:rsidRPr="00C42BC9">
        <w:rPr>
          <w:sz w:val="32"/>
          <w:szCs w:val="32"/>
          <w:lang w:val="en-US"/>
        </w:rPr>
        <w:t>, </w:t>
      </w:r>
      <w:r w:rsidRPr="00C42BC9">
        <w:rPr>
          <w:i/>
          <w:iCs/>
          <w:sz w:val="32"/>
          <w:szCs w:val="32"/>
          <w:lang w:val="en-US"/>
        </w:rPr>
        <w:t>2</w:t>
      </w:r>
      <w:r w:rsidRPr="00C42BC9">
        <w:rPr>
          <w:sz w:val="32"/>
          <w:szCs w:val="32"/>
          <w:lang w:val="en-US"/>
        </w:rPr>
        <w:t>, 500-513.</w:t>
      </w:r>
    </w:p>
    <w:p w14:paraId="63E2C432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proofErr w:type="spellStart"/>
      <w:r w:rsidRPr="00C42BC9">
        <w:rPr>
          <w:sz w:val="32"/>
          <w:szCs w:val="32"/>
          <w:lang w:val="en-US"/>
        </w:rPr>
        <w:t>Beeching</w:t>
      </w:r>
      <w:proofErr w:type="spellEnd"/>
      <w:r w:rsidRPr="00C42BC9">
        <w:rPr>
          <w:sz w:val="32"/>
          <w:szCs w:val="32"/>
          <w:lang w:val="en-US"/>
        </w:rPr>
        <w:t>, A. M. (2017). </w:t>
      </w:r>
      <w:r w:rsidRPr="00C42BC9">
        <w:rPr>
          <w:i/>
          <w:iCs/>
          <w:sz w:val="32"/>
          <w:szCs w:val="32"/>
          <w:lang w:val="en-US"/>
        </w:rPr>
        <w:t>Beyond talent: Creating a successful career in music</w:t>
      </w:r>
      <w:r w:rsidRPr="00C42BC9">
        <w:rPr>
          <w:sz w:val="32"/>
          <w:szCs w:val="32"/>
          <w:lang w:val="en-US"/>
        </w:rPr>
        <w:t>. Oxford University Press.</w:t>
      </w:r>
    </w:p>
    <w:p w14:paraId="0D8D967F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proofErr w:type="spellStart"/>
      <w:r w:rsidRPr="00C42BC9">
        <w:rPr>
          <w:sz w:val="32"/>
          <w:szCs w:val="32"/>
          <w:lang w:val="en-US"/>
        </w:rPr>
        <w:t>Bowdin</w:t>
      </w:r>
      <w:proofErr w:type="spellEnd"/>
      <w:r w:rsidRPr="00C42BC9">
        <w:rPr>
          <w:sz w:val="32"/>
          <w:szCs w:val="32"/>
          <w:lang w:val="en-US"/>
        </w:rPr>
        <w:t xml:space="preserve">, G., Allen, J., Harris, R., McDonnell, I., and </w:t>
      </w:r>
      <w:proofErr w:type="spellStart"/>
      <w:r w:rsidRPr="00C42BC9">
        <w:rPr>
          <w:sz w:val="32"/>
          <w:szCs w:val="32"/>
          <w:lang w:val="en-US"/>
        </w:rPr>
        <w:t>O'toole</w:t>
      </w:r>
      <w:proofErr w:type="spellEnd"/>
      <w:r w:rsidRPr="00C42BC9">
        <w:rPr>
          <w:sz w:val="32"/>
          <w:szCs w:val="32"/>
          <w:lang w:val="en-US"/>
        </w:rPr>
        <w:t>, W. (2021). </w:t>
      </w:r>
      <w:r w:rsidRPr="00C42BC9">
        <w:rPr>
          <w:i/>
          <w:iCs/>
          <w:sz w:val="32"/>
          <w:szCs w:val="32"/>
          <w:lang w:val="en-US"/>
        </w:rPr>
        <w:t>Events management</w:t>
      </w:r>
      <w:r w:rsidRPr="00C42BC9">
        <w:rPr>
          <w:sz w:val="32"/>
          <w:szCs w:val="32"/>
          <w:lang w:val="en-US"/>
        </w:rPr>
        <w:t>. Routledge.</w:t>
      </w:r>
    </w:p>
    <w:p w14:paraId="0BD341EF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proofErr w:type="spellStart"/>
      <w:r w:rsidRPr="00C42BC9">
        <w:rPr>
          <w:sz w:val="32"/>
          <w:szCs w:val="32"/>
          <w:lang w:val="en-US"/>
        </w:rPr>
        <w:t>Caffarella</w:t>
      </w:r>
      <w:proofErr w:type="spellEnd"/>
      <w:r w:rsidRPr="00C42BC9">
        <w:rPr>
          <w:sz w:val="32"/>
          <w:szCs w:val="32"/>
          <w:lang w:val="en-US"/>
        </w:rPr>
        <w:t xml:space="preserve">, R. S., </w:t>
      </w:r>
      <w:proofErr w:type="gramStart"/>
      <w:r w:rsidRPr="00C42BC9">
        <w:rPr>
          <w:sz w:val="32"/>
          <w:szCs w:val="32"/>
          <w:lang w:val="en-US"/>
        </w:rPr>
        <w:t xml:space="preserve">and  </w:t>
      </w:r>
      <w:proofErr w:type="spellStart"/>
      <w:r w:rsidRPr="00C42BC9">
        <w:rPr>
          <w:sz w:val="32"/>
          <w:szCs w:val="32"/>
          <w:lang w:val="en-US"/>
        </w:rPr>
        <w:t>Daffron</w:t>
      </w:r>
      <w:proofErr w:type="spellEnd"/>
      <w:proofErr w:type="gramEnd"/>
      <w:r w:rsidRPr="00C42BC9">
        <w:rPr>
          <w:sz w:val="32"/>
          <w:szCs w:val="32"/>
          <w:lang w:val="en-US"/>
        </w:rPr>
        <w:t>, S. R. (2013). </w:t>
      </w:r>
      <w:r w:rsidRPr="00C42BC9">
        <w:rPr>
          <w:i/>
          <w:iCs/>
          <w:sz w:val="32"/>
          <w:szCs w:val="32"/>
          <w:lang w:val="en-US"/>
        </w:rPr>
        <w:t>Planning programs for adult learners: A practical guide</w:t>
      </w:r>
      <w:r w:rsidRPr="00C42BC9">
        <w:rPr>
          <w:sz w:val="32"/>
          <w:szCs w:val="32"/>
          <w:lang w:val="en-US"/>
        </w:rPr>
        <w:t>. John Wiley &amp; Sons.</w:t>
      </w:r>
    </w:p>
    <w:p w14:paraId="42951F5A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>Campbell, F., and Popovic, C. (2018, May). Ensuring Learning through Session Formats and Networking Opportunities. In </w:t>
      </w:r>
      <w:r w:rsidRPr="00C42BC9">
        <w:rPr>
          <w:i/>
          <w:iCs/>
          <w:sz w:val="32"/>
          <w:szCs w:val="32"/>
          <w:lang w:val="en-US"/>
        </w:rPr>
        <w:t>Learning from Academic Conferences</w:t>
      </w:r>
      <w:r w:rsidRPr="00C42BC9">
        <w:rPr>
          <w:sz w:val="32"/>
          <w:szCs w:val="32"/>
          <w:lang w:val="en-US"/>
        </w:rPr>
        <w:t> (pp. 110-138). Brill.</w:t>
      </w:r>
    </w:p>
    <w:p w14:paraId="6DE09C01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>Clark, J., and White, G. W. (2015). Experiential learning: A definitive edge in the job market. </w:t>
      </w:r>
      <w:r w:rsidRPr="00C42BC9">
        <w:rPr>
          <w:i/>
          <w:iCs/>
          <w:sz w:val="32"/>
          <w:szCs w:val="32"/>
          <w:lang w:val="en-US"/>
        </w:rPr>
        <w:t>American Journal of Business Education (AJBE)</w:t>
      </w:r>
      <w:r w:rsidRPr="00C42BC9">
        <w:rPr>
          <w:sz w:val="32"/>
          <w:szCs w:val="32"/>
          <w:lang w:val="en-US"/>
        </w:rPr>
        <w:t>, </w:t>
      </w:r>
      <w:r w:rsidRPr="00C42BC9">
        <w:rPr>
          <w:i/>
          <w:iCs/>
          <w:sz w:val="32"/>
          <w:szCs w:val="32"/>
          <w:lang w:val="en-US"/>
        </w:rPr>
        <w:t>3</w:t>
      </w:r>
      <w:r w:rsidRPr="00C42BC9">
        <w:rPr>
          <w:sz w:val="32"/>
          <w:szCs w:val="32"/>
          <w:lang w:val="en-US"/>
        </w:rPr>
        <w:t>(2), 115-118.</w:t>
      </w:r>
    </w:p>
    <w:p w14:paraId="5CCDCA2C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>Crompton, J. L. (2015). Economic impact analysis of sports facilities and events: Eleven sources of misapplication. </w:t>
      </w:r>
      <w:r w:rsidRPr="00C42BC9">
        <w:rPr>
          <w:i/>
          <w:iCs/>
          <w:sz w:val="32"/>
          <w:szCs w:val="32"/>
          <w:lang w:val="en-US"/>
        </w:rPr>
        <w:t>Journal of sport management</w:t>
      </w:r>
      <w:r w:rsidRPr="00C42BC9">
        <w:rPr>
          <w:sz w:val="32"/>
          <w:szCs w:val="32"/>
          <w:lang w:val="en-US"/>
        </w:rPr>
        <w:t>, </w:t>
      </w:r>
      <w:r w:rsidRPr="00C42BC9">
        <w:rPr>
          <w:i/>
          <w:iCs/>
          <w:sz w:val="32"/>
          <w:szCs w:val="32"/>
          <w:lang w:val="en-US"/>
        </w:rPr>
        <w:t>9</w:t>
      </w:r>
      <w:r w:rsidRPr="00C42BC9">
        <w:rPr>
          <w:sz w:val="32"/>
          <w:szCs w:val="32"/>
          <w:lang w:val="en-US"/>
        </w:rPr>
        <w:t>(1), 14-35.</w:t>
      </w:r>
    </w:p>
    <w:p w14:paraId="5DD1E4E8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 xml:space="preserve">Donaldson, M. S., Corrigan, J. M., </w:t>
      </w:r>
      <w:proofErr w:type="gramStart"/>
      <w:r w:rsidRPr="00C42BC9">
        <w:rPr>
          <w:sz w:val="32"/>
          <w:szCs w:val="32"/>
          <w:lang w:val="en-US"/>
        </w:rPr>
        <w:t>and  Kohn</w:t>
      </w:r>
      <w:proofErr w:type="gramEnd"/>
      <w:r w:rsidRPr="00C42BC9">
        <w:rPr>
          <w:sz w:val="32"/>
          <w:szCs w:val="32"/>
          <w:lang w:val="en-US"/>
        </w:rPr>
        <w:t>, L. T. (Eds.). (2020). To err is human: building a safer health system.</w:t>
      </w:r>
    </w:p>
    <w:p w14:paraId="584779D6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lastRenderedPageBreak/>
        <w:t xml:space="preserve">Emery, P. R. (2022). Bidding to host a major sports event: The local </w:t>
      </w:r>
      <w:proofErr w:type="spellStart"/>
      <w:r w:rsidRPr="00C42BC9">
        <w:rPr>
          <w:sz w:val="32"/>
          <w:szCs w:val="32"/>
          <w:lang w:val="en-US"/>
        </w:rPr>
        <w:t>organising</w:t>
      </w:r>
      <w:proofErr w:type="spellEnd"/>
      <w:r w:rsidRPr="00C42BC9">
        <w:rPr>
          <w:sz w:val="32"/>
          <w:szCs w:val="32"/>
          <w:lang w:val="en-US"/>
        </w:rPr>
        <w:t xml:space="preserve"> committee perspective. </w:t>
      </w:r>
      <w:r w:rsidRPr="00C42BC9">
        <w:rPr>
          <w:i/>
          <w:iCs/>
          <w:sz w:val="32"/>
          <w:szCs w:val="32"/>
          <w:lang w:val="en-US"/>
        </w:rPr>
        <w:t>International Journal of Public Sector Management</w:t>
      </w:r>
      <w:r w:rsidRPr="00C42BC9">
        <w:rPr>
          <w:sz w:val="32"/>
          <w:szCs w:val="32"/>
          <w:lang w:val="en-US"/>
        </w:rPr>
        <w:t>, </w:t>
      </w:r>
      <w:r w:rsidRPr="00C42BC9">
        <w:rPr>
          <w:i/>
          <w:iCs/>
          <w:sz w:val="32"/>
          <w:szCs w:val="32"/>
          <w:lang w:val="en-US"/>
        </w:rPr>
        <w:t>15</w:t>
      </w:r>
      <w:r w:rsidRPr="00C42BC9">
        <w:rPr>
          <w:sz w:val="32"/>
          <w:szCs w:val="32"/>
          <w:lang w:val="en-US"/>
        </w:rPr>
        <w:t>(4), 316-335.</w:t>
      </w:r>
    </w:p>
    <w:p w14:paraId="4919F39D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>Fetterman, D. M. (2021). </w:t>
      </w:r>
      <w:r w:rsidRPr="00C42BC9">
        <w:rPr>
          <w:i/>
          <w:iCs/>
          <w:sz w:val="32"/>
          <w:szCs w:val="32"/>
          <w:lang w:val="en-US"/>
        </w:rPr>
        <w:t>Foundations of empowerment evaluation</w:t>
      </w:r>
      <w:r w:rsidRPr="00C42BC9">
        <w:rPr>
          <w:sz w:val="32"/>
          <w:szCs w:val="32"/>
          <w:lang w:val="en-US"/>
        </w:rPr>
        <w:t>. Sage.</w:t>
      </w:r>
    </w:p>
    <w:p w14:paraId="03A3A4F5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 xml:space="preserve">Fox, D. et al. (2014) </w:t>
      </w:r>
      <w:r w:rsidRPr="00C42BC9">
        <w:rPr>
          <w:i/>
          <w:iCs/>
          <w:sz w:val="32"/>
          <w:szCs w:val="32"/>
          <w:lang w:val="en-US"/>
        </w:rPr>
        <w:t>Doing events research: from theory to practice</w:t>
      </w:r>
      <w:r w:rsidRPr="00C42BC9">
        <w:rPr>
          <w:sz w:val="32"/>
          <w:szCs w:val="32"/>
          <w:lang w:val="en-US"/>
        </w:rPr>
        <w:t>. Routledge: Oxford.</w:t>
      </w:r>
    </w:p>
    <w:p w14:paraId="37FBF317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>Fraenkel, P. (2016). Engaging families as experts: Collaborative family program development. </w:t>
      </w:r>
      <w:r w:rsidRPr="00C42BC9">
        <w:rPr>
          <w:i/>
          <w:iCs/>
          <w:sz w:val="32"/>
          <w:szCs w:val="32"/>
          <w:lang w:val="en-US"/>
        </w:rPr>
        <w:t>Family Process</w:t>
      </w:r>
      <w:r w:rsidRPr="00C42BC9">
        <w:rPr>
          <w:sz w:val="32"/>
          <w:szCs w:val="32"/>
          <w:lang w:val="en-US"/>
        </w:rPr>
        <w:t>, </w:t>
      </w:r>
      <w:r w:rsidRPr="00C42BC9">
        <w:rPr>
          <w:i/>
          <w:iCs/>
          <w:sz w:val="32"/>
          <w:szCs w:val="32"/>
          <w:lang w:val="en-US"/>
        </w:rPr>
        <w:t>45</w:t>
      </w:r>
      <w:r w:rsidRPr="00C42BC9">
        <w:rPr>
          <w:sz w:val="32"/>
          <w:szCs w:val="32"/>
          <w:lang w:val="en-US"/>
        </w:rPr>
        <w:t>(2), 237-257.</w:t>
      </w:r>
    </w:p>
    <w:p w14:paraId="57A99A03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 xml:space="preserve">Freeman, P., and </w:t>
      </w:r>
      <w:proofErr w:type="spellStart"/>
      <w:r w:rsidRPr="00C42BC9">
        <w:rPr>
          <w:sz w:val="32"/>
          <w:szCs w:val="32"/>
          <w:lang w:val="en-US"/>
        </w:rPr>
        <w:t>Aspray</w:t>
      </w:r>
      <w:proofErr w:type="spellEnd"/>
      <w:r w:rsidRPr="00C42BC9">
        <w:rPr>
          <w:sz w:val="32"/>
          <w:szCs w:val="32"/>
          <w:lang w:val="en-US"/>
        </w:rPr>
        <w:t>, W. (2019). The Supply of Information Technology Workers in the United States.</w:t>
      </w:r>
    </w:p>
    <w:p w14:paraId="20864B12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 xml:space="preserve">Getz, D. and Page, S. (2019) </w:t>
      </w:r>
      <w:r w:rsidRPr="00C42BC9">
        <w:rPr>
          <w:i/>
          <w:iCs/>
          <w:sz w:val="32"/>
          <w:szCs w:val="32"/>
          <w:lang w:val="en-US"/>
        </w:rPr>
        <w:t>Event studies: theory, research and policy for planned events</w:t>
      </w:r>
      <w:r w:rsidRPr="00C42BC9">
        <w:rPr>
          <w:sz w:val="32"/>
          <w:szCs w:val="32"/>
          <w:lang w:val="en-US"/>
        </w:rPr>
        <w:t>. 3rd Edition. Routledge: Oxford.</w:t>
      </w:r>
    </w:p>
    <w:p w14:paraId="5AFAAD2E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>Gordon Jr, R. S. (2018). An operational classification of disease prevention. </w:t>
      </w:r>
      <w:r w:rsidRPr="00C42BC9">
        <w:rPr>
          <w:i/>
          <w:iCs/>
          <w:sz w:val="32"/>
          <w:szCs w:val="32"/>
          <w:lang w:val="en-US"/>
        </w:rPr>
        <w:t>Public health reports</w:t>
      </w:r>
      <w:r w:rsidRPr="00C42BC9">
        <w:rPr>
          <w:sz w:val="32"/>
          <w:szCs w:val="32"/>
          <w:lang w:val="en-US"/>
        </w:rPr>
        <w:t>, </w:t>
      </w:r>
      <w:r w:rsidRPr="00C42BC9">
        <w:rPr>
          <w:i/>
          <w:iCs/>
          <w:sz w:val="32"/>
          <w:szCs w:val="32"/>
          <w:lang w:val="en-US"/>
        </w:rPr>
        <w:t>98</w:t>
      </w:r>
      <w:r w:rsidRPr="00C42BC9">
        <w:rPr>
          <w:sz w:val="32"/>
          <w:szCs w:val="32"/>
          <w:lang w:val="en-US"/>
        </w:rPr>
        <w:t>(2), 107.</w:t>
      </w:r>
    </w:p>
    <w:p w14:paraId="5DD2AE07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 xml:space="preserve">Koopman, P., and </w:t>
      </w:r>
      <w:proofErr w:type="spellStart"/>
      <w:r w:rsidRPr="00C42BC9">
        <w:rPr>
          <w:sz w:val="32"/>
          <w:szCs w:val="32"/>
          <w:lang w:val="en-US"/>
        </w:rPr>
        <w:t>Fratrik</w:t>
      </w:r>
      <w:proofErr w:type="spellEnd"/>
      <w:r w:rsidRPr="00C42BC9">
        <w:rPr>
          <w:sz w:val="32"/>
          <w:szCs w:val="32"/>
          <w:lang w:val="en-US"/>
        </w:rPr>
        <w:t xml:space="preserve">, F. (2019). How many operational design domains, objects, and </w:t>
      </w:r>
      <w:proofErr w:type="gramStart"/>
      <w:r w:rsidRPr="00C42BC9">
        <w:rPr>
          <w:sz w:val="32"/>
          <w:szCs w:val="32"/>
          <w:lang w:val="en-US"/>
        </w:rPr>
        <w:t>events?.</w:t>
      </w:r>
      <w:proofErr w:type="gramEnd"/>
      <w:r w:rsidRPr="00C42BC9">
        <w:rPr>
          <w:sz w:val="32"/>
          <w:szCs w:val="32"/>
          <w:lang w:val="en-US"/>
        </w:rPr>
        <w:t> </w:t>
      </w:r>
      <w:proofErr w:type="spellStart"/>
      <w:r w:rsidRPr="00C42BC9">
        <w:rPr>
          <w:i/>
          <w:iCs/>
          <w:sz w:val="32"/>
          <w:szCs w:val="32"/>
          <w:lang w:val="en-US"/>
        </w:rPr>
        <w:t>Safeai</w:t>
      </w:r>
      <w:proofErr w:type="spellEnd"/>
      <w:r w:rsidRPr="00C42BC9">
        <w:rPr>
          <w:i/>
          <w:iCs/>
          <w:sz w:val="32"/>
          <w:szCs w:val="32"/>
          <w:lang w:val="en-US"/>
        </w:rPr>
        <w:t xml:space="preserve">@ </w:t>
      </w:r>
      <w:proofErr w:type="spellStart"/>
      <w:r w:rsidRPr="00C42BC9">
        <w:rPr>
          <w:i/>
          <w:iCs/>
          <w:sz w:val="32"/>
          <w:szCs w:val="32"/>
          <w:lang w:val="en-US"/>
        </w:rPr>
        <w:t>aaai</w:t>
      </w:r>
      <w:proofErr w:type="spellEnd"/>
      <w:r w:rsidRPr="00C42BC9">
        <w:rPr>
          <w:sz w:val="32"/>
          <w:szCs w:val="32"/>
          <w:lang w:val="en-US"/>
        </w:rPr>
        <w:t>, </w:t>
      </w:r>
      <w:r w:rsidRPr="00C42BC9">
        <w:rPr>
          <w:i/>
          <w:iCs/>
          <w:sz w:val="32"/>
          <w:szCs w:val="32"/>
          <w:lang w:val="en-US"/>
        </w:rPr>
        <w:t>4</w:t>
      </w:r>
      <w:r w:rsidRPr="00C42BC9">
        <w:rPr>
          <w:sz w:val="32"/>
          <w:szCs w:val="32"/>
          <w:lang w:val="en-US"/>
        </w:rPr>
        <w:t>.</w:t>
      </w:r>
    </w:p>
    <w:p w14:paraId="766B2718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 xml:space="preserve">Lee-Ross, D., </w:t>
      </w:r>
      <w:proofErr w:type="gramStart"/>
      <w:r w:rsidRPr="00C42BC9">
        <w:rPr>
          <w:sz w:val="32"/>
          <w:szCs w:val="32"/>
          <w:lang w:val="en-US"/>
        </w:rPr>
        <w:t>and  Lashley</w:t>
      </w:r>
      <w:proofErr w:type="gramEnd"/>
      <w:r w:rsidRPr="00C42BC9">
        <w:rPr>
          <w:sz w:val="32"/>
          <w:szCs w:val="32"/>
          <w:lang w:val="en-US"/>
        </w:rPr>
        <w:t>, C. (2020). </w:t>
      </w:r>
      <w:r w:rsidRPr="00C42BC9">
        <w:rPr>
          <w:i/>
          <w:iCs/>
          <w:sz w:val="32"/>
          <w:szCs w:val="32"/>
          <w:lang w:val="en-US"/>
        </w:rPr>
        <w:t>Entrepreneurship and small business management in the hospitality industry</w:t>
      </w:r>
      <w:r w:rsidRPr="00C42BC9">
        <w:rPr>
          <w:sz w:val="32"/>
          <w:szCs w:val="32"/>
          <w:lang w:val="en-US"/>
        </w:rPr>
        <w:t>. Routledge.</w:t>
      </w:r>
    </w:p>
    <w:p w14:paraId="07C7BAC9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proofErr w:type="spellStart"/>
      <w:r w:rsidRPr="00C42BC9">
        <w:rPr>
          <w:sz w:val="32"/>
          <w:szCs w:val="32"/>
          <w:lang w:val="en-US"/>
        </w:rPr>
        <w:t>Masterman</w:t>
      </w:r>
      <w:proofErr w:type="spellEnd"/>
      <w:r w:rsidRPr="00C42BC9">
        <w:rPr>
          <w:sz w:val="32"/>
          <w:szCs w:val="32"/>
          <w:lang w:val="en-US"/>
        </w:rPr>
        <w:t>, G. (2010). </w:t>
      </w:r>
      <w:r w:rsidRPr="00C42BC9">
        <w:rPr>
          <w:i/>
          <w:iCs/>
          <w:sz w:val="32"/>
          <w:szCs w:val="32"/>
          <w:lang w:val="en-US"/>
        </w:rPr>
        <w:t>Strategic sports event man</w:t>
      </w:r>
      <w:bookmarkStart w:id="0" w:name="_GoBack"/>
      <w:bookmarkEnd w:id="0"/>
      <w:r w:rsidRPr="00C42BC9">
        <w:rPr>
          <w:i/>
          <w:iCs/>
          <w:sz w:val="32"/>
          <w:szCs w:val="32"/>
          <w:lang w:val="en-US"/>
        </w:rPr>
        <w:t>agement</w:t>
      </w:r>
      <w:r w:rsidRPr="00C42BC9">
        <w:rPr>
          <w:sz w:val="32"/>
          <w:szCs w:val="32"/>
          <w:lang w:val="en-US"/>
        </w:rPr>
        <w:t>. Routledge.</w:t>
      </w:r>
    </w:p>
    <w:p w14:paraId="14555643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lastRenderedPageBreak/>
        <w:t xml:space="preserve">Player-Koro, C., </w:t>
      </w:r>
      <w:proofErr w:type="spellStart"/>
      <w:r w:rsidRPr="00C42BC9">
        <w:rPr>
          <w:sz w:val="32"/>
          <w:szCs w:val="32"/>
          <w:lang w:val="en-US"/>
        </w:rPr>
        <w:t>Bergviken</w:t>
      </w:r>
      <w:proofErr w:type="spellEnd"/>
      <w:r w:rsidRPr="00C42BC9">
        <w:rPr>
          <w:sz w:val="32"/>
          <w:szCs w:val="32"/>
          <w:lang w:val="en-US"/>
        </w:rPr>
        <w:t xml:space="preserve"> </w:t>
      </w:r>
      <w:proofErr w:type="spellStart"/>
      <w:r w:rsidRPr="00C42BC9">
        <w:rPr>
          <w:sz w:val="32"/>
          <w:szCs w:val="32"/>
          <w:lang w:val="en-US"/>
        </w:rPr>
        <w:t>Rensfeldt</w:t>
      </w:r>
      <w:proofErr w:type="spellEnd"/>
      <w:r w:rsidRPr="00C42BC9">
        <w:rPr>
          <w:sz w:val="32"/>
          <w:szCs w:val="32"/>
          <w:lang w:val="en-US"/>
        </w:rPr>
        <w:t>, A., and Selwyn, N. (2018). Selling tech to teachers: education trade shows as policy events. </w:t>
      </w:r>
      <w:r w:rsidRPr="00C42BC9">
        <w:rPr>
          <w:i/>
          <w:iCs/>
          <w:sz w:val="32"/>
          <w:szCs w:val="32"/>
          <w:lang w:val="en-US"/>
        </w:rPr>
        <w:t>Journal of Education Policy</w:t>
      </w:r>
      <w:r w:rsidRPr="00C42BC9">
        <w:rPr>
          <w:sz w:val="32"/>
          <w:szCs w:val="32"/>
          <w:lang w:val="en-US"/>
        </w:rPr>
        <w:t>, </w:t>
      </w:r>
      <w:r w:rsidRPr="00C42BC9">
        <w:rPr>
          <w:i/>
          <w:iCs/>
          <w:sz w:val="32"/>
          <w:szCs w:val="32"/>
          <w:lang w:val="en-US"/>
        </w:rPr>
        <w:t>33</w:t>
      </w:r>
      <w:r w:rsidRPr="00C42BC9">
        <w:rPr>
          <w:sz w:val="32"/>
          <w:szCs w:val="32"/>
          <w:lang w:val="en-US"/>
        </w:rPr>
        <w:t>(5), 682-703.</w:t>
      </w:r>
    </w:p>
    <w:p w14:paraId="28DB0662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>Reason, J. (2015). Understanding adverse events: human factors. </w:t>
      </w:r>
      <w:r w:rsidRPr="00C42BC9">
        <w:rPr>
          <w:i/>
          <w:iCs/>
          <w:sz w:val="32"/>
          <w:szCs w:val="32"/>
          <w:lang w:val="en-US"/>
        </w:rPr>
        <w:t>BMJ Quality &amp; Safety</w:t>
      </w:r>
      <w:r w:rsidRPr="00C42BC9">
        <w:rPr>
          <w:sz w:val="32"/>
          <w:szCs w:val="32"/>
          <w:lang w:val="en-US"/>
        </w:rPr>
        <w:t>, </w:t>
      </w:r>
      <w:r w:rsidRPr="00C42BC9">
        <w:rPr>
          <w:i/>
          <w:iCs/>
          <w:sz w:val="32"/>
          <w:szCs w:val="32"/>
          <w:lang w:val="en-US"/>
        </w:rPr>
        <w:t>4</w:t>
      </w:r>
      <w:r w:rsidRPr="00C42BC9">
        <w:rPr>
          <w:sz w:val="32"/>
          <w:szCs w:val="32"/>
          <w:lang w:val="en-US"/>
        </w:rPr>
        <w:t>(2), 80-89.</w:t>
      </w:r>
    </w:p>
    <w:p w14:paraId="7590A05C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proofErr w:type="spellStart"/>
      <w:r w:rsidRPr="00C42BC9">
        <w:rPr>
          <w:sz w:val="32"/>
          <w:szCs w:val="32"/>
          <w:lang w:val="en-US"/>
        </w:rPr>
        <w:t>Tomy</w:t>
      </w:r>
      <w:proofErr w:type="spellEnd"/>
      <w:r w:rsidRPr="00C42BC9">
        <w:rPr>
          <w:sz w:val="32"/>
          <w:szCs w:val="32"/>
          <w:lang w:val="en-US"/>
        </w:rPr>
        <w:t xml:space="preserve">, S., and </w:t>
      </w:r>
      <w:proofErr w:type="spellStart"/>
      <w:r w:rsidRPr="00C42BC9">
        <w:rPr>
          <w:sz w:val="32"/>
          <w:szCs w:val="32"/>
          <w:lang w:val="en-US"/>
        </w:rPr>
        <w:t>Pardede</w:t>
      </w:r>
      <w:proofErr w:type="spellEnd"/>
      <w:r w:rsidRPr="00C42BC9">
        <w:rPr>
          <w:sz w:val="32"/>
          <w:szCs w:val="32"/>
          <w:lang w:val="en-US"/>
        </w:rPr>
        <w:t xml:space="preserve">, E. (2020). An entrepreneurial intention model </w:t>
      </w:r>
      <w:proofErr w:type="spellStart"/>
      <w:r w:rsidRPr="00C42BC9">
        <w:rPr>
          <w:sz w:val="32"/>
          <w:szCs w:val="32"/>
          <w:lang w:val="en-US"/>
        </w:rPr>
        <w:t>focussing</w:t>
      </w:r>
      <w:proofErr w:type="spellEnd"/>
      <w:r w:rsidRPr="00C42BC9">
        <w:rPr>
          <w:sz w:val="32"/>
          <w:szCs w:val="32"/>
          <w:lang w:val="en-US"/>
        </w:rPr>
        <w:t xml:space="preserve"> on higher education. </w:t>
      </w:r>
      <w:r w:rsidRPr="00C42BC9">
        <w:rPr>
          <w:i/>
          <w:iCs/>
          <w:sz w:val="32"/>
          <w:szCs w:val="32"/>
          <w:lang w:val="en-US"/>
        </w:rPr>
        <w:t>International Journal of Entrepreneurial Behavior &amp; Research</w:t>
      </w:r>
      <w:r w:rsidRPr="00C42BC9">
        <w:rPr>
          <w:sz w:val="32"/>
          <w:szCs w:val="32"/>
          <w:lang w:val="en-US"/>
        </w:rPr>
        <w:t>, </w:t>
      </w:r>
      <w:r w:rsidRPr="00C42BC9">
        <w:rPr>
          <w:i/>
          <w:iCs/>
          <w:sz w:val="32"/>
          <w:szCs w:val="32"/>
          <w:lang w:val="en-US"/>
        </w:rPr>
        <w:t>26</w:t>
      </w:r>
      <w:r w:rsidRPr="00C42BC9">
        <w:rPr>
          <w:sz w:val="32"/>
          <w:szCs w:val="32"/>
          <w:lang w:val="en-US"/>
        </w:rPr>
        <w:t>(7), 1423-1447.</w:t>
      </w:r>
    </w:p>
    <w:p w14:paraId="4864E38E" w14:textId="77777777" w:rsidR="00102FC3" w:rsidRPr="00C42BC9" w:rsidRDefault="00102FC3" w:rsidP="008C372C">
      <w:pPr>
        <w:spacing w:line="360" w:lineRule="auto"/>
        <w:rPr>
          <w:sz w:val="32"/>
          <w:szCs w:val="32"/>
        </w:rPr>
      </w:pPr>
      <w:r w:rsidRPr="00C42BC9">
        <w:rPr>
          <w:sz w:val="32"/>
          <w:szCs w:val="32"/>
          <w:lang w:val="en-US"/>
        </w:rPr>
        <w:t xml:space="preserve">Tum, J., </w:t>
      </w:r>
      <w:proofErr w:type="gramStart"/>
      <w:r w:rsidRPr="00C42BC9">
        <w:rPr>
          <w:sz w:val="32"/>
          <w:szCs w:val="32"/>
          <w:lang w:val="en-US"/>
        </w:rPr>
        <w:t>and  Norton</w:t>
      </w:r>
      <w:proofErr w:type="gramEnd"/>
      <w:r w:rsidRPr="00C42BC9">
        <w:rPr>
          <w:sz w:val="32"/>
          <w:szCs w:val="32"/>
          <w:lang w:val="en-US"/>
        </w:rPr>
        <w:t>, P. (2016). </w:t>
      </w:r>
      <w:r w:rsidRPr="00C42BC9">
        <w:rPr>
          <w:i/>
          <w:iCs/>
          <w:sz w:val="32"/>
          <w:szCs w:val="32"/>
          <w:lang w:val="en-US"/>
        </w:rPr>
        <w:t>Management of event operations</w:t>
      </w:r>
      <w:r w:rsidRPr="00C42BC9">
        <w:rPr>
          <w:sz w:val="32"/>
          <w:szCs w:val="32"/>
          <w:lang w:val="en-US"/>
        </w:rPr>
        <w:t>. Routledge.</w:t>
      </w:r>
    </w:p>
    <w:p w14:paraId="617A9B6C" w14:textId="77777777" w:rsidR="00102FC3" w:rsidRPr="00EA3852" w:rsidRDefault="00102FC3" w:rsidP="008C372C">
      <w:pPr>
        <w:spacing w:line="360" w:lineRule="auto"/>
        <w:rPr>
          <w:sz w:val="32"/>
          <w:szCs w:val="32"/>
        </w:rPr>
      </w:pPr>
    </w:p>
    <w:p w14:paraId="08722E10" w14:textId="77777777" w:rsidR="0019483B" w:rsidRDefault="0019483B" w:rsidP="008C372C">
      <w:pPr>
        <w:spacing w:line="360" w:lineRule="auto"/>
      </w:pPr>
    </w:p>
    <w:sectPr w:rsidR="001948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2FC3"/>
    <w:rsid w:val="00102FC3"/>
    <w:rsid w:val="0019483B"/>
    <w:rsid w:val="008C37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0FD8C"/>
  <w15:chartTrackingRefBased/>
  <w15:docId w15:val="{B5B1828F-6D74-4107-93B8-3AF00F9227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2FC3"/>
    <w:pPr>
      <w:jc w:val="both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9</Pages>
  <Words>457</Words>
  <Characters>2609</Characters>
  <Application>Microsoft Office Word</Application>
  <DocSecurity>0</DocSecurity>
  <Lines>21</Lines>
  <Paragraphs>6</Paragraphs>
  <ScaleCrop>false</ScaleCrop>
  <Company/>
  <LinksUpToDate>false</LinksUpToDate>
  <CharactersWithSpaces>3060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Kaamil Ahmed</dc:creator>
  <cp:keywords/>
  <dc:description/>
  <cp:lastModifiedBy>Kaamil Ahmed</cp:lastModifiedBy>
  <cp:revision>2</cp:revision>
  <dcterms:created xsi:type="dcterms:W3CDTF">2024-05-10T16:08:00Z</dcterms:created>
  <dcterms:modified xsi:type="dcterms:W3CDTF">2024-05-10T16:16:00Z</dcterms:modified>
</cp:coreProperties>
</file>