
<file path=[Content_Types].xml><?xml version="1.0" encoding="utf-8"?>
<Types xmlns="http://schemas.openxmlformats.org/package/2006/content-types">
  <Default Extension="xml" ContentType="application/xml"/>
  <Default Extension="sldx" ContentType="application/vnd.openxmlformats-officedocument.presentationml.slide"/>
  <Default Extension="bin" ContentType="application/vnd.openxmlformats-officedocument.oleObject"/>
  <Default Extension="png" ContentType="image/png"/>
  <Default Extension="emf" ContentType="image/x-emf"/>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09E048D3">
      <w:pPr>
        <w:pStyle w:val="6"/>
        <w:spacing w:line="360" w:lineRule="auto"/>
        <w:ind w:left="110"/>
        <w:rPr>
          <w:rFonts w:ascii="Arial" w:hAnsi="Arial" w:cs="Arial"/>
          <w:sz w:val="20"/>
        </w:rPr>
      </w:pPr>
    </w:p>
    <w:p w14:paraId="149A7B91">
      <w:pPr>
        <w:pStyle w:val="9"/>
        <w:spacing w:line="360" w:lineRule="auto"/>
        <w:jc w:val="center"/>
        <w:rPr>
          <w:rFonts w:ascii="Arial" w:hAnsi="Arial" w:cs="Arial"/>
          <w:sz w:val="48"/>
          <w:szCs w:val="48"/>
        </w:rPr>
      </w:pPr>
      <w:r>
        <w:rPr>
          <w:rFonts w:ascii="SimSun" w:hAnsi="SimSun" w:eastAsia="SimSun" w:cs="SimSun"/>
          <w:sz w:val="24"/>
          <w:szCs w:val="24"/>
        </w:rPr>
        <w:drawing>
          <wp:inline distT="0" distB="0" distL="114300" distR="114300">
            <wp:extent cx="3923665" cy="1640840"/>
            <wp:effectExtent l="0" t="0" r="635" b="16510"/>
            <wp:docPr id="11" name="Picture 5"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5" descr="IMG_256"/>
                    <pic:cNvPicPr>
                      <a:picLocks noChangeAspect="1"/>
                    </pic:cNvPicPr>
                  </pic:nvPicPr>
                  <pic:blipFill>
                    <a:blip r:embed="rId4"/>
                    <a:stretch>
                      <a:fillRect/>
                    </a:stretch>
                  </pic:blipFill>
                  <pic:spPr>
                    <a:xfrm>
                      <a:off x="0" y="0"/>
                      <a:ext cx="3923665" cy="1640840"/>
                    </a:xfrm>
                    <a:prstGeom prst="rect">
                      <a:avLst/>
                    </a:prstGeom>
                    <a:noFill/>
                    <a:ln w="9525">
                      <a:noFill/>
                    </a:ln>
                  </pic:spPr>
                </pic:pic>
              </a:graphicData>
            </a:graphic>
          </wp:inline>
        </w:drawing>
      </w:r>
    </w:p>
    <w:p w14:paraId="2E1A95C8">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28" w:afterAutospacing="0"/>
        <w:ind w:left="0" w:right="0" w:firstLine="0"/>
        <w:jc w:val="center"/>
        <w:textAlignment w:val="baseline"/>
        <w:rPr>
          <w:rFonts w:hint="default" w:ascii="Arial" w:hAnsi="Arial" w:eastAsia="Segoe UI" w:cs="Arial"/>
          <w:b w:val="0"/>
          <w:bCs w:val="0"/>
          <w:i w:val="0"/>
          <w:iCs w:val="0"/>
          <w:caps w:val="0"/>
          <w:color w:val="000000"/>
          <w:spacing w:val="0"/>
          <w:kern w:val="0"/>
          <w:sz w:val="44"/>
          <w:szCs w:val="44"/>
          <w:bdr w:val="none" w:color="auto" w:sz="0" w:space="0"/>
          <w:shd w:val="clear" w:fill="FFFFFF"/>
          <w:vertAlign w:val="baseline"/>
        </w:rPr>
      </w:pPr>
      <w:r>
        <w:rPr>
          <w:rFonts w:hint="default" w:ascii="Arial" w:hAnsi="Arial" w:eastAsia="Segoe UI" w:cs="Arial"/>
          <w:b w:val="0"/>
          <w:bCs w:val="0"/>
          <w:i w:val="0"/>
          <w:iCs w:val="0"/>
          <w:caps w:val="0"/>
          <w:color w:val="000000"/>
          <w:spacing w:val="0"/>
          <w:kern w:val="0"/>
          <w:sz w:val="44"/>
          <w:szCs w:val="44"/>
          <w:bdr w:val="none" w:color="auto" w:sz="0" w:space="0"/>
          <w:shd w:val="clear" w:fill="FFFFFF"/>
          <w:vertAlign w:val="baseline"/>
          <w:lang w:val="en-US" w:eastAsia="zh-CN" w:bidi="ar"/>
        </w:rPr>
        <w:t>BMHP5014 Changemakers: Creativity &amp; Value Creation</w:t>
      </w:r>
      <w:bookmarkStart w:id="21" w:name="_GoBack"/>
      <w:bookmarkEnd w:id="21"/>
    </w:p>
    <w:p w14:paraId="61CB477A">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28" w:afterAutospacing="0"/>
        <w:ind w:left="0" w:right="0" w:firstLine="0"/>
        <w:jc w:val="center"/>
        <w:textAlignment w:val="baseline"/>
        <w:rPr>
          <w:rFonts w:ascii="Arial" w:hAnsi="Arial" w:cs="Arial"/>
          <w:b/>
          <w:bCs/>
          <w:sz w:val="32"/>
          <w:szCs w:val="32"/>
        </w:rPr>
      </w:pPr>
      <w:r>
        <w:rPr>
          <w:rFonts w:hint="default" w:ascii="Arial" w:hAnsi="Arial" w:eastAsia="Segoe UI" w:cs="Arial"/>
          <w:b w:val="0"/>
          <w:bCs w:val="0"/>
          <w:i w:val="0"/>
          <w:iCs w:val="0"/>
          <w:caps w:val="0"/>
          <w:color w:val="000000"/>
          <w:spacing w:val="0"/>
          <w:sz w:val="44"/>
          <w:szCs w:val="44"/>
          <w:shd w:val="clear" w:fill="FFFFFF"/>
          <w:vertAlign w:val="baseline"/>
          <w:lang w:val="en-US"/>
        </w:rPr>
        <w:br w:type="textWrapping"/>
      </w:r>
      <w:r>
        <w:rPr>
          <w:rFonts w:ascii="Arial" w:hAnsi="Arial" w:cs="Arial"/>
          <w:b/>
          <w:bCs/>
          <w:sz w:val="36"/>
          <w:szCs w:val="36"/>
        </w:rPr>
        <w:t>Component 2: Written Assignment (Report)</w:t>
      </w:r>
    </w:p>
    <w:p w14:paraId="5D229770">
      <w:pPr>
        <w:spacing w:line="360" w:lineRule="auto"/>
        <w:jc w:val="center"/>
        <w:rPr>
          <w:rFonts w:ascii="Arial" w:hAnsi="Arial" w:cs="Arial"/>
          <w:sz w:val="28"/>
          <w:szCs w:val="28"/>
        </w:rPr>
      </w:pPr>
    </w:p>
    <w:p w14:paraId="436F8EAC">
      <w:pPr>
        <w:spacing w:line="360" w:lineRule="auto"/>
        <w:jc w:val="center"/>
        <w:rPr>
          <w:rFonts w:ascii="Arial" w:hAnsi="Arial" w:cs="Arial"/>
          <w:b/>
          <w:bCs/>
          <w:sz w:val="28"/>
          <w:szCs w:val="28"/>
        </w:rPr>
      </w:pPr>
      <w:r>
        <w:rPr>
          <w:rFonts w:ascii="Arial" w:hAnsi="Arial" w:cs="Arial"/>
          <w:b/>
          <w:bCs/>
          <w:sz w:val="28"/>
          <w:szCs w:val="28"/>
        </w:rPr>
        <w:t>SmileSmart Kids: Bright Smiles, Healthy Future</w:t>
      </w:r>
    </w:p>
    <w:p w14:paraId="224AB38D">
      <w:pPr>
        <w:spacing w:line="360" w:lineRule="auto"/>
        <w:jc w:val="center"/>
        <w:rPr>
          <w:rFonts w:ascii="Arial" w:hAnsi="Arial" w:cs="Arial"/>
          <w:b/>
          <w:bCs/>
        </w:rPr>
      </w:pPr>
    </w:p>
    <w:p w14:paraId="4F5A7A39">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28" w:afterAutospacing="0"/>
        <w:ind w:left="0" w:right="0" w:firstLine="0"/>
        <w:jc w:val="left"/>
        <w:textAlignment w:val="baseline"/>
        <w:rPr>
          <w:b w:val="0"/>
          <w:bCs w:val="0"/>
          <w:i w:val="0"/>
          <w:iCs w:val="0"/>
          <w:color w:val="auto"/>
          <w:sz w:val="28"/>
          <w:szCs w:val="28"/>
        </w:rPr>
      </w:pPr>
      <w:r>
        <w:rPr>
          <w:rFonts w:ascii="Arial" w:hAnsi="Arial" w:cs="Arial"/>
          <w:b/>
          <w:bCs/>
        </w:rPr>
        <w:br w:type="textWrapping"/>
      </w:r>
      <w:r>
        <w:rPr>
          <w:rFonts w:ascii="Arial" w:hAnsi="Arial" w:cs="Arial"/>
          <w:b/>
          <w:bCs/>
        </w:rPr>
        <w:br w:type="textWrapping"/>
      </w:r>
      <w:r>
        <w:rPr>
          <w:rFonts w:ascii="Arial" w:hAnsi="Arial" w:cs="Arial"/>
          <w:b/>
          <w:bCs/>
        </w:rPr>
        <w:br w:type="textWrapping"/>
      </w:r>
      <w:r>
        <w:rPr>
          <w:rFonts w:ascii="Arial" w:hAnsi="Arial" w:cs="Arial"/>
          <w:b/>
          <w:bCs/>
        </w:rPr>
        <w:br w:type="textWrapping"/>
      </w:r>
      <w:r>
        <w:rPr>
          <w:rFonts w:ascii="Arial" w:hAnsi="Arial" w:cs="Arial"/>
          <w:b/>
          <w:bCs/>
        </w:rPr>
        <w:br w:type="textWrapping"/>
      </w:r>
      <w:r>
        <w:rPr>
          <w:rFonts w:ascii="Arial" w:hAnsi="Arial" w:cs="Arial"/>
          <w:b/>
          <w:bCs/>
        </w:rPr>
        <w:br w:type="textWrapping"/>
      </w:r>
      <w:r>
        <w:rPr>
          <w:rFonts w:ascii="Arial" w:hAnsi="Arial" w:cs="Arial"/>
          <w:b/>
          <w:bCs/>
        </w:rPr>
        <w:br w:type="textWrapping"/>
      </w:r>
      <w:r>
        <w:rPr>
          <w:rFonts w:ascii="Arial" w:hAnsi="Arial" w:cs="Arial"/>
          <w:b/>
          <w:bCs/>
        </w:rPr>
        <w:br w:type="textWrapping"/>
      </w:r>
      <w:r>
        <w:rPr>
          <w:rFonts w:ascii="Arial" w:hAnsi="Arial" w:cs="Arial"/>
          <w:b/>
          <w:bCs/>
        </w:rPr>
        <w:br w:type="textWrapping"/>
      </w:r>
      <w:r>
        <w:rPr>
          <w:rFonts w:ascii="Arial" w:hAnsi="Arial" w:cs="Arial"/>
          <w:b/>
          <w:bCs/>
        </w:rPr>
        <w:br w:type="textWrapping"/>
      </w:r>
      <w:r>
        <w:rPr>
          <w:rFonts w:hint="default" w:ascii="Arial" w:hAnsi="Arial" w:eastAsia="Segoe UI" w:cs="Arial"/>
          <w:b/>
          <w:bCs/>
          <w:i w:val="0"/>
          <w:iCs w:val="0"/>
          <w:caps w:val="0"/>
          <w:color w:val="000000"/>
          <w:spacing w:val="0"/>
          <w:sz w:val="32"/>
          <w:szCs w:val="32"/>
          <w:shd w:val="clear" w:fill="FFFFFF"/>
          <w:vertAlign w:val="baseline"/>
          <w:lang w:val="en-US"/>
        </w:rPr>
        <w:t xml:space="preserve">Student Name: </w:t>
      </w:r>
      <w:r>
        <w:rPr>
          <w:rFonts w:hint="default" w:ascii="Arial" w:hAnsi="Arial" w:eastAsia="Segoe UI" w:cs="Arial"/>
          <w:b w:val="0"/>
          <w:bCs w:val="0"/>
          <w:i w:val="0"/>
          <w:iCs w:val="0"/>
          <w:caps w:val="0"/>
          <w:color w:val="000000"/>
          <w:spacing w:val="0"/>
          <w:sz w:val="32"/>
          <w:szCs w:val="32"/>
          <w:shd w:val="clear" w:fill="FFFFFF"/>
          <w:vertAlign w:val="baseline"/>
          <w:lang w:val="en-US"/>
        </w:rPr>
        <w:t>Sunitha Peeter</w:t>
      </w:r>
    </w:p>
    <w:p w14:paraId="713DCDA3">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28" w:afterAutospacing="0"/>
        <w:ind w:left="0" w:right="0" w:firstLine="0"/>
        <w:jc w:val="left"/>
        <w:textAlignment w:val="baseline"/>
        <w:rPr>
          <w:b w:val="0"/>
          <w:bCs w:val="0"/>
          <w:i w:val="0"/>
          <w:iCs w:val="0"/>
          <w:color w:val="auto"/>
          <w:sz w:val="28"/>
          <w:szCs w:val="28"/>
        </w:rPr>
      </w:pPr>
      <w:r>
        <w:rPr>
          <w:rFonts w:hint="default" w:ascii="Arial" w:hAnsi="Arial" w:eastAsia="Segoe UI" w:cs="Arial"/>
          <w:b/>
          <w:bCs/>
          <w:i w:val="0"/>
          <w:iCs w:val="0"/>
          <w:caps w:val="0"/>
          <w:color w:val="000000"/>
          <w:spacing w:val="0"/>
          <w:sz w:val="32"/>
          <w:szCs w:val="32"/>
          <w:shd w:val="clear" w:fill="FFFFFF"/>
          <w:vertAlign w:val="baseline"/>
          <w:lang w:val="en-US"/>
        </w:rPr>
        <w:t xml:space="preserve">Student ID: </w:t>
      </w:r>
      <w:r>
        <w:rPr>
          <w:rFonts w:hint="default" w:ascii="Arial" w:hAnsi="Arial" w:eastAsia="Segoe UI" w:cs="Arial"/>
          <w:b w:val="0"/>
          <w:bCs w:val="0"/>
          <w:i w:val="0"/>
          <w:iCs w:val="0"/>
          <w:caps w:val="0"/>
          <w:color w:val="000000"/>
          <w:spacing w:val="0"/>
          <w:sz w:val="32"/>
          <w:szCs w:val="32"/>
          <w:shd w:val="clear" w:fill="FFFFFF"/>
          <w:vertAlign w:val="baseline"/>
          <w:lang w:val="en-US"/>
        </w:rPr>
        <w:t>2421161</w:t>
      </w:r>
    </w:p>
    <w:p w14:paraId="4CD54A2C">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28" w:afterAutospacing="0"/>
        <w:ind w:left="0" w:right="0" w:firstLine="0"/>
        <w:jc w:val="left"/>
        <w:textAlignment w:val="baseline"/>
        <w:rPr>
          <w:rFonts w:ascii="Arial" w:hAnsi="Arial" w:eastAsia="Arial Nova" w:cs="Arial"/>
          <w:color w:val="000000" w:themeColor="text1"/>
          <w:sz w:val="96"/>
          <w:szCs w:val="96"/>
          <w14:textFill>
            <w14:solidFill>
              <w14:schemeClr w14:val="tx1"/>
            </w14:solidFill>
          </w14:textFill>
        </w:rPr>
      </w:pPr>
      <w:r>
        <w:rPr>
          <w:rFonts w:hint="default" w:ascii="Arial" w:hAnsi="Arial" w:eastAsia="Segoe UI" w:cs="Arial"/>
          <w:b/>
          <w:bCs/>
          <w:i w:val="0"/>
          <w:iCs w:val="0"/>
          <w:caps w:val="0"/>
          <w:color w:val="000000"/>
          <w:spacing w:val="0"/>
          <w:sz w:val="32"/>
          <w:szCs w:val="32"/>
          <w:shd w:val="clear" w:fill="FFFFFF"/>
          <w:vertAlign w:val="baseline"/>
          <w:lang w:val="en-US"/>
        </w:rPr>
        <w:t>Module Tutor :</w:t>
      </w:r>
      <w:r>
        <w:rPr>
          <w:rFonts w:hint="default" w:ascii="Arial" w:hAnsi="Arial" w:eastAsia="Segoe UI" w:cs="Arial"/>
          <w:b w:val="0"/>
          <w:bCs w:val="0"/>
          <w:i w:val="0"/>
          <w:iCs w:val="0"/>
          <w:caps w:val="0"/>
          <w:color w:val="000000"/>
          <w:spacing w:val="0"/>
          <w:sz w:val="32"/>
          <w:szCs w:val="32"/>
          <w:shd w:val="clear" w:fill="FFFFFF"/>
          <w:vertAlign w:val="baseline"/>
          <w:lang w:val="en-US"/>
        </w:rPr>
        <w:t> Zarah Ahmed</w:t>
      </w:r>
    </w:p>
    <w:p w14:paraId="589D88D1">
      <w:pPr>
        <w:spacing w:line="360" w:lineRule="auto"/>
        <w:rPr>
          <w:rFonts w:ascii="Arial" w:hAnsi="Arial" w:cs="Arial"/>
          <w:b/>
          <w:bCs/>
        </w:rPr>
      </w:pPr>
      <w:r>
        <w:rPr>
          <w:rFonts w:ascii="Arial" w:hAnsi="Arial" w:cs="Arial"/>
          <w:b/>
          <w:bCs/>
        </w:rPr>
        <w:br w:type="textWrapping"/>
      </w:r>
    </w:p>
    <w:p w14:paraId="2FCAC00D">
      <w:pPr>
        <w:spacing w:line="360" w:lineRule="auto"/>
        <w:rPr>
          <w:rFonts w:ascii="Arial" w:hAnsi="Arial" w:cs="Arial"/>
          <w:b/>
          <w:bCs/>
        </w:rPr>
      </w:pPr>
    </w:p>
    <w:p w14:paraId="69CC5046">
      <w:pPr>
        <w:spacing w:line="360" w:lineRule="auto"/>
        <w:rPr>
          <w:rFonts w:ascii="Arial" w:hAnsi="Arial" w:cs="Arial"/>
          <w:b/>
          <w:bCs/>
        </w:rPr>
      </w:pPr>
    </w:p>
    <w:p w14:paraId="5ACB7D06">
      <w:pPr>
        <w:spacing w:line="360" w:lineRule="auto"/>
        <w:rPr>
          <w:rFonts w:ascii="Arial" w:hAnsi="Arial" w:cs="Arial"/>
          <w:b/>
          <w:bCs/>
        </w:rPr>
      </w:pPr>
    </w:p>
    <w:p w14:paraId="71163802">
      <w:pPr>
        <w:spacing w:line="360" w:lineRule="auto"/>
        <w:rPr>
          <w:rFonts w:ascii="Arial" w:hAnsi="Arial" w:cs="Arial"/>
          <w:b/>
          <w:bCs/>
        </w:rPr>
      </w:pPr>
    </w:p>
    <w:p w14:paraId="0F9629AA">
      <w:pPr>
        <w:spacing w:line="360" w:lineRule="auto"/>
        <w:rPr>
          <w:rFonts w:ascii="Arial" w:hAnsi="Arial" w:cs="Arial"/>
          <w:b/>
          <w:bCs/>
        </w:rPr>
      </w:pPr>
    </w:p>
    <w:p w14:paraId="56A6CE94">
      <w:pPr>
        <w:spacing w:line="360" w:lineRule="auto"/>
        <w:rPr>
          <w:rFonts w:ascii="Arial" w:hAnsi="Arial" w:cs="Arial"/>
          <w:b/>
          <w:bCs/>
        </w:rPr>
      </w:pPr>
    </w:p>
    <w:p w14:paraId="6581FA5F">
      <w:pPr>
        <w:spacing w:line="360" w:lineRule="auto"/>
        <w:rPr>
          <w:rFonts w:ascii="Arial" w:hAnsi="Arial" w:cs="Arial"/>
          <w:b/>
          <w:bCs/>
        </w:rPr>
      </w:pPr>
    </w:p>
    <w:p w14:paraId="6C008AC0">
      <w:pPr>
        <w:spacing w:line="360" w:lineRule="auto"/>
        <w:rPr>
          <w:rFonts w:ascii="Arial" w:hAnsi="Arial" w:cs="Arial"/>
          <w:b/>
          <w:bCs/>
        </w:rPr>
      </w:pPr>
    </w:p>
    <w:p w14:paraId="3939A3EF">
      <w:pPr>
        <w:spacing w:line="360" w:lineRule="auto"/>
        <w:rPr>
          <w:rFonts w:ascii="Arial" w:hAnsi="Arial" w:cs="Arial"/>
          <w:b/>
          <w:bCs/>
        </w:rPr>
      </w:pPr>
    </w:p>
    <w:p w14:paraId="5954BA98">
      <w:pPr>
        <w:spacing w:line="360" w:lineRule="auto"/>
        <w:rPr>
          <w:rFonts w:ascii="Arial" w:hAnsi="Arial" w:cs="Arial"/>
          <w:b/>
          <w:bCs/>
        </w:rPr>
      </w:pPr>
    </w:p>
    <w:p w14:paraId="31DCC1D6">
      <w:pPr>
        <w:spacing w:line="360" w:lineRule="auto"/>
        <w:rPr>
          <w:rFonts w:ascii="Arial" w:hAnsi="Arial" w:cs="Arial"/>
          <w:b/>
          <w:bCs/>
        </w:rPr>
      </w:pPr>
    </w:p>
    <w:p w14:paraId="0225E4D5">
      <w:pPr>
        <w:spacing w:line="360" w:lineRule="auto"/>
        <w:rPr>
          <w:rFonts w:ascii="Arial" w:hAnsi="Arial" w:cs="Arial"/>
          <w:b/>
          <w:bCs/>
        </w:rPr>
      </w:pPr>
    </w:p>
    <w:sdt>
      <w:sdtPr>
        <w:rPr>
          <w:rFonts w:ascii="Arial" w:hAnsi="Arial" w:eastAsia="Times New Roman" w:cs="Arial"/>
          <w:b w:val="0"/>
          <w:bCs/>
          <w:sz w:val="22"/>
          <w:szCs w:val="28"/>
          <w:lang w:val="en"/>
        </w:rPr>
        <w:id w:val="-298538944"/>
        <w:docPartObj>
          <w:docPartGallery w:val="Table of Contents"/>
          <w:docPartUnique/>
        </w:docPartObj>
      </w:sdtPr>
      <w:sdtEndPr>
        <w:rPr>
          <w:rFonts w:ascii="Arial" w:hAnsi="Arial" w:eastAsia="Times New Roman" w:cs="Arial"/>
          <w:b/>
          <w:bCs/>
          <w:sz w:val="22"/>
          <w:szCs w:val="22"/>
          <w:lang w:val="en-US"/>
        </w:rPr>
      </w:sdtEndPr>
      <w:sdtContent>
        <w:p w14:paraId="70519BC1">
          <w:pPr>
            <w:pStyle w:val="16"/>
            <w:spacing w:line="360" w:lineRule="auto"/>
            <w:jc w:val="center"/>
            <w:rPr>
              <w:rFonts w:ascii="Arial" w:hAnsi="Arial" w:cs="Arial"/>
              <w:b w:val="0"/>
              <w:bCs/>
              <w:szCs w:val="28"/>
            </w:rPr>
          </w:pPr>
          <w:r>
            <w:rPr>
              <w:rFonts w:ascii="Arial" w:hAnsi="Arial" w:cs="Arial"/>
              <w:bCs/>
              <w:szCs w:val="28"/>
            </w:rPr>
            <w:t>Table of Contents</w:t>
          </w:r>
        </w:p>
        <w:p w14:paraId="0E83AF1B">
          <w:pPr>
            <w:pStyle w:val="10"/>
            <w:tabs>
              <w:tab w:val="right" w:leader="dot" w:pos="7920"/>
              <w:tab w:val="clear" w:pos="9016"/>
            </w:tabs>
          </w:pPr>
          <w:r>
            <w:rPr>
              <w:rFonts w:ascii="Arial" w:hAnsi="Arial" w:cs="Arial"/>
            </w:rPr>
            <w:fldChar w:fldCharType="begin"/>
          </w:r>
          <w:r>
            <w:rPr>
              <w:rFonts w:ascii="Arial" w:hAnsi="Arial" w:cs="Arial"/>
            </w:rPr>
            <w:instrText xml:space="preserve"> TOC \o "1-3" \h \z \u </w:instrText>
          </w:r>
          <w:r>
            <w:rPr>
              <w:rFonts w:ascii="Arial" w:hAnsi="Arial" w:cs="Arial"/>
            </w:rPr>
            <w:fldChar w:fldCharType="separate"/>
          </w:r>
          <w:r>
            <w:fldChar w:fldCharType="begin"/>
          </w:r>
          <w:r>
            <w:instrText xml:space="preserve"> HYPERLINK \l "_Toc247" </w:instrText>
          </w:r>
          <w:r>
            <w:fldChar w:fldCharType="separate"/>
          </w:r>
          <w:r>
            <w:rPr>
              <w:rFonts w:ascii="Arial" w:hAnsi="Arial" w:cs="Arial"/>
              <w:lang w:val="en-US"/>
            </w:rPr>
            <w:t>Poster</w:t>
          </w:r>
          <w:r>
            <w:tab/>
          </w:r>
          <w:r>
            <w:fldChar w:fldCharType="begin"/>
          </w:r>
          <w:r>
            <w:instrText xml:space="preserve"> PAGEREF _Toc247 \h </w:instrText>
          </w:r>
          <w:r>
            <w:fldChar w:fldCharType="separate"/>
          </w:r>
          <w:r>
            <w:t>3</w:t>
          </w:r>
          <w:r>
            <w:fldChar w:fldCharType="end"/>
          </w:r>
          <w:r>
            <w:fldChar w:fldCharType="end"/>
          </w:r>
        </w:p>
        <w:p w14:paraId="24230FFB">
          <w:pPr>
            <w:pStyle w:val="10"/>
            <w:tabs>
              <w:tab w:val="right" w:leader="dot" w:pos="7920"/>
              <w:tab w:val="clear" w:pos="9016"/>
            </w:tabs>
          </w:pPr>
          <w:r>
            <w:fldChar w:fldCharType="begin"/>
          </w:r>
          <w:r>
            <w:instrText xml:space="preserve"> HYPERLINK \l "_Toc16270" </w:instrText>
          </w:r>
          <w:r>
            <w:fldChar w:fldCharType="separate"/>
          </w:r>
          <w:r>
            <w:rPr>
              <w:rFonts w:ascii="Arial" w:hAnsi="Arial" w:cs="Arial"/>
            </w:rPr>
            <w:t>Pitch for SmileSmart Kids: Bright Smiles, Healthy Future</w:t>
          </w:r>
          <w:r>
            <w:tab/>
          </w:r>
          <w:r>
            <w:fldChar w:fldCharType="begin"/>
          </w:r>
          <w:r>
            <w:instrText xml:space="preserve"> PAGEREF _Toc16270 \h </w:instrText>
          </w:r>
          <w:r>
            <w:fldChar w:fldCharType="separate"/>
          </w:r>
          <w:r>
            <w:t>4</w:t>
          </w:r>
          <w:r>
            <w:fldChar w:fldCharType="end"/>
          </w:r>
          <w:r>
            <w:fldChar w:fldCharType="end"/>
          </w:r>
        </w:p>
        <w:p w14:paraId="0FD3C4EB">
          <w:pPr>
            <w:pStyle w:val="11"/>
            <w:tabs>
              <w:tab w:val="right" w:leader="dot" w:pos="7920"/>
            </w:tabs>
          </w:pPr>
          <w:r>
            <w:fldChar w:fldCharType="begin"/>
          </w:r>
          <w:r>
            <w:instrText xml:space="preserve"> HYPERLINK \l "_Toc10708" </w:instrText>
          </w:r>
          <w:r>
            <w:fldChar w:fldCharType="separate"/>
          </w:r>
          <w:r>
            <w:rPr>
              <w:rFonts w:ascii="Arial" w:hAnsi="Arial" w:cs="Arial"/>
            </w:rPr>
            <w:t>Introduction</w:t>
          </w:r>
          <w:r>
            <w:tab/>
          </w:r>
          <w:r>
            <w:fldChar w:fldCharType="begin"/>
          </w:r>
          <w:r>
            <w:instrText xml:space="preserve"> PAGEREF _Toc10708 \h </w:instrText>
          </w:r>
          <w:r>
            <w:fldChar w:fldCharType="separate"/>
          </w:r>
          <w:r>
            <w:t>4</w:t>
          </w:r>
          <w:r>
            <w:fldChar w:fldCharType="end"/>
          </w:r>
          <w:r>
            <w:fldChar w:fldCharType="end"/>
          </w:r>
        </w:p>
        <w:p w14:paraId="23D178B6">
          <w:pPr>
            <w:pStyle w:val="11"/>
            <w:tabs>
              <w:tab w:val="right" w:leader="dot" w:pos="7920"/>
            </w:tabs>
          </w:pPr>
          <w:r>
            <w:fldChar w:fldCharType="begin"/>
          </w:r>
          <w:r>
            <w:instrText xml:space="preserve"> HYPERLINK \l "_Toc24524" </w:instrText>
          </w:r>
          <w:r>
            <w:fldChar w:fldCharType="separate"/>
          </w:r>
          <w:r>
            <w:rPr>
              <w:rFonts w:ascii="Arial" w:hAnsi="Arial" w:cs="Arial"/>
            </w:rPr>
            <w:t>Key Components and How the Innovation Works</w:t>
          </w:r>
          <w:r>
            <w:tab/>
          </w:r>
          <w:r>
            <w:fldChar w:fldCharType="begin"/>
          </w:r>
          <w:r>
            <w:instrText xml:space="preserve"> PAGEREF _Toc24524 \h </w:instrText>
          </w:r>
          <w:r>
            <w:fldChar w:fldCharType="separate"/>
          </w:r>
          <w:r>
            <w:t>4</w:t>
          </w:r>
          <w:r>
            <w:fldChar w:fldCharType="end"/>
          </w:r>
          <w:r>
            <w:fldChar w:fldCharType="end"/>
          </w:r>
        </w:p>
        <w:p w14:paraId="65C97BF7">
          <w:pPr>
            <w:pStyle w:val="11"/>
            <w:tabs>
              <w:tab w:val="right" w:leader="dot" w:pos="7920"/>
            </w:tabs>
          </w:pPr>
          <w:r>
            <w:fldChar w:fldCharType="begin"/>
          </w:r>
          <w:r>
            <w:instrText xml:space="preserve"> HYPERLINK \l "_Toc27321" </w:instrText>
          </w:r>
          <w:r>
            <w:fldChar w:fldCharType="separate"/>
          </w:r>
          <w:r>
            <w:rPr>
              <w:rFonts w:ascii="Arial" w:hAnsi="Arial" w:cs="Arial"/>
            </w:rPr>
            <w:t>Expected Impact and Importance of the Innovation</w:t>
          </w:r>
          <w:r>
            <w:tab/>
          </w:r>
          <w:r>
            <w:fldChar w:fldCharType="begin"/>
          </w:r>
          <w:r>
            <w:instrText xml:space="preserve"> PAGEREF _Toc27321 \h </w:instrText>
          </w:r>
          <w:r>
            <w:fldChar w:fldCharType="separate"/>
          </w:r>
          <w:r>
            <w:t>5</w:t>
          </w:r>
          <w:r>
            <w:fldChar w:fldCharType="end"/>
          </w:r>
          <w:r>
            <w:fldChar w:fldCharType="end"/>
          </w:r>
        </w:p>
        <w:p w14:paraId="4243945C">
          <w:pPr>
            <w:pStyle w:val="11"/>
            <w:tabs>
              <w:tab w:val="right" w:leader="dot" w:pos="7920"/>
            </w:tabs>
          </w:pPr>
          <w:r>
            <w:fldChar w:fldCharType="begin"/>
          </w:r>
          <w:r>
            <w:instrText xml:space="preserve"> HYPERLINK \l "_Toc25060" </w:instrText>
          </w:r>
          <w:r>
            <w:fldChar w:fldCharType="separate"/>
          </w:r>
          <w:r>
            <w:rPr>
              <w:rFonts w:ascii="Arial" w:hAnsi="Arial" w:cs="Arial"/>
            </w:rPr>
            <w:t>Implementation Plan</w:t>
          </w:r>
          <w:r>
            <w:tab/>
          </w:r>
          <w:r>
            <w:fldChar w:fldCharType="begin"/>
          </w:r>
          <w:r>
            <w:instrText xml:space="preserve"> PAGEREF _Toc25060 \h </w:instrText>
          </w:r>
          <w:r>
            <w:fldChar w:fldCharType="separate"/>
          </w:r>
          <w:r>
            <w:t>6</w:t>
          </w:r>
          <w:r>
            <w:fldChar w:fldCharType="end"/>
          </w:r>
          <w:r>
            <w:fldChar w:fldCharType="end"/>
          </w:r>
        </w:p>
        <w:p w14:paraId="088486F8">
          <w:pPr>
            <w:pStyle w:val="11"/>
            <w:tabs>
              <w:tab w:val="right" w:leader="dot" w:pos="7920"/>
            </w:tabs>
          </w:pPr>
          <w:r>
            <w:fldChar w:fldCharType="begin"/>
          </w:r>
          <w:r>
            <w:instrText xml:space="preserve"> HYPERLINK \l "_Toc6461" </w:instrText>
          </w:r>
          <w:r>
            <w:fldChar w:fldCharType="separate"/>
          </w:r>
          <w:r>
            <w:rPr>
              <w:rFonts w:ascii="Arial" w:hAnsi="Arial" w:cs="Arial"/>
            </w:rPr>
            <w:t>Timeline</w:t>
          </w:r>
          <w:r>
            <w:tab/>
          </w:r>
          <w:r>
            <w:fldChar w:fldCharType="begin"/>
          </w:r>
          <w:r>
            <w:instrText xml:space="preserve"> PAGEREF _Toc6461 \h </w:instrText>
          </w:r>
          <w:r>
            <w:fldChar w:fldCharType="separate"/>
          </w:r>
          <w:r>
            <w:t>6</w:t>
          </w:r>
          <w:r>
            <w:fldChar w:fldCharType="end"/>
          </w:r>
          <w:r>
            <w:fldChar w:fldCharType="end"/>
          </w:r>
        </w:p>
        <w:p w14:paraId="6D69D8D2">
          <w:pPr>
            <w:pStyle w:val="11"/>
            <w:tabs>
              <w:tab w:val="right" w:leader="dot" w:pos="7920"/>
            </w:tabs>
          </w:pPr>
          <w:r>
            <w:fldChar w:fldCharType="begin"/>
          </w:r>
          <w:r>
            <w:instrText xml:space="preserve"> HYPERLINK \l "_Toc11920" </w:instrText>
          </w:r>
          <w:r>
            <w:fldChar w:fldCharType="separate"/>
          </w:r>
          <w:r>
            <w:rPr>
              <w:rFonts w:ascii="Arial" w:hAnsi="Arial" w:cs="Arial"/>
            </w:rPr>
            <w:t>Value, Feasibility, and Recommendations</w:t>
          </w:r>
          <w:r>
            <w:tab/>
          </w:r>
          <w:r>
            <w:fldChar w:fldCharType="begin"/>
          </w:r>
          <w:r>
            <w:instrText xml:space="preserve"> PAGEREF _Toc11920 \h </w:instrText>
          </w:r>
          <w:r>
            <w:fldChar w:fldCharType="separate"/>
          </w:r>
          <w:r>
            <w:t>7</w:t>
          </w:r>
          <w:r>
            <w:fldChar w:fldCharType="end"/>
          </w:r>
          <w:r>
            <w:fldChar w:fldCharType="end"/>
          </w:r>
        </w:p>
        <w:p w14:paraId="45E47FEB">
          <w:pPr>
            <w:pStyle w:val="11"/>
            <w:tabs>
              <w:tab w:val="right" w:leader="dot" w:pos="7920"/>
            </w:tabs>
          </w:pPr>
          <w:r>
            <w:fldChar w:fldCharType="begin"/>
          </w:r>
          <w:r>
            <w:instrText xml:space="preserve"> HYPERLINK \l "_Toc18098" </w:instrText>
          </w:r>
          <w:r>
            <w:fldChar w:fldCharType="separate"/>
          </w:r>
          <w:r>
            <w:rPr>
              <w:rFonts w:ascii="Arial" w:hAnsi="Arial" w:cs="Arial"/>
              <w:lang w:val="en-US"/>
            </w:rPr>
            <w:t>Conclusion and Call to Action</w:t>
          </w:r>
          <w:r>
            <w:tab/>
          </w:r>
          <w:r>
            <w:fldChar w:fldCharType="begin"/>
          </w:r>
          <w:r>
            <w:instrText xml:space="preserve"> PAGEREF _Toc18098 \h </w:instrText>
          </w:r>
          <w:r>
            <w:fldChar w:fldCharType="separate"/>
          </w:r>
          <w:r>
            <w:t>7</w:t>
          </w:r>
          <w:r>
            <w:fldChar w:fldCharType="end"/>
          </w:r>
          <w:r>
            <w:fldChar w:fldCharType="end"/>
          </w:r>
        </w:p>
        <w:p w14:paraId="7F2D5A30">
          <w:pPr>
            <w:pStyle w:val="10"/>
            <w:tabs>
              <w:tab w:val="right" w:leader="dot" w:pos="7920"/>
              <w:tab w:val="clear" w:pos="9016"/>
            </w:tabs>
          </w:pPr>
          <w:r>
            <w:fldChar w:fldCharType="begin"/>
          </w:r>
          <w:r>
            <w:instrText xml:space="preserve"> HYPERLINK \l "_Toc6000" </w:instrText>
          </w:r>
          <w:r>
            <w:fldChar w:fldCharType="separate"/>
          </w:r>
          <w:r>
            <w:rPr>
              <w:rFonts w:ascii="Arial" w:hAnsi="Arial" w:cs="Arial"/>
            </w:rPr>
            <w:t>References</w:t>
          </w:r>
          <w:r>
            <w:tab/>
          </w:r>
          <w:r>
            <w:fldChar w:fldCharType="begin"/>
          </w:r>
          <w:r>
            <w:instrText xml:space="preserve"> PAGEREF _Toc6000 \h </w:instrText>
          </w:r>
          <w:r>
            <w:fldChar w:fldCharType="separate"/>
          </w:r>
          <w:r>
            <w:t>9</w:t>
          </w:r>
          <w:r>
            <w:fldChar w:fldCharType="end"/>
          </w:r>
          <w:r>
            <w:fldChar w:fldCharType="end"/>
          </w:r>
        </w:p>
        <w:p w14:paraId="1EE23FD5">
          <w:pPr>
            <w:pStyle w:val="10"/>
            <w:tabs>
              <w:tab w:val="right" w:leader="dot" w:pos="7920"/>
              <w:tab w:val="clear" w:pos="9016"/>
            </w:tabs>
          </w:pPr>
          <w:r>
            <w:fldChar w:fldCharType="begin"/>
          </w:r>
          <w:r>
            <w:instrText xml:space="preserve"> HYPERLINK \l "_Toc13692" </w:instrText>
          </w:r>
          <w:r>
            <w:fldChar w:fldCharType="separate"/>
          </w:r>
          <w:r>
            <w:rPr>
              <w:rFonts w:ascii="Arial" w:hAnsi="Arial" w:cs="Arial"/>
            </w:rPr>
            <w:t>Appendix</w:t>
          </w:r>
          <w:r>
            <w:tab/>
          </w:r>
          <w:r>
            <w:fldChar w:fldCharType="begin"/>
          </w:r>
          <w:r>
            <w:instrText xml:space="preserve"> PAGEREF _Toc13692 \h </w:instrText>
          </w:r>
          <w:r>
            <w:fldChar w:fldCharType="separate"/>
          </w:r>
          <w:r>
            <w:t>11</w:t>
          </w:r>
          <w:r>
            <w:fldChar w:fldCharType="end"/>
          </w:r>
          <w:r>
            <w:fldChar w:fldCharType="end"/>
          </w:r>
        </w:p>
        <w:p w14:paraId="2DD32988">
          <w:pPr>
            <w:spacing w:line="360" w:lineRule="auto"/>
            <w:rPr>
              <w:rFonts w:ascii="Arial" w:hAnsi="Arial" w:cs="Arial"/>
            </w:rPr>
          </w:pPr>
          <w:r>
            <w:rPr>
              <w:rFonts w:ascii="Arial" w:hAnsi="Arial" w:cs="Arial"/>
              <w:bCs/>
            </w:rPr>
            <w:fldChar w:fldCharType="end"/>
          </w:r>
        </w:p>
      </w:sdtContent>
    </w:sdt>
    <w:p w14:paraId="41E637DC">
      <w:pPr>
        <w:spacing w:line="360" w:lineRule="auto"/>
        <w:rPr>
          <w:rFonts w:ascii="Arial" w:hAnsi="Arial" w:cs="Arial"/>
          <w:sz w:val="20"/>
        </w:rPr>
      </w:pPr>
    </w:p>
    <w:p w14:paraId="08952E4A">
      <w:pPr>
        <w:spacing w:line="360" w:lineRule="auto"/>
        <w:rPr>
          <w:rFonts w:ascii="Arial" w:hAnsi="Arial" w:cs="Arial"/>
          <w:sz w:val="20"/>
        </w:rPr>
        <w:sectPr>
          <w:type w:val="continuous"/>
          <w:pgSz w:w="10800" w:h="19200"/>
          <w:pgMar w:top="1440" w:right="1440" w:bottom="1440" w:left="1440" w:header="720" w:footer="720" w:gutter="0"/>
          <w:cols w:space="0" w:num="1"/>
        </w:sectPr>
      </w:pPr>
      <w:r>
        <w:rPr>
          <w:rFonts w:ascii="Arial" w:hAnsi="Arial" w:cs="Arial"/>
          <w:sz w:val="20"/>
        </w:rPr>
        <w:br w:type="page"/>
      </w:r>
    </w:p>
    <w:p w14:paraId="38E4E823">
      <w:pPr>
        <w:pStyle w:val="2"/>
        <w:rPr>
          <w:rFonts w:hint="default" w:ascii="Arial" w:hAnsi="Arial" w:cs="Arial"/>
          <w:lang w:val="en-IN"/>
        </w:rPr>
      </w:pPr>
      <w:bookmarkStart w:id="0" w:name="_Toc247"/>
      <w:bookmarkStart w:id="1" w:name="_Toc234661650"/>
      <w:r>
        <w:rPr>
          <w:rFonts w:ascii="Arial" w:hAnsi="Arial" w:cs="Arial"/>
        </w:rPr>
        <w:t>Poster</w:t>
      </w:r>
      <w:bookmarkEnd w:id="0"/>
      <w:r>
        <w:rPr>
          <w:rFonts w:hint="default" w:ascii="Arial" w:hAnsi="Arial" w:cs="Arial"/>
          <w:lang w:val="en-IN"/>
        </w:rPr>
        <w:t xml:space="preserve"> (Appendix 1)</w:t>
      </w:r>
    </w:p>
    <w:p w14:paraId="63DB8852"/>
    <w:p w14:paraId="17023862">
      <w:pPr>
        <w:rPr>
          <w:rFonts w:ascii="Arial" w:hAnsi="Arial" w:cs="Arial"/>
        </w:rPr>
      </w:pPr>
      <w:r>
        <w:rPr>
          <w:rFonts w:ascii="Arial" w:hAnsi="Arial" w:cs="Arial"/>
        </w:rPr>
        <w:object>
          <v:shape id="_x0000_i1025" o:spt="75" type="#_x0000_t75" style="height:756.75pt;width:429pt;" o:ole="t" filled="f" o:preferrelative="t" stroked="f" coordsize="21600,21600">
            <v:path/>
            <v:fill on="f" focussize="0,0"/>
            <v:stroke on="f" joinstyle="miter"/>
            <v:imagedata r:id="rId6" o:title=""/>
            <o:lock v:ext="edit" aspectratio="f"/>
            <w10:wrap type="none"/>
            <w10:anchorlock/>
          </v:shape>
          <o:OLEObject Type="Embed" ProgID="PowerPoint.Slide.12" ShapeID="_x0000_i1025" DrawAspect="Content" ObjectID="_1468075725" r:id="rId5">
            <o:LockedField>false</o:LockedField>
          </o:OLEObject>
        </w:object>
      </w:r>
    </w:p>
    <w:p w14:paraId="5A2DA2E0">
      <w:pPr>
        <w:pStyle w:val="2"/>
        <w:rPr>
          <w:rFonts w:ascii="Arial" w:hAnsi="Arial" w:cs="Arial"/>
        </w:rPr>
      </w:pPr>
      <w:bookmarkStart w:id="2" w:name="_Toc16270"/>
      <w:r>
        <w:rPr>
          <w:rFonts w:ascii="Arial" w:hAnsi="Arial" w:cs="Arial"/>
        </w:rPr>
        <w:t>Pitch for SmileSmart Kids: Bright Smiles, Healthy Future</w:t>
      </w:r>
      <w:bookmarkEnd w:id="1"/>
      <w:bookmarkEnd w:id="2"/>
      <w:r>
        <w:rPr>
          <w:rFonts w:ascii="Arial" w:hAnsi="Arial" w:cs="Arial"/>
        </w:rPr>
        <w:t xml:space="preserve"> </w:t>
      </w:r>
    </w:p>
    <w:p w14:paraId="2ED90EA5"/>
    <w:p w14:paraId="04159A41">
      <w:pPr>
        <w:pStyle w:val="3"/>
        <w:rPr>
          <w:rFonts w:ascii="Arial" w:hAnsi="Arial" w:cs="Arial"/>
        </w:rPr>
      </w:pPr>
      <w:bookmarkStart w:id="3" w:name="_Toc10708"/>
      <w:bookmarkStart w:id="4" w:name="_Toc234661651"/>
      <w:r>
        <w:rPr>
          <w:rFonts w:ascii="Arial" w:hAnsi="Arial" w:cs="Arial"/>
        </w:rPr>
        <w:t>Introduction</w:t>
      </w:r>
      <w:bookmarkEnd w:id="3"/>
      <w:bookmarkEnd w:id="4"/>
    </w:p>
    <w:p w14:paraId="521F281F"/>
    <w:p w14:paraId="58784CB9">
      <w:pPr>
        <w:spacing w:line="360" w:lineRule="auto"/>
        <w:jc w:val="both"/>
        <w:rPr>
          <w:rFonts w:ascii="Arial" w:hAnsi="Arial" w:cs="Arial"/>
        </w:rPr>
      </w:pPr>
      <w:r>
        <w:rPr>
          <w:rFonts w:ascii="Arial" w:hAnsi="Arial" w:cs="Arial"/>
        </w:rPr>
        <w:t>Good oral health is fundamental to children's overall health, wellbeing and development. Nonetheless, tooth decay is one of the most widespread and dangerous diseases of children in the United Kingdom that could be avoided. The occurrence of dental pain, infection and unnecessary hospitalisation is continued by many children due to poor oral hygiene measures, poor diets and limited access to preventive oral health education. These problems harm the quality of life of children, their school attendance and their confidence and increase the volume of NHS dental care demand (Fadila et al. 2024). As such, new and preventive measures are required to enhance the oral health of children, as well as decrease healthcare delivery costs in the long term. This proposal is in the form of SmileSmart Kids, an Artificial Intelligence (AI)-based mobile application meant to promote positive oral hygiene behaviours in children aged 4- 12 years using captivating online technology.</w:t>
      </w:r>
    </w:p>
    <w:p w14:paraId="2E3D3C55">
      <w:pPr>
        <w:spacing w:line="360" w:lineRule="auto"/>
        <w:jc w:val="both"/>
        <w:rPr>
          <w:rFonts w:ascii="Arial" w:hAnsi="Arial" w:cs="Arial"/>
        </w:rPr>
      </w:pPr>
    </w:p>
    <w:p w14:paraId="6FCD0278">
      <w:pPr>
        <w:pStyle w:val="3"/>
        <w:rPr>
          <w:rFonts w:ascii="Arial" w:hAnsi="Arial" w:cs="Arial"/>
        </w:rPr>
      </w:pPr>
      <w:bookmarkStart w:id="5" w:name="_Toc24524"/>
      <w:bookmarkStart w:id="6" w:name="_Toc234661652"/>
      <w:r>
        <w:rPr>
          <w:rFonts w:ascii="Arial" w:hAnsi="Arial" w:cs="Arial"/>
        </w:rPr>
        <w:t>Key Components and How the Innovation Works</w:t>
      </w:r>
      <w:bookmarkEnd w:id="5"/>
      <w:bookmarkEnd w:id="6"/>
    </w:p>
    <w:p w14:paraId="6A1A7C24"/>
    <w:p w14:paraId="3B4AE595">
      <w:pPr>
        <w:spacing w:line="360" w:lineRule="auto"/>
        <w:jc w:val="both"/>
        <w:rPr>
          <w:rFonts w:ascii="Arial" w:hAnsi="Arial" w:cs="Arial"/>
        </w:rPr>
      </w:pPr>
      <w:r>
        <w:rPr>
          <w:rFonts w:ascii="Arial" w:hAnsi="Arial" w:cs="Arial"/>
        </w:rPr>
        <w:t>I would like to suggest SmileSmart Kids as a digital technology and preventive oral care-merged AI-driven smartphone app to improve the dental health of children. The application will be developed to motivate children aged 4-12 years to adopt positive oral hygiene through the given features, which are interactive, engaging and personalised. One such component is an AI-based reminder system which examines children's personal routines regarding brushing their teeth and provides them with individual reminders when they should brush their teeth twice a day. This individualised method encourages consistency and facilitates the development of lifelong healthy behaviours.</w:t>
      </w:r>
    </w:p>
    <w:p w14:paraId="2D5088A3">
      <w:pPr>
        <w:spacing w:line="360" w:lineRule="auto"/>
        <w:jc w:val="both"/>
        <w:rPr>
          <w:rFonts w:ascii="Arial" w:hAnsi="Arial" w:cs="Arial"/>
        </w:rPr>
      </w:pPr>
      <w:r>
        <w:rPr>
          <w:rFonts w:ascii="Arial" w:hAnsi="Arial" w:cs="Arial"/>
        </w:rPr>
        <w:t>Gamification is also part of the application because of engagement; children will be provided with educational games, virtual rewards, achievement badges and a progress tracker to enjoy oral hygiene. A parent can have a safe dashboard through which they can check how often they brush their teeth, get evidence-based oral health tips, schedule appointments with the dentist, and check the improvement of their child over time (Kaddour et al. 2023). Besides, the app gives healthy eating information to minimise sugar levels and promote better dietary habits that correlate with good teeth. The development of e-risk assessment enabled through AI should be able to detect those children who are more exposed to developing dental issues based on behavioural patterns and inspire parents and dental professionals to promote early intervention. These built-in features combined build a child-centred, interactive preventative solution to support families, schools and NHS dental services to enhance oral health outcomes and prevent preventable tooth decay.</w:t>
      </w:r>
    </w:p>
    <w:p w14:paraId="28C7A63B">
      <w:pPr>
        <w:spacing w:line="360" w:lineRule="auto"/>
        <w:jc w:val="both"/>
        <w:rPr>
          <w:rFonts w:ascii="Arial" w:hAnsi="Arial" w:cs="Arial"/>
        </w:rPr>
      </w:pPr>
    </w:p>
    <w:p w14:paraId="7919CF84">
      <w:pPr>
        <w:pStyle w:val="3"/>
        <w:rPr>
          <w:rFonts w:ascii="Arial" w:hAnsi="Arial" w:cs="Arial"/>
        </w:rPr>
      </w:pPr>
      <w:bookmarkStart w:id="7" w:name="_Toc27321"/>
      <w:bookmarkStart w:id="8" w:name="_Toc234661653"/>
      <w:r>
        <w:rPr>
          <w:rFonts w:ascii="Arial" w:hAnsi="Arial" w:cs="Arial"/>
        </w:rPr>
        <w:t>Expected Impact and Importance of the Innovation</w:t>
      </w:r>
      <w:bookmarkEnd w:id="7"/>
      <w:bookmarkEnd w:id="8"/>
    </w:p>
    <w:p w14:paraId="4AC7A6F6"/>
    <w:p w14:paraId="50E3B74D">
      <w:pPr>
        <w:spacing w:line="360" w:lineRule="auto"/>
        <w:jc w:val="both"/>
        <w:rPr>
          <w:rFonts w:ascii="Arial" w:hAnsi="Arial" w:cs="Arial"/>
        </w:rPr>
      </w:pPr>
      <w:r>
        <w:rPr>
          <w:rFonts w:ascii="Arial" w:hAnsi="Arial" w:cs="Arial"/>
        </w:rPr>
        <w:t>In my opinion, with the help of SmileSmart Kids, the children will be able to have a great improvement in oral health because of the promotion of preventative behaviours instead of providing treatment when some problems in the mouth are discovered. The application will assist children in developing regular brushing habits, enhance their knowledge of oral health and become healthier in their dietary choices due to personalised instructions and interactive learning. Parental participation in managing the dental health of their children will be enhanced, and parents will be more involved in supervising and supporting their children in dental health issues; therefore, there will be early identification of potential problems (Hurry et al. 2023). This particular innovation stands out because one of the main public health issues in the UK has been childhood tooth decay, which results in pain, absenteeism and increased dental services in the NHS. SmileSmart Kids can reduce health inequity experienced by less-privileged groups in the community when the education provided on oral health is evidence-based and multilingual. The innovation also aligns with the NHS Long Term Plan, which is all about prevention, digital transformation, and better population health. Lastly, it creates long-term value by improving the wellbeing of children, avoiding dental-related conditions and creating a more sustainable and efficient healthcare industry.</w:t>
      </w:r>
    </w:p>
    <w:p w14:paraId="472C51E1">
      <w:pPr>
        <w:spacing w:line="360" w:lineRule="auto"/>
        <w:rPr>
          <w:rFonts w:ascii="Arial" w:hAnsi="Arial" w:cs="Arial" w:eastAsiaTheme="majorEastAsia"/>
          <w:sz w:val="24"/>
          <w:szCs w:val="26"/>
          <w:u w:val="single"/>
        </w:rPr>
      </w:pPr>
      <w:bookmarkStart w:id="9" w:name="_Toc234661654"/>
      <w:r>
        <w:rPr>
          <w:rFonts w:ascii="Arial" w:hAnsi="Arial" w:cs="Arial"/>
        </w:rPr>
        <w:br w:type="page"/>
      </w:r>
    </w:p>
    <w:p w14:paraId="1B456663">
      <w:pPr>
        <w:pStyle w:val="3"/>
        <w:rPr>
          <w:rFonts w:ascii="Arial" w:hAnsi="Arial" w:cs="Arial"/>
        </w:rPr>
      </w:pPr>
      <w:bookmarkStart w:id="10" w:name="_Toc25060"/>
      <w:r>
        <w:rPr>
          <w:rFonts w:ascii="Arial" w:hAnsi="Arial" w:cs="Arial"/>
        </w:rPr>
        <w:t>Implementation Plan</w:t>
      </w:r>
      <w:bookmarkEnd w:id="9"/>
      <w:bookmarkEnd w:id="10"/>
    </w:p>
    <w:p w14:paraId="27072E3E"/>
    <w:p w14:paraId="03E5A49D">
      <w:pPr>
        <w:spacing w:line="360" w:lineRule="auto"/>
        <w:jc w:val="both"/>
        <w:rPr>
          <w:rFonts w:ascii="Arial" w:hAnsi="Arial" w:cs="Arial"/>
        </w:rPr>
      </w:pPr>
      <w:r>
        <w:rPr>
          <w:rFonts w:ascii="Arial" w:hAnsi="Arial" w:cs="Arial"/>
        </w:rPr>
        <w:t>I suggest the implementation of SmileSmart Kids in a gradual process in collaboration with the Birmingham Community Healthcare NHS Foundation Trust, local primary schools and community dental services. The initial phase will be the design and development of the application based on the feedback of the parents, teachers and the dental professionals to enable the application to satisfy the needs of users. Usability and effectiveness will then be tested by piloting the app to a number of schools within the city of Birmingham (and NHS dental clinics) to see how well the app works (Rutter et al. 2023). After assessment and improvement, healthcare professionals, teachers and parents will be offered training prior to a further implementation to other NHS Trusts. It will be implemented in line with the UK GDPR, Data Protection Act 2018, Equality Act 2010 and NHS Digital Technology Assessment Criteria (DTAC) to guarantee the standards of data security, accessibility and quality.</w:t>
      </w:r>
    </w:p>
    <w:p w14:paraId="522F03F3">
      <w:pPr>
        <w:spacing w:line="360" w:lineRule="auto"/>
        <w:jc w:val="both"/>
        <w:rPr>
          <w:rFonts w:ascii="Arial" w:hAnsi="Arial" w:cs="Arial"/>
        </w:rPr>
      </w:pPr>
    </w:p>
    <w:p w14:paraId="05CB4780">
      <w:pPr>
        <w:pStyle w:val="3"/>
        <w:rPr>
          <w:rFonts w:ascii="Arial" w:hAnsi="Arial" w:cs="Arial"/>
        </w:rPr>
      </w:pPr>
      <w:bookmarkStart w:id="11" w:name="_Toc6461"/>
      <w:bookmarkStart w:id="12" w:name="_Toc234661655"/>
      <w:r>
        <w:rPr>
          <w:rFonts w:ascii="Arial" w:hAnsi="Arial" w:cs="Arial"/>
        </w:rPr>
        <w:t>Timeline</w:t>
      </w:r>
      <w:bookmarkEnd w:id="11"/>
      <w:bookmarkEnd w:id="12"/>
    </w:p>
    <w:p w14:paraId="12424EAD"/>
    <w:tbl>
      <w:tblPr>
        <w:tblStyle w:val="18"/>
        <w:tblW w:w="0" w:type="auto"/>
        <w:jc w:val="center"/>
        <w:tblBorders>
          <w:top w:val="single" w:color="E5B8B7" w:themeColor="accent2" w:themeTint="66" w:sz="4" w:space="0"/>
          <w:left w:val="single" w:color="E5B8B7" w:themeColor="accent2" w:themeTint="66" w:sz="4" w:space="0"/>
          <w:bottom w:val="single" w:color="E5B8B7" w:themeColor="accent2" w:themeTint="66" w:sz="4" w:space="0"/>
          <w:right w:val="single" w:color="E5B8B7" w:themeColor="accent2" w:themeTint="66" w:sz="4" w:space="0"/>
          <w:insideH w:val="single" w:color="E5B8B7" w:themeColor="accent2" w:themeTint="66" w:sz="4" w:space="0"/>
          <w:insideV w:val="single" w:color="E5B8B7" w:themeColor="accent2" w:themeTint="66" w:sz="4" w:space="0"/>
        </w:tblBorders>
        <w:tblLayout w:type="autofit"/>
        <w:tblCellMar>
          <w:top w:w="0" w:type="dxa"/>
          <w:left w:w="108" w:type="dxa"/>
          <w:bottom w:w="0" w:type="dxa"/>
          <w:right w:w="108" w:type="dxa"/>
        </w:tblCellMar>
      </w:tblPr>
      <w:tblGrid>
        <w:gridCol w:w="2663"/>
        <w:gridCol w:w="2750"/>
        <w:gridCol w:w="2723"/>
      </w:tblGrid>
      <w:tr w14:paraId="7A484D5F">
        <w:tblPrEx>
          <w:tblBorders>
            <w:top w:val="single" w:color="E5B8B7" w:themeColor="accent2" w:themeTint="66" w:sz="4" w:space="0"/>
            <w:left w:val="single" w:color="E5B8B7" w:themeColor="accent2" w:themeTint="66" w:sz="4" w:space="0"/>
            <w:bottom w:val="single" w:color="E5B8B7" w:themeColor="accent2" w:themeTint="66" w:sz="4" w:space="0"/>
            <w:right w:val="single" w:color="E5B8B7" w:themeColor="accent2" w:themeTint="66" w:sz="4" w:space="0"/>
            <w:insideH w:val="single" w:color="E5B8B7" w:themeColor="accent2" w:themeTint="66" w:sz="4" w:space="0"/>
            <w:insideV w:val="single" w:color="E5B8B7" w:themeColor="accent2" w:themeTint="66" w:sz="4" w:space="0"/>
          </w:tblBorders>
          <w:tblCellMar>
            <w:top w:w="0" w:type="dxa"/>
            <w:left w:w="108" w:type="dxa"/>
            <w:bottom w:w="0" w:type="dxa"/>
            <w:right w:w="108" w:type="dxa"/>
          </w:tblCellMar>
        </w:tblPrEx>
        <w:trPr>
          <w:jc w:val="center"/>
        </w:trPr>
        <w:tc>
          <w:tcPr>
            <w:tcW w:w="2663" w:type="dxa"/>
            <w:tcBorders>
              <w:bottom w:val="single" w:color="D99594" w:themeColor="accent2" w:themeTint="99" w:sz="12" w:space="0"/>
              <w:insideH w:val="single" w:sz="12" w:space="0"/>
            </w:tcBorders>
          </w:tcPr>
          <w:p w14:paraId="4BA3AEE0">
            <w:pPr>
              <w:widowControl/>
              <w:autoSpaceDE/>
              <w:autoSpaceDN/>
              <w:spacing w:before="120" w:line="360" w:lineRule="auto"/>
              <w:jc w:val="both"/>
              <w:rPr>
                <w:rFonts w:ascii="Arial" w:hAnsi="Arial" w:cs="Arial"/>
                <w:b w:val="0"/>
                <w:bCs w:val="0"/>
                <w:sz w:val="24"/>
                <w:szCs w:val="24"/>
                <w:lang w:val="en"/>
              </w:rPr>
            </w:pPr>
            <w:r>
              <w:rPr>
                <w:rFonts w:ascii="Arial" w:hAnsi="Arial" w:cs="Arial"/>
                <w:b/>
                <w:bCs/>
                <w:sz w:val="24"/>
                <w:szCs w:val="24"/>
                <w:lang w:val="en"/>
              </w:rPr>
              <w:t xml:space="preserve">Stage </w:t>
            </w:r>
          </w:p>
        </w:tc>
        <w:tc>
          <w:tcPr>
            <w:tcW w:w="2750" w:type="dxa"/>
            <w:tcBorders>
              <w:bottom w:val="single" w:color="D99594" w:themeColor="accent2" w:themeTint="99" w:sz="12" w:space="0"/>
              <w:insideH w:val="single" w:sz="12" w:space="0"/>
            </w:tcBorders>
          </w:tcPr>
          <w:p w14:paraId="18ACD18A">
            <w:pPr>
              <w:widowControl/>
              <w:autoSpaceDE/>
              <w:autoSpaceDN/>
              <w:spacing w:before="120" w:line="360" w:lineRule="auto"/>
              <w:jc w:val="both"/>
              <w:rPr>
                <w:rFonts w:ascii="Arial" w:hAnsi="Arial" w:cs="Arial"/>
                <w:b w:val="0"/>
                <w:bCs w:val="0"/>
                <w:sz w:val="24"/>
                <w:szCs w:val="24"/>
                <w:lang w:val="en"/>
              </w:rPr>
            </w:pPr>
            <w:r>
              <w:rPr>
                <w:rFonts w:ascii="Arial" w:hAnsi="Arial" w:cs="Arial"/>
                <w:b/>
                <w:bCs/>
                <w:sz w:val="24"/>
                <w:szCs w:val="24"/>
                <w:lang w:val="en"/>
              </w:rPr>
              <w:t xml:space="preserve">Function </w:t>
            </w:r>
          </w:p>
        </w:tc>
        <w:tc>
          <w:tcPr>
            <w:tcW w:w="2723" w:type="dxa"/>
            <w:tcBorders>
              <w:bottom w:val="single" w:color="D99594" w:themeColor="accent2" w:themeTint="99" w:sz="12" w:space="0"/>
              <w:insideH w:val="single" w:sz="12" w:space="0"/>
            </w:tcBorders>
          </w:tcPr>
          <w:p w14:paraId="001D607F">
            <w:pPr>
              <w:widowControl/>
              <w:autoSpaceDE/>
              <w:autoSpaceDN/>
              <w:spacing w:before="120" w:line="360" w:lineRule="auto"/>
              <w:jc w:val="both"/>
              <w:rPr>
                <w:rFonts w:ascii="Arial" w:hAnsi="Arial" w:cs="Arial"/>
                <w:b w:val="0"/>
                <w:bCs w:val="0"/>
                <w:sz w:val="24"/>
                <w:szCs w:val="24"/>
                <w:lang w:val="en"/>
              </w:rPr>
            </w:pPr>
            <w:r>
              <w:rPr>
                <w:rFonts w:ascii="Arial" w:hAnsi="Arial" w:cs="Arial"/>
                <w:b/>
                <w:bCs/>
                <w:sz w:val="24"/>
                <w:szCs w:val="24"/>
                <w:lang w:val="en"/>
              </w:rPr>
              <w:t>Time-period (months)</w:t>
            </w:r>
          </w:p>
        </w:tc>
      </w:tr>
      <w:tr w14:paraId="349DE7F0">
        <w:tblPrEx>
          <w:tblBorders>
            <w:top w:val="single" w:color="E5B8B7" w:themeColor="accent2" w:themeTint="66" w:sz="4" w:space="0"/>
            <w:left w:val="single" w:color="E5B8B7" w:themeColor="accent2" w:themeTint="66" w:sz="4" w:space="0"/>
            <w:bottom w:val="single" w:color="E5B8B7" w:themeColor="accent2" w:themeTint="66" w:sz="4" w:space="0"/>
            <w:right w:val="single" w:color="E5B8B7" w:themeColor="accent2" w:themeTint="66" w:sz="4" w:space="0"/>
            <w:insideH w:val="single" w:color="E5B8B7" w:themeColor="accent2" w:themeTint="66" w:sz="4" w:space="0"/>
            <w:insideV w:val="single" w:color="E5B8B7" w:themeColor="accent2" w:themeTint="66" w:sz="4" w:space="0"/>
          </w:tblBorders>
          <w:tblCellMar>
            <w:top w:w="0" w:type="dxa"/>
            <w:left w:w="108" w:type="dxa"/>
            <w:bottom w:w="0" w:type="dxa"/>
            <w:right w:w="108" w:type="dxa"/>
          </w:tblCellMar>
        </w:tblPrEx>
        <w:trPr>
          <w:jc w:val="center"/>
        </w:trPr>
        <w:tc>
          <w:tcPr>
            <w:tcW w:w="2663" w:type="dxa"/>
          </w:tcPr>
          <w:p w14:paraId="474D5DD2">
            <w:pPr>
              <w:widowControl/>
              <w:autoSpaceDE/>
              <w:autoSpaceDN/>
              <w:spacing w:before="120" w:line="360" w:lineRule="auto"/>
              <w:jc w:val="both"/>
              <w:rPr>
                <w:rFonts w:ascii="Arial" w:hAnsi="Arial" w:cs="Arial"/>
                <w:b w:val="0"/>
                <w:bCs w:val="0"/>
                <w:sz w:val="22"/>
                <w:szCs w:val="22"/>
                <w:lang w:val="en"/>
              </w:rPr>
            </w:pPr>
            <w:r>
              <w:rPr>
                <w:rFonts w:ascii="Arial" w:hAnsi="Arial" w:cs="Arial"/>
                <w:b/>
                <w:bCs/>
                <w:sz w:val="22"/>
                <w:szCs w:val="22"/>
                <w:lang w:val="en"/>
              </w:rPr>
              <w:t>1</w:t>
            </w:r>
          </w:p>
        </w:tc>
        <w:tc>
          <w:tcPr>
            <w:tcW w:w="2750" w:type="dxa"/>
          </w:tcPr>
          <w:p w14:paraId="170C3EC4">
            <w:pPr>
              <w:widowControl/>
              <w:autoSpaceDE/>
              <w:autoSpaceDN/>
              <w:spacing w:before="120" w:line="360" w:lineRule="auto"/>
              <w:jc w:val="both"/>
              <w:rPr>
                <w:rFonts w:ascii="Arial" w:hAnsi="Arial" w:cs="Arial"/>
                <w:sz w:val="22"/>
                <w:szCs w:val="22"/>
                <w:lang w:val="en"/>
              </w:rPr>
            </w:pPr>
            <w:r>
              <w:rPr>
                <w:rFonts w:ascii="Arial" w:hAnsi="Arial" w:cs="Arial"/>
                <w:sz w:val="22"/>
                <w:szCs w:val="22"/>
                <w:lang w:val="en"/>
              </w:rPr>
              <w:t xml:space="preserve">Focus on conducting consultation with stakeholder, and design the SmileSmart Kids app.  </w:t>
            </w:r>
          </w:p>
        </w:tc>
        <w:tc>
          <w:tcPr>
            <w:tcW w:w="2723" w:type="dxa"/>
          </w:tcPr>
          <w:p w14:paraId="32D7FAA4">
            <w:pPr>
              <w:widowControl/>
              <w:autoSpaceDE/>
              <w:autoSpaceDN/>
              <w:spacing w:before="120" w:line="360" w:lineRule="auto"/>
              <w:jc w:val="both"/>
              <w:rPr>
                <w:rFonts w:ascii="Arial" w:hAnsi="Arial" w:cs="Arial"/>
                <w:sz w:val="22"/>
                <w:szCs w:val="22"/>
                <w:lang w:val="en"/>
              </w:rPr>
            </w:pPr>
            <w:r>
              <w:rPr>
                <w:rFonts w:ascii="Arial" w:hAnsi="Arial" w:cs="Arial"/>
                <w:sz w:val="22"/>
                <w:szCs w:val="22"/>
                <w:lang w:val="en"/>
              </w:rPr>
              <w:t>1-2</w:t>
            </w:r>
          </w:p>
        </w:tc>
      </w:tr>
      <w:tr w14:paraId="5BD9F483">
        <w:tblPrEx>
          <w:tblBorders>
            <w:top w:val="single" w:color="E5B8B7" w:themeColor="accent2" w:themeTint="66" w:sz="4" w:space="0"/>
            <w:left w:val="single" w:color="E5B8B7" w:themeColor="accent2" w:themeTint="66" w:sz="4" w:space="0"/>
            <w:bottom w:val="single" w:color="E5B8B7" w:themeColor="accent2" w:themeTint="66" w:sz="4" w:space="0"/>
            <w:right w:val="single" w:color="E5B8B7" w:themeColor="accent2" w:themeTint="66" w:sz="4" w:space="0"/>
            <w:insideH w:val="single" w:color="E5B8B7" w:themeColor="accent2" w:themeTint="66" w:sz="4" w:space="0"/>
            <w:insideV w:val="single" w:color="E5B8B7" w:themeColor="accent2" w:themeTint="66" w:sz="4" w:space="0"/>
          </w:tblBorders>
          <w:tblCellMar>
            <w:top w:w="0" w:type="dxa"/>
            <w:left w:w="108" w:type="dxa"/>
            <w:bottom w:w="0" w:type="dxa"/>
            <w:right w:w="108" w:type="dxa"/>
          </w:tblCellMar>
        </w:tblPrEx>
        <w:trPr>
          <w:jc w:val="center"/>
        </w:trPr>
        <w:tc>
          <w:tcPr>
            <w:tcW w:w="2663" w:type="dxa"/>
          </w:tcPr>
          <w:p w14:paraId="02B5FF25">
            <w:pPr>
              <w:widowControl/>
              <w:autoSpaceDE/>
              <w:autoSpaceDN/>
              <w:spacing w:before="120" w:line="360" w:lineRule="auto"/>
              <w:jc w:val="both"/>
              <w:rPr>
                <w:rFonts w:ascii="Arial" w:hAnsi="Arial" w:cs="Arial"/>
                <w:b w:val="0"/>
                <w:bCs w:val="0"/>
                <w:sz w:val="22"/>
                <w:szCs w:val="22"/>
                <w:lang w:val="en"/>
              </w:rPr>
            </w:pPr>
            <w:r>
              <w:rPr>
                <w:rFonts w:ascii="Arial" w:hAnsi="Arial" w:cs="Arial"/>
                <w:b/>
                <w:bCs/>
                <w:sz w:val="22"/>
                <w:szCs w:val="22"/>
                <w:lang w:val="en"/>
              </w:rPr>
              <w:t>2</w:t>
            </w:r>
          </w:p>
        </w:tc>
        <w:tc>
          <w:tcPr>
            <w:tcW w:w="2750" w:type="dxa"/>
          </w:tcPr>
          <w:p w14:paraId="039530AF">
            <w:pPr>
              <w:widowControl/>
              <w:autoSpaceDE/>
              <w:autoSpaceDN/>
              <w:spacing w:before="120" w:line="360" w:lineRule="auto"/>
              <w:jc w:val="both"/>
              <w:rPr>
                <w:rFonts w:ascii="Arial" w:hAnsi="Arial" w:cs="Arial"/>
                <w:sz w:val="22"/>
                <w:szCs w:val="22"/>
                <w:lang w:val="en"/>
              </w:rPr>
            </w:pPr>
            <w:r>
              <w:rPr>
                <w:rFonts w:ascii="Arial" w:hAnsi="Arial" w:cs="Arial"/>
                <w:sz w:val="22"/>
                <w:szCs w:val="22"/>
                <w:lang w:val="en"/>
              </w:rPr>
              <w:t xml:space="preserve">Developing AI based feature, and focus on gamification </w:t>
            </w:r>
          </w:p>
        </w:tc>
        <w:tc>
          <w:tcPr>
            <w:tcW w:w="2723" w:type="dxa"/>
          </w:tcPr>
          <w:p w14:paraId="493199E6">
            <w:pPr>
              <w:widowControl/>
              <w:autoSpaceDE/>
              <w:autoSpaceDN/>
              <w:spacing w:before="120" w:line="360" w:lineRule="auto"/>
              <w:jc w:val="both"/>
              <w:rPr>
                <w:rFonts w:ascii="Arial" w:hAnsi="Arial" w:cs="Arial"/>
                <w:sz w:val="22"/>
                <w:szCs w:val="22"/>
                <w:lang w:val="en"/>
              </w:rPr>
            </w:pPr>
            <w:r>
              <w:rPr>
                <w:rFonts w:ascii="Arial" w:hAnsi="Arial" w:cs="Arial"/>
                <w:sz w:val="22"/>
                <w:szCs w:val="22"/>
                <w:lang w:val="en"/>
              </w:rPr>
              <w:t>3-4</w:t>
            </w:r>
          </w:p>
        </w:tc>
      </w:tr>
      <w:tr w14:paraId="3E1FBB03">
        <w:tblPrEx>
          <w:tblBorders>
            <w:top w:val="single" w:color="E5B8B7" w:themeColor="accent2" w:themeTint="66" w:sz="4" w:space="0"/>
            <w:left w:val="single" w:color="E5B8B7" w:themeColor="accent2" w:themeTint="66" w:sz="4" w:space="0"/>
            <w:bottom w:val="single" w:color="E5B8B7" w:themeColor="accent2" w:themeTint="66" w:sz="4" w:space="0"/>
            <w:right w:val="single" w:color="E5B8B7" w:themeColor="accent2" w:themeTint="66" w:sz="4" w:space="0"/>
            <w:insideH w:val="single" w:color="E5B8B7" w:themeColor="accent2" w:themeTint="66" w:sz="4" w:space="0"/>
            <w:insideV w:val="single" w:color="E5B8B7" w:themeColor="accent2" w:themeTint="66" w:sz="4" w:space="0"/>
          </w:tblBorders>
          <w:tblCellMar>
            <w:top w:w="0" w:type="dxa"/>
            <w:left w:w="108" w:type="dxa"/>
            <w:bottom w:w="0" w:type="dxa"/>
            <w:right w:w="108" w:type="dxa"/>
          </w:tblCellMar>
        </w:tblPrEx>
        <w:trPr>
          <w:jc w:val="center"/>
        </w:trPr>
        <w:tc>
          <w:tcPr>
            <w:tcW w:w="2663" w:type="dxa"/>
          </w:tcPr>
          <w:p w14:paraId="62329264">
            <w:pPr>
              <w:widowControl/>
              <w:autoSpaceDE/>
              <w:autoSpaceDN/>
              <w:spacing w:before="120" w:line="360" w:lineRule="auto"/>
              <w:jc w:val="both"/>
              <w:rPr>
                <w:rFonts w:ascii="Arial" w:hAnsi="Arial" w:cs="Arial"/>
                <w:b w:val="0"/>
                <w:bCs w:val="0"/>
                <w:sz w:val="22"/>
                <w:szCs w:val="22"/>
                <w:lang w:val="en"/>
              </w:rPr>
            </w:pPr>
            <w:r>
              <w:rPr>
                <w:rFonts w:ascii="Arial" w:hAnsi="Arial" w:cs="Arial"/>
                <w:b/>
                <w:bCs/>
                <w:sz w:val="22"/>
                <w:szCs w:val="22"/>
                <w:lang w:val="en"/>
              </w:rPr>
              <w:t>3</w:t>
            </w:r>
          </w:p>
        </w:tc>
        <w:tc>
          <w:tcPr>
            <w:tcW w:w="2750" w:type="dxa"/>
          </w:tcPr>
          <w:p w14:paraId="5376A3E4">
            <w:pPr>
              <w:widowControl/>
              <w:autoSpaceDE/>
              <w:autoSpaceDN/>
              <w:spacing w:before="120" w:line="360" w:lineRule="auto"/>
              <w:jc w:val="both"/>
              <w:rPr>
                <w:rFonts w:ascii="Arial" w:hAnsi="Arial" w:cs="Arial"/>
                <w:sz w:val="22"/>
                <w:szCs w:val="22"/>
                <w:lang w:val="en"/>
              </w:rPr>
            </w:pPr>
            <w:r>
              <w:rPr>
                <w:rFonts w:ascii="Arial" w:hAnsi="Arial" w:cs="Arial"/>
                <w:sz w:val="22"/>
                <w:szCs w:val="22"/>
                <w:lang w:val="en"/>
              </w:rPr>
              <w:t xml:space="preserve">Focus on usability test with compliance of different rules and regulation </w:t>
            </w:r>
          </w:p>
        </w:tc>
        <w:tc>
          <w:tcPr>
            <w:tcW w:w="2723" w:type="dxa"/>
          </w:tcPr>
          <w:p w14:paraId="46DB6E2E">
            <w:pPr>
              <w:widowControl/>
              <w:autoSpaceDE/>
              <w:autoSpaceDN/>
              <w:spacing w:before="120" w:line="360" w:lineRule="auto"/>
              <w:jc w:val="both"/>
              <w:rPr>
                <w:rFonts w:ascii="Arial" w:hAnsi="Arial" w:cs="Arial"/>
                <w:sz w:val="22"/>
                <w:szCs w:val="22"/>
                <w:lang w:val="en"/>
              </w:rPr>
            </w:pPr>
            <w:r>
              <w:rPr>
                <w:rFonts w:ascii="Arial" w:hAnsi="Arial" w:cs="Arial"/>
                <w:sz w:val="22"/>
                <w:szCs w:val="22"/>
                <w:lang w:val="en"/>
              </w:rPr>
              <w:t>5</w:t>
            </w:r>
          </w:p>
        </w:tc>
      </w:tr>
      <w:tr w14:paraId="61108561">
        <w:tblPrEx>
          <w:tblBorders>
            <w:top w:val="single" w:color="E5B8B7" w:themeColor="accent2" w:themeTint="66" w:sz="4" w:space="0"/>
            <w:left w:val="single" w:color="E5B8B7" w:themeColor="accent2" w:themeTint="66" w:sz="4" w:space="0"/>
            <w:bottom w:val="single" w:color="E5B8B7" w:themeColor="accent2" w:themeTint="66" w:sz="4" w:space="0"/>
            <w:right w:val="single" w:color="E5B8B7" w:themeColor="accent2" w:themeTint="66" w:sz="4" w:space="0"/>
            <w:insideH w:val="single" w:color="E5B8B7" w:themeColor="accent2" w:themeTint="66" w:sz="4" w:space="0"/>
            <w:insideV w:val="single" w:color="E5B8B7" w:themeColor="accent2" w:themeTint="66" w:sz="4" w:space="0"/>
          </w:tblBorders>
          <w:tblCellMar>
            <w:top w:w="0" w:type="dxa"/>
            <w:left w:w="108" w:type="dxa"/>
            <w:bottom w:w="0" w:type="dxa"/>
            <w:right w:w="108" w:type="dxa"/>
          </w:tblCellMar>
        </w:tblPrEx>
        <w:trPr>
          <w:jc w:val="center"/>
        </w:trPr>
        <w:tc>
          <w:tcPr>
            <w:tcW w:w="2663" w:type="dxa"/>
          </w:tcPr>
          <w:p w14:paraId="294672DB">
            <w:pPr>
              <w:widowControl/>
              <w:autoSpaceDE/>
              <w:autoSpaceDN/>
              <w:spacing w:before="120" w:line="360" w:lineRule="auto"/>
              <w:jc w:val="both"/>
              <w:rPr>
                <w:rFonts w:ascii="Arial" w:hAnsi="Arial" w:cs="Arial"/>
                <w:b w:val="0"/>
                <w:bCs w:val="0"/>
                <w:sz w:val="22"/>
                <w:szCs w:val="22"/>
                <w:lang w:val="en"/>
              </w:rPr>
            </w:pPr>
            <w:r>
              <w:rPr>
                <w:rFonts w:ascii="Arial" w:hAnsi="Arial" w:cs="Arial"/>
                <w:b/>
                <w:bCs/>
                <w:sz w:val="22"/>
                <w:szCs w:val="22"/>
                <w:lang w:val="en"/>
              </w:rPr>
              <w:t>4</w:t>
            </w:r>
          </w:p>
        </w:tc>
        <w:tc>
          <w:tcPr>
            <w:tcW w:w="2750" w:type="dxa"/>
          </w:tcPr>
          <w:p w14:paraId="089BF0D9">
            <w:pPr>
              <w:widowControl/>
              <w:autoSpaceDE/>
              <w:autoSpaceDN/>
              <w:spacing w:before="120" w:line="360" w:lineRule="auto"/>
              <w:jc w:val="both"/>
              <w:rPr>
                <w:rFonts w:ascii="Arial" w:hAnsi="Arial" w:cs="Arial"/>
                <w:sz w:val="22"/>
                <w:szCs w:val="22"/>
                <w:lang w:val="en"/>
              </w:rPr>
            </w:pPr>
            <w:r>
              <w:rPr>
                <w:rFonts w:ascii="Arial" w:hAnsi="Arial" w:cs="Arial"/>
                <w:sz w:val="22"/>
                <w:szCs w:val="22"/>
                <w:lang w:val="en"/>
              </w:rPr>
              <w:t xml:space="preserve">Pilot application and NHS community dental service </w:t>
            </w:r>
          </w:p>
        </w:tc>
        <w:tc>
          <w:tcPr>
            <w:tcW w:w="2723" w:type="dxa"/>
          </w:tcPr>
          <w:p w14:paraId="525566F1">
            <w:pPr>
              <w:widowControl/>
              <w:autoSpaceDE/>
              <w:autoSpaceDN/>
              <w:spacing w:before="120" w:line="360" w:lineRule="auto"/>
              <w:jc w:val="both"/>
              <w:rPr>
                <w:rFonts w:ascii="Arial" w:hAnsi="Arial" w:cs="Arial"/>
                <w:sz w:val="22"/>
                <w:szCs w:val="22"/>
                <w:lang w:val="en"/>
              </w:rPr>
            </w:pPr>
            <w:r>
              <w:rPr>
                <w:rFonts w:ascii="Arial" w:hAnsi="Arial" w:cs="Arial"/>
                <w:sz w:val="22"/>
                <w:szCs w:val="22"/>
                <w:lang w:val="en"/>
              </w:rPr>
              <w:t>6-7</w:t>
            </w:r>
          </w:p>
        </w:tc>
      </w:tr>
      <w:tr w14:paraId="041C2E4E">
        <w:tblPrEx>
          <w:tblBorders>
            <w:top w:val="single" w:color="E5B8B7" w:themeColor="accent2" w:themeTint="66" w:sz="4" w:space="0"/>
            <w:left w:val="single" w:color="E5B8B7" w:themeColor="accent2" w:themeTint="66" w:sz="4" w:space="0"/>
            <w:bottom w:val="single" w:color="E5B8B7" w:themeColor="accent2" w:themeTint="66" w:sz="4" w:space="0"/>
            <w:right w:val="single" w:color="E5B8B7" w:themeColor="accent2" w:themeTint="66" w:sz="4" w:space="0"/>
            <w:insideH w:val="single" w:color="E5B8B7" w:themeColor="accent2" w:themeTint="66" w:sz="4" w:space="0"/>
            <w:insideV w:val="single" w:color="E5B8B7" w:themeColor="accent2" w:themeTint="66" w:sz="4" w:space="0"/>
          </w:tblBorders>
          <w:tblCellMar>
            <w:top w:w="0" w:type="dxa"/>
            <w:left w:w="108" w:type="dxa"/>
            <w:bottom w:w="0" w:type="dxa"/>
            <w:right w:w="108" w:type="dxa"/>
          </w:tblCellMar>
        </w:tblPrEx>
        <w:trPr>
          <w:jc w:val="center"/>
        </w:trPr>
        <w:tc>
          <w:tcPr>
            <w:tcW w:w="2663" w:type="dxa"/>
          </w:tcPr>
          <w:p w14:paraId="5A9616BF">
            <w:pPr>
              <w:widowControl/>
              <w:autoSpaceDE/>
              <w:autoSpaceDN/>
              <w:spacing w:before="120" w:line="360" w:lineRule="auto"/>
              <w:jc w:val="both"/>
              <w:rPr>
                <w:rFonts w:ascii="Arial" w:hAnsi="Arial" w:cs="Arial"/>
                <w:b w:val="0"/>
                <w:bCs w:val="0"/>
                <w:sz w:val="22"/>
                <w:szCs w:val="22"/>
                <w:lang w:val="en"/>
              </w:rPr>
            </w:pPr>
            <w:r>
              <w:rPr>
                <w:rFonts w:ascii="Arial" w:hAnsi="Arial" w:cs="Arial"/>
                <w:b/>
                <w:bCs/>
                <w:sz w:val="22"/>
                <w:szCs w:val="22"/>
                <w:lang w:val="en"/>
              </w:rPr>
              <w:t>5</w:t>
            </w:r>
          </w:p>
        </w:tc>
        <w:tc>
          <w:tcPr>
            <w:tcW w:w="2750" w:type="dxa"/>
          </w:tcPr>
          <w:p w14:paraId="690576F2">
            <w:pPr>
              <w:widowControl/>
              <w:autoSpaceDE/>
              <w:autoSpaceDN/>
              <w:spacing w:before="120" w:line="360" w:lineRule="auto"/>
              <w:jc w:val="both"/>
              <w:rPr>
                <w:rFonts w:ascii="Arial" w:hAnsi="Arial" w:cs="Arial"/>
                <w:sz w:val="22"/>
                <w:szCs w:val="22"/>
                <w:lang w:val="en"/>
              </w:rPr>
            </w:pPr>
            <w:r>
              <w:rPr>
                <w:rFonts w:ascii="Arial" w:hAnsi="Arial" w:cs="Arial"/>
                <w:sz w:val="22"/>
                <w:szCs w:val="22"/>
                <w:lang w:val="en"/>
              </w:rPr>
              <w:t xml:space="preserve">Focus on user feedback </w:t>
            </w:r>
          </w:p>
        </w:tc>
        <w:tc>
          <w:tcPr>
            <w:tcW w:w="2723" w:type="dxa"/>
          </w:tcPr>
          <w:p w14:paraId="3D8E5DAD">
            <w:pPr>
              <w:widowControl/>
              <w:autoSpaceDE/>
              <w:autoSpaceDN/>
              <w:spacing w:before="120" w:line="360" w:lineRule="auto"/>
              <w:jc w:val="both"/>
              <w:rPr>
                <w:rFonts w:ascii="Arial" w:hAnsi="Arial" w:cs="Arial"/>
                <w:sz w:val="22"/>
                <w:szCs w:val="22"/>
                <w:lang w:val="en"/>
              </w:rPr>
            </w:pPr>
            <w:r>
              <w:rPr>
                <w:rFonts w:ascii="Arial" w:hAnsi="Arial" w:cs="Arial"/>
                <w:sz w:val="22"/>
                <w:szCs w:val="22"/>
                <w:lang w:val="en"/>
              </w:rPr>
              <w:t>8-10</w:t>
            </w:r>
          </w:p>
        </w:tc>
      </w:tr>
      <w:tr w14:paraId="3DDEBF54">
        <w:tblPrEx>
          <w:tblBorders>
            <w:top w:val="single" w:color="E5B8B7" w:themeColor="accent2" w:themeTint="66" w:sz="4" w:space="0"/>
            <w:left w:val="single" w:color="E5B8B7" w:themeColor="accent2" w:themeTint="66" w:sz="4" w:space="0"/>
            <w:bottom w:val="single" w:color="E5B8B7" w:themeColor="accent2" w:themeTint="66" w:sz="4" w:space="0"/>
            <w:right w:val="single" w:color="E5B8B7" w:themeColor="accent2" w:themeTint="66" w:sz="4" w:space="0"/>
            <w:insideH w:val="single" w:color="E5B8B7" w:themeColor="accent2" w:themeTint="66" w:sz="4" w:space="0"/>
            <w:insideV w:val="single" w:color="E5B8B7" w:themeColor="accent2" w:themeTint="66" w:sz="4" w:space="0"/>
          </w:tblBorders>
          <w:tblCellMar>
            <w:top w:w="0" w:type="dxa"/>
            <w:left w:w="108" w:type="dxa"/>
            <w:bottom w:w="0" w:type="dxa"/>
            <w:right w:w="108" w:type="dxa"/>
          </w:tblCellMar>
        </w:tblPrEx>
        <w:trPr>
          <w:jc w:val="center"/>
        </w:trPr>
        <w:tc>
          <w:tcPr>
            <w:tcW w:w="2663" w:type="dxa"/>
          </w:tcPr>
          <w:p w14:paraId="680E7161">
            <w:pPr>
              <w:widowControl/>
              <w:autoSpaceDE/>
              <w:autoSpaceDN/>
              <w:spacing w:before="120" w:line="360" w:lineRule="auto"/>
              <w:jc w:val="both"/>
              <w:rPr>
                <w:rFonts w:ascii="Arial" w:hAnsi="Arial" w:cs="Arial"/>
                <w:b w:val="0"/>
                <w:bCs w:val="0"/>
                <w:sz w:val="22"/>
                <w:szCs w:val="22"/>
                <w:lang w:val="en"/>
              </w:rPr>
            </w:pPr>
            <w:r>
              <w:rPr>
                <w:rFonts w:ascii="Arial" w:hAnsi="Arial" w:cs="Arial"/>
                <w:b/>
                <w:bCs/>
                <w:sz w:val="22"/>
                <w:szCs w:val="22"/>
                <w:lang w:val="en"/>
              </w:rPr>
              <w:t>6</w:t>
            </w:r>
          </w:p>
        </w:tc>
        <w:tc>
          <w:tcPr>
            <w:tcW w:w="2750" w:type="dxa"/>
          </w:tcPr>
          <w:p w14:paraId="42A0C512">
            <w:pPr>
              <w:widowControl/>
              <w:autoSpaceDE/>
              <w:autoSpaceDN/>
              <w:spacing w:before="120" w:line="360" w:lineRule="auto"/>
              <w:jc w:val="both"/>
              <w:rPr>
                <w:rFonts w:ascii="Arial" w:hAnsi="Arial" w:cs="Arial"/>
                <w:sz w:val="22"/>
                <w:szCs w:val="22"/>
                <w:lang w:val="en"/>
              </w:rPr>
            </w:pPr>
            <w:r>
              <w:rPr>
                <w:rFonts w:ascii="Arial" w:hAnsi="Arial" w:cs="Arial"/>
                <w:sz w:val="22"/>
                <w:szCs w:val="22"/>
                <w:lang w:val="en"/>
              </w:rPr>
              <w:t>Introduce across additional trusts of the NHS (Ridsdale et al. 2024).</w:t>
            </w:r>
          </w:p>
        </w:tc>
        <w:tc>
          <w:tcPr>
            <w:tcW w:w="2723" w:type="dxa"/>
          </w:tcPr>
          <w:p w14:paraId="69E82C0E">
            <w:pPr>
              <w:widowControl/>
              <w:autoSpaceDE/>
              <w:autoSpaceDN/>
              <w:spacing w:before="120" w:line="360" w:lineRule="auto"/>
              <w:jc w:val="both"/>
              <w:rPr>
                <w:rFonts w:ascii="Arial" w:hAnsi="Arial" w:cs="Arial"/>
                <w:sz w:val="22"/>
                <w:szCs w:val="22"/>
                <w:lang w:val="en"/>
              </w:rPr>
            </w:pPr>
            <w:r>
              <w:rPr>
                <w:rFonts w:ascii="Arial" w:hAnsi="Arial" w:cs="Arial"/>
                <w:sz w:val="22"/>
                <w:szCs w:val="22"/>
                <w:lang w:val="en"/>
              </w:rPr>
              <w:t>11-12</w:t>
            </w:r>
          </w:p>
        </w:tc>
      </w:tr>
    </w:tbl>
    <w:p w14:paraId="0B3AD5DD">
      <w:pPr>
        <w:spacing w:line="360" w:lineRule="auto"/>
        <w:rPr>
          <w:rFonts w:ascii="Arial" w:hAnsi="Arial" w:cs="Arial" w:eastAsiaTheme="majorEastAsia"/>
          <w:sz w:val="24"/>
          <w:szCs w:val="26"/>
          <w:u w:val="single"/>
        </w:rPr>
      </w:pPr>
      <w:bookmarkStart w:id="13" w:name="_Toc234661656"/>
    </w:p>
    <w:p w14:paraId="48151504">
      <w:pPr>
        <w:spacing w:line="360" w:lineRule="auto"/>
        <w:rPr>
          <w:rFonts w:ascii="Arial" w:hAnsi="Arial" w:cs="Arial" w:eastAsiaTheme="majorEastAsia"/>
          <w:sz w:val="24"/>
          <w:szCs w:val="26"/>
          <w:u w:val="single"/>
        </w:rPr>
      </w:pPr>
    </w:p>
    <w:p w14:paraId="070AA9F9">
      <w:pPr>
        <w:pStyle w:val="3"/>
        <w:jc w:val="left"/>
        <w:rPr>
          <w:rFonts w:ascii="Arial" w:hAnsi="Arial" w:cs="Arial"/>
        </w:rPr>
      </w:pPr>
      <w:bookmarkStart w:id="14" w:name="_Toc11920"/>
      <w:r>
        <w:rPr>
          <w:rFonts w:ascii="Arial" w:hAnsi="Arial" w:cs="Arial"/>
        </w:rPr>
        <w:t>Value, Feasibility, and Recommendations</w:t>
      </w:r>
      <w:bookmarkEnd w:id="13"/>
      <w:bookmarkEnd w:id="14"/>
    </w:p>
    <w:p w14:paraId="5A450144"/>
    <w:p w14:paraId="63B3DC09">
      <w:pPr>
        <w:spacing w:line="360" w:lineRule="auto"/>
        <w:jc w:val="both"/>
        <w:rPr>
          <w:rFonts w:ascii="Arial" w:hAnsi="Arial" w:cs="Arial"/>
        </w:rPr>
      </w:pPr>
      <w:r>
        <w:rPr>
          <w:rFonts w:ascii="Arial" w:hAnsi="Arial" w:cs="Arial"/>
        </w:rPr>
        <w:t>I feel that SmileSmart Kids can add significant value by enhancing preventive oral health, decreasing dental caries and overcrowding in children, as well as contributing to the NHS emphasis on prevention, technological advances, and lessening health disparities. The application is practical as it is based on highly penetrative smartphones with the capacity to be incorporated in existing NHS community dental services, primary schools and public health programmes without the need to make massive alterations to the existing healthcare facilities. The innovation can prevent unnecessary dental procedures, positively impact the quality of life and reduce health expenditures in the long term by promoting healthy dental hygiene practices early in life (Sharma et al. 2025).</w:t>
      </w:r>
    </w:p>
    <w:p w14:paraId="16647BE7">
      <w:pPr>
        <w:spacing w:line="360" w:lineRule="auto"/>
        <w:jc w:val="both"/>
        <w:rPr>
          <w:rFonts w:ascii="Arial" w:hAnsi="Arial" w:cs="Arial"/>
        </w:rPr>
      </w:pPr>
      <w:r>
        <w:rPr>
          <w:rFonts w:ascii="Arial" w:hAnsi="Arial" w:cs="Arial"/>
        </w:rPr>
        <w:t>The barriers that can be expected are a lack of access to smartphones by certain families, worries about data privacy and differing involvement of parents and children. The following can deal with these challenges: offering multilingual assistance, offline learning materials, easy design and ensuring complete adherence to the UK GDPR, the Data Protection Act 2018 and the NHS Digital Technology Assessment Criteria (DTAC). Working together with the schools, community organisations, and healthcare professionals will also enhance access and stimulate participation (Nayak et al. 2025).</w:t>
      </w:r>
    </w:p>
    <w:p w14:paraId="21D9EB2C">
      <w:pPr>
        <w:spacing w:line="360" w:lineRule="auto"/>
        <w:jc w:val="both"/>
        <w:rPr>
          <w:rFonts w:ascii="Arial" w:hAnsi="Arial" w:cs="Arial"/>
        </w:rPr>
      </w:pPr>
      <w:r>
        <w:rPr>
          <w:rFonts w:ascii="Arial" w:hAnsi="Arial" w:cs="Arial"/>
        </w:rPr>
        <w:t>I would suggest the application be implemented in a pilot programme in Birmingham Community Healthcare NHS Foundation Trust, before being rolled out to other NHS Trusts. To improve performance and ensure the user is engaged, regular monitoring, updates on the AI system and user feedback should be carried out. The application could be extended to virtual dental consultations in future, to integrate with other services offered by NHS Digital and a personal oral health plan in order to enable the application to cover a larger population area and help to achieve long-term changes in the oral health status of children in the United Kingdom.</w:t>
      </w:r>
    </w:p>
    <w:p w14:paraId="3E781E00">
      <w:pPr>
        <w:spacing w:line="360" w:lineRule="auto"/>
        <w:jc w:val="both"/>
        <w:rPr>
          <w:rFonts w:ascii="Arial" w:hAnsi="Arial" w:cs="Arial"/>
        </w:rPr>
      </w:pPr>
    </w:p>
    <w:p w14:paraId="2ABF6D2D">
      <w:pPr>
        <w:pStyle w:val="3"/>
        <w:jc w:val="left"/>
        <w:rPr>
          <w:rFonts w:ascii="Arial" w:hAnsi="Arial" w:cs="Arial"/>
        </w:rPr>
      </w:pPr>
      <w:bookmarkStart w:id="15" w:name="_Toc18098"/>
      <w:bookmarkStart w:id="16" w:name="_Toc234661657"/>
      <w:r>
        <w:rPr>
          <w:rFonts w:ascii="Arial" w:hAnsi="Arial" w:cs="Arial"/>
        </w:rPr>
        <w:t>Conclusion and Call to Action</w:t>
      </w:r>
      <w:bookmarkEnd w:id="15"/>
      <w:bookmarkEnd w:id="16"/>
    </w:p>
    <w:p w14:paraId="6E2C096A">
      <w:pPr>
        <w:spacing w:line="360" w:lineRule="auto"/>
        <w:jc w:val="both"/>
        <w:rPr>
          <w:rFonts w:ascii="Arial" w:hAnsi="Arial" w:cs="Arial"/>
        </w:rPr>
      </w:pPr>
    </w:p>
    <w:p w14:paraId="04E6038C">
      <w:pPr>
        <w:spacing w:line="360" w:lineRule="auto"/>
        <w:jc w:val="both"/>
        <w:rPr>
          <w:rFonts w:ascii="Arial" w:hAnsi="Arial" w:cs="Arial"/>
        </w:rPr>
      </w:pPr>
      <w:r>
        <w:rPr>
          <w:rFonts w:ascii="Arial" w:hAnsi="Arial" w:cs="Arial"/>
        </w:rPr>
        <w:t>To sum up, I think that SmileSmart Kids is a very innovative and useful solution as it can revolutionise the oral health of children and reinvent preventive care with the help of artificial intelligence and online interaction. The application can decrease the number of children with tooth decay, enhance health outcomes and decrease the cost of NHS dental services by promoting healthy brushing, supporting parents, and facilitating early interventions. I urge the Birmingham Community Healthcare NHS Foundation Trust, NHS leaders, schools and community partners to become the pioneers of the SmileSmart Kids pilot and invest in its future development. We can make healthier smiles together, decrease health disparities, and provide a healthier and brighter future to children throughout the United Kingdom.</w:t>
      </w:r>
    </w:p>
    <w:p w14:paraId="70E0E7C9">
      <w:pPr>
        <w:spacing w:line="360" w:lineRule="auto"/>
        <w:ind w:left="720"/>
        <w:rPr>
          <w:rFonts w:ascii="Arial" w:hAnsi="Arial" w:cs="Arial"/>
          <w:b/>
          <w:bCs/>
          <w:color w:val="000000"/>
          <w:sz w:val="28"/>
          <w:szCs w:val="28"/>
        </w:rPr>
      </w:pPr>
      <w:r>
        <w:rPr>
          <w:rFonts w:ascii="Arial" w:hAnsi="Arial" w:cs="Arial"/>
        </w:rPr>
        <w:br w:type="page"/>
      </w:r>
    </w:p>
    <w:p w14:paraId="417BE371">
      <w:pPr>
        <w:pStyle w:val="2"/>
        <w:rPr>
          <w:rFonts w:ascii="Arial" w:hAnsi="Arial" w:cs="Arial"/>
        </w:rPr>
      </w:pPr>
      <w:bookmarkStart w:id="17" w:name="_Toc234661658"/>
      <w:bookmarkStart w:id="18" w:name="_Toc6000"/>
      <w:r>
        <w:rPr>
          <w:rFonts w:ascii="Arial" w:hAnsi="Arial" w:cs="Arial"/>
        </w:rPr>
        <w:t>References</w:t>
      </w:r>
      <w:bookmarkEnd w:id="17"/>
      <w:bookmarkEnd w:id="18"/>
      <w:r>
        <w:rPr>
          <w:rFonts w:ascii="Arial" w:hAnsi="Arial" w:cs="Arial"/>
        </w:rPr>
        <w:t xml:space="preserve"> </w:t>
      </w:r>
    </w:p>
    <w:p w14:paraId="6A7B4C78"/>
    <w:p w14:paraId="38382BB9">
      <w:pPr>
        <w:spacing w:line="360" w:lineRule="auto"/>
        <w:jc w:val="both"/>
        <w:rPr>
          <w:rFonts w:ascii="Arial" w:hAnsi="Arial" w:cs="Arial"/>
        </w:rPr>
      </w:pPr>
      <w:r>
        <w:rPr>
          <w:rFonts w:ascii="Arial" w:hAnsi="Arial" w:cs="Arial"/>
        </w:rPr>
        <w:t xml:space="preserve">Arctic dental, (2026), Children’s Dental Care Tips for Parents [Infographic], [Accessed through] :&lt; https://www.arcticdental.com/childrens-dental-care-tips-infographic/ &gt;:[Accessed on: 9th July, 2026]. </w:t>
      </w:r>
    </w:p>
    <w:p w14:paraId="4B9D7F7A">
      <w:pPr>
        <w:spacing w:line="360" w:lineRule="auto"/>
        <w:jc w:val="both"/>
        <w:rPr>
          <w:rFonts w:ascii="Arial" w:hAnsi="Arial" w:cs="Arial"/>
        </w:rPr>
      </w:pPr>
      <w:r>
        <w:rPr>
          <w:rFonts w:ascii="Arial" w:hAnsi="Arial" w:cs="Arial"/>
        </w:rPr>
        <w:t xml:space="preserve">BCBSM, (2023), Good Dental Habits in Children Lead to Good Overall Health, [Accessed through] :&lt; https://www.bcbsm.mibluedaily.com/stories/family-health/good-dental-habits-in-children-lead-to-good-overall-health  &gt;:[Accessed on: 9th July, 2026]. </w:t>
      </w:r>
    </w:p>
    <w:p w14:paraId="60AD7278">
      <w:pPr>
        <w:spacing w:line="360" w:lineRule="auto"/>
        <w:jc w:val="both"/>
        <w:rPr>
          <w:rFonts w:ascii="Arial" w:hAnsi="Arial" w:cs="Arial"/>
        </w:rPr>
      </w:pPr>
      <w:r>
        <w:rPr>
          <w:rFonts w:ascii="Arial" w:hAnsi="Arial" w:cs="Arial"/>
        </w:rPr>
        <w:t xml:space="preserve">Dental curve, (2021), Why It’s Important To Help Kids Brush Up On Their Oral Hygiene?, [Accessed through]:&lt; https://www.dentalcurve.in/why-its-important-to-help-kids-brush-up-on-their-oral-hygiene/  &gt;:[Accessed on: 9th July, 2026]. </w:t>
      </w:r>
    </w:p>
    <w:p w14:paraId="069068BF">
      <w:pPr>
        <w:spacing w:line="360" w:lineRule="auto"/>
        <w:jc w:val="both"/>
        <w:rPr>
          <w:rFonts w:ascii="Arial" w:hAnsi="Arial" w:cs="Arial"/>
        </w:rPr>
      </w:pPr>
      <w:r>
        <w:rPr>
          <w:rFonts w:ascii="Arial" w:hAnsi="Arial" w:cs="Arial"/>
        </w:rPr>
        <w:t xml:space="preserve">Fadila, W., Rahardja, M.B., Prasetyoputra, P., Suwargiani, A.A., Prasetyo, Y.E. and Riyanti, E. (2024) Family's socioeconomic and demographic factors on elements of children's dental and oral health: A scoping review. Clinical and experimental dental research. DOI: 10.1002/cre2.818 </w:t>
      </w:r>
    </w:p>
    <w:p w14:paraId="7AEE12C2">
      <w:pPr>
        <w:spacing w:line="360" w:lineRule="auto"/>
        <w:jc w:val="both"/>
        <w:rPr>
          <w:rFonts w:ascii="Arial" w:hAnsi="Arial" w:cs="Arial"/>
        </w:rPr>
      </w:pPr>
      <w:r>
        <w:rPr>
          <w:rFonts w:ascii="Arial" w:hAnsi="Arial" w:cs="Arial"/>
        </w:rPr>
        <w:t xml:space="preserve">Homayouni Rad, A., Pourjafar, H. and Mirzakhani, E. (2023) A comprehensive review of the application of probiotics and postbiotics in oral health. Frontiers in cellular and infection microbiology, 13, p.1120995. DOI 10.3389/fcimb.2023.1120995 </w:t>
      </w:r>
    </w:p>
    <w:p w14:paraId="6046512C">
      <w:pPr>
        <w:spacing w:line="360" w:lineRule="auto"/>
        <w:jc w:val="both"/>
        <w:rPr>
          <w:rFonts w:ascii="Arial" w:hAnsi="Arial" w:cs="Arial"/>
        </w:rPr>
      </w:pPr>
      <w:r>
        <w:rPr>
          <w:rFonts w:ascii="Arial" w:hAnsi="Arial" w:cs="Arial"/>
        </w:rPr>
        <w:t xml:space="preserve">Hurry, K.J., Ridsdale, L., Davies, J. and Muirhead, V.E. (2023) The dental health of looked after children in the UK and dental care pathways: a scoping review. Community Dental Health, 40(3), pp.154-161. doi:10.1922/CDH_00252Hurry08 </w:t>
      </w:r>
    </w:p>
    <w:p w14:paraId="33CFF101">
      <w:pPr>
        <w:spacing w:line="360" w:lineRule="auto"/>
        <w:jc w:val="both"/>
        <w:rPr>
          <w:rFonts w:ascii="Arial" w:hAnsi="Arial" w:cs="Arial"/>
        </w:rPr>
      </w:pPr>
      <w:r>
        <w:rPr>
          <w:rFonts w:ascii="Arial" w:hAnsi="Arial" w:cs="Arial"/>
        </w:rPr>
        <w:t xml:space="preserve">Jain, N., Dutt, U., Radenkov, I. and Jain, S. (2024) WHO’s global oral health status report 2022: Actions, discussion and implementation. Oral Dis, 30(2), pp.73-79. DOI: 10.1111/odi.14516 </w:t>
      </w:r>
    </w:p>
    <w:p w14:paraId="3D6BBF06">
      <w:pPr>
        <w:spacing w:line="360" w:lineRule="auto"/>
        <w:jc w:val="both"/>
        <w:rPr>
          <w:rFonts w:ascii="Arial" w:hAnsi="Arial" w:cs="Arial"/>
        </w:rPr>
      </w:pPr>
      <w:r>
        <w:rPr>
          <w:rFonts w:ascii="Arial" w:hAnsi="Arial" w:cs="Arial"/>
        </w:rPr>
        <w:t xml:space="preserve">Kaddour, S., Slater, S., Feleke, R., Doran, G., Halpin, L., Srinivasan, A. and Yusuf, H. (2023) Secondary analysis of child hospital admission data for dental caries in London, UK: what the data tells us about oral health inequalities. BMJ open, 13(10), p.e072171. doi:10.1136/bmjopen-2023-072171 </w:t>
      </w:r>
    </w:p>
    <w:p w14:paraId="770F4614">
      <w:pPr>
        <w:spacing w:line="360" w:lineRule="auto"/>
        <w:jc w:val="both"/>
        <w:rPr>
          <w:rFonts w:ascii="Arial" w:hAnsi="Arial" w:cs="Arial"/>
        </w:rPr>
      </w:pPr>
      <w:r>
        <w:rPr>
          <w:rFonts w:ascii="Arial" w:hAnsi="Arial" w:cs="Arial"/>
        </w:rPr>
        <w:t xml:space="preserve">Khurshid, Z. (2023) Digital dentistry: transformation of oral health and dental education with technology. European Journal of Dentistry, 17(04), pp.943-944. DOI https://doi.org/ 10.1055/s-0043-1772674 </w:t>
      </w:r>
    </w:p>
    <w:p w14:paraId="45F55822">
      <w:pPr>
        <w:spacing w:line="360" w:lineRule="auto"/>
        <w:jc w:val="both"/>
        <w:rPr>
          <w:rFonts w:ascii="Arial" w:hAnsi="Arial" w:cs="Arial"/>
        </w:rPr>
      </w:pPr>
      <w:r>
        <w:rPr>
          <w:rFonts w:ascii="Arial" w:hAnsi="Arial" w:cs="Arial"/>
        </w:rPr>
        <w:t xml:space="preserve">Legislation, (2026), Data Protection Act 2018, [Accessed through]:&lt; </w:t>
      </w:r>
      <w:r>
        <w:fldChar w:fldCharType="begin"/>
      </w:r>
      <w:r>
        <w:instrText xml:space="preserve"> HYPERLINK "https://www.legislation.gov.uk/ukpga/2018/12/contents" </w:instrText>
      </w:r>
      <w:r>
        <w:fldChar w:fldCharType="separate"/>
      </w:r>
      <w:r>
        <w:rPr>
          <w:rFonts w:ascii="Arial" w:hAnsi="Arial" w:cs="Arial"/>
        </w:rPr>
        <w:t>https://www.legislation.gov.uk/ukpga/2018/12/contents</w:t>
      </w:r>
      <w:r>
        <w:rPr>
          <w:rFonts w:ascii="Arial" w:hAnsi="Arial" w:cs="Arial"/>
        </w:rPr>
        <w:fldChar w:fldCharType="end"/>
      </w:r>
      <w:r>
        <w:rPr>
          <w:rFonts w:ascii="Arial" w:hAnsi="Arial" w:cs="Arial"/>
        </w:rPr>
        <w:t xml:space="preserve"> &gt;:[Accessed on: 9th July, 2026]. </w:t>
      </w:r>
    </w:p>
    <w:p w14:paraId="005AAD07">
      <w:pPr>
        <w:spacing w:line="360" w:lineRule="auto"/>
        <w:jc w:val="both"/>
        <w:rPr>
          <w:rFonts w:ascii="Arial" w:hAnsi="Arial" w:cs="Arial"/>
        </w:rPr>
      </w:pPr>
      <w:r>
        <w:rPr>
          <w:rFonts w:ascii="Arial" w:hAnsi="Arial" w:cs="Arial"/>
        </w:rPr>
        <w:t xml:space="preserve">Lipsky, M.S., Singh, T., Zakeri, G. and Hung, M. (2024) Oral health and older adults: A narrative review. Dentistry Journal, 12(2), p.30. https://doi.org/10.3390/dj12020030 </w:t>
      </w:r>
    </w:p>
    <w:p w14:paraId="6C11CD0C">
      <w:pPr>
        <w:spacing w:line="360" w:lineRule="auto"/>
        <w:jc w:val="both"/>
        <w:rPr>
          <w:rFonts w:ascii="Arial" w:hAnsi="Arial" w:cs="Arial"/>
        </w:rPr>
      </w:pPr>
      <w:r>
        <w:rPr>
          <w:rFonts w:ascii="Arial" w:hAnsi="Arial" w:cs="Arial"/>
        </w:rPr>
        <w:t xml:space="preserve">Malcangi, G., Patano, A., Ciocia, A.M., Netti, A., Viapiano, F., Palumbo, I., Trilli, I., Guglielmo, M., Inchingolo, A.D., Dipalma, G. and Inchingolo, F. (2023) Benefits of natural antioxidants on oral health. Antioxidants, 12(6), p.1309.  https://doi.org/10.3390/antiox12061309 </w:t>
      </w:r>
    </w:p>
    <w:p w14:paraId="6E5BB94B">
      <w:pPr>
        <w:spacing w:line="360" w:lineRule="auto"/>
        <w:jc w:val="both"/>
        <w:rPr>
          <w:rFonts w:ascii="Arial" w:hAnsi="Arial" w:cs="Arial"/>
        </w:rPr>
      </w:pPr>
      <w:r>
        <w:rPr>
          <w:rFonts w:ascii="Arial" w:hAnsi="Arial" w:cs="Arial"/>
        </w:rPr>
        <w:t xml:space="preserve">Nayak, P.P., Shetty, V., Zacharias, L. and Gore, I. (2025) AI-driven approaches in the management of early childhood caries: A path toward global oral health. Journal of Oral Biology and Craniofacial Research, 15(5), pp.1134-1140. </w:t>
      </w:r>
      <w:r>
        <w:fldChar w:fldCharType="begin"/>
      </w:r>
      <w:r>
        <w:instrText xml:space="preserve"> HYPERLINK "https://doi.org/10.1016/j.jobcr.2025.07.022" \t "_blank" </w:instrText>
      </w:r>
      <w:r>
        <w:fldChar w:fldCharType="separate"/>
      </w:r>
      <w:r>
        <w:rPr>
          <w:rFonts w:ascii="Arial" w:hAnsi="Arial" w:cs="Arial"/>
        </w:rPr>
        <w:t>10.1016/j.jobcr.2025.07.022</w:t>
      </w:r>
      <w:r>
        <w:rPr>
          <w:rFonts w:ascii="Arial" w:hAnsi="Arial" w:cs="Arial"/>
        </w:rPr>
        <w:fldChar w:fldCharType="end"/>
      </w:r>
      <w:r>
        <w:rPr>
          <w:rFonts w:ascii="Arial" w:hAnsi="Arial" w:cs="Arial"/>
        </w:rPr>
        <w:t xml:space="preserve"> </w:t>
      </w:r>
    </w:p>
    <w:p w14:paraId="58C10E10">
      <w:pPr>
        <w:spacing w:line="360" w:lineRule="auto"/>
        <w:jc w:val="both"/>
        <w:rPr>
          <w:rFonts w:ascii="Arial" w:hAnsi="Arial" w:cs="Arial"/>
        </w:rPr>
      </w:pPr>
      <w:r>
        <w:rPr>
          <w:rFonts w:ascii="Arial" w:hAnsi="Arial" w:cs="Arial"/>
        </w:rPr>
        <w:t xml:space="preserve">PR News, (2026), Colgate Bright Smiles, Bright Futures, [Accessed through]:&lt; https://www.prnewswire.com/news-releases/colgate-bright-smiles-bright-futures-smile-for-picture-day-partners-with-the-kids-in-need-foundation-and-country-artist-jessie-james-decker-to-create-healthy-smiles-this-school-year-300144825.html &gt;:[Accessed on: 9th July, 2026]. </w:t>
      </w:r>
    </w:p>
    <w:p w14:paraId="3784DD53">
      <w:pPr>
        <w:spacing w:line="360" w:lineRule="auto"/>
        <w:jc w:val="both"/>
        <w:rPr>
          <w:rFonts w:ascii="Arial" w:hAnsi="Arial" w:cs="Arial"/>
        </w:rPr>
      </w:pPr>
      <w:r>
        <w:rPr>
          <w:rFonts w:ascii="Arial" w:hAnsi="Arial" w:cs="Arial"/>
        </w:rPr>
        <w:t>Ridsdale, L., Gilchrist, F., Balmer, R.C., Skelton, R., Sidebotham, P.D. and Harris, J.C. (2024) British Society of Paediatric Dentistry: A policy document on dental neglect in children. International Journal of Paediatric Dentistry, 34(2), pp.160-168. DOI: 10.1111/ipd.13120</w:t>
      </w:r>
    </w:p>
    <w:p w14:paraId="43EA98B9">
      <w:pPr>
        <w:spacing w:line="360" w:lineRule="auto"/>
        <w:jc w:val="both"/>
        <w:rPr>
          <w:rFonts w:ascii="Arial" w:hAnsi="Arial" w:cs="Arial"/>
        </w:rPr>
      </w:pPr>
      <w:r>
        <w:rPr>
          <w:rFonts w:ascii="Arial" w:hAnsi="Arial" w:cs="Arial"/>
        </w:rPr>
        <w:t xml:space="preserve">Rutter, L., Duara, R., Vinall-Collier, K.A., Owen, J., Haley, I., Gray-Burrows, K.A., Hearnshaw, S., Marshman, Z. and Day, P.F. (2023) Experiences of newly qualified dentists in delivering oral health advice to parents/caregivers of young children—challenges and solutions. Frontiers in Oral Health, 4, p.1079584. DOI 10.3389/froh.2023.1079584 </w:t>
      </w:r>
    </w:p>
    <w:p w14:paraId="41FBC7D5">
      <w:pPr>
        <w:spacing w:line="360" w:lineRule="auto"/>
        <w:jc w:val="both"/>
        <w:rPr>
          <w:rFonts w:ascii="Arial" w:hAnsi="Arial" w:cs="Arial"/>
        </w:rPr>
      </w:pPr>
      <w:r>
        <w:rPr>
          <w:rFonts w:ascii="Arial" w:hAnsi="Arial" w:cs="Arial"/>
        </w:rPr>
        <w:t xml:space="preserve">Sharma, P., Das, S., Bhandary, S. and Nayak, P.P. (2025) Bridging smiles: AI-driven dental health awareness for the next gen—a systematic review. Frontiers in Dental Medicine, 6, p.1639572. DOI 10.3389/fdmed.2025.1639572 </w:t>
      </w:r>
    </w:p>
    <w:p w14:paraId="4CA7C0BA">
      <w:pPr>
        <w:spacing w:line="360" w:lineRule="auto"/>
        <w:rPr>
          <w:rFonts w:ascii="Arial" w:hAnsi="Arial" w:cs="Arial"/>
        </w:rPr>
      </w:pPr>
      <w:r>
        <w:rPr>
          <w:rFonts w:ascii="Arial" w:hAnsi="Arial" w:cs="Arial"/>
        </w:rPr>
        <w:br w:type="page"/>
      </w:r>
    </w:p>
    <w:p w14:paraId="59381FB7">
      <w:pPr>
        <w:pStyle w:val="2"/>
        <w:rPr>
          <w:rFonts w:ascii="Arial" w:hAnsi="Arial" w:cs="Arial"/>
        </w:rPr>
      </w:pPr>
      <w:bookmarkStart w:id="19" w:name="_Toc13692"/>
      <w:bookmarkStart w:id="20" w:name="_Toc234661659"/>
      <w:r>
        <w:rPr>
          <w:rFonts w:ascii="Arial" w:hAnsi="Arial" w:cs="Arial"/>
        </w:rPr>
        <w:t>Appendix</w:t>
      </w:r>
      <w:bookmarkEnd w:id="19"/>
      <w:bookmarkEnd w:id="20"/>
      <w:r>
        <w:rPr>
          <w:rFonts w:ascii="Arial" w:hAnsi="Arial" w:cs="Arial"/>
        </w:rPr>
        <w:t xml:space="preserve"> </w:t>
      </w:r>
    </w:p>
    <w:p w14:paraId="62D73504">
      <w:pPr>
        <w:spacing w:line="360" w:lineRule="auto"/>
        <w:rPr>
          <w:rFonts w:ascii="Arial" w:hAnsi="Arial" w:cs="Arial"/>
        </w:rPr>
      </w:pPr>
      <w:r>
        <w:rPr>
          <w:rFonts w:ascii="Arial" w:hAnsi="Arial" w:cs="Arial"/>
        </w:rPr>
        <w:object>
          <v:shape id="_x0000_i1026" o:spt="75" type="#_x0000_t75" style="height:49.5pt;width:76.5pt;" o:ole="t" filled="f" o:preferrelative="t" stroked="f" coordsize="21600,21600">
            <v:path/>
            <v:fill on="f" focussize="0,0"/>
            <v:stroke on="f" joinstyle="miter"/>
            <v:imagedata r:id="rId8" o:title=""/>
            <o:lock v:ext="edit" aspectratio="t"/>
            <w10:wrap type="none"/>
            <w10:anchorlock/>
          </v:shape>
          <o:OLEObject Type="Embed" ProgID="PowerPoint.Show.12" ShapeID="_x0000_i1026" DrawAspect="Icon" ObjectID="_1468075726" r:id="rId7">
            <o:LockedField>false</o:LockedField>
          </o:OLEObject>
        </w:object>
      </w:r>
    </w:p>
    <w:p w14:paraId="04D4644B">
      <w:pPr>
        <w:spacing w:line="360" w:lineRule="auto"/>
        <w:ind w:left="720"/>
        <w:jc w:val="center"/>
        <w:rPr>
          <w:rFonts w:ascii="Arial" w:hAnsi="Arial" w:cs="Arial"/>
        </w:rPr>
      </w:pPr>
    </w:p>
    <w:p w14:paraId="225DC929">
      <w:pPr>
        <w:spacing w:line="360" w:lineRule="auto"/>
        <w:rPr>
          <w:rFonts w:ascii="Arial" w:hAnsi="Arial" w:cs="Arial"/>
        </w:rPr>
      </w:pPr>
    </w:p>
    <w:sectPr>
      <w:pgSz w:w="10800" w:h="19200"/>
      <w:pgMar w:top="1440" w:right="1440" w:bottom="1440" w:left="1440" w:header="720" w:footer="720" w:gutter="0"/>
      <w:cols w:space="0" w:num="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Mangal">
    <w:altName w:val="Segoe Print"/>
    <w:panose1 w:val="00000400000000000000"/>
    <w:charset w:val="00"/>
    <w:family w:val="roman"/>
    <w:pitch w:val="default"/>
    <w:sig w:usb0="00000000" w:usb1="00000000" w:usb2="00000000" w:usb3="00000000" w:csb0="00000001" w:csb1="00000000"/>
  </w:font>
  <w:font w:name="Segoe Print">
    <w:panose1 w:val="02000600000000000000"/>
    <w:charset w:val="00"/>
    <w:family w:val="auto"/>
    <w:pitch w:val="default"/>
    <w:sig w:usb0="0000028F" w:usb1="00000000" w:usb2="00000000" w:usb3="00000000" w:csb0="2000009F" w:csb1="47010000"/>
  </w:font>
  <w:font w:name="Segoe UI">
    <w:panose1 w:val="020B0502040204020203"/>
    <w:charset w:val="00"/>
    <w:family w:val="auto"/>
    <w:pitch w:val="default"/>
    <w:sig w:usb0="E4002EFF" w:usb1="C000E47F" w:usb2="00000009" w:usb3="00000000" w:csb0="200001FF" w:csb1="00000000"/>
  </w:font>
  <w:font w:name="Arial Nova">
    <w:altName w:val="Arial"/>
    <w:panose1 w:val="00000000000000000000"/>
    <w:charset w:val="00"/>
    <w:family w:val="swiss"/>
    <w:pitch w:val="default"/>
    <w:sig w:usb0="00000000" w:usb1="00000000" w:usb2="00000000" w:usb3="00000000" w:csb0="0000019F" w:csb1="00000000"/>
  </w:font>
  <w:font w:name="Microsoft YaHei">
    <w:panose1 w:val="020B0503020204020204"/>
    <w:charset w:val="86"/>
    <w:family w:val="auto"/>
    <w:pitch w:val="default"/>
    <w:sig w:usb0="80000287" w:usb1="2ACF3C50" w:usb2="00000016" w:usb3="00000000" w:csb0="0004001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0"/>
  <w:bordersDoNotSurroundFooter w:val="0"/>
  <w:documentProtection w:enforcement="0"/>
  <w:defaultTabStop w:val="720"/>
  <w:drawingGridHorizontalSpacing w:val="110"/>
  <w:displayHorizontalDrawingGridEvery w:val="0"/>
  <w:displayVerticalDrawingGridEvery w:val="2"/>
  <w:characterSpacingControl w:val="doNotCompress"/>
  <w:compat>
    <w:balanceSingleByteDoubleByteWidth/>
    <w:ulTrailSpace/>
    <w:doNotExpandShiftReturn/>
    <w:adjustLineHeightInTable/>
    <w:doNotWrapTextWithPunct/>
    <w:doNotUseEastAsian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64924"/>
    <w:rsid w:val="00054C7B"/>
    <w:rsid w:val="00294601"/>
    <w:rsid w:val="003259DE"/>
    <w:rsid w:val="00364924"/>
    <w:rsid w:val="00800962"/>
    <w:rsid w:val="00811436"/>
    <w:rsid w:val="008A5632"/>
    <w:rsid w:val="00B01DBB"/>
    <w:rsid w:val="00B626BD"/>
    <w:rsid w:val="00C14543"/>
    <w:rsid w:val="00C53723"/>
    <w:rsid w:val="00DD13A8"/>
    <w:rsid w:val="00EE37E3"/>
    <w:rsid w:val="00F0559E"/>
    <w:rsid w:val="00FE7140"/>
    <w:rsid w:val="0DCB3E31"/>
    <w:rsid w:val="14784D10"/>
    <w:rsid w:val="17A460D5"/>
    <w:rsid w:val="27D94CF1"/>
  </w:rsids>
  <m:mathPr>
    <m:mathFont m:val="Cambria Math"/>
    <m:brkBin m:val="before"/>
    <m:brkBinSub m:val="--"/>
    <m:smallFrac m:val="0"/>
    <m:dispDef/>
    <m:lMargin m:val="0"/>
    <m:rMargin m:val="0"/>
    <m:defJc m:val="centerGroup"/>
    <m:wrapIndent m:val="1440"/>
    <m:intLim m:val="subSup"/>
    <m:naryLim m:val="undOvr"/>
  </m:mathPr>
  <w:themeFontLang w:val="en-US" w:eastAsia="zh-CN" w:bidi="hi-IN"/>
  <w:clrSchemeMapping w:bg1="light1" w:t1="dark1" w:bg2="light2" w:t2="dark2" w:accent1="accent1" w:accent2="accent2" w:accent3="accent3" w:accent4="accent4" w:accent5="accent5" w:accent6="accent6" w:hyperlink="hyperlink" w:followedHyperlink="followedHyperlink"/>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1"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qFormat="1" w:unhideWhenUsed="0" w:uiPriority="1" w:semiHidden="0"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1"/>
    <w:pPr>
      <w:widowControl w:val="0"/>
      <w:autoSpaceDE w:val="0"/>
      <w:autoSpaceDN w:val="0"/>
    </w:pPr>
    <w:rPr>
      <w:rFonts w:ascii="Times New Roman" w:hAnsi="Times New Roman" w:eastAsia="Times New Roman" w:cs="Times New Roman"/>
      <w:sz w:val="22"/>
      <w:szCs w:val="22"/>
      <w:lang w:val="en-US" w:eastAsia="en-US" w:bidi="ar-SA"/>
    </w:rPr>
  </w:style>
  <w:style w:type="paragraph" w:styleId="2">
    <w:name w:val="heading 1"/>
    <w:basedOn w:val="1"/>
    <w:next w:val="1"/>
    <w:link w:val="15"/>
    <w:qFormat/>
    <w:uiPriority w:val="9"/>
    <w:pPr>
      <w:keepNext/>
      <w:keepLines/>
      <w:spacing w:before="240" w:line="360" w:lineRule="auto"/>
      <w:jc w:val="both"/>
      <w:outlineLvl w:val="0"/>
    </w:pPr>
    <w:rPr>
      <w:rFonts w:eastAsiaTheme="majorEastAsia" w:cstheme="majorBidi"/>
      <w:b/>
      <w:sz w:val="28"/>
      <w:szCs w:val="32"/>
    </w:rPr>
  </w:style>
  <w:style w:type="paragraph" w:styleId="3">
    <w:name w:val="heading 2"/>
    <w:basedOn w:val="1"/>
    <w:next w:val="1"/>
    <w:link w:val="17"/>
    <w:semiHidden/>
    <w:unhideWhenUsed/>
    <w:qFormat/>
    <w:uiPriority w:val="9"/>
    <w:pPr>
      <w:keepNext/>
      <w:keepLines/>
      <w:spacing w:before="40" w:line="360" w:lineRule="auto"/>
      <w:jc w:val="both"/>
      <w:outlineLvl w:val="1"/>
    </w:pPr>
    <w:rPr>
      <w:rFonts w:eastAsiaTheme="majorEastAsia" w:cstheme="majorBidi"/>
      <w:sz w:val="24"/>
      <w:szCs w:val="26"/>
      <w:u w:val="single"/>
    </w:rPr>
  </w:style>
  <w:style w:type="character" w:default="1" w:styleId="4">
    <w:name w:val="Default Paragraph Font"/>
    <w:semiHidden/>
    <w:unhideWhenUsed/>
    <w:qFormat/>
    <w:uiPriority w:val="1"/>
  </w:style>
  <w:style w:type="table" w:default="1" w:styleId="5">
    <w:name w:val="Normal Table"/>
    <w:semiHidden/>
    <w:unhideWhenUsed/>
    <w:qFormat/>
    <w:uiPriority w:val="99"/>
    <w:tblPr>
      <w:tblCellMar>
        <w:top w:w="0" w:type="dxa"/>
        <w:left w:w="108" w:type="dxa"/>
        <w:bottom w:w="0" w:type="dxa"/>
        <w:right w:w="108" w:type="dxa"/>
      </w:tblCellMar>
    </w:tblPr>
  </w:style>
  <w:style w:type="paragraph" w:styleId="6">
    <w:name w:val="Body Text"/>
    <w:basedOn w:val="1"/>
    <w:qFormat/>
    <w:uiPriority w:val="1"/>
    <w:rPr>
      <w:sz w:val="6"/>
      <w:szCs w:val="6"/>
    </w:rPr>
  </w:style>
  <w:style w:type="character" w:styleId="7">
    <w:name w:val="Hyperlink"/>
    <w:basedOn w:val="4"/>
    <w:unhideWhenUsed/>
    <w:qFormat/>
    <w:uiPriority w:val="99"/>
    <w:rPr>
      <w:color w:val="0000FF" w:themeColor="hyperlink"/>
      <w:u w:val="single"/>
      <w14:textFill>
        <w14:solidFill>
          <w14:schemeClr w14:val="hlink"/>
        </w14:solidFill>
      </w14:textFill>
    </w:rPr>
  </w:style>
  <w:style w:type="paragraph" w:styleId="8">
    <w:name w:val="Normal (Web)"/>
    <w:basedOn w:val="1"/>
    <w:semiHidden/>
    <w:unhideWhenUsed/>
    <w:qFormat/>
    <w:uiPriority w:val="99"/>
    <w:pPr>
      <w:widowControl/>
      <w:autoSpaceDE/>
      <w:autoSpaceDN/>
      <w:spacing w:before="100" w:beforeAutospacing="1" w:after="100" w:afterAutospacing="1"/>
    </w:pPr>
    <w:rPr>
      <w:rFonts w:eastAsiaTheme="minorEastAsia"/>
      <w:sz w:val="24"/>
      <w:szCs w:val="24"/>
      <w:lang w:bidi="hi-IN"/>
    </w:rPr>
  </w:style>
  <w:style w:type="paragraph" w:styleId="9">
    <w:name w:val="Title"/>
    <w:basedOn w:val="1"/>
    <w:link w:val="14"/>
    <w:qFormat/>
    <w:uiPriority w:val="10"/>
    <w:pPr>
      <w:ind w:left="184"/>
    </w:pPr>
    <w:rPr>
      <w:b/>
      <w:bCs/>
      <w:sz w:val="12"/>
      <w:szCs w:val="12"/>
    </w:rPr>
  </w:style>
  <w:style w:type="paragraph" w:styleId="10">
    <w:name w:val="toc 1"/>
    <w:basedOn w:val="1"/>
    <w:next w:val="1"/>
    <w:autoRedefine/>
    <w:unhideWhenUsed/>
    <w:qFormat/>
    <w:uiPriority w:val="39"/>
    <w:pPr>
      <w:widowControl/>
      <w:tabs>
        <w:tab w:val="right" w:leader="dot" w:pos="9016"/>
      </w:tabs>
      <w:autoSpaceDE/>
      <w:autoSpaceDN/>
      <w:spacing w:before="120" w:after="100" w:line="360" w:lineRule="auto"/>
    </w:pPr>
    <w:rPr>
      <w:sz w:val="24"/>
      <w:szCs w:val="24"/>
      <w:lang w:val="en"/>
    </w:rPr>
  </w:style>
  <w:style w:type="paragraph" w:styleId="11">
    <w:name w:val="toc 2"/>
    <w:basedOn w:val="1"/>
    <w:next w:val="1"/>
    <w:autoRedefine/>
    <w:unhideWhenUsed/>
    <w:qFormat/>
    <w:uiPriority w:val="39"/>
    <w:pPr>
      <w:widowControl/>
      <w:autoSpaceDE/>
      <w:autoSpaceDN/>
      <w:spacing w:before="120" w:after="100" w:line="360" w:lineRule="auto"/>
      <w:ind w:left="240"/>
      <w:jc w:val="both"/>
    </w:pPr>
    <w:rPr>
      <w:sz w:val="24"/>
      <w:szCs w:val="24"/>
      <w:lang w:val="en"/>
    </w:rPr>
  </w:style>
  <w:style w:type="paragraph" w:styleId="12">
    <w:name w:val="List Paragraph"/>
    <w:basedOn w:val="1"/>
    <w:qFormat/>
    <w:uiPriority w:val="34"/>
  </w:style>
  <w:style w:type="paragraph" w:customStyle="1" w:styleId="13">
    <w:name w:val="Table Paragraph"/>
    <w:basedOn w:val="1"/>
    <w:qFormat/>
    <w:uiPriority w:val="1"/>
    <w:pPr>
      <w:spacing w:before="25"/>
      <w:ind w:left="108"/>
    </w:pPr>
  </w:style>
  <w:style w:type="character" w:customStyle="1" w:styleId="14">
    <w:name w:val="Title Char"/>
    <w:basedOn w:val="4"/>
    <w:link w:val="9"/>
    <w:qFormat/>
    <w:uiPriority w:val="10"/>
    <w:rPr>
      <w:rFonts w:ascii="Times New Roman" w:hAnsi="Times New Roman" w:eastAsia="Times New Roman" w:cs="Times New Roman"/>
      <w:b/>
      <w:bCs/>
      <w:sz w:val="12"/>
      <w:szCs w:val="12"/>
    </w:rPr>
  </w:style>
  <w:style w:type="character" w:customStyle="1" w:styleId="15">
    <w:name w:val="Heading 1 Char"/>
    <w:basedOn w:val="4"/>
    <w:link w:val="2"/>
    <w:qFormat/>
    <w:uiPriority w:val="9"/>
    <w:rPr>
      <w:rFonts w:ascii="Times New Roman" w:hAnsi="Times New Roman" w:eastAsiaTheme="majorEastAsia" w:cstheme="majorBidi"/>
      <w:b/>
      <w:sz w:val="28"/>
      <w:szCs w:val="32"/>
    </w:rPr>
  </w:style>
  <w:style w:type="paragraph" w:customStyle="1" w:styleId="16">
    <w:name w:val="TOC Heading1"/>
    <w:basedOn w:val="2"/>
    <w:next w:val="1"/>
    <w:unhideWhenUsed/>
    <w:qFormat/>
    <w:uiPriority w:val="39"/>
    <w:pPr>
      <w:widowControl/>
      <w:autoSpaceDE/>
      <w:autoSpaceDN/>
      <w:spacing w:line="259" w:lineRule="auto"/>
      <w:outlineLvl w:val="9"/>
    </w:pPr>
  </w:style>
  <w:style w:type="character" w:customStyle="1" w:styleId="17">
    <w:name w:val="Heading 2 Char"/>
    <w:basedOn w:val="4"/>
    <w:link w:val="3"/>
    <w:semiHidden/>
    <w:uiPriority w:val="9"/>
    <w:rPr>
      <w:rFonts w:ascii="Times New Roman" w:hAnsi="Times New Roman" w:eastAsiaTheme="majorEastAsia" w:cstheme="majorBidi"/>
      <w:sz w:val="24"/>
      <w:szCs w:val="26"/>
      <w:u w:val="single"/>
    </w:rPr>
  </w:style>
  <w:style w:type="table" w:customStyle="1" w:styleId="18">
    <w:name w:val="Grid Table 1 Light - Accent 21"/>
    <w:basedOn w:val="5"/>
    <w:uiPriority w:val="46"/>
    <w:pPr>
      <w:spacing w:before="120"/>
      <w:jc w:val="both"/>
    </w:pPr>
    <w:rPr>
      <w:rFonts w:eastAsia="Times New Roman"/>
      <w:sz w:val="24"/>
      <w:szCs w:val="24"/>
      <w:lang w:val="en"/>
    </w:rPr>
    <w:tblPr>
      <w:tblBorders>
        <w:top w:val="single" w:color="E5B8B7" w:themeColor="accent2" w:themeTint="66" w:sz="4" w:space="0"/>
        <w:left w:val="single" w:color="E5B8B7" w:themeColor="accent2" w:themeTint="66" w:sz="4" w:space="0"/>
        <w:bottom w:val="single" w:color="E5B8B7" w:themeColor="accent2" w:themeTint="66" w:sz="4" w:space="0"/>
        <w:right w:val="single" w:color="E5B8B7" w:themeColor="accent2" w:themeTint="66" w:sz="4" w:space="0"/>
        <w:insideH w:val="single" w:color="E5B8B7" w:themeColor="accent2" w:themeTint="66" w:sz="4" w:space="0"/>
        <w:insideV w:val="single" w:color="E5B8B7" w:themeColor="accent2" w:themeTint="66" w:sz="4" w:space="0"/>
      </w:tblBorders>
    </w:tblPr>
    <w:tblStylePr w:type="firstRow">
      <w:rPr>
        <w:b/>
        <w:bCs/>
      </w:rPr>
      <w:tcPr>
        <w:tcBorders>
          <w:bottom w:val="single" w:color="D99594" w:themeColor="accent2" w:themeTint="99" w:sz="12" w:space="0"/>
        </w:tcBorders>
      </w:tcPr>
    </w:tblStylePr>
    <w:tblStylePr w:type="lastRow">
      <w:rPr>
        <w:b/>
        <w:bCs/>
      </w:rPr>
      <w:tcPr>
        <w:tcBorders>
          <w:top w:val="double" w:color="D99594" w:themeColor="accent2" w:themeTint="99" w:sz="2" w:space="0"/>
        </w:tcBorders>
      </w:tcPr>
    </w:tblStylePr>
    <w:tblStylePr w:type="firstCol">
      <w:rPr>
        <w:b/>
        <w:bCs/>
      </w:rPr>
    </w:tblStylePr>
    <w:tblStylePr w:type="lastCol">
      <w:rPr>
        <w:b/>
        <w:bCs/>
      </w:rPr>
    </w:tblStyle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media/image3.emf"/><Relationship Id="rId7" Type="http://schemas.openxmlformats.org/officeDocument/2006/relationships/oleObject" Target="embeddings/oleObject1.bin"/><Relationship Id="rId6" Type="http://schemas.openxmlformats.org/officeDocument/2006/relationships/image" Target="media/image2.emf"/><Relationship Id="rId5" Type="http://schemas.openxmlformats.org/officeDocument/2006/relationships/package" Target="embeddings/Slide1.sldx"/><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0A5278-1470-4B74-8ECE-F68D99FBE66E}">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10</Pages>
  <Words>1860</Words>
  <Characters>11447</Characters>
  <DocSecurity>0</DocSecurity>
  <Lines>1</Lines>
  <Paragraphs>1</Paragraphs>
  <ScaleCrop>false</ScaleCrop>
  <LinksUpToDate>false</LinksUpToDate>
  <CharactersWithSpaces>13287</CharactersWithSpac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2026-07-14T12:21:00Z</dcterms:created>
  <dcterms:modified xsi:type="dcterms:W3CDTF">2026-07-15T11:44:35Z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2026-07-11T00:00:00Z</vt:filetime>
  </property>
  <property fmtid="{D5CDD505-2E9C-101B-9397-08002B2CF9AE}" pid="3" name="Creator">
    <vt:lpwstr>Microsoft® PowerPoint® LTSC</vt:lpwstr>
  </property>
  <property fmtid="{D5CDD505-2E9C-101B-9397-08002B2CF9AE}" pid="4" name="LastSaved">
    <vt:filetime>2026-07-11T00:00:00Z</vt:filetime>
  </property>
  <property fmtid="{D5CDD505-2E9C-101B-9397-08002B2CF9AE}" pid="5" name="Producer">
    <vt:lpwstr>Microsoft® PowerPoint® LTSC</vt:lpwstr>
  </property>
  <property fmtid="{D5CDD505-2E9C-101B-9397-08002B2CF9AE}" pid="6" name="GrammarlyDocumentId">
    <vt:lpwstr>bce84eef-adab-46de-85d6-eb94a56c05c5</vt:lpwstr>
  </property>
  <property fmtid="{D5CDD505-2E9C-101B-9397-08002B2CF9AE}" pid="7" name="KSOTemplateDocerSaveRecord">
    <vt:lpwstr>eyJoZGlkIjoiMjk0MmViNzZkYjdkODZhOGU4ODY0YmFjODgxYmIxNjIifQ==</vt:lpwstr>
  </property>
  <property fmtid="{D5CDD505-2E9C-101B-9397-08002B2CF9AE}" pid="8" name="KSOProductBuildVer">
    <vt:lpwstr>1033-12.1.0.26880</vt:lpwstr>
  </property>
  <property fmtid="{D5CDD505-2E9C-101B-9397-08002B2CF9AE}" pid="9" name="ICV">
    <vt:lpwstr>87E7FCFB3CB84A629DF1344A0DA31827_13</vt:lpwstr>
  </property>
</Properties>
</file>