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66747" w14:textId="7F301612" w:rsidR="000005EC" w:rsidRPr="00DA708F" w:rsidRDefault="000005EC" w:rsidP="00E2348B">
      <w:pPr>
        <w:rPr>
          <w:b/>
          <w:bCs/>
          <w:lang w:val="en-GB"/>
        </w:rPr>
      </w:pPr>
    </w:p>
    <w:p w14:paraId="5DB4D7B2" w14:textId="77777777" w:rsidR="000005EC" w:rsidRPr="00DA708F" w:rsidRDefault="000005EC" w:rsidP="00E2348B">
      <w:pPr>
        <w:rPr>
          <w:b/>
          <w:bCs/>
          <w:lang w:val="en-GB"/>
        </w:rPr>
      </w:pPr>
    </w:p>
    <w:p w14:paraId="7DC3BDBF" w14:textId="77777777" w:rsidR="007F29D0" w:rsidRPr="00DA708F" w:rsidRDefault="007F29D0" w:rsidP="000005EC">
      <w:pPr>
        <w:jc w:val="center"/>
        <w:rPr>
          <w:b/>
          <w:bCs/>
          <w:lang w:val="en-GB"/>
        </w:rPr>
      </w:pPr>
    </w:p>
    <w:p w14:paraId="595352C7" w14:textId="77777777" w:rsidR="007F29D0" w:rsidRPr="00DA708F" w:rsidRDefault="007F29D0" w:rsidP="007F29D0">
      <w:pPr>
        <w:rPr>
          <w:b/>
          <w:bCs/>
          <w:lang w:val="en-GB"/>
        </w:rPr>
      </w:pPr>
    </w:p>
    <w:p w14:paraId="6C9B8903" w14:textId="2CA30D77" w:rsidR="00E2348B" w:rsidRPr="00DA708F" w:rsidRDefault="002277E0" w:rsidP="000005EC">
      <w:pPr>
        <w:jc w:val="center"/>
        <w:rPr>
          <w:b/>
          <w:bCs/>
          <w:lang w:val="en-GB"/>
        </w:rPr>
      </w:pPr>
      <w:r w:rsidRPr="00DA708F">
        <w:rPr>
          <w:b/>
          <w:bCs/>
          <w:lang w:val="en-GB"/>
        </w:rPr>
        <w:t>SCHIZOPHRENIA IN THE UK: CLASSIFICATION, TREATMENT AND REHABILITATION</w:t>
      </w:r>
    </w:p>
    <w:p w14:paraId="25E4276F" w14:textId="3BAF0182" w:rsidR="007F29D0" w:rsidRPr="00DA708F" w:rsidRDefault="00B93391" w:rsidP="007F29D0">
      <w:pPr>
        <w:jc w:val="center"/>
        <w:rPr>
          <w:lang w:val="en-GB"/>
        </w:rPr>
      </w:pPr>
      <w:r w:rsidRPr="00DA708F">
        <w:rPr>
          <w:lang w:val="en-GB"/>
        </w:rPr>
        <w:t xml:space="preserve">Sameena </w:t>
      </w:r>
      <w:r w:rsidR="00780E49">
        <w:rPr>
          <w:lang w:val="en-GB"/>
        </w:rPr>
        <w:t>I</w:t>
      </w:r>
      <w:r w:rsidRPr="00DA708F">
        <w:rPr>
          <w:lang w:val="en-GB"/>
        </w:rPr>
        <w:t>qbal</w:t>
      </w:r>
    </w:p>
    <w:p w14:paraId="3CC9A42B" w14:textId="4DCF457F" w:rsidR="007F29D0" w:rsidRPr="00DA708F" w:rsidRDefault="00B93391" w:rsidP="007F29D0">
      <w:pPr>
        <w:jc w:val="center"/>
        <w:rPr>
          <w:lang w:val="en-GB"/>
        </w:rPr>
      </w:pPr>
      <w:r w:rsidRPr="00DA708F">
        <w:rPr>
          <w:lang w:val="en-GB"/>
        </w:rPr>
        <w:t>Student number 2315950</w:t>
      </w:r>
    </w:p>
    <w:p w14:paraId="1EABCD1B" w14:textId="327E4F36" w:rsidR="007F29D0" w:rsidRPr="00DA708F" w:rsidRDefault="007F29D0" w:rsidP="007F29D0">
      <w:pPr>
        <w:jc w:val="center"/>
        <w:rPr>
          <w:lang w:val="en-GB"/>
        </w:rPr>
      </w:pPr>
    </w:p>
    <w:p w14:paraId="3FE84339" w14:textId="77777777" w:rsidR="007F29D0" w:rsidRPr="00DA708F" w:rsidRDefault="007F29D0">
      <w:pPr>
        <w:spacing w:after="160" w:line="259" w:lineRule="auto"/>
        <w:jc w:val="left"/>
        <w:rPr>
          <w:b/>
          <w:bCs/>
          <w:lang w:val="en-GB"/>
        </w:rPr>
      </w:pPr>
      <w:r w:rsidRPr="00DA708F">
        <w:rPr>
          <w:b/>
          <w:bCs/>
          <w:lang w:val="en-GB"/>
        </w:rPr>
        <w:br w:type="page"/>
      </w:r>
    </w:p>
    <w:p w14:paraId="4C67C74F" w14:textId="77777777" w:rsidR="007F29D0" w:rsidRPr="00DA708F" w:rsidRDefault="007F29D0" w:rsidP="004E701E">
      <w:pPr>
        <w:jc w:val="center"/>
        <w:rPr>
          <w:rFonts w:ascii="Arial" w:hAnsi="Arial" w:cs="Arial"/>
          <w:noProof/>
          <w:sz w:val="22"/>
          <w:lang w:val="en-GB"/>
        </w:rPr>
      </w:pPr>
      <w:r w:rsidRPr="00DA708F">
        <w:rPr>
          <w:b/>
          <w:bCs/>
          <w:lang w:val="en-GB"/>
        </w:rPr>
        <w:lastRenderedPageBreak/>
        <w:t>Table of Contents</w:t>
      </w:r>
      <w:r w:rsidRPr="00DA708F">
        <w:rPr>
          <w:rFonts w:ascii="Arial" w:hAnsi="Arial" w:cs="Arial"/>
          <w:b/>
          <w:bCs/>
          <w:sz w:val="22"/>
          <w:lang w:val="en-GB"/>
        </w:rPr>
        <w:fldChar w:fldCharType="begin"/>
      </w:r>
      <w:r w:rsidRPr="00DA708F">
        <w:rPr>
          <w:rFonts w:ascii="Arial" w:hAnsi="Arial" w:cs="Arial"/>
          <w:b/>
          <w:bCs/>
          <w:sz w:val="22"/>
          <w:lang w:val="en-GB"/>
        </w:rPr>
        <w:instrText xml:space="preserve"> TOC \o "1-3" \h \z \u </w:instrText>
      </w:r>
      <w:r w:rsidRPr="00DA708F">
        <w:rPr>
          <w:rFonts w:ascii="Arial" w:hAnsi="Arial" w:cs="Arial"/>
          <w:b/>
          <w:bCs/>
          <w:sz w:val="22"/>
          <w:lang w:val="en-GB"/>
        </w:rPr>
        <w:fldChar w:fldCharType="separate"/>
      </w:r>
    </w:p>
    <w:p w14:paraId="4456073A" w14:textId="77777777" w:rsidR="007F29D0" w:rsidRPr="00DA708F" w:rsidRDefault="007F29D0" w:rsidP="004E701E">
      <w:pPr>
        <w:pStyle w:val="TOC1"/>
        <w:tabs>
          <w:tab w:val="right" w:leader="dot" w:pos="9350"/>
        </w:tabs>
        <w:rPr>
          <w:rFonts w:ascii="Arial" w:hAnsi="Arial" w:cs="Arial"/>
          <w:noProof/>
          <w:sz w:val="22"/>
          <w:lang w:val="en-GB"/>
        </w:rPr>
      </w:pPr>
      <w:hyperlink w:anchor="_Toc210660712" w:history="1">
        <w:r w:rsidRPr="00DA708F">
          <w:rPr>
            <w:rStyle w:val="Hyperlink"/>
            <w:rFonts w:ascii="Arial" w:hAnsi="Arial" w:cs="Arial"/>
            <w:noProof/>
            <w:sz w:val="22"/>
            <w:lang w:val="en-GB"/>
          </w:rPr>
          <w:t>Introduction</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_Toc210660712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3</w:t>
        </w:r>
        <w:r w:rsidRPr="00DA708F">
          <w:rPr>
            <w:rFonts w:ascii="Arial" w:hAnsi="Arial" w:cs="Arial"/>
            <w:noProof/>
            <w:webHidden/>
            <w:sz w:val="22"/>
            <w:lang w:val="en-GB"/>
          </w:rPr>
          <w:fldChar w:fldCharType="end"/>
        </w:r>
      </w:hyperlink>
    </w:p>
    <w:p w14:paraId="33601AA2" w14:textId="77777777" w:rsidR="007F29D0" w:rsidRPr="00DA708F" w:rsidRDefault="007F29D0" w:rsidP="004E701E">
      <w:pPr>
        <w:pStyle w:val="TOC1"/>
        <w:tabs>
          <w:tab w:val="right" w:leader="dot" w:pos="9350"/>
        </w:tabs>
        <w:rPr>
          <w:rFonts w:ascii="Arial" w:hAnsi="Arial" w:cs="Arial"/>
          <w:noProof/>
          <w:sz w:val="22"/>
          <w:lang w:val="en-GB"/>
        </w:rPr>
      </w:pPr>
      <w:hyperlink w:anchor="_Toc210660713" w:history="1">
        <w:r w:rsidRPr="00DA708F">
          <w:rPr>
            <w:rStyle w:val="Hyperlink"/>
            <w:rFonts w:ascii="Arial" w:hAnsi="Arial" w:cs="Arial"/>
            <w:noProof/>
            <w:sz w:val="22"/>
            <w:lang w:val="en-GB"/>
          </w:rPr>
          <w:t>Classification and diagnosis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_Toc210660713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3</w:t>
        </w:r>
        <w:r w:rsidRPr="00DA708F">
          <w:rPr>
            <w:rFonts w:ascii="Arial" w:hAnsi="Arial" w:cs="Arial"/>
            <w:noProof/>
            <w:webHidden/>
            <w:sz w:val="22"/>
            <w:lang w:val="en-GB"/>
          </w:rPr>
          <w:fldChar w:fldCharType="end"/>
        </w:r>
      </w:hyperlink>
    </w:p>
    <w:p w14:paraId="08EA752C" w14:textId="77777777" w:rsidR="007F29D0" w:rsidRPr="00DA708F" w:rsidRDefault="007F29D0" w:rsidP="004E701E">
      <w:pPr>
        <w:pStyle w:val="TOC2"/>
        <w:tabs>
          <w:tab w:val="right" w:leader="dot" w:pos="9350"/>
        </w:tabs>
        <w:rPr>
          <w:rFonts w:ascii="Arial" w:hAnsi="Arial" w:cs="Arial"/>
          <w:noProof/>
          <w:sz w:val="22"/>
          <w:lang w:val="en-GB"/>
        </w:rPr>
      </w:pPr>
      <w:hyperlink w:anchor="_Toc210660714" w:history="1">
        <w:r w:rsidRPr="00DA708F">
          <w:rPr>
            <w:rStyle w:val="Hyperlink"/>
            <w:rFonts w:ascii="Arial" w:hAnsi="Arial" w:cs="Arial"/>
            <w:noProof/>
            <w:sz w:val="22"/>
            <w:lang w:val="en-GB"/>
          </w:rPr>
          <w:t>ICD-11 and DSM-5</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_Toc210660714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3</w:t>
        </w:r>
        <w:r w:rsidRPr="00DA708F">
          <w:rPr>
            <w:rFonts w:ascii="Arial" w:hAnsi="Arial" w:cs="Arial"/>
            <w:noProof/>
            <w:webHidden/>
            <w:sz w:val="22"/>
            <w:lang w:val="en-GB"/>
          </w:rPr>
          <w:fldChar w:fldCharType="end"/>
        </w:r>
      </w:hyperlink>
    </w:p>
    <w:p w14:paraId="259DD4EE" w14:textId="77777777" w:rsidR="007F29D0" w:rsidRPr="00DA708F" w:rsidRDefault="007F29D0" w:rsidP="004E701E">
      <w:pPr>
        <w:pStyle w:val="TOC2"/>
        <w:tabs>
          <w:tab w:val="right" w:leader="dot" w:pos="9350"/>
        </w:tabs>
        <w:rPr>
          <w:rFonts w:ascii="Arial" w:hAnsi="Arial" w:cs="Arial"/>
          <w:noProof/>
          <w:sz w:val="22"/>
          <w:lang w:val="en-GB"/>
        </w:rPr>
      </w:pPr>
      <w:hyperlink w:anchor="_Toc210660715" w:history="1">
        <w:r w:rsidRPr="00DA708F">
          <w:rPr>
            <w:rStyle w:val="Hyperlink"/>
            <w:rFonts w:ascii="Arial" w:hAnsi="Arial" w:cs="Arial"/>
            <w:noProof/>
            <w:sz w:val="22"/>
            <w:lang w:val="en-GB"/>
          </w:rPr>
          <w:t>UK diagnostic practice</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_Toc210660715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4</w:t>
        </w:r>
        <w:r w:rsidRPr="00DA708F">
          <w:rPr>
            <w:rFonts w:ascii="Arial" w:hAnsi="Arial" w:cs="Arial"/>
            <w:noProof/>
            <w:webHidden/>
            <w:sz w:val="22"/>
            <w:lang w:val="en-GB"/>
          </w:rPr>
          <w:fldChar w:fldCharType="end"/>
        </w:r>
      </w:hyperlink>
    </w:p>
    <w:p w14:paraId="32FE6DED" w14:textId="77777777" w:rsidR="007F29D0" w:rsidRPr="00DA708F" w:rsidRDefault="007F29D0" w:rsidP="004E701E">
      <w:pPr>
        <w:pStyle w:val="TOC2"/>
        <w:tabs>
          <w:tab w:val="right" w:leader="dot" w:pos="9350"/>
        </w:tabs>
        <w:rPr>
          <w:rFonts w:ascii="Arial" w:hAnsi="Arial" w:cs="Arial"/>
          <w:noProof/>
          <w:sz w:val="22"/>
          <w:lang w:val="en-GB"/>
        </w:rPr>
      </w:pPr>
      <w:hyperlink w:anchor="_Toc210660716" w:history="1">
        <w:r w:rsidRPr="00DA708F">
          <w:rPr>
            <w:rStyle w:val="Hyperlink"/>
            <w:rFonts w:ascii="Arial" w:hAnsi="Arial" w:cs="Arial"/>
            <w:noProof/>
            <w:sz w:val="22"/>
            <w:lang w:val="en-GB"/>
          </w:rPr>
          <w:t>Diagnostic challenges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_Toc210660716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4</w:t>
        </w:r>
        <w:r w:rsidRPr="00DA708F">
          <w:rPr>
            <w:rFonts w:ascii="Arial" w:hAnsi="Arial" w:cs="Arial"/>
            <w:noProof/>
            <w:webHidden/>
            <w:sz w:val="22"/>
            <w:lang w:val="en-GB"/>
          </w:rPr>
          <w:fldChar w:fldCharType="end"/>
        </w:r>
      </w:hyperlink>
    </w:p>
    <w:p w14:paraId="65CBF12A" w14:textId="77777777" w:rsidR="007F29D0" w:rsidRPr="00DA708F" w:rsidRDefault="007F29D0" w:rsidP="004E701E">
      <w:pPr>
        <w:pStyle w:val="TOC2"/>
        <w:tabs>
          <w:tab w:val="right" w:leader="dot" w:pos="9350"/>
        </w:tabs>
        <w:rPr>
          <w:rFonts w:ascii="Arial" w:hAnsi="Arial" w:cs="Arial"/>
          <w:noProof/>
          <w:sz w:val="22"/>
          <w:lang w:val="en-GB"/>
        </w:rPr>
      </w:pPr>
      <w:hyperlink w:anchor="_Toc210660717" w:history="1">
        <w:r w:rsidRPr="00DA708F">
          <w:rPr>
            <w:rStyle w:val="Hyperlink"/>
            <w:rFonts w:ascii="Arial" w:hAnsi="Arial" w:cs="Arial"/>
            <w:noProof/>
            <w:sz w:val="22"/>
            <w:lang w:val="en-GB"/>
          </w:rPr>
          <w:t>Aetiology and risk factors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_Toc210660717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4</w:t>
        </w:r>
        <w:r w:rsidRPr="00DA708F">
          <w:rPr>
            <w:rFonts w:ascii="Arial" w:hAnsi="Arial" w:cs="Arial"/>
            <w:noProof/>
            <w:webHidden/>
            <w:sz w:val="22"/>
            <w:lang w:val="en-GB"/>
          </w:rPr>
          <w:fldChar w:fldCharType="end"/>
        </w:r>
      </w:hyperlink>
    </w:p>
    <w:p w14:paraId="5BEFD0D1" w14:textId="77777777" w:rsidR="007F29D0" w:rsidRPr="00DA708F" w:rsidRDefault="007F29D0" w:rsidP="004E701E">
      <w:pPr>
        <w:pStyle w:val="TOC1"/>
        <w:tabs>
          <w:tab w:val="right" w:leader="dot" w:pos="9350"/>
        </w:tabs>
        <w:rPr>
          <w:rFonts w:ascii="Arial" w:hAnsi="Arial" w:cs="Arial"/>
          <w:noProof/>
          <w:sz w:val="22"/>
          <w:lang w:val="en-GB"/>
        </w:rPr>
      </w:pPr>
      <w:hyperlink w:anchor="_Toc210660718" w:history="1">
        <w:r w:rsidRPr="00DA708F">
          <w:rPr>
            <w:rStyle w:val="Hyperlink"/>
            <w:rFonts w:ascii="Arial" w:hAnsi="Arial" w:cs="Arial"/>
            <w:noProof/>
            <w:sz w:val="22"/>
            <w:lang w:val="en-GB"/>
          </w:rPr>
          <w:t>Treatment approaches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_Toc210660718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5</w:t>
        </w:r>
        <w:r w:rsidRPr="00DA708F">
          <w:rPr>
            <w:rFonts w:ascii="Arial" w:hAnsi="Arial" w:cs="Arial"/>
            <w:noProof/>
            <w:webHidden/>
            <w:sz w:val="22"/>
            <w:lang w:val="en-GB"/>
          </w:rPr>
          <w:fldChar w:fldCharType="end"/>
        </w:r>
      </w:hyperlink>
    </w:p>
    <w:p w14:paraId="1A2AC5BC" w14:textId="77777777" w:rsidR="007F29D0" w:rsidRPr="00DA708F" w:rsidRDefault="007F29D0" w:rsidP="004E701E">
      <w:pPr>
        <w:pStyle w:val="TOC2"/>
        <w:tabs>
          <w:tab w:val="right" w:leader="dot" w:pos="9350"/>
        </w:tabs>
        <w:rPr>
          <w:rFonts w:ascii="Arial" w:hAnsi="Arial" w:cs="Arial"/>
          <w:noProof/>
          <w:sz w:val="22"/>
          <w:lang w:val="en-GB"/>
        </w:rPr>
      </w:pPr>
      <w:hyperlink w:anchor="_Toc210660719" w:history="1">
        <w:r w:rsidRPr="00DA708F">
          <w:rPr>
            <w:rStyle w:val="Hyperlink"/>
            <w:rFonts w:ascii="Arial" w:hAnsi="Arial" w:cs="Arial"/>
            <w:noProof/>
            <w:sz w:val="22"/>
            <w:lang w:val="en-GB"/>
          </w:rPr>
          <w:t>Pharmacological interventions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_Toc210660719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5</w:t>
        </w:r>
        <w:r w:rsidRPr="00DA708F">
          <w:rPr>
            <w:rFonts w:ascii="Arial" w:hAnsi="Arial" w:cs="Arial"/>
            <w:noProof/>
            <w:webHidden/>
            <w:sz w:val="22"/>
            <w:lang w:val="en-GB"/>
          </w:rPr>
          <w:fldChar w:fldCharType="end"/>
        </w:r>
      </w:hyperlink>
    </w:p>
    <w:p w14:paraId="75F06EAC" w14:textId="77777777" w:rsidR="007F29D0" w:rsidRPr="00DA708F" w:rsidRDefault="007F29D0" w:rsidP="004E701E">
      <w:pPr>
        <w:pStyle w:val="TOC2"/>
        <w:tabs>
          <w:tab w:val="right" w:leader="dot" w:pos="9350"/>
        </w:tabs>
        <w:rPr>
          <w:rFonts w:ascii="Arial" w:hAnsi="Arial" w:cs="Arial"/>
          <w:noProof/>
          <w:sz w:val="22"/>
          <w:lang w:val="en-GB"/>
        </w:rPr>
      </w:pPr>
      <w:hyperlink w:anchor="_Toc210660720" w:history="1">
        <w:r w:rsidRPr="00DA708F">
          <w:rPr>
            <w:rStyle w:val="Hyperlink"/>
            <w:rFonts w:ascii="Arial" w:hAnsi="Arial" w:cs="Arial"/>
            <w:noProof/>
            <w:sz w:val="22"/>
            <w:lang w:val="en-GB"/>
          </w:rPr>
          <w:t>Psychological therapies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_Toc210660720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5</w:t>
        </w:r>
        <w:r w:rsidRPr="00DA708F">
          <w:rPr>
            <w:rFonts w:ascii="Arial" w:hAnsi="Arial" w:cs="Arial"/>
            <w:noProof/>
            <w:webHidden/>
            <w:sz w:val="22"/>
            <w:lang w:val="en-GB"/>
          </w:rPr>
          <w:fldChar w:fldCharType="end"/>
        </w:r>
      </w:hyperlink>
    </w:p>
    <w:p w14:paraId="23D2B13A" w14:textId="77777777" w:rsidR="007F29D0" w:rsidRPr="00DA708F" w:rsidRDefault="007F29D0" w:rsidP="004E701E">
      <w:pPr>
        <w:pStyle w:val="TOC2"/>
        <w:tabs>
          <w:tab w:val="right" w:leader="dot" w:pos="9350"/>
        </w:tabs>
        <w:rPr>
          <w:rFonts w:ascii="Arial" w:hAnsi="Arial" w:cs="Arial"/>
          <w:noProof/>
          <w:sz w:val="22"/>
          <w:lang w:val="en-GB"/>
        </w:rPr>
      </w:pPr>
      <w:hyperlink w:anchor="_Toc210660721" w:history="1">
        <w:r w:rsidRPr="00DA708F">
          <w:rPr>
            <w:rStyle w:val="Hyperlink"/>
            <w:rFonts w:ascii="Arial" w:hAnsi="Arial" w:cs="Arial"/>
            <w:noProof/>
            <w:sz w:val="22"/>
            <w:lang w:val="en-GB"/>
          </w:rPr>
          <w:t>Treatment evaluation and innovation</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_Toc210660721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6</w:t>
        </w:r>
        <w:r w:rsidRPr="00DA708F">
          <w:rPr>
            <w:rFonts w:ascii="Arial" w:hAnsi="Arial" w:cs="Arial"/>
            <w:noProof/>
            <w:webHidden/>
            <w:sz w:val="22"/>
            <w:lang w:val="en-GB"/>
          </w:rPr>
          <w:fldChar w:fldCharType="end"/>
        </w:r>
      </w:hyperlink>
    </w:p>
    <w:p w14:paraId="64E5B18B" w14:textId="77777777" w:rsidR="007F29D0" w:rsidRPr="00DA708F" w:rsidRDefault="007F29D0" w:rsidP="004E701E">
      <w:pPr>
        <w:pStyle w:val="TOC1"/>
        <w:tabs>
          <w:tab w:val="right" w:leader="dot" w:pos="9350"/>
        </w:tabs>
        <w:rPr>
          <w:rFonts w:ascii="Arial" w:hAnsi="Arial" w:cs="Arial"/>
          <w:noProof/>
          <w:sz w:val="22"/>
          <w:lang w:val="en-GB"/>
        </w:rPr>
      </w:pPr>
      <w:hyperlink w:anchor="_Toc210660722" w:history="1">
        <w:r w:rsidRPr="00DA708F">
          <w:rPr>
            <w:rStyle w:val="Hyperlink"/>
            <w:rFonts w:ascii="Arial" w:hAnsi="Arial" w:cs="Arial"/>
            <w:noProof/>
            <w:sz w:val="22"/>
            <w:lang w:val="en-GB"/>
          </w:rPr>
          <w:t>Rehabilitation and long-term management</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_Toc210660722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6</w:t>
        </w:r>
        <w:r w:rsidRPr="00DA708F">
          <w:rPr>
            <w:rFonts w:ascii="Arial" w:hAnsi="Arial" w:cs="Arial"/>
            <w:noProof/>
            <w:webHidden/>
            <w:sz w:val="22"/>
            <w:lang w:val="en-GB"/>
          </w:rPr>
          <w:fldChar w:fldCharType="end"/>
        </w:r>
      </w:hyperlink>
    </w:p>
    <w:p w14:paraId="5AD91988" w14:textId="77777777" w:rsidR="007F29D0" w:rsidRPr="00DA708F" w:rsidRDefault="007F29D0" w:rsidP="004E701E">
      <w:pPr>
        <w:pStyle w:val="TOC2"/>
        <w:tabs>
          <w:tab w:val="right" w:leader="dot" w:pos="9350"/>
        </w:tabs>
        <w:rPr>
          <w:rFonts w:ascii="Arial" w:hAnsi="Arial" w:cs="Arial"/>
          <w:noProof/>
          <w:sz w:val="22"/>
          <w:lang w:val="en-GB"/>
        </w:rPr>
      </w:pPr>
      <w:hyperlink w:anchor="_Toc210660723" w:history="1">
        <w:r w:rsidRPr="00DA708F">
          <w:rPr>
            <w:rStyle w:val="Hyperlink"/>
            <w:rFonts w:ascii="Arial" w:hAnsi="Arial" w:cs="Arial"/>
            <w:noProof/>
            <w:sz w:val="22"/>
            <w:lang w:val="en-GB"/>
          </w:rPr>
          <w:t>Rehabilitation services and social reintegration</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_Toc210660723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6</w:t>
        </w:r>
        <w:r w:rsidRPr="00DA708F">
          <w:rPr>
            <w:rFonts w:ascii="Arial" w:hAnsi="Arial" w:cs="Arial"/>
            <w:noProof/>
            <w:webHidden/>
            <w:sz w:val="22"/>
            <w:lang w:val="en-GB"/>
          </w:rPr>
          <w:fldChar w:fldCharType="end"/>
        </w:r>
      </w:hyperlink>
    </w:p>
    <w:p w14:paraId="55B54FCB" w14:textId="77777777" w:rsidR="007F29D0" w:rsidRPr="00DA708F" w:rsidRDefault="007F29D0" w:rsidP="004E701E">
      <w:pPr>
        <w:pStyle w:val="TOC2"/>
        <w:tabs>
          <w:tab w:val="right" w:leader="dot" w:pos="9350"/>
        </w:tabs>
        <w:rPr>
          <w:rFonts w:ascii="Arial" w:hAnsi="Arial" w:cs="Arial"/>
          <w:noProof/>
          <w:sz w:val="22"/>
          <w:lang w:val="en-GB"/>
        </w:rPr>
      </w:pPr>
      <w:hyperlink w:anchor="_Toc210660724" w:history="1">
        <w:r w:rsidRPr="00DA708F">
          <w:rPr>
            <w:rStyle w:val="Hyperlink"/>
            <w:rFonts w:ascii="Arial" w:hAnsi="Arial" w:cs="Arial"/>
            <w:noProof/>
            <w:sz w:val="22"/>
            <w:lang w:val="en-GB"/>
          </w:rPr>
          <w:t>Legal framework and rights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_Toc210660724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7</w:t>
        </w:r>
        <w:r w:rsidRPr="00DA708F">
          <w:rPr>
            <w:rFonts w:ascii="Arial" w:hAnsi="Arial" w:cs="Arial"/>
            <w:noProof/>
            <w:webHidden/>
            <w:sz w:val="22"/>
            <w:lang w:val="en-GB"/>
          </w:rPr>
          <w:fldChar w:fldCharType="end"/>
        </w:r>
      </w:hyperlink>
    </w:p>
    <w:p w14:paraId="27C31356" w14:textId="77777777" w:rsidR="007F29D0" w:rsidRPr="00DA708F" w:rsidRDefault="007F29D0" w:rsidP="004E701E">
      <w:pPr>
        <w:pStyle w:val="TOC2"/>
        <w:tabs>
          <w:tab w:val="right" w:leader="dot" w:pos="9350"/>
        </w:tabs>
        <w:rPr>
          <w:rFonts w:ascii="Arial" w:hAnsi="Arial" w:cs="Arial"/>
          <w:noProof/>
          <w:sz w:val="22"/>
          <w:lang w:val="en-GB"/>
        </w:rPr>
      </w:pPr>
      <w:hyperlink w:anchor="_Toc210660725" w:history="1">
        <w:r w:rsidRPr="00DA708F">
          <w:rPr>
            <w:rStyle w:val="Hyperlink"/>
            <w:rFonts w:ascii="Arial" w:hAnsi="Arial" w:cs="Arial"/>
            <w:noProof/>
            <w:sz w:val="22"/>
            <w:lang w:val="en-GB"/>
          </w:rPr>
          <w:t>Social support</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_Toc210660725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7</w:t>
        </w:r>
        <w:r w:rsidRPr="00DA708F">
          <w:rPr>
            <w:rFonts w:ascii="Arial" w:hAnsi="Arial" w:cs="Arial"/>
            <w:noProof/>
            <w:webHidden/>
            <w:sz w:val="22"/>
            <w:lang w:val="en-GB"/>
          </w:rPr>
          <w:fldChar w:fldCharType="end"/>
        </w:r>
      </w:hyperlink>
    </w:p>
    <w:p w14:paraId="01C99600" w14:textId="77777777" w:rsidR="007F29D0" w:rsidRPr="00DA708F" w:rsidRDefault="007F29D0" w:rsidP="004E701E">
      <w:pPr>
        <w:pStyle w:val="TOC1"/>
        <w:tabs>
          <w:tab w:val="right" w:leader="dot" w:pos="9350"/>
        </w:tabs>
        <w:rPr>
          <w:rFonts w:ascii="Arial" w:hAnsi="Arial" w:cs="Arial"/>
          <w:noProof/>
          <w:sz w:val="22"/>
          <w:lang w:val="en-GB"/>
        </w:rPr>
      </w:pPr>
      <w:hyperlink w:anchor="_Toc210660726" w:history="1">
        <w:r w:rsidRPr="00DA708F">
          <w:rPr>
            <w:rStyle w:val="Hyperlink"/>
            <w:rFonts w:ascii="Arial" w:hAnsi="Arial" w:cs="Arial"/>
            <w:noProof/>
            <w:sz w:val="22"/>
            <w:lang w:val="en-GB"/>
          </w:rPr>
          <w:t>Current debates and emerging issues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_Toc210660726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7</w:t>
        </w:r>
        <w:r w:rsidRPr="00DA708F">
          <w:rPr>
            <w:rFonts w:ascii="Arial" w:hAnsi="Arial" w:cs="Arial"/>
            <w:noProof/>
            <w:webHidden/>
            <w:sz w:val="22"/>
            <w:lang w:val="en-GB"/>
          </w:rPr>
          <w:fldChar w:fldCharType="end"/>
        </w:r>
      </w:hyperlink>
    </w:p>
    <w:p w14:paraId="2D8C239E" w14:textId="77777777" w:rsidR="007F29D0" w:rsidRPr="00DA708F" w:rsidRDefault="007F29D0" w:rsidP="004E701E">
      <w:pPr>
        <w:pStyle w:val="TOC2"/>
        <w:tabs>
          <w:tab w:val="right" w:leader="dot" w:pos="9350"/>
        </w:tabs>
        <w:rPr>
          <w:rFonts w:ascii="Arial" w:hAnsi="Arial" w:cs="Arial"/>
          <w:noProof/>
          <w:sz w:val="22"/>
          <w:lang w:val="en-GB"/>
        </w:rPr>
      </w:pPr>
      <w:hyperlink w:anchor="_Toc210660727" w:history="1">
        <w:r w:rsidRPr="00DA708F">
          <w:rPr>
            <w:rStyle w:val="Hyperlink"/>
            <w:rFonts w:ascii="Arial" w:hAnsi="Arial" w:cs="Arial"/>
            <w:noProof/>
            <w:sz w:val="22"/>
            <w:lang w:val="en-GB"/>
          </w:rPr>
          <w:t>Classification debates and implementation</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_Toc210660727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7</w:t>
        </w:r>
        <w:r w:rsidRPr="00DA708F">
          <w:rPr>
            <w:rFonts w:ascii="Arial" w:hAnsi="Arial" w:cs="Arial"/>
            <w:noProof/>
            <w:webHidden/>
            <w:sz w:val="22"/>
            <w:lang w:val="en-GB"/>
          </w:rPr>
          <w:fldChar w:fldCharType="end"/>
        </w:r>
      </w:hyperlink>
    </w:p>
    <w:p w14:paraId="743F1EEB" w14:textId="77777777" w:rsidR="007F29D0" w:rsidRPr="00DA708F" w:rsidRDefault="007F29D0" w:rsidP="004E701E">
      <w:pPr>
        <w:pStyle w:val="TOC2"/>
        <w:tabs>
          <w:tab w:val="right" w:leader="dot" w:pos="9350"/>
        </w:tabs>
        <w:rPr>
          <w:rFonts w:ascii="Arial" w:hAnsi="Arial" w:cs="Arial"/>
          <w:noProof/>
          <w:sz w:val="22"/>
          <w:lang w:val="en-GB"/>
        </w:rPr>
      </w:pPr>
      <w:hyperlink w:anchor="_Toc210660728" w:history="1">
        <w:r w:rsidRPr="00DA708F">
          <w:rPr>
            <w:rStyle w:val="Hyperlink"/>
            <w:rFonts w:ascii="Arial" w:hAnsi="Arial" w:cs="Arial"/>
            <w:noProof/>
            <w:sz w:val="22"/>
            <w:lang w:val="en-GB"/>
          </w:rPr>
          <w:t>Policy, inequalities and emerging therapies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_Toc210660728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8</w:t>
        </w:r>
        <w:r w:rsidRPr="00DA708F">
          <w:rPr>
            <w:rFonts w:ascii="Arial" w:hAnsi="Arial" w:cs="Arial"/>
            <w:noProof/>
            <w:webHidden/>
            <w:sz w:val="22"/>
            <w:lang w:val="en-GB"/>
          </w:rPr>
          <w:fldChar w:fldCharType="end"/>
        </w:r>
      </w:hyperlink>
    </w:p>
    <w:p w14:paraId="349208E5" w14:textId="77777777" w:rsidR="007F29D0" w:rsidRPr="00DA708F" w:rsidRDefault="007F29D0" w:rsidP="004E701E">
      <w:pPr>
        <w:pStyle w:val="TOC1"/>
        <w:tabs>
          <w:tab w:val="right" w:leader="dot" w:pos="9350"/>
        </w:tabs>
        <w:rPr>
          <w:rFonts w:ascii="Arial" w:hAnsi="Arial" w:cs="Arial"/>
          <w:noProof/>
          <w:sz w:val="22"/>
          <w:lang w:val="en-GB"/>
        </w:rPr>
      </w:pPr>
      <w:hyperlink w:anchor="_Toc210660729" w:history="1">
        <w:r w:rsidRPr="00DA708F">
          <w:rPr>
            <w:rStyle w:val="Hyperlink"/>
            <w:rFonts w:ascii="Arial" w:hAnsi="Arial" w:cs="Arial"/>
            <w:noProof/>
            <w:sz w:val="22"/>
            <w:lang w:val="en-GB"/>
          </w:rPr>
          <w:t>Recommendations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_Toc210660729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8</w:t>
        </w:r>
        <w:r w:rsidRPr="00DA708F">
          <w:rPr>
            <w:rFonts w:ascii="Arial" w:hAnsi="Arial" w:cs="Arial"/>
            <w:noProof/>
            <w:webHidden/>
            <w:sz w:val="22"/>
            <w:lang w:val="en-GB"/>
          </w:rPr>
          <w:fldChar w:fldCharType="end"/>
        </w:r>
      </w:hyperlink>
    </w:p>
    <w:p w14:paraId="616C05D7" w14:textId="77777777" w:rsidR="007F29D0" w:rsidRPr="00DA708F" w:rsidRDefault="007F29D0" w:rsidP="004E701E">
      <w:pPr>
        <w:pStyle w:val="TOC1"/>
        <w:tabs>
          <w:tab w:val="right" w:leader="dot" w:pos="9350"/>
        </w:tabs>
        <w:rPr>
          <w:rFonts w:ascii="Arial" w:hAnsi="Arial" w:cs="Arial"/>
          <w:noProof/>
          <w:sz w:val="22"/>
          <w:lang w:val="en-GB"/>
        </w:rPr>
      </w:pPr>
      <w:hyperlink w:anchor="_Toc210660730" w:history="1">
        <w:r w:rsidRPr="00DA708F">
          <w:rPr>
            <w:rStyle w:val="Hyperlink"/>
            <w:rFonts w:ascii="Arial" w:hAnsi="Arial" w:cs="Arial"/>
            <w:noProof/>
            <w:sz w:val="22"/>
            <w:lang w:val="en-GB"/>
          </w:rPr>
          <w:t>Conclusion</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_Toc210660730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9</w:t>
        </w:r>
        <w:r w:rsidRPr="00DA708F">
          <w:rPr>
            <w:rFonts w:ascii="Arial" w:hAnsi="Arial" w:cs="Arial"/>
            <w:noProof/>
            <w:webHidden/>
            <w:sz w:val="22"/>
            <w:lang w:val="en-GB"/>
          </w:rPr>
          <w:fldChar w:fldCharType="end"/>
        </w:r>
      </w:hyperlink>
    </w:p>
    <w:p w14:paraId="08290258" w14:textId="77777777" w:rsidR="007F29D0" w:rsidRPr="00DA708F" w:rsidRDefault="007F29D0" w:rsidP="004E701E">
      <w:pPr>
        <w:pStyle w:val="TOC1"/>
        <w:tabs>
          <w:tab w:val="right" w:leader="dot" w:pos="9350"/>
        </w:tabs>
        <w:rPr>
          <w:rFonts w:ascii="Arial" w:hAnsi="Arial" w:cs="Arial"/>
          <w:noProof/>
          <w:sz w:val="22"/>
          <w:lang w:val="en-GB"/>
        </w:rPr>
      </w:pPr>
      <w:hyperlink w:anchor="_Toc210660731" w:history="1">
        <w:r w:rsidRPr="00DA708F">
          <w:rPr>
            <w:rStyle w:val="Hyperlink"/>
            <w:rFonts w:ascii="Arial" w:hAnsi="Arial" w:cs="Arial"/>
            <w:noProof/>
            <w:sz w:val="22"/>
            <w:lang w:val="en-GB"/>
          </w:rPr>
          <w:t>References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_Toc210660731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10</w:t>
        </w:r>
        <w:r w:rsidRPr="00DA708F">
          <w:rPr>
            <w:rFonts w:ascii="Arial" w:hAnsi="Arial" w:cs="Arial"/>
            <w:noProof/>
            <w:webHidden/>
            <w:sz w:val="22"/>
            <w:lang w:val="en-GB"/>
          </w:rPr>
          <w:fldChar w:fldCharType="end"/>
        </w:r>
      </w:hyperlink>
    </w:p>
    <w:p w14:paraId="284B9966" w14:textId="77777777" w:rsidR="007F29D0" w:rsidRPr="00DA708F" w:rsidRDefault="007F29D0" w:rsidP="004E701E">
      <w:pPr>
        <w:jc w:val="center"/>
        <w:rPr>
          <w:rFonts w:ascii="Arial" w:hAnsi="Arial" w:cs="Arial"/>
          <w:b/>
          <w:bCs/>
          <w:sz w:val="22"/>
          <w:lang w:val="en-GB"/>
        </w:rPr>
      </w:pPr>
      <w:r w:rsidRPr="00DA708F">
        <w:rPr>
          <w:rFonts w:ascii="Arial" w:hAnsi="Arial" w:cs="Arial"/>
          <w:b/>
          <w:bCs/>
          <w:sz w:val="22"/>
          <w:lang w:val="en-GB"/>
        </w:rPr>
        <w:fldChar w:fldCharType="end"/>
      </w:r>
    </w:p>
    <w:p w14:paraId="7748B711" w14:textId="77777777" w:rsidR="00E2348B" w:rsidRPr="00DA708F" w:rsidRDefault="00E2348B" w:rsidP="004E701E">
      <w:pPr>
        <w:spacing w:after="160"/>
        <w:jc w:val="left"/>
        <w:rPr>
          <w:rFonts w:ascii="Arial" w:eastAsiaTheme="majorEastAsia" w:hAnsi="Arial" w:cs="Arial"/>
          <w:b/>
          <w:color w:val="000000" w:themeColor="text1"/>
          <w:sz w:val="22"/>
          <w:lang w:val="en-GB"/>
        </w:rPr>
      </w:pPr>
      <w:r w:rsidRPr="00DA708F">
        <w:rPr>
          <w:rFonts w:ascii="Arial" w:hAnsi="Arial" w:cs="Arial"/>
          <w:sz w:val="22"/>
          <w:lang w:val="en-GB"/>
        </w:rPr>
        <w:br w:type="page"/>
      </w:r>
    </w:p>
    <w:p w14:paraId="3BA3FF49" w14:textId="0606D354" w:rsidR="00E2348B" w:rsidRPr="00DA708F" w:rsidRDefault="00255DE1" w:rsidP="00165A4E">
      <w:pPr>
        <w:pStyle w:val="Heading1"/>
        <w:jc w:val="both"/>
        <w:rPr>
          <w:rFonts w:ascii="Arial" w:hAnsi="Arial" w:cs="Arial"/>
          <w:sz w:val="22"/>
          <w:szCs w:val="22"/>
          <w:lang w:val="en-GB"/>
        </w:rPr>
      </w:pPr>
      <w:bookmarkStart w:id="0" w:name="_Toc210660712"/>
      <w:r w:rsidRPr="00DA708F">
        <w:rPr>
          <w:rFonts w:ascii="Arial" w:hAnsi="Arial" w:cs="Arial"/>
          <w:sz w:val="22"/>
          <w:szCs w:val="22"/>
          <w:lang w:val="en-GB"/>
        </w:rPr>
        <w:lastRenderedPageBreak/>
        <w:t>INTRODUCTION</w:t>
      </w:r>
      <w:bookmarkEnd w:id="0"/>
    </w:p>
    <w:p w14:paraId="1D8573F4" w14:textId="4A2CBD71" w:rsidR="00E2348B" w:rsidRPr="00DA708F" w:rsidRDefault="00E2348B" w:rsidP="004E701E">
      <w:pPr>
        <w:rPr>
          <w:rFonts w:ascii="Arial" w:hAnsi="Arial" w:cs="Arial"/>
          <w:sz w:val="22"/>
          <w:lang w:val="en-GB"/>
        </w:rPr>
      </w:pPr>
      <w:r w:rsidRPr="00DA708F">
        <w:rPr>
          <w:rFonts w:ascii="Arial" w:hAnsi="Arial" w:cs="Arial"/>
          <w:sz w:val="22"/>
          <w:lang w:val="en-GB"/>
        </w:rPr>
        <w:t>Schizophrenia is a chronic mental illness marked by profound disturbances in perception, thinking and behaviour. The World Health </w:t>
      </w:r>
      <w:r w:rsidR="004D1371" w:rsidRPr="00DA708F">
        <w:rPr>
          <w:rFonts w:ascii="Arial" w:hAnsi="Arial" w:cs="Arial"/>
          <w:sz w:val="22"/>
          <w:lang w:val="en-GB"/>
        </w:rPr>
        <w:t>Organisation</w:t>
      </w:r>
      <w:r w:rsidRPr="00DA708F">
        <w:rPr>
          <w:rFonts w:ascii="Arial" w:hAnsi="Arial" w:cs="Arial"/>
          <w:sz w:val="22"/>
          <w:lang w:val="en-GB"/>
        </w:rPr>
        <w:t xml:space="preserve"> estimates that around </w:t>
      </w:r>
      <w:r w:rsidRPr="00DA708F">
        <w:rPr>
          <w:rFonts w:ascii="Arial" w:hAnsi="Arial" w:cs="Arial"/>
          <w:bCs/>
          <w:sz w:val="22"/>
          <w:lang w:val="en-GB"/>
        </w:rPr>
        <w:t>24 million people</w:t>
      </w:r>
      <w:r w:rsidRPr="00DA708F">
        <w:rPr>
          <w:rFonts w:ascii="Arial" w:hAnsi="Arial" w:cs="Arial"/>
          <w:sz w:val="22"/>
          <w:lang w:val="en-GB"/>
        </w:rPr>
        <w:t xml:space="preserve">, or </w:t>
      </w:r>
      <w:r w:rsidRPr="00DA708F">
        <w:rPr>
          <w:rFonts w:ascii="Arial" w:hAnsi="Arial" w:cs="Arial"/>
          <w:bCs/>
          <w:sz w:val="22"/>
          <w:lang w:val="en-GB"/>
        </w:rPr>
        <w:t>1 in 300 worldwide (</w:t>
      </w:r>
      <w:r w:rsidR="000A3536" w:rsidRPr="00DA708F">
        <w:rPr>
          <w:rFonts w:ascii="Arial" w:hAnsi="Arial" w:cs="Arial"/>
          <w:bCs/>
          <w:sz w:val="22"/>
          <w:lang w:val="en-GB"/>
        </w:rPr>
        <w:t>0.32%</w:t>
      </w:r>
      <w:r w:rsidRPr="00DA708F">
        <w:rPr>
          <w:rFonts w:ascii="Arial" w:hAnsi="Arial" w:cs="Arial"/>
          <w:bCs/>
          <w:sz w:val="22"/>
          <w:lang w:val="en-GB"/>
        </w:rPr>
        <w:t>)</w:t>
      </w:r>
      <w:r w:rsidRPr="00DA708F">
        <w:rPr>
          <w:rFonts w:ascii="Arial" w:hAnsi="Arial" w:cs="Arial"/>
          <w:sz w:val="22"/>
          <w:lang w:val="en-GB"/>
        </w:rPr>
        <w:t>, live with schizophrenia</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(World, 2022)</w:t>
      </w:r>
      <w:r w:rsidRPr="00DA708F">
        <w:rPr>
          <w:rFonts w:ascii="Arial" w:hAnsi="Arial" w:cs="Arial"/>
          <w:sz w:val="22"/>
          <w:lang w:val="en-GB"/>
        </w:rPr>
        <w:t xml:space="preserve">. Onset is usually in late adolescence or early adulthood and is associated with premature mortality; people with schizophrenia are </w:t>
      </w:r>
      <w:r w:rsidRPr="00DA708F">
        <w:rPr>
          <w:rFonts w:ascii="Arial" w:hAnsi="Arial" w:cs="Arial"/>
          <w:bCs/>
          <w:sz w:val="22"/>
          <w:lang w:val="en-GB"/>
        </w:rPr>
        <w:t>2–3 times more likely to die early</w:t>
      </w:r>
      <w:r w:rsidRPr="00DA708F">
        <w:rPr>
          <w:rFonts w:ascii="Arial" w:hAnsi="Arial" w:cs="Arial"/>
          <w:sz w:val="22"/>
          <w:lang w:val="en-GB"/>
        </w:rPr>
        <w:t xml:space="preserve"> than the general population due to comorbid physical illnesses</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(World, 2022)</w:t>
      </w:r>
      <w:r w:rsidRPr="00DA708F">
        <w:rPr>
          <w:rFonts w:ascii="Arial" w:hAnsi="Arial" w:cs="Arial"/>
          <w:sz w:val="22"/>
          <w:lang w:val="en-GB"/>
        </w:rPr>
        <w:t xml:space="preserve">. In England, the </w:t>
      </w:r>
      <w:r w:rsidRPr="00DA708F">
        <w:rPr>
          <w:rFonts w:ascii="Arial" w:hAnsi="Arial" w:cs="Arial"/>
          <w:bCs/>
          <w:sz w:val="22"/>
          <w:lang w:val="en-GB"/>
        </w:rPr>
        <w:t>Adult Psychiatric Morbidity Survey 2014</w:t>
      </w:r>
      <w:r w:rsidRPr="00DA708F">
        <w:rPr>
          <w:rFonts w:ascii="Arial" w:hAnsi="Arial" w:cs="Arial"/>
          <w:sz w:val="22"/>
          <w:lang w:val="en-GB"/>
        </w:rPr>
        <w:t xml:space="preserve"> found that </w:t>
      </w:r>
      <w:r w:rsidRPr="00DA708F">
        <w:rPr>
          <w:rFonts w:ascii="Arial" w:hAnsi="Arial" w:cs="Arial"/>
          <w:bCs/>
          <w:sz w:val="22"/>
          <w:lang w:val="en-GB"/>
        </w:rPr>
        <w:t>0.7 % of adults</w:t>
      </w:r>
      <w:r w:rsidRPr="00DA708F">
        <w:rPr>
          <w:rFonts w:ascii="Arial" w:hAnsi="Arial" w:cs="Arial"/>
          <w:sz w:val="22"/>
          <w:lang w:val="en-GB"/>
        </w:rPr>
        <w:t xml:space="preserve"> screened positive for a psychotic disorder, with higher prevalence among Black individuals (1.4 %) compared with Asian (0.9 %) and White (0.5 %) populations</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(Baker and Kirk-Wade, 2024)</w:t>
      </w:r>
      <w:r w:rsidRPr="00DA708F">
        <w:rPr>
          <w:rFonts w:ascii="Arial" w:hAnsi="Arial" w:cs="Arial"/>
          <w:sz w:val="22"/>
          <w:lang w:val="en-GB"/>
        </w:rPr>
        <w:t xml:space="preserve">. </w:t>
      </w:r>
      <w:r w:rsidR="004D1371" w:rsidRPr="00DA708F">
        <w:rPr>
          <w:rFonts w:ascii="Arial" w:hAnsi="Arial" w:cs="Arial"/>
          <w:sz w:val="22"/>
          <w:lang w:val="en-GB"/>
        </w:rPr>
        <w:t>The lifetime</w:t>
      </w:r>
      <w:r w:rsidRPr="00DA708F">
        <w:rPr>
          <w:rFonts w:ascii="Arial" w:hAnsi="Arial" w:cs="Arial"/>
          <w:sz w:val="22"/>
          <w:lang w:val="en-GB"/>
        </w:rPr>
        <w:t xml:space="preserve"> risk is about </w:t>
      </w:r>
      <w:r w:rsidRPr="00DA708F">
        <w:rPr>
          <w:rFonts w:ascii="Arial" w:hAnsi="Arial" w:cs="Arial"/>
          <w:bCs/>
          <w:sz w:val="22"/>
          <w:lang w:val="en-GB"/>
        </w:rPr>
        <w:t>1 %</w:t>
      </w:r>
      <w:r w:rsidRPr="00DA708F">
        <w:rPr>
          <w:rFonts w:ascii="Arial" w:hAnsi="Arial" w:cs="Arial"/>
          <w:sz w:val="22"/>
          <w:lang w:val="en-GB"/>
        </w:rPr>
        <w:t xml:space="preserve"> and </w:t>
      </w:r>
      <w:r w:rsidR="000A3536" w:rsidRPr="00DA708F">
        <w:rPr>
          <w:rFonts w:ascii="Arial" w:hAnsi="Arial" w:cs="Arial"/>
          <w:sz w:val="22"/>
          <w:lang w:val="en-GB"/>
        </w:rPr>
        <w:t>220,000</w:t>
      </w:r>
      <w:r w:rsidRPr="00DA708F">
        <w:rPr>
          <w:rFonts w:ascii="Arial" w:hAnsi="Arial" w:cs="Arial"/>
          <w:bCs/>
          <w:sz w:val="22"/>
          <w:lang w:val="en-GB"/>
        </w:rPr>
        <w:t xml:space="preserve"> people</w:t>
      </w:r>
      <w:r w:rsidRPr="00DA708F">
        <w:rPr>
          <w:rFonts w:ascii="Arial" w:hAnsi="Arial" w:cs="Arial"/>
          <w:sz w:val="22"/>
          <w:lang w:val="en-GB"/>
        </w:rPr>
        <w:t xml:space="preserve"> receive schizophrenia treatment at any one time</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(Living with Schizophrenia, 2017)</w:t>
      </w:r>
      <w:r w:rsidRPr="00DA708F">
        <w:rPr>
          <w:rFonts w:ascii="Arial" w:hAnsi="Arial" w:cs="Arial"/>
          <w:sz w:val="22"/>
          <w:lang w:val="en-GB"/>
        </w:rPr>
        <w:t>. This report reviews schizophrenia through the lens of UK mental health policy. It summarises classification systems (</w:t>
      </w:r>
      <w:r w:rsidR="004D1371" w:rsidRPr="00DA708F">
        <w:rPr>
          <w:rFonts w:ascii="Arial" w:hAnsi="Arial" w:cs="Arial"/>
          <w:sz w:val="22"/>
          <w:lang w:val="en-GB"/>
        </w:rPr>
        <w:t>ICD-11</w:t>
      </w:r>
      <w:r w:rsidRPr="00DA708F">
        <w:rPr>
          <w:rFonts w:ascii="Arial" w:hAnsi="Arial" w:cs="Arial"/>
          <w:sz w:val="22"/>
          <w:lang w:val="en-GB"/>
        </w:rPr>
        <w:t xml:space="preserve"> versus </w:t>
      </w:r>
      <w:r w:rsidR="004D1371" w:rsidRPr="00DA708F">
        <w:rPr>
          <w:rFonts w:ascii="Arial" w:hAnsi="Arial" w:cs="Arial"/>
          <w:sz w:val="22"/>
          <w:lang w:val="en-GB"/>
        </w:rPr>
        <w:t>DSM-5</w:t>
      </w:r>
      <w:r w:rsidRPr="00DA708F">
        <w:rPr>
          <w:rFonts w:ascii="Arial" w:hAnsi="Arial" w:cs="Arial"/>
          <w:sz w:val="22"/>
          <w:lang w:val="en-GB"/>
        </w:rPr>
        <w:t xml:space="preserve">), examines diagnostic and treatment practices guided by NICE, discusses rehabilitation and legal frameworks, explores debates around neurodivergence and emerging therapies, and proposes recommendations for improving care. The objective is to integrate clinical, </w:t>
      </w:r>
      <w:r w:rsidR="000A3536" w:rsidRPr="00DA708F">
        <w:rPr>
          <w:rFonts w:ascii="Arial" w:hAnsi="Arial" w:cs="Arial"/>
          <w:sz w:val="22"/>
          <w:lang w:val="en-GB"/>
        </w:rPr>
        <w:t>social,</w:t>
      </w:r>
      <w:r w:rsidRPr="00DA708F">
        <w:rPr>
          <w:rFonts w:ascii="Arial" w:hAnsi="Arial" w:cs="Arial"/>
          <w:sz w:val="22"/>
          <w:lang w:val="en-GB"/>
        </w:rPr>
        <w:t xml:space="preserve"> and legal perspectives.</w:t>
      </w:r>
    </w:p>
    <w:p w14:paraId="23BE28B7" w14:textId="73B545F5" w:rsidR="00E2348B" w:rsidRPr="00DA708F" w:rsidRDefault="002D6CBB" w:rsidP="002D6CBB">
      <w:pPr>
        <w:pStyle w:val="Heading1"/>
        <w:jc w:val="both"/>
        <w:rPr>
          <w:rFonts w:ascii="Arial" w:hAnsi="Arial" w:cs="Arial"/>
          <w:sz w:val="22"/>
          <w:szCs w:val="22"/>
          <w:lang w:val="en-GB"/>
        </w:rPr>
      </w:pPr>
      <w:bookmarkStart w:id="1" w:name="_Toc210660713"/>
      <w:r w:rsidRPr="00DA708F">
        <w:rPr>
          <w:rFonts w:ascii="Arial" w:hAnsi="Arial" w:cs="Arial"/>
          <w:sz w:val="22"/>
          <w:szCs w:val="22"/>
          <w:lang w:val="en-GB"/>
        </w:rPr>
        <w:t>CLASSIFICATION AND DIAGNOSI</w:t>
      </w:r>
      <w:bookmarkEnd w:id="1"/>
    </w:p>
    <w:p w14:paraId="512CBC7C" w14:textId="77777777" w:rsidR="00E2348B" w:rsidRPr="00DA708F" w:rsidRDefault="004D1371" w:rsidP="004E701E">
      <w:pPr>
        <w:pStyle w:val="Heading2"/>
        <w:rPr>
          <w:rFonts w:ascii="Arial" w:hAnsi="Arial" w:cs="Arial"/>
          <w:sz w:val="22"/>
          <w:szCs w:val="22"/>
          <w:lang w:val="en-GB"/>
        </w:rPr>
      </w:pPr>
      <w:bookmarkStart w:id="2" w:name="_Toc210660714"/>
      <w:r w:rsidRPr="00DA708F">
        <w:rPr>
          <w:rFonts w:ascii="Arial" w:hAnsi="Arial" w:cs="Arial"/>
          <w:sz w:val="22"/>
          <w:szCs w:val="22"/>
          <w:lang w:val="en-GB"/>
        </w:rPr>
        <w:t>ICD-11</w:t>
      </w:r>
      <w:r w:rsidR="00E2348B" w:rsidRPr="00DA708F">
        <w:rPr>
          <w:rFonts w:ascii="Arial" w:hAnsi="Arial" w:cs="Arial"/>
          <w:sz w:val="22"/>
          <w:szCs w:val="22"/>
          <w:lang w:val="en-GB"/>
        </w:rPr>
        <w:t xml:space="preserve"> and </w:t>
      </w:r>
      <w:r w:rsidRPr="00DA708F">
        <w:rPr>
          <w:rFonts w:ascii="Arial" w:hAnsi="Arial" w:cs="Arial"/>
          <w:sz w:val="22"/>
          <w:szCs w:val="22"/>
          <w:lang w:val="en-GB"/>
        </w:rPr>
        <w:t>DSM-5</w:t>
      </w:r>
      <w:bookmarkEnd w:id="2"/>
    </w:p>
    <w:p w14:paraId="3C47D03E" w14:textId="1AEDE21D" w:rsidR="00E2348B" w:rsidRPr="00DA708F" w:rsidRDefault="004D1371" w:rsidP="004E701E">
      <w:pPr>
        <w:rPr>
          <w:rFonts w:ascii="Arial" w:hAnsi="Arial" w:cs="Arial"/>
          <w:sz w:val="22"/>
          <w:lang w:val="en-GB"/>
        </w:rPr>
      </w:pPr>
      <w:r w:rsidRPr="00DA708F">
        <w:rPr>
          <w:rFonts w:ascii="Arial" w:hAnsi="Arial" w:cs="Arial"/>
          <w:sz w:val="22"/>
          <w:lang w:val="en-GB"/>
        </w:rPr>
        <w:t>ICD-11</w:t>
      </w:r>
      <w:r w:rsidR="00E2348B" w:rsidRPr="00DA708F">
        <w:rPr>
          <w:rFonts w:ascii="Arial" w:hAnsi="Arial" w:cs="Arial"/>
          <w:sz w:val="22"/>
          <w:lang w:val="en-GB"/>
        </w:rPr>
        <w:t xml:space="preserve"> classifies schizophrenia under </w:t>
      </w:r>
      <w:r w:rsidR="00E2348B" w:rsidRPr="00DA708F">
        <w:rPr>
          <w:rFonts w:ascii="Arial" w:hAnsi="Arial" w:cs="Arial"/>
          <w:bCs/>
          <w:sz w:val="22"/>
          <w:lang w:val="en-GB"/>
        </w:rPr>
        <w:t>code 6A20</w:t>
      </w:r>
      <w:r w:rsidR="00E2348B" w:rsidRPr="00DA708F">
        <w:rPr>
          <w:rFonts w:ascii="Arial" w:hAnsi="Arial" w:cs="Arial"/>
          <w:sz w:val="22"/>
          <w:lang w:val="en-GB"/>
        </w:rPr>
        <w:t xml:space="preserve"> and requires prominent </w:t>
      </w:r>
      <w:r w:rsidR="00E2348B" w:rsidRPr="00DA708F">
        <w:rPr>
          <w:rFonts w:ascii="Arial" w:hAnsi="Arial" w:cs="Arial"/>
          <w:bCs/>
          <w:sz w:val="22"/>
          <w:lang w:val="en-GB"/>
        </w:rPr>
        <w:t>delusions, hallucinations, thought disorder or experiences of control</w:t>
      </w:r>
      <w:r w:rsidR="00E2348B" w:rsidRPr="00DA708F">
        <w:rPr>
          <w:rFonts w:ascii="Arial" w:hAnsi="Arial" w:cs="Arial"/>
          <w:sz w:val="22"/>
          <w:lang w:val="en-GB"/>
        </w:rPr>
        <w:t xml:space="preserve"> with functional impairment</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(Ahmad, 2022)</w:t>
      </w:r>
      <w:r w:rsidR="00E2348B" w:rsidRPr="00DA708F">
        <w:rPr>
          <w:rFonts w:ascii="Arial" w:hAnsi="Arial" w:cs="Arial"/>
          <w:sz w:val="22"/>
          <w:lang w:val="en-GB"/>
        </w:rPr>
        <w:t xml:space="preserve">. Symptoms must persist for </w:t>
      </w:r>
      <w:r w:rsidR="00E2348B" w:rsidRPr="00DA708F">
        <w:rPr>
          <w:rFonts w:ascii="Arial" w:hAnsi="Arial" w:cs="Arial"/>
          <w:bCs/>
          <w:sz w:val="22"/>
          <w:lang w:val="en-GB"/>
        </w:rPr>
        <w:t>≥ </w:t>
      </w:r>
      <w:r w:rsidR="000A3536" w:rsidRPr="00DA708F">
        <w:rPr>
          <w:rFonts w:ascii="Arial" w:hAnsi="Arial" w:cs="Arial"/>
          <w:bCs/>
          <w:sz w:val="22"/>
          <w:lang w:val="en-GB"/>
        </w:rPr>
        <w:t>1-month</w:t>
      </w:r>
      <w:r w:rsidR="00E2348B" w:rsidRPr="00DA708F">
        <w:rPr>
          <w:rFonts w:ascii="Arial" w:hAnsi="Arial" w:cs="Arial"/>
          <w:sz w:val="22"/>
          <w:lang w:val="en-GB"/>
        </w:rPr>
        <w:t>, other causes must be excluded</w:t>
      </w:r>
      <w:r w:rsidRPr="00DA708F">
        <w:rPr>
          <w:rFonts w:ascii="Arial" w:hAnsi="Arial" w:cs="Arial"/>
          <w:sz w:val="22"/>
          <w:lang w:val="en-GB"/>
        </w:rPr>
        <w:t>,</w:t>
      </w:r>
      <w:r w:rsidR="00E2348B" w:rsidRPr="00DA708F">
        <w:rPr>
          <w:rFonts w:ascii="Arial" w:hAnsi="Arial" w:cs="Arial"/>
          <w:sz w:val="22"/>
          <w:lang w:val="en-GB"/>
        </w:rPr>
        <w:t xml:space="preserve"> and the course is specified as </w:t>
      </w:r>
      <w:r w:rsidR="00E2348B" w:rsidRPr="00DA708F">
        <w:rPr>
          <w:rFonts w:ascii="Arial" w:hAnsi="Arial" w:cs="Arial"/>
          <w:bCs/>
          <w:sz w:val="22"/>
          <w:lang w:val="en-GB"/>
        </w:rPr>
        <w:t>first episode</w:t>
      </w:r>
      <w:r w:rsidR="00E2348B" w:rsidRPr="00DA708F">
        <w:rPr>
          <w:rFonts w:ascii="Arial" w:hAnsi="Arial" w:cs="Arial"/>
          <w:sz w:val="22"/>
          <w:lang w:val="en-GB"/>
        </w:rPr>
        <w:t xml:space="preserve">, </w:t>
      </w:r>
      <w:r w:rsidR="00E2348B" w:rsidRPr="00DA708F">
        <w:rPr>
          <w:rFonts w:ascii="Arial" w:hAnsi="Arial" w:cs="Arial"/>
          <w:bCs/>
          <w:sz w:val="22"/>
          <w:lang w:val="en-GB"/>
        </w:rPr>
        <w:t>multiple episodes</w:t>
      </w:r>
      <w:r w:rsidR="00E2348B" w:rsidRPr="00DA708F">
        <w:rPr>
          <w:rFonts w:ascii="Arial" w:hAnsi="Arial" w:cs="Arial"/>
          <w:sz w:val="22"/>
          <w:lang w:val="en-GB"/>
        </w:rPr>
        <w:t xml:space="preserve"> or </w:t>
      </w:r>
      <w:r w:rsidR="00E2348B" w:rsidRPr="00DA708F">
        <w:rPr>
          <w:rFonts w:ascii="Arial" w:hAnsi="Arial" w:cs="Arial"/>
          <w:bCs/>
          <w:sz w:val="22"/>
          <w:lang w:val="en-GB"/>
        </w:rPr>
        <w:t>continuous</w:t>
      </w:r>
      <w:r w:rsidR="00E2348B" w:rsidRPr="00DA708F">
        <w:rPr>
          <w:rFonts w:ascii="Arial" w:hAnsi="Arial" w:cs="Arial"/>
          <w:sz w:val="22"/>
          <w:lang w:val="en-GB"/>
        </w:rPr>
        <w:t>, each with a remission status</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(Ahmad, 2022)</w:t>
      </w:r>
      <w:r w:rsidR="00E2348B" w:rsidRPr="00DA708F">
        <w:rPr>
          <w:rFonts w:ascii="Arial" w:hAnsi="Arial" w:cs="Arial"/>
          <w:sz w:val="22"/>
          <w:lang w:val="en-GB"/>
        </w:rPr>
        <w:t xml:space="preserve">. </w:t>
      </w:r>
      <w:r w:rsidRPr="00DA708F">
        <w:rPr>
          <w:rFonts w:ascii="Arial" w:hAnsi="Arial" w:cs="Arial"/>
          <w:sz w:val="22"/>
          <w:lang w:val="en-GB"/>
        </w:rPr>
        <w:t>DSM-5</w:t>
      </w:r>
      <w:r w:rsidR="00E2348B" w:rsidRPr="00DA708F">
        <w:rPr>
          <w:rFonts w:ascii="Arial" w:hAnsi="Arial" w:cs="Arial"/>
          <w:sz w:val="22"/>
          <w:lang w:val="en-GB"/>
        </w:rPr>
        <w:t xml:space="preserve">, by contrast, defines schizophrenia when </w:t>
      </w:r>
      <w:r w:rsidR="00E2348B" w:rsidRPr="00DA708F">
        <w:rPr>
          <w:rFonts w:ascii="Arial" w:hAnsi="Arial" w:cs="Arial"/>
          <w:bCs/>
          <w:sz w:val="22"/>
          <w:lang w:val="en-GB"/>
        </w:rPr>
        <w:t>two or more symptoms</w:t>
      </w:r>
      <w:r w:rsidR="00E2348B" w:rsidRPr="00DA708F">
        <w:rPr>
          <w:rFonts w:ascii="Arial" w:hAnsi="Arial" w:cs="Arial"/>
          <w:sz w:val="22"/>
          <w:lang w:val="en-GB"/>
        </w:rPr>
        <w:t xml:space="preserve">—delusions, hallucinations, </w:t>
      </w:r>
      <w:r w:rsidR="006E458B" w:rsidRPr="00DA708F">
        <w:rPr>
          <w:rFonts w:ascii="Arial" w:hAnsi="Arial" w:cs="Arial"/>
          <w:sz w:val="22"/>
          <w:lang w:val="en-GB"/>
        </w:rPr>
        <w:t>disorganized</w:t>
      </w:r>
      <w:r w:rsidR="00E2348B" w:rsidRPr="00DA708F">
        <w:rPr>
          <w:rFonts w:ascii="Arial" w:hAnsi="Arial" w:cs="Arial"/>
          <w:sz w:val="22"/>
          <w:lang w:val="en-GB"/>
        </w:rPr>
        <w:t xml:space="preserve"> speech, </w:t>
      </w:r>
      <w:r w:rsidR="006E458B" w:rsidRPr="00DA708F">
        <w:rPr>
          <w:rFonts w:ascii="Arial" w:hAnsi="Arial" w:cs="Arial"/>
          <w:sz w:val="22"/>
          <w:lang w:val="en-GB"/>
        </w:rPr>
        <w:t>disorganized</w:t>
      </w:r>
      <w:r w:rsidR="00E2348B" w:rsidRPr="00DA708F">
        <w:rPr>
          <w:rFonts w:ascii="Arial" w:hAnsi="Arial" w:cs="Arial"/>
          <w:sz w:val="22"/>
          <w:lang w:val="en-GB"/>
        </w:rPr>
        <w:t xml:space="preserve">/catatonic </w:t>
      </w:r>
      <w:r w:rsidR="00DA708F" w:rsidRPr="00DA708F">
        <w:rPr>
          <w:rFonts w:ascii="Arial" w:hAnsi="Arial" w:cs="Arial"/>
          <w:sz w:val="22"/>
          <w:lang w:val="en-GB"/>
        </w:rPr>
        <w:t>behaviour</w:t>
      </w:r>
      <w:r w:rsidR="00E2348B" w:rsidRPr="00DA708F">
        <w:rPr>
          <w:rFonts w:ascii="Arial" w:hAnsi="Arial" w:cs="Arial"/>
          <w:sz w:val="22"/>
          <w:lang w:val="en-GB"/>
        </w:rPr>
        <w:t xml:space="preserve"> or negative symptoms—are present for most of </w:t>
      </w:r>
      <w:r w:rsidR="00E2348B" w:rsidRPr="00DA708F">
        <w:rPr>
          <w:rFonts w:ascii="Arial" w:hAnsi="Arial" w:cs="Arial"/>
          <w:bCs/>
          <w:sz w:val="22"/>
          <w:lang w:val="en-GB"/>
        </w:rPr>
        <w:t>one month</w:t>
      </w:r>
      <w:r w:rsidR="00E2348B" w:rsidRPr="00DA708F">
        <w:rPr>
          <w:rFonts w:ascii="Arial" w:hAnsi="Arial" w:cs="Arial"/>
          <w:sz w:val="22"/>
          <w:lang w:val="en-GB"/>
        </w:rPr>
        <w:t xml:space="preserve"> with at least one positive symptom; continuous signs must persist for </w:t>
      </w:r>
      <w:r w:rsidR="00E2348B" w:rsidRPr="00DA708F">
        <w:rPr>
          <w:rFonts w:ascii="Arial" w:hAnsi="Arial" w:cs="Arial"/>
          <w:bCs/>
          <w:sz w:val="22"/>
          <w:lang w:val="en-GB"/>
        </w:rPr>
        <w:t>six months</w:t>
      </w:r>
      <w:r w:rsidR="00FC2AC4" w:rsidRPr="00DA708F">
        <w:rPr>
          <w:rFonts w:ascii="Arial" w:hAnsi="Arial" w:cs="Arial"/>
          <w:bCs/>
          <w:sz w:val="22"/>
          <w:lang w:val="en-GB"/>
        </w:rPr>
        <w:t xml:space="preserve"> </w:t>
      </w:r>
      <w:r w:rsidR="00FC2AC4" w:rsidRPr="00DA708F">
        <w:rPr>
          <w:rFonts w:ascii="Arial" w:hAnsi="Arial" w:cs="Arial"/>
          <w:color w:val="000000"/>
          <w:sz w:val="22"/>
          <w:shd w:val="clear" w:color="auto" w:fill="FFFFFF"/>
          <w:lang w:val="en-GB"/>
        </w:rPr>
        <w:t>(Bailey, Quinn and McHugh, 2024)</w:t>
      </w:r>
      <w:r w:rsidR="00E2348B" w:rsidRPr="00DA708F">
        <w:rPr>
          <w:rFonts w:ascii="Arial" w:hAnsi="Arial" w:cs="Arial"/>
          <w:sz w:val="22"/>
          <w:lang w:val="en-GB"/>
        </w:rPr>
        <w:t xml:space="preserve">. </w:t>
      </w:r>
      <w:r w:rsidRPr="00DA708F">
        <w:rPr>
          <w:rFonts w:ascii="Arial" w:hAnsi="Arial" w:cs="Arial"/>
          <w:sz w:val="22"/>
          <w:lang w:val="en-GB"/>
        </w:rPr>
        <w:t>DSM-5</w:t>
      </w:r>
      <w:r w:rsidR="00E2348B" w:rsidRPr="00DA708F">
        <w:rPr>
          <w:rFonts w:ascii="Arial" w:hAnsi="Arial" w:cs="Arial"/>
          <w:sz w:val="22"/>
          <w:lang w:val="en-GB"/>
        </w:rPr>
        <w:t xml:space="preserve"> excludes alternative diagnoses and uses severity ratings but no </w:t>
      </w:r>
      <w:r w:rsidR="00FC2AC4" w:rsidRPr="00DA708F">
        <w:rPr>
          <w:rFonts w:ascii="Arial" w:hAnsi="Arial" w:cs="Arial"/>
          <w:sz w:val="22"/>
          <w:lang w:val="en-GB"/>
        </w:rPr>
        <w:t>course-based</w:t>
      </w:r>
      <w:r w:rsidR="00E2348B" w:rsidRPr="00DA708F">
        <w:rPr>
          <w:rFonts w:ascii="Arial" w:hAnsi="Arial" w:cs="Arial"/>
          <w:sz w:val="22"/>
          <w:lang w:val="en-GB"/>
        </w:rPr>
        <w:t xml:space="preserve"> subtypes.</w:t>
      </w:r>
    </w:p>
    <w:p w14:paraId="2A0CA348" w14:textId="77777777" w:rsidR="00E2348B" w:rsidRPr="00DA708F" w:rsidRDefault="00E2348B" w:rsidP="004E701E">
      <w:pPr>
        <w:pStyle w:val="Heading2"/>
        <w:rPr>
          <w:rFonts w:ascii="Arial" w:hAnsi="Arial" w:cs="Arial"/>
          <w:sz w:val="22"/>
          <w:szCs w:val="22"/>
          <w:lang w:val="en-GB"/>
        </w:rPr>
      </w:pPr>
      <w:bookmarkStart w:id="3" w:name="_Toc210660715"/>
      <w:r w:rsidRPr="00DA708F">
        <w:rPr>
          <w:rFonts w:ascii="Arial" w:hAnsi="Arial" w:cs="Arial"/>
          <w:sz w:val="22"/>
          <w:szCs w:val="22"/>
          <w:lang w:val="en-GB"/>
        </w:rPr>
        <w:t>UK diagnostic practice</w:t>
      </w:r>
      <w:bookmarkEnd w:id="3"/>
    </w:p>
    <w:p w14:paraId="41E0C2F2" w14:textId="172C6425" w:rsidR="00E2348B" w:rsidRPr="00DA708F" w:rsidRDefault="00E2348B" w:rsidP="004E701E">
      <w:pPr>
        <w:rPr>
          <w:rFonts w:ascii="Arial" w:hAnsi="Arial" w:cs="Arial"/>
          <w:sz w:val="22"/>
          <w:lang w:val="en-GB"/>
        </w:rPr>
      </w:pPr>
      <w:r w:rsidRPr="00DA708F">
        <w:rPr>
          <w:rFonts w:ascii="Arial" w:hAnsi="Arial" w:cs="Arial"/>
          <w:sz w:val="22"/>
          <w:lang w:val="en-GB"/>
        </w:rPr>
        <w:t xml:space="preserve">UK clinicians follow </w:t>
      </w:r>
      <w:r w:rsidRPr="00DA708F">
        <w:rPr>
          <w:rFonts w:ascii="Arial" w:hAnsi="Arial" w:cs="Arial"/>
          <w:bCs/>
          <w:sz w:val="22"/>
          <w:lang w:val="en-GB"/>
        </w:rPr>
        <w:t>NICE Guideline CG178</w:t>
      </w:r>
      <w:r w:rsidRPr="00DA708F">
        <w:rPr>
          <w:rFonts w:ascii="Arial" w:hAnsi="Arial" w:cs="Arial"/>
          <w:sz w:val="22"/>
          <w:lang w:val="en-GB"/>
        </w:rPr>
        <w:t xml:space="preserve">, which recommends a </w:t>
      </w:r>
      <w:r w:rsidRPr="00DA708F">
        <w:rPr>
          <w:rFonts w:ascii="Arial" w:hAnsi="Arial" w:cs="Arial"/>
          <w:bCs/>
          <w:sz w:val="22"/>
          <w:lang w:val="en-GB"/>
        </w:rPr>
        <w:t>comprehensive physical and mental health assessment</w:t>
      </w:r>
      <w:r w:rsidRPr="00DA708F">
        <w:rPr>
          <w:rFonts w:ascii="Arial" w:hAnsi="Arial" w:cs="Arial"/>
          <w:sz w:val="22"/>
          <w:lang w:val="en-GB"/>
        </w:rPr>
        <w:t xml:space="preserve"> including measurements of weight, blood pressure, fasting glucose and lipids, </w:t>
      </w:r>
      <w:r w:rsidR="000A3536" w:rsidRPr="00DA708F">
        <w:rPr>
          <w:rFonts w:ascii="Arial" w:hAnsi="Arial" w:cs="Arial"/>
          <w:sz w:val="22"/>
          <w:lang w:val="en-GB"/>
        </w:rPr>
        <w:t>prolactin,</w:t>
      </w:r>
      <w:r w:rsidRPr="00DA708F">
        <w:rPr>
          <w:rFonts w:ascii="Arial" w:hAnsi="Arial" w:cs="Arial"/>
          <w:sz w:val="22"/>
          <w:lang w:val="en-GB"/>
        </w:rPr>
        <w:t xml:space="preserve"> and an ECG</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(NICE UK, 2014)</w:t>
      </w:r>
      <w:r w:rsidRPr="00DA708F">
        <w:rPr>
          <w:rFonts w:ascii="Arial" w:hAnsi="Arial" w:cs="Arial"/>
          <w:sz w:val="22"/>
          <w:lang w:val="en-GB"/>
        </w:rPr>
        <w:t>. Shared decision</w:t>
      </w:r>
      <w:r w:rsidRPr="00DA708F">
        <w:rPr>
          <w:rFonts w:ascii="Arial" w:hAnsi="Arial" w:cs="Arial"/>
          <w:sz w:val="22"/>
          <w:lang w:val="en-GB"/>
        </w:rPr>
        <w:noBreakHyphen/>
        <w:t xml:space="preserve">making is encouraged: clinicians and patients discuss </w:t>
      </w:r>
      <w:r w:rsidR="004D1371" w:rsidRPr="00DA708F">
        <w:rPr>
          <w:rFonts w:ascii="Arial" w:hAnsi="Arial" w:cs="Arial"/>
          <w:sz w:val="22"/>
          <w:lang w:val="en-GB"/>
        </w:rPr>
        <w:t xml:space="preserve">the </w:t>
      </w:r>
      <w:r w:rsidRPr="00DA708F">
        <w:rPr>
          <w:rFonts w:ascii="Arial" w:hAnsi="Arial" w:cs="Arial"/>
          <w:sz w:val="22"/>
          <w:lang w:val="en-GB"/>
        </w:rPr>
        <w:t xml:space="preserve">benefits and side effects of antipsychotics and consider past </w:t>
      </w:r>
      <w:r w:rsidRPr="00DA708F">
        <w:rPr>
          <w:rFonts w:ascii="Arial" w:hAnsi="Arial" w:cs="Arial"/>
          <w:sz w:val="22"/>
          <w:lang w:val="en-GB"/>
        </w:rPr>
        <w:lastRenderedPageBreak/>
        <w:t xml:space="preserve">response. </w:t>
      </w:r>
      <w:r w:rsidRPr="00DA708F">
        <w:rPr>
          <w:rFonts w:ascii="Arial" w:hAnsi="Arial" w:cs="Arial"/>
          <w:bCs/>
          <w:sz w:val="22"/>
          <w:lang w:val="en-GB"/>
        </w:rPr>
        <w:t>Antipsychotic medication</w:t>
      </w:r>
      <w:r w:rsidRPr="00DA708F">
        <w:rPr>
          <w:rFonts w:ascii="Arial" w:hAnsi="Arial" w:cs="Arial"/>
          <w:sz w:val="22"/>
          <w:lang w:val="en-GB"/>
        </w:rPr>
        <w:t xml:space="preserve"> should be combined with </w:t>
      </w:r>
      <w:r w:rsidRPr="00DA708F">
        <w:rPr>
          <w:rFonts w:ascii="Arial" w:hAnsi="Arial" w:cs="Arial"/>
          <w:bCs/>
          <w:sz w:val="22"/>
          <w:lang w:val="en-GB"/>
        </w:rPr>
        <w:t>psychological therapies</w:t>
      </w:r>
      <w:r w:rsidRPr="00DA708F">
        <w:rPr>
          <w:rFonts w:ascii="Arial" w:hAnsi="Arial" w:cs="Arial"/>
          <w:sz w:val="22"/>
          <w:lang w:val="en-GB"/>
        </w:rPr>
        <w:t xml:space="preserve">—particularly </w:t>
      </w:r>
      <w:r w:rsidRPr="00DA708F">
        <w:rPr>
          <w:rFonts w:ascii="Arial" w:hAnsi="Arial" w:cs="Arial"/>
          <w:bCs/>
          <w:sz w:val="22"/>
          <w:lang w:val="en-GB"/>
        </w:rPr>
        <w:t>cognitive–behavioural therapy (CBT)</w:t>
      </w:r>
      <w:r w:rsidRPr="00DA708F">
        <w:rPr>
          <w:rFonts w:ascii="Arial" w:hAnsi="Arial" w:cs="Arial"/>
          <w:sz w:val="22"/>
          <w:lang w:val="en-GB"/>
        </w:rPr>
        <w:t xml:space="preserve"> and </w:t>
      </w:r>
      <w:r w:rsidRPr="00DA708F">
        <w:rPr>
          <w:rFonts w:ascii="Arial" w:hAnsi="Arial" w:cs="Arial"/>
          <w:bCs/>
          <w:sz w:val="22"/>
          <w:lang w:val="en-GB"/>
        </w:rPr>
        <w:t>family intervention</w:t>
      </w:r>
      <w:r w:rsidRPr="00DA708F">
        <w:rPr>
          <w:rFonts w:ascii="Arial" w:hAnsi="Arial" w:cs="Arial"/>
          <w:sz w:val="22"/>
          <w:lang w:val="en-GB"/>
        </w:rPr>
        <w:t xml:space="preserve">. CBT is offered through </w:t>
      </w:r>
      <w:r w:rsidRPr="00DA708F">
        <w:rPr>
          <w:rFonts w:ascii="Arial" w:hAnsi="Arial" w:cs="Arial"/>
          <w:bCs/>
          <w:sz w:val="22"/>
          <w:lang w:val="en-GB"/>
        </w:rPr>
        <w:t>≥ 16 sessions</w:t>
      </w:r>
      <w:r w:rsidRPr="00DA708F">
        <w:rPr>
          <w:rFonts w:ascii="Arial" w:hAnsi="Arial" w:cs="Arial"/>
          <w:sz w:val="22"/>
          <w:lang w:val="en-GB"/>
        </w:rPr>
        <w:t xml:space="preserve"> and family intervention over </w:t>
      </w:r>
      <w:r w:rsidRPr="00DA708F">
        <w:rPr>
          <w:rFonts w:ascii="Arial" w:hAnsi="Arial" w:cs="Arial"/>
          <w:bCs/>
          <w:sz w:val="22"/>
          <w:lang w:val="en-GB"/>
        </w:rPr>
        <w:t>≥ 10 sessions</w:t>
      </w:r>
      <w:r w:rsidR="00FC2AC4" w:rsidRPr="00DA708F">
        <w:rPr>
          <w:rFonts w:ascii="Arial" w:hAnsi="Arial" w:cs="Arial"/>
          <w:bCs/>
          <w:sz w:val="22"/>
          <w:lang w:val="en-GB"/>
        </w:rPr>
        <w:t xml:space="preserve"> </w:t>
      </w:r>
      <w:r w:rsidR="00FC2AC4" w:rsidRPr="00DA708F">
        <w:rPr>
          <w:rFonts w:ascii="Arial" w:hAnsi="Arial" w:cs="Arial"/>
          <w:color w:val="000000"/>
          <w:sz w:val="22"/>
          <w:shd w:val="clear" w:color="auto" w:fill="FFFFFF"/>
          <w:lang w:val="en-GB"/>
        </w:rPr>
        <w:t>(NICE UK, 2014)</w:t>
      </w:r>
      <w:r w:rsidRPr="00DA708F">
        <w:rPr>
          <w:rFonts w:ascii="Arial" w:hAnsi="Arial" w:cs="Arial"/>
          <w:sz w:val="22"/>
          <w:lang w:val="en-GB"/>
        </w:rPr>
        <w:t>. During acute crises, crisis resolution and home treatment teams are preferred to maintain community support.</w:t>
      </w:r>
    </w:p>
    <w:p w14:paraId="66A383D2" w14:textId="77777777" w:rsidR="00E2348B" w:rsidRPr="00DA708F" w:rsidRDefault="00E2348B" w:rsidP="004E701E">
      <w:pPr>
        <w:pStyle w:val="Heading2"/>
        <w:rPr>
          <w:rFonts w:ascii="Arial" w:hAnsi="Arial" w:cs="Arial"/>
          <w:sz w:val="22"/>
          <w:szCs w:val="22"/>
          <w:lang w:val="en-GB"/>
        </w:rPr>
      </w:pPr>
      <w:bookmarkStart w:id="4" w:name="_Toc210660716"/>
      <w:r w:rsidRPr="00DA708F">
        <w:rPr>
          <w:rFonts w:ascii="Arial" w:hAnsi="Arial" w:cs="Arial"/>
          <w:sz w:val="22"/>
          <w:szCs w:val="22"/>
          <w:lang w:val="en-GB"/>
        </w:rPr>
        <w:t>Diagnostic challenges</w:t>
      </w:r>
      <w:bookmarkEnd w:id="4"/>
    </w:p>
    <w:p w14:paraId="2A04FB30" w14:textId="5875F681" w:rsidR="00E2348B" w:rsidRPr="00DA708F" w:rsidRDefault="00E2348B" w:rsidP="004E701E">
      <w:pPr>
        <w:rPr>
          <w:rFonts w:ascii="Arial" w:hAnsi="Arial" w:cs="Arial"/>
          <w:sz w:val="22"/>
          <w:lang w:val="en-GB"/>
        </w:rPr>
      </w:pPr>
      <w:r w:rsidRPr="00DA708F">
        <w:rPr>
          <w:rFonts w:ascii="Arial" w:hAnsi="Arial" w:cs="Arial"/>
          <w:sz w:val="22"/>
          <w:lang w:val="en-GB"/>
        </w:rPr>
        <w:t xml:space="preserve">Delayed access to specialist services and regional disparities hinder timely diagnosis. Debates about terminology </w:t>
      </w:r>
      <w:r w:rsidR="000A3536" w:rsidRPr="00DA708F">
        <w:rPr>
          <w:rFonts w:ascii="Arial" w:hAnsi="Arial" w:cs="Arial"/>
          <w:sz w:val="22"/>
          <w:lang w:val="en-GB"/>
        </w:rPr>
        <w:t>persist</w:t>
      </w:r>
      <w:r w:rsidRPr="00DA708F">
        <w:rPr>
          <w:rFonts w:ascii="Arial" w:hAnsi="Arial" w:cs="Arial"/>
          <w:sz w:val="22"/>
          <w:lang w:val="en-GB"/>
        </w:rPr>
        <w:t xml:space="preserve"> many argue that “schizophrenia” and “disorder” perpetuate stigma and advocate for alternatives such as </w:t>
      </w:r>
      <w:r w:rsidRPr="00DA708F">
        <w:rPr>
          <w:rFonts w:ascii="Arial" w:hAnsi="Arial" w:cs="Arial"/>
          <w:i/>
          <w:iCs/>
          <w:sz w:val="22"/>
          <w:lang w:val="en-GB"/>
        </w:rPr>
        <w:t>psychosis spectrum condition</w:t>
      </w:r>
      <w:r w:rsidR="00FC2AC4" w:rsidRPr="00DA708F">
        <w:rPr>
          <w:rFonts w:ascii="Arial" w:hAnsi="Arial" w:cs="Arial"/>
          <w:i/>
          <w:iCs/>
          <w:sz w:val="22"/>
          <w:lang w:val="en-GB"/>
        </w:rPr>
        <w:t xml:space="preserve"> </w:t>
      </w:r>
      <w:r w:rsidR="00FC2AC4" w:rsidRPr="00DA708F">
        <w:rPr>
          <w:rFonts w:ascii="Arial" w:hAnsi="Arial" w:cs="Arial"/>
          <w:color w:val="000000"/>
          <w:sz w:val="22"/>
          <w:shd w:val="clear" w:color="auto" w:fill="FFFFFF"/>
          <w:lang w:val="en-GB"/>
        </w:rPr>
        <w:t>(Stockton et al., 2025)</w:t>
      </w:r>
      <w:r w:rsidRPr="00DA708F">
        <w:rPr>
          <w:rFonts w:ascii="Arial" w:hAnsi="Arial" w:cs="Arial"/>
          <w:sz w:val="22"/>
          <w:lang w:val="en-GB"/>
        </w:rPr>
        <w:t xml:space="preserve">. The </w:t>
      </w:r>
      <w:r w:rsidRPr="00DA708F">
        <w:rPr>
          <w:rFonts w:ascii="Arial" w:hAnsi="Arial" w:cs="Arial"/>
          <w:bCs/>
          <w:sz w:val="22"/>
          <w:lang w:val="en-GB"/>
        </w:rPr>
        <w:t>neurodiversity movement</w:t>
      </w:r>
      <w:r w:rsidRPr="00DA708F">
        <w:rPr>
          <w:rFonts w:ascii="Arial" w:hAnsi="Arial" w:cs="Arial"/>
          <w:sz w:val="22"/>
          <w:lang w:val="en-GB"/>
        </w:rPr>
        <w:t xml:space="preserve"> views some cognitive differences as natural variations rather than deficits. Broader definitions may improve access but risk </w:t>
      </w:r>
      <w:r w:rsidRPr="00DA708F">
        <w:rPr>
          <w:rFonts w:ascii="Arial" w:hAnsi="Arial" w:cs="Arial"/>
          <w:bCs/>
          <w:sz w:val="22"/>
          <w:lang w:val="en-GB"/>
        </w:rPr>
        <w:t>concept creep</w:t>
      </w:r>
      <w:r w:rsidRPr="00DA708F">
        <w:rPr>
          <w:rFonts w:ascii="Arial" w:hAnsi="Arial" w:cs="Arial"/>
          <w:sz w:val="22"/>
          <w:lang w:val="en-GB"/>
        </w:rPr>
        <w:t xml:space="preserve">. </w:t>
      </w:r>
      <w:r w:rsidR="004D1371" w:rsidRPr="00DA708F">
        <w:rPr>
          <w:rFonts w:ascii="Arial" w:hAnsi="Arial" w:cs="Arial"/>
          <w:sz w:val="22"/>
          <w:lang w:val="en-GB"/>
        </w:rPr>
        <w:t>Co-occurring</w:t>
      </w:r>
      <w:r w:rsidRPr="00DA708F">
        <w:rPr>
          <w:rFonts w:ascii="Arial" w:hAnsi="Arial" w:cs="Arial"/>
          <w:sz w:val="22"/>
          <w:lang w:val="en-GB"/>
        </w:rPr>
        <w:t xml:space="preserve"> neurodevelopmental conditions like autism complicate diagnosis and highlight the need for culturally sensitive assessments.</w:t>
      </w:r>
    </w:p>
    <w:p w14:paraId="1C25297F" w14:textId="77777777" w:rsidR="00E2348B" w:rsidRPr="00DA708F" w:rsidRDefault="00E2348B" w:rsidP="004E701E">
      <w:pPr>
        <w:rPr>
          <w:rFonts w:ascii="Arial" w:hAnsi="Arial" w:cs="Arial"/>
          <w:sz w:val="22"/>
          <w:lang w:val="en-GB"/>
        </w:rPr>
      </w:pPr>
      <w:r w:rsidRPr="00DA708F">
        <w:rPr>
          <w:rFonts w:ascii="Arial" w:hAnsi="Arial" w:cs="Arial"/>
          <w:sz w:val="22"/>
          <w:lang w:val="en-GB"/>
        </w:rPr>
        <w:t>National waiting</w:t>
      </w:r>
      <w:r w:rsidRPr="00DA708F">
        <w:rPr>
          <w:rFonts w:ascii="Arial" w:hAnsi="Arial" w:cs="Arial"/>
          <w:sz w:val="22"/>
          <w:lang w:val="en-GB"/>
        </w:rPr>
        <w:noBreakHyphen/>
        <w:t xml:space="preserve">time targets aim to improve access: </w:t>
      </w:r>
      <w:r w:rsidRPr="00DA708F">
        <w:rPr>
          <w:rFonts w:ascii="Arial" w:hAnsi="Arial" w:cs="Arial"/>
          <w:bCs/>
          <w:sz w:val="22"/>
          <w:lang w:val="en-GB"/>
        </w:rPr>
        <w:t>60 %</w:t>
      </w:r>
      <w:r w:rsidRPr="00DA708F">
        <w:rPr>
          <w:rFonts w:ascii="Arial" w:hAnsi="Arial" w:cs="Arial"/>
          <w:sz w:val="22"/>
          <w:lang w:val="en-GB"/>
        </w:rPr>
        <w:t xml:space="preserve"> of people experiencing a first episode of psychosis should receive a </w:t>
      </w:r>
      <w:r w:rsidR="004D1371" w:rsidRPr="00DA708F">
        <w:rPr>
          <w:rFonts w:ascii="Arial" w:hAnsi="Arial" w:cs="Arial"/>
          <w:sz w:val="22"/>
          <w:lang w:val="en-GB"/>
        </w:rPr>
        <w:t>NICE-approved</w:t>
      </w:r>
      <w:r w:rsidRPr="00DA708F">
        <w:rPr>
          <w:rFonts w:ascii="Arial" w:hAnsi="Arial" w:cs="Arial"/>
          <w:sz w:val="22"/>
          <w:lang w:val="en-GB"/>
        </w:rPr>
        <w:t xml:space="preserve"> care package within </w:t>
      </w:r>
      <w:r w:rsidRPr="00DA708F">
        <w:rPr>
          <w:rFonts w:ascii="Arial" w:hAnsi="Arial" w:cs="Arial"/>
          <w:bCs/>
          <w:sz w:val="22"/>
          <w:lang w:val="en-GB"/>
        </w:rPr>
        <w:t>two weeks of referral</w:t>
      </w:r>
      <w:r w:rsidRPr="00DA708F">
        <w:rPr>
          <w:rFonts w:ascii="Arial" w:hAnsi="Arial" w:cs="Arial"/>
          <w:sz w:val="22"/>
          <w:lang w:val="en-GB"/>
        </w:rPr>
        <w:t xml:space="preserve">, and </w:t>
      </w:r>
      <w:r w:rsidRPr="00DA708F">
        <w:rPr>
          <w:rFonts w:ascii="Arial" w:hAnsi="Arial" w:cs="Arial"/>
          <w:bCs/>
          <w:sz w:val="22"/>
          <w:lang w:val="en-GB"/>
        </w:rPr>
        <w:t>75 %</w:t>
      </w:r>
      <w:r w:rsidRPr="00DA708F">
        <w:rPr>
          <w:rFonts w:ascii="Arial" w:hAnsi="Arial" w:cs="Arial"/>
          <w:sz w:val="22"/>
          <w:lang w:val="en-GB"/>
        </w:rPr>
        <w:t xml:space="preserve"> of those referred to NHS Talking Therapies should start treatment within six weeks</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(The King’s Fund, 2024)</w:t>
      </w:r>
      <w:r w:rsidRPr="00DA708F">
        <w:rPr>
          <w:rFonts w:ascii="Arial" w:hAnsi="Arial" w:cs="Arial"/>
          <w:sz w:val="22"/>
          <w:lang w:val="en-GB"/>
        </w:rPr>
        <w:t xml:space="preserve">. These standards have improved access but are not universally met. The median waiting time for </w:t>
      </w:r>
      <w:r w:rsidR="004D1371" w:rsidRPr="00DA708F">
        <w:rPr>
          <w:rFonts w:ascii="Arial" w:hAnsi="Arial" w:cs="Arial"/>
          <w:sz w:val="22"/>
          <w:lang w:val="en-GB"/>
        </w:rPr>
        <w:t>non-urgent</w:t>
      </w:r>
      <w:r w:rsidRPr="00DA708F">
        <w:rPr>
          <w:rFonts w:ascii="Arial" w:hAnsi="Arial" w:cs="Arial"/>
          <w:sz w:val="22"/>
          <w:lang w:val="en-GB"/>
        </w:rPr>
        <w:t xml:space="preserve"> community mental health treatment is </w:t>
      </w:r>
      <w:r w:rsidRPr="00DA708F">
        <w:rPr>
          <w:rFonts w:ascii="Arial" w:hAnsi="Arial" w:cs="Arial"/>
          <w:bCs/>
          <w:sz w:val="22"/>
          <w:lang w:val="en-GB"/>
        </w:rPr>
        <w:t>47 days</w:t>
      </w:r>
      <w:r w:rsidRPr="00DA708F">
        <w:rPr>
          <w:rFonts w:ascii="Arial" w:hAnsi="Arial" w:cs="Arial"/>
          <w:sz w:val="22"/>
          <w:lang w:val="en-GB"/>
        </w:rPr>
        <w:t xml:space="preserve">, with </w:t>
      </w:r>
      <w:r w:rsidRPr="00DA708F">
        <w:rPr>
          <w:rFonts w:ascii="Arial" w:hAnsi="Arial" w:cs="Arial"/>
          <w:bCs/>
          <w:sz w:val="22"/>
          <w:lang w:val="en-GB"/>
        </w:rPr>
        <w:t>10 %</w:t>
      </w:r>
      <w:r w:rsidRPr="00DA708F">
        <w:rPr>
          <w:rFonts w:ascii="Arial" w:hAnsi="Arial" w:cs="Arial"/>
          <w:sz w:val="22"/>
          <w:lang w:val="en-GB"/>
        </w:rPr>
        <w:t xml:space="preserve"> waiting at least </w:t>
      </w:r>
      <w:r w:rsidRPr="00DA708F">
        <w:rPr>
          <w:rFonts w:ascii="Arial" w:hAnsi="Arial" w:cs="Arial"/>
          <w:bCs/>
          <w:sz w:val="22"/>
          <w:lang w:val="en-GB"/>
        </w:rPr>
        <w:t>238 days</w:t>
      </w:r>
      <w:r w:rsidRPr="00DA708F">
        <w:rPr>
          <w:rFonts w:ascii="Arial" w:hAnsi="Arial" w:cs="Arial"/>
          <w:sz w:val="22"/>
          <w:lang w:val="en-GB"/>
        </w:rPr>
        <w:t xml:space="preserve">, despite a recommended </w:t>
      </w:r>
      <w:r w:rsidR="004D1371" w:rsidRPr="00DA708F">
        <w:rPr>
          <w:rFonts w:ascii="Arial" w:hAnsi="Arial" w:cs="Arial"/>
          <w:sz w:val="22"/>
          <w:lang w:val="en-GB"/>
        </w:rPr>
        <w:t>four-week</w:t>
      </w:r>
      <w:r w:rsidRPr="00DA708F">
        <w:rPr>
          <w:rFonts w:ascii="Arial" w:hAnsi="Arial" w:cs="Arial"/>
          <w:sz w:val="22"/>
          <w:lang w:val="en-GB"/>
        </w:rPr>
        <w:t xml:space="preserve"> target</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(The King’s Fund, 2024)</w:t>
      </w:r>
      <w:r w:rsidRPr="00DA708F">
        <w:rPr>
          <w:rFonts w:ascii="Arial" w:hAnsi="Arial" w:cs="Arial"/>
          <w:sz w:val="22"/>
          <w:lang w:val="en-GB"/>
        </w:rPr>
        <w:t xml:space="preserve">. Such delays hinder early detection and underscore the need for investment in early intervention teams and </w:t>
      </w:r>
      <w:r w:rsidR="004D1371" w:rsidRPr="00DA708F">
        <w:rPr>
          <w:rFonts w:ascii="Arial" w:hAnsi="Arial" w:cs="Arial"/>
          <w:sz w:val="22"/>
          <w:lang w:val="en-GB"/>
        </w:rPr>
        <w:t>real-time</w:t>
      </w:r>
      <w:r w:rsidRPr="00DA708F">
        <w:rPr>
          <w:rFonts w:ascii="Arial" w:hAnsi="Arial" w:cs="Arial"/>
          <w:sz w:val="22"/>
          <w:lang w:val="en-GB"/>
        </w:rPr>
        <w:t xml:space="preserve"> monitoring of waiting times.</w:t>
      </w:r>
    </w:p>
    <w:p w14:paraId="58B5A46F" w14:textId="77777777" w:rsidR="00E2348B" w:rsidRPr="00DA708F" w:rsidRDefault="00E2348B" w:rsidP="004E701E">
      <w:pPr>
        <w:pStyle w:val="Heading2"/>
        <w:rPr>
          <w:rFonts w:ascii="Arial" w:hAnsi="Arial" w:cs="Arial"/>
          <w:sz w:val="22"/>
          <w:szCs w:val="22"/>
          <w:lang w:val="en-GB"/>
        </w:rPr>
      </w:pPr>
      <w:bookmarkStart w:id="5" w:name="_Toc210660717"/>
      <w:r w:rsidRPr="00DA708F">
        <w:rPr>
          <w:rFonts w:ascii="Arial" w:hAnsi="Arial" w:cs="Arial"/>
          <w:sz w:val="22"/>
          <w:szCs w:val="22"/>
          <w:lang w:val="en-GB"/>
        </w:rPr>
        <w:t>Aetiology and risk factors</w:t>
      </w:r>
      <w:bookmarkEnd w:id="5"/>
    </w:p>
    <w:p w14:paraId="4B72121C" w14:textId="33082A35" w:rsidR="00E2348B" w:rsidRPr="00DA708F" w:rsidRDefault="00E2348B" w:rsidP="004E701E">
      <w:pPr>
        <w:rPr>
          <w:rFonts w:ascii="Arial" w:hAnsi="Arial" w:cs="Arial"/>
          <w:sz w:val="22"/>
          <w:lang w:val="en-GB"/>
        </w:rPr>
      </w:pPr>
      <w:r w:rsidRPr="00DA708F">
        <w:rPr>
          <w:rFonts w:ascii="Arial" w:hAnsi="Arial" w:cs="Arial"/>
          <w:sz w:val="22"/>
          <w:lang w:val="en-GB"/>
        </w:rPr>
        <w:t xml:space="preserve">The causes of schizophrenia are multifactorial. Genetic liability is substantial: European twin studies from 1963 to 1987 found that concordance rates were significantly higher in </w:t>
      </w:r>
      <w:r w:rsidRPr="00DA708F">
        <w:rPr>
          <w:rFonts w:ascii="Arial" w:hAnsi="Arial" w:cs="Arial"/>
          <w:bCs/>
          <w:sz w:val="22"/>
          <w:lang w:val="en-GB"/>
        </w:rPr>
        <w:t>monozygotic twins (48 %)</w:t>
      </w:r>
      <w:r w:rsidRPr="00DA708F">
        <w:rPr>
          <w:rFonts w:ascii="Arial" w:hAnsi="Arial" w:cs="Arial"/>
          <w:sz w:val="22"/>
          <w:lang w:val="en-GB"/>
        </w:rPr>
        <w:t xml:space="preserve"> than in </w:t>
      </w:r>
      <w:r w:rsidRPr="00DA708F">
        <w:rPr>
          <w:rFonts w:ascii="Arial" w:hAnsi="Arial" w:cs="Arial"/>
          <w:bCs/>
          <w:sz w:val="22"/>
          <w:lang w:val="en-GB"/>
        </w:rPr>
        <w:t>dizygotic twins (17%)</w:t>
      </w:r>
      <w:r w:rsidRPr="00DA708F">
        <w:rPr>
          <w:rFonts w:ascii="Arial" w:hAnsi="Arial" w:cs="Arial"/>
          <w:sz w:val="22"/>
          <w:lang w:val="en-GB"/>
        </w:rPr>
        <w:t xml:space="preserve">, and </w:t>
      </w:r>
      <w:r w:rsidR="004D1371" w:rsidRPr="00DA708F">
        <w:rPr>
          <w:rFonts w:ascii="Arial" w:hAnsi="Arial" w:cs="Arial"/>
          <w:sz w:val="22"/>
          <w:lang w:val="en-GB"/>
        </w:rPr>
        <w:t>meta-analyses</w:t>
      </w:r>
      <w:r w:rsidRPr="00DA708F">
        <w:rPr>
          <w:rFonts w:ascii="Arial" w:hAnsi="Arial" w:cs="Arial"/>
          <w:sz w:val="22"/>
          <w:lang w:val="en-GB"/>
        </w:rPr>
        <w:t xml:space="preserve"> estimate that genetic factors account for </w:t>
      </w:r>
      <w:r w:rsidRPr="00DA708F">
        <w:rPr>
          <w:rFonts w:ascii="Arial" w:hAnsi="Arial" w:cs="Arial"/>
          <w:bCs/>
          <w:sz w:val="22"/>
          <w:lang w:val="en-GB"/>
        </w:rPr>
        <w:t>about 81 % of liability</w:t>
      </w:r>
      <w:r w:rsidRPr="00DA708F">
        <w:rPr>
          <w:rFonts w:ascii="Arial" w:hAnsi="Arial" w:cs="Arial"/>
          <w:sz w:val="22"/>
          <w:lang w:val="en-GB"/>
        </w:rPr>
        <w:t>, with shared environmental influences making up roughly 11 %</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(Henriksen, Nordgaard and Jansson, 2017)</w:t>
      </w:r>
      <w:r w:rsidRPr="00DA708F">
        <w:rPr>
          <w:rFonts w:ascii="Arial" w:hAnsi="Arial" w:cs="Arial"/>
          <w:sz w:val="22"/>
          <w:lang w:val="en-GB"/>
        </w:rPr>
        <w:t>. Adoption studies confirm that children of parents with schizophrenia have a higher risk of developing the disorder even when raised apart</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(Anon, 2025)</w:t>
      </w:r>
      <w:r w:rsidRPr="00DA708F">
        <w:rPr>
          <w:rFonts w:ascii="Arial" w:hAnsi="Arial" w:cs="Arial"/>
          <w:sz w:val="22"/>
          <w:lang w:val="en-GB"/>
        </w:rPr>
        <w:t xml:space="preserve">. Genes alone do not determine outcome: the </w:t>
      </w:r>
      <w:r w:rsidRPr="00DA708F">
        <w:rPr>
          <w:rFonts w:ascii="Arial" w:hAnsi="Arial" w:cs="Arial"/>
          <w:bCs/>
          <w:sz w:val="22"/>
          <w:lang w:val="en-GB"/>
        </w:rPr>
        <w:t>NHS</w:t>
      </w:r>
      <w:r w:rsidRPr="00DA708F">
        <w:rPr>
          <w:rFonts w:ascii="Arial" w:hAnsi="Arial" w:cs="Arial"/>
          <w:sz w:val="22"/>
          <w:lang w:val="en-GB"/>
        </w:rPr>
        <w:t xml:space="preserve"> notes that schizophrenia runs in families</w:t>
      </w:r>
      <w:r w:rsidR="004D1371" w:rsidRPr="00DA708F">
        <w:rPr>
          <w:rFonts w:ascii="Arial" w:hAnsi="Arial" w:cs="Arial"/>
          <w:sz w:val="22"/>
          <w:lang w:val="en-GB"/>
        </w:rPr>
        <w:t>,</w:t>
      </w:r>
      <w:r w:rsidRPr="00DA708F">
        <w:rPr>
          <w:rFonts w:ascii="Arial" w:hAnsi="Arial" w:cs="Arial"/>
          <w:sz w:val="22"/>
          <w:lang w:val="en-GB"/>
        </w:rPr>
        <w:t xml:space="preserve"> but no single gene is responsible; identical twins have a </w:t>
      </w:r>
      <w:r w:rsidRPr="00DA708F">
        <w:rPr>
          <w:rFonts w:ascii="Arial" w:hAnsi="Arial" w:cs="Arial"/>
          <w:bCs/>
          <w:sz w:val="22"/>
          <w:lang w:val="en-GB"/>
        </w:rPr>
        <w:t>1 in 2 chance</w:t>
      </w:r>
      <w:r w:rsidRPr="00DA708F">
        <w:rPr>
          <w:rFonts w:ascii="Arial" w:hAnsi="Arial" w:cs="Arial"/>
          <w:sz w:val="22"/>
          <w:lang w:val="en-GB"/>
        </w:rPr>
        <w:t xml:space="preserve">, whereas fraternal twins have a </w:t>
      </w:r>
      <w:r w:rsidRPr="00DA708F">
        <w:rPr>
          <w:rFonts w:ascii="Arial" w:hAnsi="Arial" w:cs="Arial"/>
          <w:bCs/>
          <w:sz w:val="22"/>
          <w:lang w:val="en-GB"/>
        </w:rPr>
        <w:t>1 in 8 chance</w:t>
      </w:r>
      <w:r w:rsidRPr="00DA708F">
        <w:rPr>
          <w:rFonts w:ascii="Arial" w:hAnsi="Arial" w:cs="Arial"/>
          <w:sz w:val="22"/>
          <w:lang w:val="en-GB"/>
        </w:rPr>
        <w:t xml:space="preserve"> of being affected, and the general population risk is about </w:t>
      </w:r>
      <w:r w:rsidRPr="00DA708F">
        <w:rPr>
          <w:rFonts w:ascii="Arial" w:hAnsi="Arial" w:cs="Arial"/>
          <w:bCs/>
          <w:sz w:val="22"/>
          <w:lang w:val="en-GB"/>
        </w:rPr>
        <w:t>1 in 100</w:t>
      </w:r>
      <w:r w:rsidR="00B518FA" w:rsidRPr="00DA708F">
        <w:rPr>
          <w:rFonts w:ascii="Arial" w:hAnsi="Arial" w:cs="Arial"/>
          <w:bCs/>
          <w:sz w:val="22"/>
          <w:lang w:val="en-GB"/>
        </w:rPr>
        <w:t xml:space="preserve"> </w:t>
      </w:r>
      <w:r w:rsidR="00B518FA" w:rsidRPr="00DA708F">
        <w:rPr>
          <w:rFonts w:ascii="Arial" w:hAnsi="Arial" w:cs="Arial"/>
          <w:color w:val="000000"/>
          <w:sz w:val="22"/>
          <w:shd w:val="clear" w:color="auto" w:fill="FFFFFF"/>
          <w:lang w:val="en-GB"/>
        </w:rPr>
        <w:t>(NHS, 2021)</w:t>
      </w:r>
      <w:r w:rsidRPr="00DA708F">
        <w:rPr>
          <w:rFonts w:ascii="Arial" w:hAnsi="Arial" w:cs="Arial"/>
          <w:sz w:val="22"/>
          <w:lang w:val="en-GB"/>
        </w:rPr>
        <w:t>.</w:t>
      </w:r>
    </w:p>
    <w:p w14:paraId="722DA990" w14:textId="77425EC2" w:rsidR="00E2348B" w:rsidRPr="00DA708F" w:rsidRDefault="00E2348B" w:rsidP="004E701E">
      <w:pPr>
        <w:rPr>
          <w:rFonts w:ascii="Arial" w:hAnsi="Arial" w:cs="Arial"/>
          <w:sz w:val="22"/>
          <w:lang w:val="en-GB"/>
        </w:rPr>
      </w:pPr>
      <w:r w:rsidRPr="00DA708F">
        <w:rPr>
          <w:rFonts w:ascii="Arial" w:hAnsi="Arial" w:cs="Arial"/>
          <w:sz w:val="22"/>
          <w:lang w:val="en-GB"/>
        </w:rPr>
        <w:t xml:space="preserve">Environmental and developmental factors also contribute; brain structural differences and dopamine abnormalities are implicated. Pregnancy and birth complications, early life stressors, </w:t>
      </w:r>
      <w:r w:rsidRPr="00DA708F">
        <w:rPr>
          <w:rFonts w:ascii="Arial" w:hAnsi="Arial" w:cs="Arial"/>
          <w:sz w:val="22"/>
          <w:lang w:val="en-GB"/>
        </w:rPr>
        <w:lastRenderedPageBreak/>
        <w:t xml:space="preserve">social </w:t>
      </w:r>
      <w:r w:rsidR="000A3536" w:rsidRPr="00DA708F">
        <w:rPr>
          <w:rFonts w:ascii="Arial" w:hAnsi="Arial" w:cs="Arial"/>
          <w:sz w:val="22"/>
          <w:lang w:val="en-GB"/>
        </w:rPr>
        <w:t>adversity,</w:t>
      </w:r>
      <w:r w:rsidRPr="00DA708F">
        <w:rPr>
          <w:rFonts w:ascii="Arial" w:hAnsi="Arial" w:cs="Arial"/>
          <w:sz w:val="22"/>
          <w:lang w:val="en-GB"/>
        </w:rPr>
        <w:t xml:space="preserve"> and drug misuse (cannabis, cocaine, </w:t>
      </w:r>
      <w:r w:rsidR="000A3536" w:rsidRPr="00DA708F">
        <w:rPr>
          <w:rFonts w:ascii="Arial" w:hAnsi="Arial" w:cs="Arial"/>
          <w:sz w:val="22"/>
          <w:lang w:val="en-GB"/>
        </w:rPr>
        <w:t>LSD,</w:t>
      </w:r>
      <w:r w:rsidRPr="00DA708F">
        <w:rPr>
          <w:rFonts w:ascii="Arial" w:hAnsi="Arial" w:cs="Arial"/>
          <w:sz w:val="22"/>
          <w:lang w:val="en-GB"/>
        </w:rPr>
        <w:t xml:space="preserve"> and amphetamines) </w:t>
      </w:r>
      <w:r w:rsidR="000A3536" w:rsidRPr="00DA708F">
        <w:rPr>
          <w:rFonts w:ascii="Arial" w:hAnsi="Arial" w:cs="Arial"/>
          <w:sz w:val="22"/>
          <w:lang w:val="en-GB"/>
        </w:rPr>
        <w:t>increased</w:t>
      </w:r>
      <w:r w:rsidRPr="00DA708F">
        <w:rPr>
          <w:rFonts w:ascii="Arial" w:hAnsi="Arial" w:cs="Arial"/>
          <w:sz w:val="22"/>
          <w:lang w:val="en-GB"/>
        </w:rPr>
        <w:t xml:space="preserve"> risk and precipitate relapse</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(NHS, 2021)</w:t>
      </w:r>
      <w:r w:rsidRPr="00DA708F">
        <w:rPr>
          <w:rFonts w:ascii="Arial" w:hAnsi="Arial" w:cs="Arial"/>
          <w:sz w:val="22"/>
          <w:lang w:val="en-GB"/>
        </w:rPr>
        <w:t xml:space="preserve">. Stressors such as bereavement or abuse exacerbate vulnerability and elevate risk further. Obstetric complications such as low birth weight and asphyxia suggest early insults. These findings support diathesis–stress models, and prevention should focus on prenatal care, substance </w:t>
      </w:r>
      <w:r w:rsidR="000A3536" w:rsidRPr="00DA708F">
        <w:rPr>
          <w:rFonts w:ascii="Arial" w:hAnsi="Arial" w:cs="Arial"/>
          <w:sz w:val="22"/>
          <w:lang w:val="en-GB"/>
        </w:rPr>
        <w:t>misuse,</w:t>
      </w:r>
      <w:r w:rsidRPr="00DA708F">
        <w:rPr>
          <w:rFonts w:ascii="Arial" w:hAnsi="Arial" w:cs="Arial"/>
          <w:sz w:val="22"/>
          <w:lang w:val="en-GB"/>
        </w:rPr>
        <w:t xml:space="preserve"> and social determinants.</w:t>
      </w:r>
    </w:p>
    <w:p w14:paraId="0C6681C5" w14:textId="77777777" w:rsidR="00E2348B" w:rsidRPr="00DA708F" w:rsidRDefault="00E2348B" w:rsidP="004E701E">
      <w:pPr>
        <w:pStyle w:val="Heading2"/>
        <w:rPr>
          <w:rFonts w:ascii="Arial" w:hAnsi="Arial" w:cs="Arial"/>
          <w:sz w:val="22"/>
          <w:szCs w:val="22"/>
          <w:lang w:val="en-GB"/>
        </w:rPr>
      </w:pPr>
      <w:bookmarkStart w:id="6" w:name="_Toc210660719"/>
      <w:r w:rsidRPr="00DA708F">
        <w:rPr>
          <w:rFonts w:ascii="Arial" w:hAnsi="Arial" w:cs="Arial"/>
          <w:sz w:val="22"/>
          <w:szCs w:val="22"/>
          <w:lang w:val="en-GB"/>
        </w:rPr>
        <w:t>Pharmacological interventions</w:t>
      </w:r>
      <w:bookmarkEnd w:id="6"/>
    </w:p>
    <w:p w14:paraId="538D2673" w14:textId="6CC27D02" w:rsidR="00E2348B" w:rsidRPr="00DA708F" w:rsidRDefault="00E2348B" w:rsidP="004E701E">
      <w:pPr>
        <w:rPr>
          <w:rFonts w:ascii="Arial" w:hAnsi="Arial" w:cs="Arial"/>
          <w:sz w:val="22"/>
          <w:lang w:val="en-GB"/>
        </w:rPr>
      </w:pPr>
      <w:r w:rsidRPr="00DA708F">
        <w:rPr>
          <w:rFonts w:ascii="Arial" w:hAnsi="Arial" w:cs="Arial"/>
          <w:sz w:val="22"/>
          <w:lang w:val="en-GB"/>
        </w:rPr>
        <w:t xml:space="preserve">Medication is the cornerstone of schizophrenia treatment. NICE advises selecting a </w:t>
      </w:r>
      <w:r w:rsidRPr="00DA708F">
        <w:rPr>
          <w:rFonts w:ascii="Arial" w:hAnsi="Arial" w:cs="Arial"/>
          <w:bCs/>
          <w:sz w:val="22"/>
          <w:lang w:val="en-GB"/>
        </w:rPr>
        <w:t>single oral antipsychotic</w:t>
      </w:r>
      <w:r w:rsidRPr="00DA708F">
        <w:rPr>
          <w:rFonts w:ascii="Arial" w:hAnsi="Arial" w:cs="Arial"/>
          <w:sz w:val="22"/>
          <w:lang w:val="en-GB"/>
        </w:rPr>
        <w:t xml:space="preserve"> through shared decision</w:t>
      </w:r>
      <w:r w:rsidRPr="00DA708F">
        <w:rPr>
          <w:rFonts w:ascii="Arial" w:hAnsi="Arial" w:cs="Arial"/>
          <w:sz w:val="22"/>
          <w:lang w:val="en-GB"/>
        </w:rPr>
        <w:noBreakHyphen/>
        <w:t xml:space="preserve">making, </w:t>
      </w:r>
      <w:r w:rsidR="000A3536" w:rsidRPr="00DA708F">
        <w:rPr>
          <w:rFonts w:ascii="Arial" w:hAnsi="Arial" w:cs="Arial"/>
          <w:sz w:val="22"/>
          <w:lang w:val="en-GB"/>
        </w:rPr>
        <w:t>considering</w:t>
      </w:r>
      <w:r w:rsidRPr="00DA708F">
        <w:rPr>
          <w:rFonts w:ascii="Arial" w:hAnsi="Arial" w:cs="Arial"/>
          <w:sz w:val="22"/>
          <w:lang w:val="en-GB"/>
        </w:rPr>
        <w:t xml:space="preserve"> prior response and side</w:t>
      </w:r>
      <w:r w:rsidRPr="00DA708F">
        <w:rPr>
          <w:rFonts w:ascii="Arial" w:hAnsi="Arial" w:cs="Arial"/>
          <w:sz w:val="22"/>
          <w:lang w:val="en-GB"/>
        </w:rPr>
        <w:noBreakHyphen/>
        <w:t>effect profiles</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(NICE UK, 2014)</w:t>
      </w:r>
      <w:r w:rsidRPr="00DA708F">
        <w:rPr>
          <w:rFonts w:ascii="Arial" w:hAnsi="Arial" w:cs="Arial"/>
          <w:sz w:val="22"/>
          <w:lang w:val="en-GB"/>
        </w:rPr>
        <w:t xml:space="preserve">. </w:t>
      </w:r>
      <w:r w:rsidRPr="00DA708F">
        <w:rPr>
          <w:rFonts w:ascii="Arial" w:hAnsi="Arial" w:cs="Arial"/>
          <w:bCs/>
          <w:sz w:val="22"/>
          <w:lang w:val="en-GB"/>
        </w:rPr>
        <w:t>Atypical antipsychotics</w:t>
      </w:r>
      <w:r w:rsidRPr="00DA708F">
        <w:rPr>
          <w:rFonts w:ascii="Arial" w:hAnsi="Arial" w:cs="Arial"/>
          <w:sz w:val="22"/>
          <w:lang w:val="en-GB"/>
        </w:rPr>
        <w:t xml:space="preserve"> (e.g., risperidone, olanzapine) are often preferred for their lower risk of movement disorders, though they increase weight and metabolic risks. </w:t>
      </w:r>
      <w:r w:rsidRPr="00DA708F">
        <w:rPr>
          <w:rFonts w:ascii="Arial" w:hAnsi="Arial" w:cs="Arial"/>
          <w:bCs/>
          <w:sz w:val="22"/>
          <w:lang w:val="en-GB"/>
        </w:rPr>
        <w:t>Typical antipsychotics</w:t>
      </w:r>
      <w:r w:rsidRPr="00DA708F">
        <w:rPr>
          <w:rFonts w:ascii="Arial" w:hAnsi="Arial" w:cs="Arial"/>
          <w:sz w:val="22"/>
          <w:lang w:val="en-GB"/>
        </w:rPr>
        <w:t xml:space="preserve"> (e.g., haloperidol) are less costly and effective for acute agitation but have higher extrapyramidal side effects</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(Beach et al., 2020)</w:t>
      </w:r>
      <w:r w:rsidRPr="00DA708F">
        <w:rPr>
          <w:rFonts w:ascii="Arial" w:hAnsi="Arial" w:cs="Arial"/>
          <w:sz w:val="22"/>
          <w:lang w:val="en-GB"/>
        </w:rPr>
        <w:t xml:space="preserve">. Baseline monitoring of weight, blood pressure, glucose, lipids, </w:t>
      </w:r>
      <w:r w:rsidR="000A3536" w:rsidRPr="00DA708F">
        <w:rPr>
          <w:rFonts w:ascii="Arial" w:hAnsi="Arial" w:cs="Arial"/>
          <w:sz w:val="22"/>
          <w:lang w:val="en-GB"/>
        </w:rPr>
        <w:t>prolactin,</w:t>
      </w:r>
      <w:r w:rsidRPr="00DA708F">
        <w:rPr>
          <w:rFonts w:ascii="Arial" w:hAnsi="Arial" w:cs="Arial"/>
          <w:sz w:val="22"/>
          <w:lang w:val="en-GB"/>
        </w:rPr>
        <w:t xml:space="preserve"> and ECG is mandatory. </w:t>
      </w:r>
      <w:r w:rsidR="004D1371" w:rsidRPr="00DA708F">
        <w:rPr>
          <w:rFonts w:ascii="Arial" w:hAnsi="Arial" w:cs="Arial"/>
          <w:sz w:val="22"/>
          <w:lang w:val="en-GB"/>
        </w:rPr>
        <w:t>Long-acting</w:t>
      </w:r>
      <w:r w:rsidRPr="00DA708F">
        <w:rPr>
          <w:rFonts w:ascii="Arial" w:hAnsi="Arial" w:cs="Arial"/>
          <w:sz w:val="22"/>
          <w:lang w:val="en-GB"/>
        </w:rPr>
        <w:t xml:space="preserve"> injectable formulations improve adherence, and clozapine is reserved for </w:t>
      </w:r>
      <w:r w:rsidR="004D1371" w:rsidRPr="00DA708F">
        <w:rPr>
          <w:rFonts w:ascii="Arial" w:hAnsi="Arial" w:cs="Arial"/>
          <w:sz w:val="22"/>
          <w:lang w:val="en-GB"/>
        </w:rPr>
        <w:t>treatment-resistant</w:t>
      </w:r>
      <w:r w:rsidRPr="00DA708F">
        <w:rPr>
          <w:rFonts w:ascii="Arial" w:hAnsi="Arial" w:cs="Arial"/>
          <w:sz w:val="22"/>
          <w:lang w:val="en-GB"/>
        </w:rPr>
        <w:t xml:space="preserve"> cases.</w:t>
      </w:r>
    </w:p>
    <w:p w14:paraId="6908F958" w14:textId="77777777" w:rsidR="00E2348B" w:rsidRPr="00DA708F" w:rsidRDefault="00E2348B" w:rsidP="004E701E">
      <w:pPr>
        <w:pStyle w:val="Heading2"/>
        <w:rPr>
          <w:rFonts w:ascii="Arial" w:hAnsi="Arial" w:cs="Arial"/>
          <w:sz w:val="22"/>
          <w:szCs w:val="22"/>
          <w:lang w:val="en-GB"/>
        </w:rPr>
      </w:pPr>
      <w:bookmarkStart w:id="7" w:name="_Toc210660720"/>
      <w:r w:rsidRPr="00DA708F">
        <w:rPr>
          <w:rFonts w:ascii="Arial" w:hAnsi="Arial" w:cs="Arial"/>
          <w:sz w:val="22"/>
          <w:szCs w:val="22"/>
          <w:lang w:val="en-GB"/>
        </w:rPr>
        <w:t>Psychological therapies</w:t>
      </w:r>
      <w:bookmarkEnd w:id="7"/>
    </w:p>
    <w:p w14:paraId="18529092" w14:textId="77777777" w:rsidR="00E2348B" w:rsidRPr="00DA708F" w:rsidRDefault="00E2348B" w:rsidP="004E701E">
      <w:pPr>
        <w:rPr>
          <w:rFonts w:ascii="Arial" w:hAnsi="Arial" w:cs="Arial"/>
          <w:sz w:val="22"/>
          <w:lang w:val="en-GB"/>
        </w:rPr>
      </w:pPr>
      <w:r w:rsidRPr="00DA708F">
        <w:rPr>
          <w:rFonts w:ascii="Arial" w:hAnsi="Arial" w:cs="Arial"/>
          <w:bCs/>
          <w:sz w:val="22"/>
          <w:lang w:val="en-GB"/>
        </w:rPr>
        <w:t>CBT</w:t>
      </w:r>
      <w:r w:rsidRPr="00DA708F">
        <w:rPr>
          <w:rFonts w:ascii="Arial" w:hAnsi="Arial" w:cs="Arial"/>
          <w:sz w:val="22"/>
          <w:lang w:val="en-GB"/>
        </w:rPr>
        <w:t xml:space="preserve"> helps patients reinterpret hallucinations and delusions and develop coping strategies; NICE recommends </w:t>
      </w:r>
      <w:r w:rsidRPr="00DA708F">
        <w:rPr>
          <w:rFonts w:ascii="Arial" w:hAnsi="Arial" w:cs="Arial"/>
          <w:bCs/>
          <w:sz w:val="22"/>
          <w:lang w:val="en-GB"/>
        </w:rPr>
        <w:t>≥ 16 sessions</w:t>
      </w:r>
      <w:r w:rsidRPr="00DA708F">
        <w:rPr>
          <w:rFonts w:ascii="Arial" w:hAnsi="Arial" w:cs="Arial"/>
          <w:sz w:val="22"/>
          <w:lang w:val="en-GB"/>
        </w:rPr>
        <w:t xml:space="preserve">. </w:t>
      </w:r>
      <w:r w:rsidRPr="00DA708F">
        <w:rPr>
          <w:rFonts w:ascii="Arial" w:hAnsi="Arial" w:cs="Arial"/>
          <w:bCs/>
          <w:sz w:val="22"/>
          <w:lang w:val="en-GB"/>
        </w:rPr>
        <w:t>Family intervention</w:t>
      </w:r>
      <w:r w:rsidRPr="00DA708F">
        <w:rPr>
          <w:rFonts w:ascii="Arial" w:hAnsi="Arial" w:cs="Arial"/>
          <w:sz w:val="22"/>
          <w:lang w:val="en-GB"/>
        </w:rPr>
        <w:t>, involving psychoeducation and problem</w:t>
      </w:r>
      <w:r w:rsidRPr="00DA708F">
        <w:rPr>
          <w:rFonts w:ascii="Arial" w:hAnsi="Arial" w:cs="Arial"/>
          <w:sz w:val="22"/>
          <w:lang w:val="en-GB"/>
        </w:rPr>
        <w:noBreakHyphen/>
        <w:t xml:space="preserve">solving, delivered over </w:t>
      </w:r>
      <w:r w:rsidRPr="00DA708F">
        <w:rPr>
          <w:rFonts w:ascii="Arial" w:hAnsi="Arial" w:cs="Arial"/>
          <w:bCs/>
          <w:sz w:val="22"/>
          <w:lang w:val="en-GB"/>
        </w:rPr>
        <w:t>≥ 10 sessions</w:t>
      </w:r>
      <w:r w:rsidRPr="00DA708F">
        <w:rPr>
          <w:rFonts w:ascii="Arial" w:hAnsi="Arial" w:cs="Arial"/>
          <w:sz w:val="22"/>
          <w:lang w:val="en-GB"/>
        </w:rPr>
        <w:t>, reduces relapse</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(NICE UK, 2014)</w:t>
      </w:r>
      <w:r w:rsidRPr="00DA708F">
        <w:rPr>
          <w:rFonts w:ascii="Arial" w:hAnsi="Arial" w:cs="Arial"/>
          <w:sz w:val="22"/>
          <w:lang w:val="en-GB"/>
        </w:rPr>
        <w:t>. Other interventions</w:t>
      </w:r>
      <w:r w:rsidR="004D1371" w:rsidRPr="00DA708F">
        <w:rPr>
          <w:rFonts w:ascii="Arial" w:hAnsi="Arial" w:cs="Arial"/>
          <w:sz w:val="22"/>
          <w:lang w:val="en-GB"/>
        </w:rPr>
        <w:t>,</w:t>
      </w:r>
      <w:r w:rsidRPr="00DA708F">
        <w:rPr>
          <w:rFonts w:ascii="Arial" w:hAnsi="Arial" w:cs="Arial"/>
          <w:sz w:val="22"/>
          <w:lang w:val="en-GB"/>
        </w:rPr>
        <w:t xml:space="preserve"> such as </w:t>
      </w:r>
      <w:r w:rsidRPr="00DA708F">
        <w:rPr>
          <w:rFonts w:ascii="Arial" w:hAnsi="Arial" w:cs="Arial"/>
          <w:bCs/>
          <w:sz w:val="22"/>
          <w:lang w:val="en-GB"/>
        </w:rPr>
        <w:t>social skills training</w:t>
      </w:r>
      <w:r w:rsidRPr="00DA708F">
        <w:rPr>
          <w:rFonts w:ascii="Arial" w:hAnsi="Arial" w:cs="Arial"/>
          <w:sz w:val="22"/>
          <w:lang w:val="en-GB"/>
        </w:rPr>
        <w:t xml:space="preserve"> and </w:t>
      </w:r>
      <w:r w:rsidRPr="00DA708F">
        <w:rPr>
          <w:rFonts w:ascii="Arial" w:hAnsi="Arial" w:cs="Arial"/>
          <w:bCs/>
          <w:sz w:val="22"/>
          <w:lang w:val="en-GB"/>
        </w:rPr>
        <w:t>cognitive remediation</w:t>
      </w:r>
      <w:r w:rsidR="004D1371" w:rsidRPr="00DA708F">
        <w:rPr>
          <w:rFonts w:ascii="Arial" w:hAnsi="Arial" w:cs="Arial"/>
          <w:bCs/>
          <w:sz w:val="22"/>
          <w:lang w:val="en-GB"/>
        </w:rPr>
        <w:t>,</w:t>
      </w:r>
      <w:r w:rsidRPr="00DA708F">
        <w:rPr>
          <w:rFonts w:ascii="Arial" w:hAnsi="Arial" w:cs="Arial"/>
          <w:sz w:val="22"/>
          <w:lang w:val="en-GB"/>
        </w:rPr>
        <w:t xml:space="preserve"> support functioning. Limited workforce and regional disparities restrict access to specialist psychosis therapies.</w:t>
      </w:r>
    </w:p>
    <w:p w14:paraId="3280DE39" w14:textId="77777777" w:rsidR="00E2348B" w:rsidRPr="00DA708F" w:rsidRDefault="00E2348B" w:rsidP="004E701E">
      <w:pPr>
        <w:pStyle w:val="Heading2"/>
        <w:rPr>
          <w:rFonts w:ascii="Arial" w:hAnsi="Arial" w:cs="Arial"/>
          <w:sz w:val="22"/>
          <w:szCs w:val="22"/>
          <w:lang w:val="en-GB"/>
        </w:rPr>
      </w:pPr>
      <w:bookmarkStart w:id="8" w:name="_Toc210660721"/>
      <w:r w:rsidRPr="00DA708F">
        <w:rPr>
          <w:rFonts w:ascii="Arial" w:hAnsi="Arial" w:cs="Arial"/>
          <w:sz w:val="22"/>
          <w:szCs w:val="22"/>
          <w:lang w:val="en-GB"/>
        </w:rPr>
        <w:t>Treatment evaluation and innovation</w:t>
      </w:r>
      <w:bookmarkEnd w:id="8"/>
    </w:p>
    <w:p w14:paraId="14D9F87E" w14:textId="38B22DEE" w:rsidR="00E2348B" w:rsidRDefault="00E2348B" w:rsidP="004E701E">
      <w:pPr>
        <w:rPr>
          <w:rFonts w:ascii="Arial" w:hAnsi="Arial" w:cs="Arial"/>
          <w:sz w:val="22"/>
          <w:lang w:val="en-GB"/>
        </w:rPr>
      </w:pPr>
      <w:r w:rsidRPr="00DA708F">
        <w:rPr>
          <w:rFonts w:ascii="Arial" w:hAnsi="Arial" w:cs="Arial"/>
          <w:sz w:val="22"/>
          <w:lang w:val="en-GB"/>
        </w:rPr>
        <w:t xml:space="preserve">Combining antipsychotics with CBT and family intervention yields better outcomes than medication alone. Comprehensive care must also address the high burden of </w:t>
      </w:r>
      <w:r w:rsidRPr="00DA708F">
        <w:rPr>
          <w:rFonts w:ascii="Arial" w:hAnsi="Arial" w:cs="Arial"/>
          <w:bCs/>
          <w:sz w:val="22"/>
          <w:lang w:val="en-GB"/>
        </w:rPr>
        <w:t>physical comorbidities</w:t>
      </w:r>
      <w:r w:rsidRPr="00DA708F">
        <w:rPr>
          <w:rFonts w:ascii="Arial" w:hAnsi="Arial" w:cs="Arial"/>
          <w:sz w:val="22"/>
          <w:lang w:val="en-GB"/>
        </w:rPr>
        <w:t xml:space="preserve"> and </w:t>
      </w:r>
      <w:r w:rsidRPr="00DA708F">
        <w:rPr>
          <w:rFonts w:ascii="Arial" w:hAnsi="Arial" w:cs="Arial"/>
          <w:bCs/>
          <w:sz w:val="22"/>
          <w:lang w:val="en-GB"/>
        </w:rPr>
        <w:t>suicide risk</w:t>
      </w:r>
      <w:r w:rsidRPr="00DA708F">
        <w:rPr>
          <w:rFonts w:ascii="Arial" w:hAnsi="Arial" w:cs="Arial"/>
          <w:sz w:val="22"/>
          <w:lang w:val="en-GB"/>
        </w:rPr>
        <w:t xml:space="preserve">: diabetes and cardiovascular disease contribute to excess early mortality, and about </w:t>
      </w:r>
      <w:r w:rsidRPr="00DA708F">
        <w:rPr>
          <w:rFonts w:ascii="Arial" w:hAnsi="Arial" w:cs="Arial"/>
          <w:bCs/>
          <w:sz w:val="22"/>
          <w:lang w:val="en-GB"/>
        </w:rPr>
        <w:t>4.9 %</w:t>
      </w:r>
      <w:r w:rsidRPr="00DA708F">
        <w:rPr>
          <w:rFonts w:ascii="Arial" w:hAnsi="Arial" w:cs="Arial"/>
          <w:sz w:val="22"/>
          <w:lang w:val="en-GB"/>
        </w:rPr>
        <w:t xml:space="preserve"> of people with schizophrenia die by suicide</w:t>
      </w:r>
      <w:r w:rsidR="00E264CD" w:rsidRPr="00DA708F">
        <w:rPr>
          <w:rFonts w:ascii="Arial" w:hAnsi="Arial" w:cs="Arial"/>
          <w:sz w:val="22"/>
          <w:lang w:val="en-GB"/>
        </w:rPr>
        <w:t xml:space="preserve"> </w:t>
      </w:r>
      <w:r w:rsidR="00E264CD" w:rsidRPr="00DA708F">
        <w:rPr>
          <w:rFonts w:ascii="Arial" w:hAnsi="Arial" w:cs="Arial"/>
          <w:color w:val="000000"/>
          <w:sz w:val="22"/>
          <w:shd w:val="clear" w:color="auto" w:fill="FFFFFF"/>
          <w:lang w:val="en-GB"/>
        </w:rPr>
        <w:t>(NIMH, 2018)</w:t>
      </w:r>
      <w:r w:rsidRPr="00DA708F">
        <w:rPr>
          <w:rFonts w:ascii="Arial" w:hAnsi="Arial" w:cs="Arial"/>
          <w:sz w:val="22"/>
          <w:lang w:val="en-GB"/>
        </w:rPr>
        <w:t xml:space="preserve">. </w:t>
      </w:r>
      <w:r w:rsidR="000A3536" w:rsidRPr="00DA708F">
        <w:rPr>
          <w:rFonts w:ascii="Arial" w:hAnsi="Arial" w:cs="Arial"/>
          <w:sz w:val="22"/>
          <w:lang w:val="en-GB"/>
        </w:rPr>
        <w:t>Half</w:t>
      </w:r>
      <w:r w:rsidRPr="00DA708F">
        <w:rPr>
          <w:rFonts w:ascii="Arial" w:hAnsi="Arial" w:cs="Arial"/>
          <w:sz w:val="22"/>
          <w:lang w:val="en-GB"/>
        </w:rPr>
        <w:t xml:space="preserve"> of patients have </w:t>
      </w:r>
      <w:r w:rsidR="004D1371" w:rsidRPr="00DA708F">
        <w:rPr>
          <w:rFonts w:ascii="Arial" w:hAnsi="Arial" w:cs="Arial"/>
          <w:sz w:val="22"/>
          <w:lang w:val="en-GB"/>
        </w:rPr>
        <w:t>co-occurring</w:t>
      </w:r>
      <w:r w:rsidRPr="00DA708F">
        <w:rPr>
          <w:rFonts w:ascii="Arial" w:hAnsi="Arial" w:cs="Arial"/>
          <w:sz w:val="22"/>
          <w:lang w:val="en-GB"/>
        </w:rPr>
        <w:t xml:space="preserve"> mental or </w:t>
      </w:r>
      <w:r w:rsidR="000A3536" w:rsidRPr="00DA708F">
        <w:rPr>
          <w:rFonts w:ascii="Arial" w:hAnsi="Arial" w:cs="Arial"/>
          <w:sz w:val="22"/>
          <w:lang w:val="en-GB"/>
        </w:rPr>
        <w:t>behavioral</w:t>
      </w:r>
      <w:r w:rsidRPr="00DA708F">
        <w:rPr>
          <w:rFonts w:ascii="Arial" w:hAnsi="Arial" w:cs="Arial"/>
          <w:sz w:val="22"/>
          <w:lang w:val="en-GB"/>
        </w:rPr>
        <w:t xml:space="preserve"> disorders, which </w:t>
      </w:r>
      <w:r w:rsidR="000A3536" w:rsidRPr="00DA708F">
        <w:rPr>
          <w:rFonts w:ascii="Arial" w:hAnsi="Arial" w:cs="Arial"/>
          <w:sz w:val="22"/>
          <w:lang w:val="en-GB"/>
        </w:rPr>
        <w:t>complicate</w:t>
      </w:r>
      <w:r w:rsidRPr="00DA708F">
        <w:rPr>
          <w:rFonts w:ascii="Arial" w:hAnsi="Arial" w:cs="Arial"/>
          <w:sz w:val="22"/>
          <w:lang w:val="en-GB"/>
        </w:rPr>
        <w:t xml:space="preserve"> treatment planning. </w:t>
      </w:r>
      <w:r w:rsidR="004D1371" w:rsidRPr="00DA708F">
        <w:rPr>
          <w:rFonts w:ascii="Arial" w:hAnsi="Arial" w:cs="Arial"/>
          <w:sz w:val="22"/>
          <w:lang w:val="en-GB"/>
        </w:rPr>
        <w:t>Non-adherence</w:t>
      </w:r>
      <w:r w:rsidRPr="00DA708F">
        <w:rPr>
          <w:rFonts w:ascii="Arial" w:hAnsi="Arial" w:cs="Arial"/>
          <w:sz w:val="22"/>
          <w:lang w:val="en-GB"/>
        </w:rPr>
        <w:t xml:space="preserve">, side </w:t>
      </w:r>
      <w:r w:rsidR="000A3536" w:rsidRPr="00DA708F">
        <w:rPr>
          <w:rFonts w:ascii="Arial" w:hAnsi="Arial" w:cs="Arial"/>
          <w:sz w:val="22"/>
          <w:lang w:val="en-GB"/>
        </w:rPr>
        <w:t>effects,</w:t>
      </w:r>
      <w:r w:rsidRPr="00DA708F">
        <w:rPr>
          <w:rFonts w:ascii="Arial" w:hAnsi="Arial" w:cs="Arial"/>
          <w:sz w:val="22"/>
          <w:lang w:val="en-GB"/>
        </w:rPr>
        <w:t xml:space="preserve"> and limited therapy access remain challenges. </w:t>
      </w:r>
      <w:r w:rsidRPr="00DA708F">
        <w:rPr>
          <w:rFonts w:ascii="Arial" w:hAnsi="Arial" w:cs="Arial"/>
          <w:bCs/>
          <w:sz w:val="22"/>
          <w:lang w:val="en-GB"/>
        </w:rPr>
        <w:t>Digital CBT</w:t>
      </w:r>
      <w:r w:rsidRPr="00DA708F">
        <w:rPr>
          <w:rFonts w:ascii="Arial" w:hAnsi="Arial" w:cs="Arial"/>
          <w:sz w:val="22"/>
          <w:lang w:val="en-GB"/>
        </w:rPr>
        <w:t xml:space="preserve">, </w:t>
      </w:r>
      <w:r w:rsidRPr="00DA708F">
        <w:rPr>
          <w:rFonts w:ascii="Arial" w:hAnsi="Arial" w:cs="Arial"/>
          <w:bCs/>
          <w:sz w:val="22"/>
          <w:lang w:val="en-GB"/>
        </w:rPr>
        <w:t>virtual reality therapy</w:t>
      </w:r>
      <w:r w:rsidR="004D1371" w:rsidRPr="00DA708F">
        <w:rPr>
          <w:rFonts w:ascii="Arial" w:hAnsi="Arial" w:cs="Arial"/>
          <w:bCs/>
          <w:sz w:val="22"/>
          <w:lang w:val="en-GB"/>
        </w:rPr>
        <w:t>,</w:t>
      </w:r>
      <w:r w:rsidRPr="00DA708F">
        <w:rPr>
          <w:rFonts w:ascii="Arial" w:hAnsi="Arial" w:cs="Arial"/>
          <w:sz w:val="22"/>
          <w:lang w:val="en-GB"/>
        </w:rPr>
        <w:t xml:space="preserve"> and </w:t>
      </w:r>
      <w:r w:rsidRPr="00DA708F">
        <w:rPr>
          <w:rFonts w:ascii="Arial" w:hAnsi="Arial" w:cs="Arial"/>
          <w:bCs/>
          <w:sz w:val="22"/>
          <w:lang w:val="en-GB"/>
        </w:rPr>
        <w:t>avatar therapy</w:t>
      </w:r>
      <w:r w:rsidRPr="00DA708F">
        <w:rPr>
          <w:rFonts w:ascii="Arial" w:hAnsi="Arial" w:cs="Arial"/>
          <w:sz w:val="22"/>
          <w:lang w:val="en-GB"/>
        </w:rPr>
        <w:t xml:space="preserve"> are emerging tools. </w:t>
      </w:r>
      <w:r w:rsidRPr="00DA708F">
        <w:rPr>
          <w:rFonts w:ascii="Arial" w:hAnsi="Arial" w:cs="Arial"/>
          <w:bCs/>
          <w:sz w:val="22"/>
          <w:lang w:val="en-GB"/>
        </w:rPr>
        <w:t>Neuromodulation techniques</w:t>
      </w:r>
      <w:r w:rsidRPr="00DA708F">
        <w:rPr>
          <w:rFonts w:ascii="Arial" w:hAnsi="Arial" w:cs="Arial"/>
          <w:sz w:val="22"/>
          <w:lang w:val="en-GB"/>
        </w:rPr>
        <w:t xml:space="preserve"> (transcranial magnetic stimulation and direct current stimulation) show promise for persistent negative symptoms, but evidence is preliminary</w:t>
      </w:r>
      <w:r w:rsidR="00E264CD" w:rsidRPr="00DA708F">
        <w:rPr>
          <w:rFonts w:ascii="Arial" w:hAnsi="Arial" w:cs="Arial"/>
          <w:sz w:val="22"/>
          <w:lang w:val="en-GB"/>
        </w:rPr>
        <w:t xml:space="preserve"> </w:t>
      </w:r>
      <w:r w:rsidR="00E264CD" w:rsidRPr="00DA708F">
        <w:rPr>
          <w:rFonts w:ascii="Arial" w:hAnsi="Arial" w:cs="Arial"/>
          <w:color w:val="000000"/>
          <w:sz w:val="22"/>
          <w:shd w:val="clear" w:color="auto" w:fill="FFFFFF"/>
          <w:lang w:val="en-GB"/>
        </w:rPr>
        <w:t>(van et al., 2024)</w:t>
      </w:r>
      <w:r w:rsidRPr="00DA708F">
        <w:rPr>
          <w:rFonts w:ascii="Arial" w:hAnsi="Arial" w:cs="Arial"/>
          <w:sz w:val="22"/>
          <w:lang w:val="en-GB"/>
        </w:rPr>
        <w:t xml:space="preserve">. </w:t>
      </w:r>
      <w:r w:rsidR="004D1371" w:rsidRPr="00DA708F">
        <w:rPr>
          <w:rFonts w:ascii="Arial" w:hAnsi="Arial" w:cs="Arial"/>
          <w:bCs/>
          <w:sz w:val="22"/>
          <w:lang w:val="en-GB"/>
        </w:rPr>
        <w:t>Psychedelic-assisted</w:t>
      </w:r>
      <w:r w:rsidRPr="00DA708F">
        <w:rPr>
          <w:rFonts w:ascii="Arial" w:hAnsi="Arial" w:cs="Arial"/>
          <w:bCs/>
          <w:sz w:val="22"/>
          <w:lang w:val="en-GB"/>
        </w:rPr>
        <w:t xml:space="preserve"> psychotherapy</w:t>
      </w:r>
      <w:r w:rsidRPr="00DA708F">
        <w:rPr>
          <w:rFonts w:ascii="Arial" w:hAnsi="Arial" w:cs="Arial"/>
          <w:sz w:val="22"/>
          <w:lang w:val="en-GB"/>
        </w:rPr>
        <w:t xml:space="preserve"> is being explored for other </w:t>
      </w:r>
      <w:r w:rsidR="000A3536" w:rsidRPr="00DA708F">
        <w:rPr>
          <w:rFonts w:ascii="Arial" w:hAnsi="Arial" w:cs="Arial"/>
          <w:sz w:val="22"/>
          <w:lang w:val="en-GB"/>
        </w:rPr>
        <w:t>conditions but</w:t>
      </w:r>
      <w:r w:rsidRPr="00DA708F">
        <w:rPr>
          <w:rFonts w:ascii="Arial" w:hAnsi="Arial" w:cs="Arial"/>
          <w:sz w:val="22"/>
          <w:lang w:val="en-GB"/>
        </w:rPr>
        <w:t xml:space="preserve"> is not advised for schizophrenia. Holistic care must address physical </w:t>
      </w:r>
      <w:r w:rsidR="000A3536" w:rsidRPr="00DA708F">
        <w:rPr>
          <w:rFonts w:ascii="Arial" w:hAnsi="Arial" w:cs="Arial"/>
          <w:sz w:val="22"/>
          <w:lang w:val="en-GB"/>
        </w:rPr>
        <w:t>health;</w:t>
      </w:r>
      <w:r w:rsidRPr="00DA708F">
        <w:rPr>
          <w:rFonts w:ascii="Arial" w:hAnsi="Arial" w:cs="Arial"/>
          <w:sz w:val="22"/>
          <w:lang w:val="en-GB"/>
        </w:rPr>
        <w:t xml:space="preserve"> substance use and lifestyle factors.</w:t>
      </w:r>
    </w:p>
    <w:p w14:paraId="45CD5A78" w14:textId="24DCFCE0" w:rsidR="0048793A" w:rsidRPr="0048793A" w:rsidRDefault="0048793A" w:rsidP="004E701E">
      <w:pPr>
        <w:rPr>
          <w:rFonts w:ascii="Arial" w:hAnsi="Arial" w:cs="Arial"/>
          <w:b/>
          <w:bCs/>
          <w:sz w:val="22"/>
          <w:u w:val="single"/>
          <w:lang w:val="en-GB"/>
        </w:rPr>
      </w:pPr>
      <w:r>
        <w:rPr>
          <w:rFonts w:ascii="Arial" w:hAnsi="Arial" w:cs="Arial"/>
          <w:b/>
          <w:bCs/>
          <w:sz w:val="22"/>
          <w:u w:val="single"/>
          <w:lang w:val="en-GB"/>
        </w:rPr>
        <w:lastRenderedPageBreak/>
        <w:t>REHABILITATION AND LONG TERM MANAGEMENT</w:t>
      </w:r>
    </w:p>
    <w:p w14:paraId="78FA8125" w14:textId="77777777" w:rsidR="00E2348B" w:rsidRPr="00DA708F" w:rsidRDefault="00E2348B" w:rsidP="004E701E">
      <w:pPr>
        <w:pStyle w:val="Heading2"/>
        <w:rPr>
          <w:rFonts w:ascii="Arial" w:hAnsi="Arial" w:cs="Arial"/>
          <w:sz w:val="22"/>
          <w:szCs w:val="22"/>
          <w:lang w:val="en-GB"/>
        </w:rPr>
      </w:pPr>
      <w:bookmarkStart w:id="9" w:name="_Toc210660723"/>
      <w:r w:rsidRPr="00DA708F">
        <w:rPr>
          <w:rFonts w:ascii="Arial" w:hAnsi="Arial" w:cs="Arial"/>
          <w:sz w:val="22"/>
          <w:szCs w:val="22"/>
          <w:lang w:val="en-GB"/>
        </w:rPr>
        <w:t>Rehabilitation services and social reintegration</w:t>
      </w:r>
      <w:bookmarkEnd w:id="9"/>
    </w:p>
    <w:p w14:paraId="3D394F78" w14:textId="7917B789" w:rsidR="00E2348B" w:rsidRPr="00DA708F" w:rsidRDefault="00E2348B" w:rsidP="004E701E">
      <w:pPr>
        <w:rPr>
          <w:rFonts w:ascii="Arial" w:hAnsi="Arial" w:cs="Arial"/>
          <w:sz w:val="22"/>
          <w:lang w:val="en-GB"/>
        </w:rPr>
      </w:pPr>
      <w:r w:rsidRPr="00DA708F">
        <w:rPr>
          <w:rFonts w:ascii="Arial" w:hAnsi="Arial" w:cs="Arial"/>
          <w:sz w:val="22"/>
          <w:lang w:val="en-GB"/>
        </w:rPr>
        <w:t xml:space="preserve">NICE Guideline NG181 promotes </w:t>
      </w:r>
      <w:r w:rsidRPr="00DA708F">
        <w:rPr>
          <w:rFonts w:ascii="Arial" w:hAnsi="Arial" w:cs="Arial"/>
          <w:bCs/>
          <w:sz w:val="22"/>
          <w:lang w:val="en-GB"/>
        </w:rPr>
        <w:t>multidisciplinary rehabilitation teams</w:t>
      </w:r>
      <w:r w:rsidRPr="00DA708F">
        <w:rPr>
          <w:rFonts w:ascii="Arial" w:hAnsi="Arial" w:cs="Arial"/>
          <w:sz w:val="22"/>
          <w:lang w:val="en-GB"/>
        </w:rPr>
        <w:t xml:space="preserve"> that include mental health professionals and specialists in exercise, </w:t>
      </w:r>
      <w:r w:rsidR="000A3536" w:rsidRPr="00DA708F">
        <w:rPr>
          <w:rFonts w:ascii="Arial" w:hAnsi="Arial" w:cs="Arial"/>
          <w:sz w:val="22"/>
          <w:lang w:val="en-GB"/>
        </w:rPr>
        <w:t>employment,</w:t>
      </w:r>
      <w:r w:rsidRPr="00DA708F">
        <w:rPr>
          <w:rFonts w:ascii="Arial" w:hAnsi="Arial" w:cs="Arial"/>
          <w:sz w:val="22"/>
          <w:lang w:val="en-GB"/>
        </w:rPr>
        <w:t xml:space="preserve"> and welfare</w:t>
      </w:r>
      <w:r w:rsidR="00E264CD" w:rsidRPr="00DA708F">
        <w:rPr>
          <w:rFonts w:ascii="Arial" w:hAnsi="Arial" w:cs="Arial"/>
          <w:sz w:val="22"/>
          <w:lang w:val="en-GB"/>
        </w:rPr>
        <w:t xml:space="preserve"> </w:t>
      </w:r>
      <w:r w:rsidR="00E264CD" w:rsidRPr="00DA708F">
        <w:rPr>
          <w:rFonts w:ascii="Arial" w:hAnsi="Arial" w:cs="Arial"/>
          <w:color w:val="000000"/>
          <w:sz w:val="22"/>
          <w:shd w:val="clear" w:color="auto" w:fill="FFFFFF"/>
          <w:lang w:val="en-GB"/>
        </w:rPr>
        <w:t>(NICE UK, 2020)</w:t>
      </w:r>
      <w:r w:rsidRPr="00DA708F">
        <w:rPr>
          <w:rFonts w:ascii="Arial" w:hAnsi="Arial" w:cs="Arial"/>
          <w:sz w:val="22"/>
          <w:lang w:val="en-GB"/>
        </w:rPr>
        <w:t xml:space="preserve">. These teams provide </w:t>
      </w:r>
      <w:r w:rsidRPr="00DA708F">
        <w:rPr>
          <w:rFonts w:ascii="Arial" w:hAnsi="Arial" w:cs="Arial"/>
          <w:bCs/>
          <w:sz w:val="22"/>
          <w:lang w:val="en-GB"/>
        </w:rPr>
        <w:t>supported accommodation</w:t>
      </w:r>
      <w:r w:rsidRPr="00DA708F">
        <w:rPr>
          <w:rFonts w:ascii="Arial" w:hAnsi="Arial" w:cs="Arial"/>
          <w:sz w:val="22"/>
          <w:lang w:val="en-GB"/>
        </w:rPr>
        <w:t xml:space="preserve"> and aim to help patients relearn daily skills, build confidence and pursue independence. Referral is appropriate for people with persistent psychosis and multiple admissions. Rehabilitation services assist people to recover from complex and chronic mental health conditions; </w:t>
      </w:r>
      <w:r w:rsidRPr="00DA708F">
        <w:rPr>
          <w:rFonts w:ascii="Arial" w:hAnsi="Arial" w:cs="Arial"/>
          <w:bCs/>
          <w:sz w:val="22"/>
          <w:lang w:val="en-GB"/>
        </w:rPr>
        <w:t>around 80 %</w:t>
      </w:r>
      <w:r w:rsidRPr="00DA708F">
        <w:rPr>
          <w:rFonts w:ascii="Arial" w:hAnsi="Arial" w:cs="Arial"/>
          <w:sz w:val="22"/>
          <w:lang w:val="en-GB"/>
        </w:rPr>
        <w:t xml:space="preserve"> of service users have psychosis, including schizophrenia, schizoaffective </w:t>
      </w:r>
      <w:r w:rsidR="000A3536" w:rsidRPr="00DA708F">
        <w:rPr>
          <w:rFonts w:ascii="Arial" w:hAnsi="Arial" w:cs="Arial"/>
          <w:sz w:val="22"/>
          <w:lang w:val="en-GB"/>
        </w:rPr>
        <w:t>disorder,</w:t>
      </w:r>
      <w:r w:rsidRPr="00DA708F">
        <w:rPr>
          <w:rFonts w:ascii="Arial" w:hAnsi="Arial" w:cs="Arial"/>
          <w:sz w:val="22"/>
          <w:lang w:val="en-GB"/>
        </w:rPr>
        <w:t xml:space="preserve"> or bipolar disorder</w:t>
      </w:r>
      <w:r w:rsidR="00E264CD" w:rsidRPr="00DA708F">
        <w:rPr>
          <w:rFonts w:ascii="Arial" w:hAnsi="Arial" w:cs="Arial"/>
          <w:sz w:val="22"/>
          <w:lang w:val="en-GB"/>
        </w:rPr>
        <w:t xml:space="preserve"> </w:t>
      </w:r>
      <w:r w:rsidR="00E264CD" w:rsidRPr="00DA708F">
        <w:rPr>
          <w:rFonts w:ascii="Arial" w:hAnsi="Arial" w:cs="Arial"/>
          <w:color w:val="000000"/>
          <w:sz w:val="22"/>
          <w:shd w:val="clear" w:color="auto" w:fill="FFFFFF"/>
          <w:lang w:val="en-GB"/>
        </w:rPr>
        <w:t>(Nikola Houngbedji et al., 2025)</w:t>
      </w:r>
      <w:r w:rsidRPr="00DA708F">
        <w:rPr>
          <w:rFonts w:ascii="Arial" w:hAnsi="Arial" w:cs="Arial"/>
          <w:sz w:val="22"/>
          <w:lang w:val="en-GB"/>
        </w:rPr>
        <w:t>. In the UK</w:t>
      </w:r>
      <w:r w:rsidR="004D1371" w:rsidRPr="00DA708F">
        <w:rPr>
          <w:rFonts w:ascii="Arial" w:hAnsi="Arial" w:cs="Arial"/>
          <w:sz w:val="22"/>
          <w:lang w:val="en-GB"/>
        </w:rPr>
        <w:t>,</w:t>
      </w:r>
      <w:r w:rsidRPr="00DA708F">
        <w:rPr>
          <w:rFonts w:ascii="Arial" w:hAnsi="Arial" w:cs="Arial"/>
          <w:sz w:val="22"/>
          <w:lang w:val="en-GB"/>
        </w:rPr>
        <w:t xml:space="preserve"> just over </w:t>
      </w:r>
      <w:r w:rsidRPr="00DA708F">
        <w:rPr>
          <w:rFonts w:ascii="Arial" w:hAnsi="Arial" w:cs="Arial"/>
          <w:bCs/>
          <w:sz w:val="22"/>
          <w:lang w:val="en-GB"/>
        </w:rPr>
        <w:t>half</w:t>
      </w:r>
      <w:r w:rsidRPr="00DA708F">
        <w:rPr>
          <w:rFonts w:ascii="Arial" w:hAnsi="Arial" w:cs="Arial"/>
          <w:sz w:val="22"/>
          <w:lang w:val="en-GB"/>
        </w:rPr>
        <w:t xml:space="preserve"> of rehabilitation units are </w:t>
      </w:r>
      <w:r w:rsidR="004D1371" w:rsidRPr="00DA708F">
        <w:rPr>
          <w:rFonts w:ascii="Arial" w:hAnsi="Arial" w:cs="Arial"/>
          <w:sz w:val="22"/>
          <w:lang w:val="en-GB"/>
        </w:rPr>
        <w:t>community-based</w:t>
      </w:r>
      <w:r w:rsidRPr="00DA708F">
        <w:rPr>
          <w:rFonts w:ascii="Arial" w:hAnsi="Arial" w:cs="Arial"/>
          <w:sz w:val="22"/>
          <w:lang w:val="en-GB"/>
        </w:rPr>
        <w:t xml:space="preserve">, with the rest located on hospital sites, and placements often last </w:t>
      </w:r>
      <w:r w:rsidRPr="00DA708F">
        <w:rPr>
          <w:rFonts w:ascii="Arial" w:hAnsi="Arial" w:cs="Arial"/>
          <w:bCs/>
          <w:sz w:val="22"/>
          <w:lang w:val="en-GB"/>
        </w:rPr>
        <w:t>months or years</w:t>
      </w:r>
      <w:r w:rsidRPr="00DA708F">
        <w:rPr>
          <w:rFonts w:ascii="Arial" w:hAnsi="Arial" w:cs="Arial"/>
          <w:sz w:val="22"/>
          <w:lang w:val="en-GB"/>
        </w:rPr>
        <w:t>. The multidisciplinary team comprises</w:t>
      </w:r>
      <w:r w:rsidR="002108C1" w:rsidRPr="00DA708F">
        <w:rPr>
          <w:rFonts w:ascii="Arial" w:hAnsi="Arial" w:cs="Arial"/>
          <w:sz w:val="22"/>
          <w:lang w:val="en-GB"/>
        </w:rPr>
        <w:t xml:space="preserve"> of</w:t>
      </w:r>
      <w:r w:rsidRPr="00DA708F">
        <w:rPr>
          <w:rFonts w:ascii="Arial" w:hAnsi="Arial" w:cs="Arial"/>
          <w:sz w:val="22"/>
          <w:lang w:val="en-GB"/>
        </w:rPr>
        <w:t xml:space="preserve"> psychiatrists, nurses, occupational therapists, </w:t>
      </w:r>
      <w:r w:rsidR="000A3536" w:rsidRPr="00DA708F">
        <w:rPr>
          <w:rFonts w:ascii="Arial" w:hAnsi="Arial" w:cs="Arial"/>
          <w:sz w:val="22"/>
          <w:lang w:val="en-GB"/>
        </w:rPr>
        <w:t>psychologists,</w:t>
      </w:r>
      <w:r w:rsidRPr="00DA708F">
        <w:rPr>
          <w:rFonts w:ascii="Arial" w:hAnsi="Arial" w:cs="Arial"/>
          <w:sz w:val="22"/>
          <w:lang w:val="en-GB"/>
        </w:rPr>
        <w:t xml:space="preserve"> and social workers and delivers comprehensive support such as </w:t>
      </w:r>
      <w:r w:rsidRPr="00DA708F">
        <w:rPr>
          <w:rFonts w:ascii="Arial" w:hAnsi="Arial" w:cs="Arial"/>
          <w:bCs/>
          <w:sz w:val="22"/>
          <w:lang w:val="en-GB"/>
        </w:rPr>
        <w:t>medication management</w:t>
      </w:r>
      <w:r w:rsidRPr="00DA708F">
        <w:rPr>
          <w:rFonts w:ascii="Arial" w:hAnsi="Arial" w:cs="Arial"/>
          <w:sz w:val="22"/>
          <w:lang w:val="en-GB"/>
        </w:rPr>
        <w:t xml:space="preserve">, </w:t>
      </w:r>
      <w:r w:rsidRPr="00DA708F">
        <w:rPr>
          <w:rFonts w:ascii="Arial" w:hAnsi="Arial" w:cs="Arial"/>
          <w:bCs/>
          <w:sz w:val="22"/>
          <w:lang w:val="en-GB"/>
        </w:rPr>
        <w:t>talking therapies</w:t>
      </w:r>
      <w:r w:rsidRPr="00DA708F">
        <w:rPr>
          <w:rFonts w:ascii="Arial" w:hAnsi="Arial" w:cs="Arial"/>
          <w:sz w:val="22"/>
          <w:lang w:val="en-GB"/>
        </w:rPr>
        <w:t xml:space="preserve">, assistance with </w:t>
      </w:r>
      <w:r w:rsidRPr="00DA708F">
        <w:rPr>
          <w:rFonts w:ascii="Arial" w:hAnsi="Arial" w:cs="Arial"/>
          <w:bCs/>
          <w:sz w:val="22"/>
          <w:lang w:val="en-GB"/>
        </w:rPr>
        <w:t>daily living skills</w:t>
      </w:r>
      <w:r w:rsidRPr="00DA708F">
        <w:rPr>
          <w:rFonts w:ascii="Arial" w:hAnsi="Arial" w:cs="Arial"/>
          <w:sz w:val="22"/>
          <w:lang w:val="en-GB"/>
        </w:rPr>
        <w:t xml:space="preserve"> (hygiene, budgeting, cooking), </w:t>
      </w:r>
      <w:r w:rsidRPr="00DA708F">
        <w:rPr>
          <w:rFonts w:ascii="Arial" w:hAnsi="Arial" w:cs="Arial"/>
          <w:bCs/>
          <w:sz w:val="22"/>
          <w:lang w:val="en-GB"/>
        </w:rPr>
        <w:t>healthy living advice</w:t>
      </w:r>
      <w:r w:rsidRPr="00DA708F">
        <w:rPr>
          <w:rFonts w:ascii="Arial" w:hAnsi="Arial" w:cs="Arial"/>
          <w:sz w:val="22"/>
          <w:lang w:val="en-GB"/>
        </w:rPr>
        <w:t xml:space="preserve">, </w:t>
      </w:r>
      <w:r w:rsidRPr="00DA708F">
        <w:rPr>
          <w:rFonts w:ascii="Arial" w:hAnsi="Arial" w:cs="Arial"/>
          <w:bCs/>
          <w:sz w:val="22"/>
          <w:lang w:val="en-GB"/>
        </w:rPr>
        <w:t>housing and benefits assistance</w:t>
      </w:r>
      <w:r w:rsidRPr="00DA708F">
        <w:rPr>
          <w:rFonts w:ascii="Arial" w:hAnsi="Arial" w:cs="Arial"/>
          <w:sz w:val="22"/>
          <w:lang w:val="en-GB"/>
        </w:rPr>
        <w:t xml:space="preserve"> and </w:t>
      </w:r>
      <w:r w:rsidRPr="00DA708F">
        <w:rPr>
          <w:rFonts w:ascii="Arial" w:hAnsi="Arial" w:cs="Arial"/>
          <w:bCs/>
          <w:sz w:val="22"/>
          <w:lang w:val="en-GB"/>
        </w:rPr>
        <w:t>legal guidance</w:t>
      </w:r>
      <w:r w:rsidR="00E264CD" w:rsidRPr="00DA708F">
        <w:rPr>
          <w:rFonts w:ascii="Arial" w:hAnsi="Arial" w:cs="Arial"/>
          <w:bCs/>
          <w:sz w:val="22"/>
          <w:lang w:val="en-GB"/>
        </w:rPr>
        <w:t xml:space="preserve"> </w:t>
      </w:r>
      <w:r w:rsidR="00E264CD" w:rsidRPr="00DA708F">
        <w:rPr>
          <w:rFonts w:ascii="Arial" w:hAnsi="Arial" w:cs="Arial"/>
          <w:color w:val="000000"/>
          <w:sz w:val="22"/>
          <w:shd w:val="clear" w:color="auto" w:fill="FFFFFF"/>
          <w:lang w:val="en-GB"/>
        </w:rPr>
        <w:t>(Haines et al., 2018)</w:t>
      </w:r>
      <w:r w:rsidRPr="00DA708F">
        <w:rPr>
          <w:rFonts w:ascii="Arial" w:hAnsi="Arial" w:cs="Arial"/>
          <w:sz w:val="22"/>
          <w:lang w:val="en-GB"/>
        </w:rPr>
        <w:t xml:space="preserve">. Despite benefits, NHS provision has declined: </w:t>
      </w:r>
      <w:r w:rsidRPr="00DA708F">
        <w:rPr>
          <w:rFonts w:ascii="Arial" w:hAnsi="Arial" w:cs="Arial"/>
          <w:bCs/>
          <w:sz w:val="22"/>
          <w:lang w:val="en-GB"/>
        </w:rPr>
        <w:t>In </w:t>
      </w:r>
      <w:r w:rsidR="004D1371" w:rsidRPr="00DA708F">
        <w:rPr>
          <w:rFonts w:ascii="Arial" w:hAnsi="Arial" w:cs="Arial"/>
          <w:bCs/>
          <w:sz w:val="22"/>
          <w:lang w:val="en-GB"/>
        </w:rPr>
        <w:t>Sight</w:t>
      </w:r>
      <w:r w:rsidRPr="00DA708F">
        <w:rPr>
          <w:rFonts w:ascii="Arial" w:hAnsi="Arial" w:cs="Arial"/>
          <w:bCs/>
          <w:sz w:val="22"/>
          <w:lang w:val="en-GB"/>
        </w:rPr>
        <w:t xml:space="preserve"> and in </w:t>
      </w:r>
      <w:r w:rsidR="004D1371" w:rsidRPr="00DA708F">
        <w:rPr>
          <w:rFonts w:ascii="Arial" w:hAnsi="Arial" w:cs="Arial"/>
          <w:bCs/>
          <w:sz w:val="22"/>
          <w:lang w:val="en-GB"/>
        </w:rPr>
        <w:t>Mind</w:t>
      </w:r>
      <w:r w:rsidRPr="00DA708F">
        <w:rPr>
          <w:rFonts w:ascii="Arial" w:hAnsi="Arial" w:cs="Arial"/>
          <w:sz w:val="22"/>
          <w:lang w:val="en-GB"/>
        </w:rPr>
        <w:t xml:space="preserve"> reports a loss of </w:t>
      </w:r>
      <w:r w:rsidRPr="00DA708F">
        <w:rPr>
          <w:rFonts w:ascii="Arial" w:hAnsi="Arial" w:cs="Arial"/>
          <w:bCs/>
          <w:sz w:val="22"/>
          <w:lang w:val="en-GB"/>
        </w:rPr>
        <w:t>333 rehabilitation beds</w:t>
      </w:r>
      <w:r w:rsidRPr="00DA708F">
        <w:rPr>
          <w:rFonts w:ascii="Arial" w:hAnsi="Arial" w:cs="Arial"/>
          <w:sz w:val="22"/>
          <w:lang w:val="en-GB"/>
        </w:rPr>
        <w:t xml:space="preserve"> and that fewer than </w:t>
      </w:r>
      <w:r w:rsidRPr="00DA708F">
        <w:rPr>
          <w:rFonts w:ascii="Arial" w:hAnsi="Arial" w:cs="Arial"/>
          <w:bCs/>
          <w:sz w:val="22"/>
          <w:lang w:val="en-GB"/>
        </w:rPr>
        <w:t>one in four trusts</w:t>
      </w:r>
      <w:r w:rsidRPr="00DA708F">
        <w:rPr>
          <w:rFonts w:ascii="Arial" w:hAnsi="Arial" w:cs="Arial"/>
          <w:sz w:val="22"/>
          <w:lang w:val="en-GB"/>
        </w:rPr>
        <w:t xml:space="preserve"> have community rehabilitation teams. </w:t>
      </w:r>
      <w:r w:rsidRPr="00DA708F">
        <w:rPr>
          <w:rFonts w:ascii="Arial" w:hAnsi="Arial" w:cs="Arial"/>
          <w:bCs/>
          <w:sz w:val="22"/>
          <w:lang w:val="en-GB"/>
        </w:rPr>
        <w:t>CQC</w:t>
      </w:r>
      <w:r w:rsidRPr="00DA708F">
        <w:rPr>
          <w:rFonts w:ascii="Arial" w:hAnsi="Arial" w:cs="Arial"/>
          <w:sz w:val="22"/>
          <w:lang w:val="en-GB"/>
        </w:rPr>
        <w:t xml:space="preserve"> found that </w:t>
      </w:r>
      <w:r w:rsidRPr="00DA708F">
        <w:rPr>
          <w:rFonts w:ascii="Arial" w:hAnsi="Arial" w:cs="Arial"/>
          <w:bCs/>
          <w:sz w:val="22"/>
          <w:lang w:val="en-GB"/>
        </w:rPr>
        <w:t>63 %</w:t>
      </w:r>
      <w:r w:rsidRPr="00DA708F">
        <w:rPr>
          <w:rFonts w:ascii="Arial" w:hAnsi="Arial" w:cs="Arial"/>
          <w:sz w:val="22"/>
          <w:lang w:val="en-GB"/>
        </w:rPr>
        <w:t xml:space="preserve"> of in</w:t>
      </w:r>
      <w:r w:rsidRPr="00DA708F">
        <w:rPr>
          <w:rFonts w:ascii="Arial" w:hAnsi="Arial" w:cs="Arial"/>
          <w:sz w:val="22"/>
          <w:lang w:val="en-GB"/>
        </w:rPr>
        <w:noBreakHyphen/>
        <w:t>patient placements are out of area and that a large share of the £535 million spent on rehabilitation is used for these placements, which do not always follow recognised service models</w:t>
      </w:r>
      <w:r w:rsidR="00E264CD" w:rsidRPr="00DA708F">
        <w:rPr>
          <w:rFonts w:ascii="Arial" w:hAnsi="Arial" w:cs="Arial"/>
          <w:sz w:val="22"/>
          <w:lang w:val="en-GB"/>
        </w:rPr>
        <w:t xml:space="preserve"> (</w:t>
      </w:r>
      <w:r w:rsidR="00E264CD" w:rsidRPr="00DA708F">
        <w:rPr>
          <w:rFonts w:ascii="Arial" w:hAnsi="Arial" w:cs="Arial"/>
          <w:color w:val="000000"/>
          <w:sz w:val="22"/>
          <w:lang w:val="en-GB"/>
        </w:rPr>
        <w:t>rethink.org, 2020</w:t>
      </w:r>
      <w:r w:rsidR="00E264CD" w:rsidRPr="00DA708F">
        <w:rPr>
          <w:rFonts w:ascii="Arial" w:hAnsi="Arial" w:cs="Arial"/>
          <w:sz w:val="22"/>
          <w:lang w:val="en-GB"/>
        </w:rPr>
        <w:t>)</w:t>
      </w:r>
      <w:r w:rsidRPr="00DA708F">
        <w:rPr>
          <w:rFonts w:ascii="Arial" w:hAnsi="Arial" w:cs="Arial"/>
          <w:sz w:val="22"/>
          <w:lang w:val="en-GB"/>
        </w:rPr>
        <w:t xml:space="preserve">. This reliance on </w:t>
      </w:r>
      <w:r w:rsidR="00FD292A" w:rsidRPr="00DA708F">
        <w:rPr>
          <w:rFonts w:ascii="Arial" w:hAnsi="Arial" w:cs="Arial"/>
          <w:sz w:val="22"/>
          <w:lang w:val="en-GB"/>
        </w:rPr>
        <w:t xml:space="preserve">out of </w:t>
      </w:r>
      <w:r w:rsidRPr="00DA708F">
        <w:rPr>
          <w:rFonts w:ascii="Arial" w:hAnsi="Arial" w:cs="Arial"/>
          <w:sz w:val="22"/>
          <w:lang w:val="en-GB"/>
        </w:rPr>
        <w:t>area care disrupts family support and delays social reintegration. Investment in local services and housing is essential to reverse this trend and prevent further decommissioning of beds.</w:t>
      </w:r>
    </w:p>
    <w:p w14:paraId="5AAA7F24" w14:textId="77777777" w:rsidR="00E2348B" w:rsidRPr="00DA708F" w:rsidRDefault="00E2348B" w:rsidP="004E701E">
      <w:pPr>
        <w:pStyle w:val="Heading2"/>
        <w:rPr>
          <w:rFonts w:ascii="Arial" w:hAnsi="Arial" w:cs="Arial"/>
          <w:sz w:val="22"/>
          <w:szCs w:val="22"/>
          <w:lang w:val="en-GB"/>
        </w:rPr>
      </w:pPr>
      <w:bookmarkStart w:id="10" w:name="_Toc210660724"/>
      <w:r w:rsidRPr="00DA708F">
        <w:rPr>
          <w:rFonts w:ascii="Arial" w:hAnsi="Arial" w:cs="Arial"/>
          <w:sz w:val="22"/>
          <w:szCs w:val="22"/>
          <w:lang w:val="en-GB"/>
        </w:rPr>
        <w:t>Legal framework and rights</w:t>
      </w:r>
      <w:bookmarkEnd w:id="10"/>
    </w:p>
    <w:p w14:paraId="59DC6C08" w14:textId="3A5F5A40" w:rsidR="00E2348B" w:rsidRPr="00DA708F" w:rsidRDefault="00E2348B" w:rsidP="004E701E">
      <w:pPr>
        <w:rPr>
          <w:rFonts w:ascii="Arial" w:hAnsi="Arial" w:cs="Arial"/>
          <w:sz w:val="22"/>
          <w:lang w:val="en-GB"/>
        </w:rPr>
      </w:pPr>
      <w:r w:rsidRPr="00DA708F">
        <w:rPr>
          <w:rFonts w:ascii="Arial" w:hAnsi="Arial" w:cs="Arial"/>
          <w:sz w:val="22"/>
          <w:lang w:val="en-GB"/>
        </w:rPr>
        <w:t xml:space="preserve">Occupational therapists and psychologists deliver cognitive remediation, social skills </w:t>
      </w:r>
      <w:r w:rsidR="000A3536" w:rsidRPr="00DA708F">
        <w:rPr>
          <w:rFonts w:ascii="Arial" w:hAnsi="Arial" w:cs="Arial"/>
          <w:sz w:val="22"/>
          <w:lang w:val="en-GB"/>
        </w:rPr>
        <w:t>training,</w:t>
      </w:r>
      <w:r w:rsidRPr="00DA708F">
        <w:rPr>
          <w:rFonts w:ascii="Arial" w:hAnsi="Arial" w:cs="Arial"/>
          <w:sz w:val="22"/>
          <w:lang w:val="en-GB"/>
        </w:rPr>
        <w:t xml:space="preserve"> and support </w:t>
      </w:r>
      <w:r w:rsidR="004D1371" w:rsidRPr="00DA708F">
        <w:rPr>
          <w:rFonts w:ascii="Arial" w:hAnsi="Arial" w:cs="Arial"/>
          <w:sz w:val="22"/>
          <w:lang w:val="en-GB"/>
        </w:rPr>
        <w:t xml:space="preserve">to enhance functional recovery. </w:t>
      </w:r>
      <w:r w:rsidRPr="00DA708F">
        <w:rPr>
          <w:rFonts w:ascii="Arial" w:hAnsi="Arial" w:cs="Arial"/>
          <w:sz w:val="22"/>
          <w:lang w:val="en-GB"/>
        </w:rPr>
        <w:t xml:space="preserve">The </w:t>
      </w:r>
      <w:r w:rsidRPr="00DA708F">
        <w:rPr>
          <w:rFonts w:ascii="Arial" w:hAnsi="Arial" w:cs="Arial"/>
          <w:bCs/>
          <w:sz w:val="22"/>
          <w:lang w:val="en-GB"/>
        </w:rPr>
        <w:t>Mental Health Act 1983</w:t>
      </w:r>
      <w:r w:rsidRPr="00DA708F">
        <w:rPr>
          <w:rFonts w:ascii="Arial" w:hAnsi="Arial" w:cs="Arial"/>
          <w:sz w:val="22"/>
          <w:lang w:val="en-GB"/>
        </w:rPr>
        <w:t>, amended in 2007, sets out when individuals can be detained and treated without consent. Detention requires two medical recommendations and evidence of risk</w:t>
      </w:r>
      <w:r w:rsidR="00E264CD" w:rsidRPr="00DA708F">
        <w:rPr>
          <w:rFonts w:ascii="Arial" w:hAnsi="Arial" w:cs="Arial"/>
          <w:sz w:val="22"/>
          <w:lang w:val="en-GB"/>
        </w:rPr>
        <w:t xml:space="preserve"> (</w:t>
      </w:r>
      <w:r w:rsidR="00E264CD" w:rsidRPr="00DA708F">
        <w:rPr>
          <w:rFonts w:ascii="Arial" w:hAnsi="Arial" w:cs="Arial"/>
          <w:color w:val="000000"/>
          <w:sz w:val="22"/>
          <w:lang w:val="en-GB"/>
        </w:rPr>
        <w:t>NHS, 2021</w:t>
      </w:r>
      <w:r w:rsidR="00E264CD" w:rsidRPr="00DA708F">
        <w:rPr>
          <w:rFonts w:ascii="Arial" w:hAnsi="Arial" w:cs="Arial"/>
          <w:sz w:val="22"/>
          <w:lang w:val="en-GB"/>
        </w:rPr>
        <w:t>)</w:t>
      </w:r>
      <w:r w:rsidRPr="00DA708F">
        <w:rPr>
          <w:rFonts w:ascii="Arial" w:hAnsi="Arial" w:cs="Arial"/>
          <w:sz w:val="22"/>
          <w:lang w:val="en-GB"/>
        </w:rPr>
        <w:t xml:space="preserve">. The </w:t>
      </w:r>
      <w:r w:rsidRPr="00DA708F">
        <w:rPr>
          <w:rFonts w:ascii="Arial" w:hAnsi="Arial" w:cs="Arial"/>
          <w:bCs/>
          <w:sz w:val="22"/>
          <w:lang w:val="en-GB"/>
        </w:rPr>
        <w:t>Code of Practice</w:t>
      </w:r>
      <w:r w:rsidRPr="00DA708F">
        <w:rPr>
          <w:rFonts w:ascii="Arial" w:hAnsi="Arial" w:cs="Arial"/>
          <w:sz w:val="22"/>
          <w:lang w:val="en-GB"/>
        </w:rPr>
        <w:t xml:space="preserve"> advocates five principles: use the </w:t>
      </w:r>
      <w:r w:rsidRPr="00DA708F">
        <w:rPr>
          <w:rFonts w:ascii="Arial" w:hAnsi="Arial" w:cs="Arial"/>
          <w:bCs/>
          <w:sz w:val="22"/>
          <w:lang w:val="en-GB"/>
        </w:rPr>
        <w:t>least restrictive option</w:t>
      </w:r>
      <w:r w:rsidRPr="00DA708F">
        <w:rPr>
          <w:rFonts w:ascii="Arial" w:hAnsi="Arial" w:cs="Arial"/>
          <w:sz w:val="22"/>
          <w:lang w:val="en-GB"/>
        </w:rPr>
        <w:t>, empower and involve patients, respect dignity, ensure purpose and effectiveness, and promote efficiency and equity</w:t>
      </w:r>
      <w:r w:rsidR="00E264CD" w:rsidRPr="00DA708F">
        <w:rPr>
          <w:rFonts w:ascii="Arial" w:hAnsi="Arial" w:cs="Arial"/>
          <w:sz w:val="22"/>
          <w:lang w:val="en-GB"/>
        </w:rPr>
        <w:t xml:space="preserve"> </w:t>
      </w:r>
      <w:r w:rsidR="00E264CD" w:rsidRPr="00DA708F">
        <w:rPr>
          <w:rFonts w:ascii="Arial" w:hAnsi="Arial" w:cs="Arial"/>
          <w:color w:val="000000"/>
          <w:sz w:val="22"/>
          <w:shd w:val="clear" w:color="auto" w:fill="FFFFFF"/>
          <w:lang w:val="en-GB"/>
        </w:rPr>
        <w:t>(Bingley, 2015)</w:t>
      </w:r>
      <w:r w:rsidRPr="00DA708F">
        <w:rPr>
          <w:rFonts w:ascii="Arial" w:hAnsi="Arial" w:cs="Arial"/>
          <w:sz w:val="22"/>
          <w:lang w:val="en-GB"/>
        </w:rPr>
        <w:t>. Critics highlight disproportionate impacts on ethnic minorities and call for reform. An independent review recommended reducing coercion and enhancing cultural competence; reforms are ongoing.</w:t>
      </w:r>
    </w:p>
    <w:p w14:paraId="78295495" w14:textId="77777777" w:rsidR="00E2348B" w:rsidRPr="00DA708F" w:rsidRDefault="00E2348B" w:rsidP="004E701E">
      <w:pPr>
        <w:pStyle w:val="Heading2"/>
        <w:rPr>
          <w:rFonts w:ascii="Arial" w:hAnsi="Arial" w:cs="Arial"/>
          <w:sz w:val="22"/>
          <w:szCs w:val="22"/>
          <w:lang w:val="en-GB"/>
        </w:rPr>
      </w:pPr>
      <w:bookmarkStart w:id="11" w:name="_Toc210660725"/>
      <w:r w:rsidRPr="00DA708F">
        <w:rPr>
          <w:rFonts w:ascii="Arial" w:hAnsi="Arial" w:cs="Arial"/>
          <w:sz w:val="22"/>
          <w:szCs w:val="22"/>
          <w:lang w:val="en-GB"/>
        </w:rPr>
        <w:lastRenderedPageBreak/>
        <w:t>Social support</w:t>
      </w:r>
      <w:bookmarkEnd w:id="11"/>
    </w:p>
    <w:p w14:paraId="649EC4A0" w14:textId="0CAAF934" w:rsidR="00E2348B" w:rsidRDefault="00E2348B" w:rsidP="004E701E">
      <w:pPr>
        <w:rPr>
          <w:rFonts w:ascii="Arial" w:hAnsi="Arial" w:cs="Arial"/>
          <w:sz w:val="22"/>
          <w:lang w:val="en-GB"/>
        </w:rPr>
      </w:pPr>
      <w:r w:rsidRPr="00DA708F">
        <w:rPr>
          <w:rFonts w:ascii="Arial" w:hAnsi="Arial" w:cs="Arial"/>
          <w:sz w:val="22"/>
          <w:lang w:val="en-GB"/>
        </w:rPr>
        <w:t xml:space="preserve">Family and community support underpin </w:t>
      </w:r>
      <w:r w:rsidR="004D1371" w:rsidRPr="00DA708F">
        <w:rPr>
          <w:rFonts w:ascii="Arial" w:hAnsi="Arial" w:cs="Arial"/>
          <w:sz w:val="22"/>
          <w:lang w:val="en-GB"/>
        </w:rPr>
        <w:t>long-term</w:t>
      </w:r>
      <w:r w:rsidRPr="00DA708F">
        <w:rPr>
          <w:rFonts w:ascii="Arial" w:hAnsi="Arial" w:cs="Arial"/>
          <w:sz w:val="22"/>
          <w:lang w:val="en-GB"/>
        </w:rPr>
        <w:t xml:space="preserve"> recovery. Family interventions reduce relapse. Voluntary organisations (Mind, Rethink Mental Illness, Samaritans) offer peer support, </w:t>
      </w:r>
      <w:r w:rsidR="000A3536" w:rsidRPr="00DA708F">
        <w:rPr>
          <w:rFonts w:ascii="Arial" w:hAnsi="Arial" w:cs="Arial"/>
          <w:sz w:val="22"/>
          <w:lang w:val="en-GB"/>
        </w:rPr>
        <w:t>advocacy,</w:t>
      </w:r>
      <w:r w:rsidRPr="00DA708F">
        <w:rPr>
          <w:rFonts w:ascii="Arial" w:hAnsi="Arial" w:cs="Arial"/>
          <w:sz w:val="22"/>
          <w:lang w:val="en-GB"/>
        </w:rPr>
        <w:t xml:space="preserve"> and housing advice</w:t>
      </w:r>
      <w:r w:rsidR="00E264CD" w:rsidRPr="00DA708F">
        <w:rPr>
          <w:rFonts w:ascii="Arial" w:hAnsi="Arial" w:cs="Arial"/>
          <w:sz w:val="22"/>
          <w:lang w:val="en-GB"/>
        </w:rPr>
        <w:t xml:space="preserve"> </w:t>
      </w:r>
      <w:r w:rsidR="00E264CD" w:rsidRPr="00DA708F">
        <w:rPr>
          <w:rFonts w:ascii="Arial" w:hAnsi="Arial" w:cs="Arial"/>
          <w:color w:val="000000"/>
          <w:sz w:val="22"/>
          <w:shd w:val="clear" w:color="auto" w:fill="FFFFFF"/>
          <w:lang w:val="en-GB"/>
        </w:rPr>
        <w:t>(Norton and Cuskelly, 2021)</w:t>
      </w:r>
      <w:r w:rsidRPr="00DA708F">
        <w:rPr>
          <w:rFonts w:ascii="Arial" w:hAnsi="Arial" w:cs="Arial"/>
          <w:sz w:val="22"/>
          <w:lang w:val="en-GB"/>
        </w:rPr>
        <w:t>. Supported employment and social prescribing (arts, exercise, volunteering) help people build meaningful roles. Tackling poverty, discrimination</w:t>
      </w:r>
      <w:r w:rsidR="004D1371" w:rsidRPr="00DA708F">
        <w:rPr>
          <w:rFonts w:ascii="Arial" w:hAnsi="Arial" w:cs="Arial"/>
          <w:sz w:val="22"/>
          <w:lang w:val="en-GB"/>
        </w:rPr>
        <w:t>,</w:t>
      </w:r>
      <w:r w:rsidRPr="00DA708F">
        <w:rPr>
          <w:rFonts w:ascii="Arial" w:hAnsi="Arial" w:cs="Arial"/>
          <w:sz w:val="22"/>
          <w:lang w:val="en-GB"/>
        </w:rPr>
        <w:t xml:space="preserve"> and poor housing remains crucial for sustainable recovery.</w:t>
      </w:r>
    </w:p>
    <w:p w14:paraId="74E709C3" w14:textId="118DBE6B" w:rsidR="0048793A" w:rsidRPr="0048793A" w:rsidRDefault="0048793A" w:rsidP="004E701E">
      <w:pPr>
        <w:rPr>
          <w:rFonts w:ascii="Arial" w:hAnsi="Arial" w:cs="Arial"/>
          <w:b/>
          <w:bCs/>
          <w:sz w:val="22"/>
          <w:u w:val="single"/>
          <w:lang w:val="en-GB"/>
        </w:rPr>
      </w:pPr>
      <w:r>
        <w:rPr>
          <w:rFonts w:ascii="Arial" w:hAnsi="Arial" w:cs="Arial"/>
          <w:b/>
          <w:bCs/>
          <w:sz w:val="22"/>
          <w:u w:val="single"/>
          <w:lang w:val="en-GB"/>
        </w:rPr>
        <w:t>CURRENT DEBATES AND EMERGING ISSUES</w:t>
      </w:r>
    </w:p>
    <w:p w14:paraId="62575F5E" w14:textId="77777777" w:rsidR="00E2348B" w:rsidRPr="00DA708F" w:rsidRDefault="00E2348B" w:rsidP="004E701E">
      <w:pPr>
        <w:pStyle w:val="Heading2"/>
        <w:rPr>
          <w:rFonts w:ascii="Arial" w:hAnsi="Arial" w:cs="Arial"/>
          <w:sz w:val="22"/>
          <w:szCs w:val="22"/>
          <w:lang w:val="en-GB"/>
        </w:rPr>
      </w:pPr>
      <w:bookmarkStart w:id="12" w:name="_Toc210660727"/>
      <w:r w:rsidRPr="00DA708F">
        <w:rPr>
          <w:rFonts w:ascii="Arial" w:hAnsi="Arial" w:cs="Arial"/>
          <w:sz w:val="22"/>
          <w:szCs w:val="22"/>
          <w:lang w:val="en-GB"/>
        </w:rPr>
        <w:t>Classification debates and implementation</w:t>
      </w:r>
      <w:bookmarkEnd w:id="12"/>
    </w:p>
    <w:p w14:paraId="4CF277EF" w14:textId="0C59DEEC" w:rsidR="00E2348B" w:rsidRPr="00DA708F" w:rsidRDefault="00E2348B" w:rsidP="004E701E">
      <w:pPr>
        <w:rPr>
          <w:rFonts w:ascii="Arial" w:hAnsi="Arial" w:cs="Arial"/>
          <w:sz w:val="22"/>
          <w:lang w:val="en-GB"/>
        </w:rPr>
      </w:pPr>
      <w:r w:rsidRPr="00DA708F">
        <w:rPr>
          <w:rFonts w:ascii="Arial" w:hAnsi="Arial" w:cs="Arial"/>
          <w:sz w:val="22"/>
          <w:lang w:val="en-GB"/>
        </w:rPr>
        <w:t xml:space="preserve">Some scholars question the utility of the term “schizophrenia” and advocate labels such as </w:t>
      </w:r>
      <w:r w:rsidRPr="00DA708F">
        <w:rPr>
          <w:rFonts w:ascii="Arial" w:hAnsi="Arial" w:cs="Arial"/>
          <w:i/>
          <w:iCs/>
          <w:sz w:val="22"/>
          <w:lang w:val="en-GB"/>
        </w:rPr>
        <w:t>psychosis spectrum condition</w:t>
      </w:r>
      <w:r w:rsidRPr="00DA708F">
        <w:rPr>
          <w:rFonts w:ascii="Arial" w:hAnsi="Arial" w:cs="Arial"/>
          <w:sz w:val="22"/>
          <w:lang w:val="en-GB"/>
        </w:rPr>
        <w:t xml:space="preserve"> to reduce stigma</w:t>
      </w:r>
      <w:r w:rsidR="004D1371" w:rsidRPr="00DA708F">
        <w:rPr>
          <w:rFonts w:ascii="Arial" w:hAnsi="Arial" w:cs="Arial"/>
          <w:sz w:val="22"/>
          <w:lang w:val="en-GB"/>
        </w:rPr>
        <w:t xml:space="preserve"> </w:t>
      </w:r>
      <w:r w:rsidR="004D1371" w:rsidRPr="00DA708F">
        <w:rPr>
          <w:rFonts w:ascii="Arial" w:hAnsi="Arial" w:cs="Arial"/>
          <w:color w:val="000000"/>
          <w:sz w:val="22"/>
          <w:shd w:val="clear" w:color="auto" w:fill="FFFFFF"/>
          <w:lang w:val="en-GB"/>
        </w:rPr>
        <w:t>(Lasalvia and Ruggeri, 2018)</w:t>
      </w:r>
      <w:r w:rsidRPr="00DA708F">
        <w:rPr>
          <w:rFonts w:ascii="Arial" w:hAnsi="Arial" w:cs="Arial"/>
          <w:sz w:val="22"/>
          <w:lang w:val="en-GB"/>
        </w:rPr>
        <w:t xml:space="preserve">. The </w:t>
      </w:r>
      <w:r w:rsidRPr="00DA708F">
        <w:rPr>
          <w:rFonts w:ascii="Arial" w:hAnsi="Arial" w:cs="Arial"/>
          <w:bCs/>
          <w:sz w:val="22"/>
          <w:lang w:val="en-GB"/>
        </w:rPr>
        <w:t>neurodiversity</w:t>
      </w:r>
      <w:r w:rsidRPr="00DA708F">
        <w:rPr>
          <w:rFonts w:ascii="Arial" w:hAnsi="Arial" w:cs="Arial"/>
          <w:sz w:val="22"/>
          <w:lang w:val="en-GB"/>
        </w:rPr>
        <w:t xml:space="preserve"> perspective views cognitive and perceptual differences as natural variations. </w:t>
      </w:r>
      <w:r w:rsidR="004D1371" w:rsidRPr="00DA708F">
        <w:rPr>
          <w:rFonts w:ascii="Arial" w:hAnsi="Arial" w:cs="Arial"/>
          <w:sz w:val="22"/>
          <w:lang w:val="en-GB"/>
        </w:rPr>
        <w:t>ICD-11’s</w:t>
      </w:r>
      <w:r w:rsidRPr="00DA708F">
        <w:rPr>
          <w:rFonts w:ascii="Arial" w:hAnsi="Arial" w:cs="Arial"/>
          <w:sz w:val="22"/>
          <w:lang w:val="en-GB"/>
        </w:rPr>
        <w:t xml:space="preserve"> </w:t>
      </w:r>
      <w:r w:rsidR="004D1371" w:rsidRPr="00DA708F">
        <w:rPr>
          <w:rFonts w:ascii="Arial" w:hAnsi="Arial" w:cs="Arial"/>
          <w:sz w:val="22"/>
          <w:lang w:val="en-GB"/>
        </w:rPr>
        <w:t>course-based</w:t>
      </w:r>
      <w:r w:rsidRPr="00DA708F">
        <w:rPr>
          <w:rFonts w:ascii="Arial" w:hAnsi="Arial" w:cs="Arial"/>
          <w:sz w:val="22"/>
          <w:lang w:val="en-GB"/>
        </w:rPr>
        <w:t xml:space="preserve"> approach offers more flexibility but raises concerns about premature labelling and </w:t>
      </w:r>
      <w:r w:rsidRPr="00DA708F">
        <w:rPr>
          <w:rFonts w:ascii="Arial" w:hAnsi="Arial" w:cs="Arial"/>
          <w:bCs/>
          <w:sz w:val="22"/>
          <w:lang w:val="en-GB"/>
        </w:rPr>
        <w:t>concept creep</w:t>
      </w:r>
      <w:r w:rsidR="004D1371" w:rsidRPr="00DA708F">
        <w:rPr>
          <w:rFonts w:ascii="Arial" w:hAnsi="Arial" w:cs="Arial"/>
          <w:bCs/>
          <w:sz w:val="22"/>
          <w:lang w:val="en-GB"/>
        </w:rPr>
        <w:t xml:space="preserve"> </w:t>
      </w:r>
      <w:r w:rsidR="004D1371" w:rsidRPr="00DA708F">
        <w:rPr>
          <w:rFonts w:ascii="Arial" w:hAnsi="Arial" w:cs="Arial"/>
          <w:color w:val="000000"/>
          <w:sz w:val="22"/>
          <w:shd w:val="clear" w:color="auto" w:fill="FFFFFF"/>
          <w:lang w:val="en-GB"/>
        </w:rPr>
        <w:t xml:space="preserve">(Haslam, </w:t>
      </w:r>
      <w:r w:rsidR="000A3536" w:rsidRPr="00DA708F">
        <w:rPr>
          <w:rFonts w:ascii="Arial" w:hAnsi="Arial" w:cs="Arial"/>
          <w:color w:val="000000"/>
          <w:sz w:val="22"/>
          <w:shd w:val="clear" w:color="auto" w:fill="FFFFFF"/>
          <w:lang w:val="en-GB"/>
        </w:rPr>
        <w:t>Jesse,</w:t>
      </w:r>
      <w:r w:rsidR="004D1371" w:rsidRPr="00DA708F">
        <w:rPr>
          <w:rFonts w:ascii="Arial" w:hAnsi="Arial" w:cs="Arial"/>
          <w:color w:val="000000"/>
          <w:sz w:val="22"/>
          <w:shd w:val="clear" w:color="auto" w:fill="FFFFFF"/>
          <w:lang w:val="en-GB"/>
        </w:rPr>
        <w:t xml:space="preserve"> and Deyne, 2021)</w:t>
      </w:r>
      <w:r w:rsidRPr="00DA708F">
        <w:rPr>
          <w:rFonts w:ascii="Arial" w:hAnsi="Arial" w:cs="Arial"/>
          <w:sz w:val="22"/>
          <w:lang w:val="en-GB"/>
        </w:rPr>
        <w:t xml:space="preserve">. The UK’s transition to </w:t>
      </w:r>
      <w:r w:rsidR="004D1371" w:rsidRPr="00DA708F">
        <w:rPr>
          <w:rFonts w:ascii="Arial" w:hAnsi="Arial" w:cs="Arial"/>
          <w:sz w:val="22"/>
          <w:lang w:val="en-GB"/>
        </w:rPr>
        <w:t>ICD-11</w:t>
      </w:r>
      <w:r w:rsidRPr="00DA708F">
        <w:rPr>
          <w:rFonts w:ascii="Arial" w:hAnsi="Arial" w:cs="Arial"/>
          <w:sz w:val="22"/>
          <w:lang w:val="en-GB"/>
        </w:rPr>
        <w:t xml:space="preserve"> requires clinician training and system updates; the shorter </w:t>
      </w:r>
      <w:r w:rsidR="004D1371" w:rsidRPr="00DA708F">
        <w:rPr>
          <w:rFonts w:ascii="Arial" w:hAnsi="Arial" w:cs="Arial"/>
          <w:sz w:val="22"/>
          <w:lang w:val="en-GB"/>
        </w:rPr>
        <w:t>one-month</w:t>
      </w:r>
      <w:r w:rsidRPr="00DA708F">
        <w:rPr>
          <w:rFonts w:ascii="Arial" w:hAnsi="Arial" w:cs="Arial"/>
          <w:sz w:val="22"/>
          <w:lang w:val="en-GB"/>
        </w:rPr>
        <w:t xml:space="preserve"> duration may aid earlier </w:t>
      </w:r>
      <w:r w:rsidR="000A3536" w:rsidRPr="00DA708F">
        <w:rPr>
          <w:rFonts w:ascii="Arial" w:hAnsi="Arial" w:cs="Arial"/>
          <w:sz w:val="22"/>
          <w:lang w:val="en-GB"/>
        </w:rPr>
        <w:t>intervention but</w:t>
      </w:r>
      <w:r w:rsidRPr="00DA708F">
        <w:rPr>
          <w:rFonts w:ascii="Arial" w:hAnsi="Arial" w:cs="Arial"/>
          <w:sz w:val="22"/>
          <w:lang w:val="en-GB"/>
        </w:rPr>
        <w:t xml:space="preserve"> could increase overdiagnosis in diverse populations. Overlaps between psychosis, autism and ADHD highlight the need for interdisciplinary assessments.</w:t>
      </w:r>
    </w:p>
    <w:p w14:paraId="0CEFDD0D" w14:textId="6FF5938B" w:rsidR="00E2348B" w:rsidRPr="00DA708F" w:rsidRDefault="00E2348B" w:rsidP="004E701E">
      <w:pPr>
        <w:pStyle w:val="Heading2"/>
        <w:rPr>
          <w:rFonts w:ascii="Arial" w:hAnsi="Arial" w:cs="Arial"/>
          <w:sz w:val="22"/>
          <w:szCs w:val="22"/>
          <w:lang w:val="en-GB"/>
        </w:rPr>
      </w:pPr>
      <w:bookmarkStart w:id="13" w:name="_Toc210660728"/>
      <w:r w:rsidRPr="00DA708F">
        <w:rPr>
          <w:rFonts w:ascii="Arial" w:hAnsi="Arial" w:cs="Arial"/>
          <w:sz w:val="22"/>
          <w:szCs w:val="22"/>
          <w:lang w:val="en-GB"/>
        </w:rPr>
        <w:t xml:space="preserve">Policy, </w:t>
      </w:r>
      <w:r w:rsidR="000A3536" w:rsidRPr="00DA708F">
        <w:rPr>
          <w:rFonts w:ascii="Arial" w:hAnsi="Arial" w:cs="Arial"/>
          <w:sz w:val="22"/>
          <w:szCs w:val="22"/>
          <w:lang w:val="en-GB"/>
        </w:rPr>
        <w:t>inequalities,</w:t>
      </w:r>
      <w:r w:rsidRPr="00DA708F">
        <w:rPr>
          <w:rFonts w:ascii="Arial" w:hAnsi="Arial" w:cs="Arial"/>
          <w:sz w:val="22"/>
          <w:szCs w:val="22"/>
          <w:lang w:val="en-GB"/>
        </w:rPr>
        <w:t xml:space="preserve"> and emerging therapies</w:t>
      </w:r>
      <w:bookmarkEnd w:id="13"/>
    </w:p>
    <w:p w14:paraId="233E715C" w14:textId="77777777" w:rsidR="009675C5" w:rsidRDefault="00E2348B" w:rsidP="009675C5">
      <w:pPr>
        <w:rPr>
          <w:rFonts w:ascii="Arial" w:hAnsi="Arial" w:cs="Arial"/>
          <w:sz w:val="22"/>
          <w:lang w:val="en-GB"/>
        </w:rPr>
      </w:pPr>
      <w:r w:rsidRPr="00DA708F">
        <w:rPr>
          <w:rFonts w:ascii="Arial" w:hAnsi="Arial" w:cs="Arial"/>
          <w:sz w:val="22"/>
          <w:lang w:val="en-GB"/>
        </w:rPr>
        <w:t xml:space="preserve">Critics warn that broadening diagnostic categories may cause 'concept creep', </w:t>
      </w:r>
      <w:r w:rsidR="000A3536" w:rsidRPr="00DA708F">
        <w:rPr>
          <w:rFonts w:ascii="Arial" w:hAnsi="Arial" w:cs="Arial"/>
          <w:sz w:val="22"/>
          <w:lang w:val="en-GB"/>
        </w:rPr>
        <w:t>pathologizing</w:t>
      </w:r>
      <w:r w:rsidRPr="00DA708F">
        <w:rPr>
          <w:rFonts w:ascii="Arial" w:hAnsi="Arial" w:cs="Arial"/>
          <w:sz w:val="22"/>
          <w:lang w:val="en-GB"/>
        </w:rPr>
        <w:t xml:space="preserve"> milder experiences, while others say it recog</w:t>
      </w:r>
      <w:r w:rsidR="004D1371" w:rsidRPr="00DA708F">
        <w:rPr>
          <w:rFonts w:ascii="Arial" w:hAnsi="Arial" w:cs="Arial"/>
          <w:sz w:val="22"/>
          <w:lang w:val="en-GB"/>
        </w:rPr>
        <w:t xml:space="preserve">nises a continuum of psychosis. </w:t>
      </w:r>
      <w:r w:rsidRPr="00DA708F">
        <w:rPr>
          <w:rFonts w:ascii="Arial" w:hAnsi="Arial" w:cs="Arial"/>
          <w:sz w:val="22"/>
          <w:lang w:val="en-GB"/>
        </w:rPr>
        <w:t xml:space="preserve">Despite the </w:t>
      </w:r>
      <w:r w:rsidRPr="00DA708F">
        <w:rPr>
          <w:rFonts w:ascii="Arial" w:hAnsi="Arial" w:cs="Arial"/>
          <w:bCs/>
          <w:sz w:val="22"/>
          <w:lang w:val="en-GB"/>
        </w:rPr>
        <w:t>Equality Act 2010</w:t>
      </w:r>
      <w:r w:rsidRPr="00DA708F">
        <w:rPr>
          <w:rFonts w:ascii="Arial" w:hAnsi="Arial" w:cs="Arial"/>
          <w:sz w:val="22"/>
          <w:lang w:val="en-GB"/>
        </w:rPr>
        <w:t xml:space="preserve">, </w:t>
      </w:r>
      <w:r w:rsidR="000A3536" w:rsidRPr="00DA708F">
        <w:rPr>
          <w:rFonts w:ascii="Arial" w:hAnsi="Arial" w:cs="Arial"/>
          <w:sz w:val="22"/>
          <w:lang w:val="en-GB"/>
        </w:rPr>
        <w:t>employment,</w:t>
      </w:r>
      <w:r w:rsidRPr="00DA708F">
        <w:rPr>
          <w:rFonts w:ascii="Arial" w:hAnsi="Arial" w:cs="Arial"/>
          <w:sz w:val="22"/>
          <w:lang w:val="en-GB"/>
        </w:rPr>
        <w:t xml:space="preserve"> and housing outcomes for people with schizophrenia remain poor</w:t>
      </w:r>
      <w:r w:rsidR="004D1371" w:rsidRPr="00DA708F">
        <w:rPr>
          <w:rFonts w:ascii="Arial" w:hAnsi="Arial" w:cs="Arial"/>
          <w:sz w:val="22"/>
          <w:lang w:val="en-GB"/>
        </w:rPr>
        <w:t xml:space="preserve"> </w:t>
      </w:r>
      <w:r w:rsidR="004D1371" w:rsidRPr="00DA708F">
        <w:rPr>
          <w:rFonts w:ascii="Arial" w:hAnsi="Arial" w:cs="Arial"/>
          <w:color w:val="000000"/>
          <w:sz w:val="22"/>
          <w:shd w:val="clear" w:color="auto" w:fill="FFFFFF"/>
          <w:lang w:val="en-GB"/>
        </w:rPr>
        <w:t>(Fond et al., 2023)</w:t>
      </w:r>
      <w:r w:rsidRPr="00DA708F">
        <w:rPr>
          <w:rFonts w:ascii="Arial" w:hAnsi="Arial" w:cs="Arial"/>
          <w:sz w:val="22"/>
          <w:lang w:val="en-GB"/>
        </w:rPr>
        <w:t xml:space="preserve">. Government strategies emphasise integrated care and parity between mental and physical health, but funding gaps and regional inequalities persist. Digital tools offer scalable support, and </w:t>
      </w:r>
      <w:r w:rsidRPr="00DA708F">
        <w:rPr>
          <w:rFonts w:ascii="Arial" w:hAnsi="Arial" w:cs="Arial"/>
          <w:bCs/>
          <w:sz w:val="22"/>
          <w:lang w:val="en-GB"/>
        </w:rPr>
        <w:t>avatar therapy</w:t>
      </w:r>
      <w:r w:rsidRPr="00DA708F">
        <w:rPr>
          <w:rFonts w:ascii="Arial" w:hAnsi="Arial" w:cs="Arial"/>
          <w:sz w:val="22"/>
          <w:lang w:val="en-GB"/>
        </w:rPr>
        <w:t xml:space="preserve"> enables patients to dialogue with their hallucinations. </w:t>
      </w:r>
      <w:r w:rsidR="004D1371" w:rsidRPr="00DA708F">
        <w:rPr>
          <w:rFonts w:ascii="Arial" w:hAnsi="Arial" w:cs="Arial"/>
          <w:sz w:val="22"/>
          <w:lang w:val="en-GB"/>
        </w:rPr>
        <w:t xml:space="preserve">According to </w:t>
      </w:r>
      <w:r w:rsidR="004D1371" w:rsidRPr="00DA708F">
        <w:rPr>
          <w:rFonts w:ascii="Arial" w:hAnsi="Arial" w:cs="Arial"/>
          <w:color w:val="000000"/>
          <w:sz w:val="22"/>
          <w:shd w:val="clear" w:color="auto" w:fill="FFFFFF"/>
          <w:lang w:val="en-GB"/>
        </w:rPr>
        <w:t>Saini et al. (2018), t</w:t>
      </w:r>
      <w:r w:rsidRPr="00DA708F">
        <w:rPr>
          <w:rFonts w:ascii="Arial" w:hAnsi="Arial" w:cs="Arial"/>
          <w:bCs/>
          <w:sz w:val="22"/>
          <w:lang w:val="en-GB"/>
        </w:rPr>
        <w:t>ranscranial magnetic stimulation</w:t>
      </w:r>
      <w:r w:rsidRPr="00DA708F">
        <w:rPr>
          <w:rFonts w:ascii="Arial" w:hAnsi="Arial" w:cs="Arial"/>
          <w:sz w:val="22"/>
          <w:lang w:val="en-GB"/>
        </w:rPr>
        <w:t xml:space="preserve"> and </w:t>
      </w:r>
      <w:r w:rsidRPr="00DA708F">
        <w:rPr>
          <w:rFonts w:ascii="Arial" w:hAnsi="Arial" w:cs="Arial"/>
          <w:bCs/>
          <w:sz w:val="22"/>
          <w:lang w:val="en-GB"/>
        </w:rPr>
        <w:t>direct current stimulation</w:t>
      </w:r>
      <w:r w:rsidRPr="00DA708F">
        <w:rPr>
          <w:rFonts w:ascii="Arial" w:hAnsi="Arial" w:cs="Arial"/>
          <w:sz w:val="22"/>
          <w:lang w:val="en-GB"/>
        </w:rPr>
        <w:t xml:space="preserve"> show modest effects for refractory symptoms, whereas </w:t>
      </w:r>
      <w:r w:rsidR="004D1371" w:rsidRPr="00DA708F">
        <w:rPr>
          <w:rFonts w:ascii="Arial" w:hAnsi="Arial" w:cs="Arial"/>
          <w:bCs/>
          <w:sz w:val="22"/>
          <w:lang w:val="en-GB"/>
        </w:rPr>
        <w:t>psychedelic-assisted</w:t>
      </w:r>
      <w:r w:rsidRPr="00DA708F">
        <w:rPr>
          <w:rFonts w:ascii="Arial" w:hAnsi="Arial" w:cs="Arial"/>
          <w:bCs/>
          <w:sz w:val="22"/>
          <w:lang w:val="en-GB"/>
        </w:rPr>
        <w:t xml:space="preserve"> psychotherapy</w:t>
      </w:r>
      <w:r w:rsidRPr="00DA708F">
        <w:rPr>
          <w:rFonts w:ascii="Arial" w:hAnsi="Arial" w:cs="Arial"/>
          <w:sz w:val="22"/>
          <w:lang w:val="en-GB"/>
        </w:rPr>
        <w:t xml:space="preserve"> is restricted to research settings due to safety concerns. Ethical and equitable access is essential as innovations develop.</w:t>
      </w:r>
      <w:bookmarkStart w:id="14" w:name="_Toc210660729"/>
    </w:p>
    <w:p w14:paraId="09A372DE" w14:textId="7E769C2B" w:rsidR="0073333A" w:rsidRDefault="0073333A" w:rsidP="009675C5">
      <w:pPr>
        <w:rPr>
          <w:rFonts w:ascii="Arial" w:hAnsi="Arial" w:cs="Arial"/>
          <w:sz w:val="22"/>
          <w:lang w:val="en-GB"/>
        </w:rPr>
      </w:pPr>
      <w:r>
        <w:rPr>
          <w:rFonts w:ascii="Arial" w:hAnsi="Arial" w:cs="Arial"/>
          <w:sz w:val="22"/>
          <w:lang w:val="en-GB"/>
        </w:rPr>
        <w:t>RECOMMENDATIONS</w:t>
      </w:r>
    </w:p>
    <w:bookmarkEnd w:id="14"/>
    <w:p w14:paraId="723B8A87" w14:textId="222616E6" w:rsidR="005711AB" w:rsidRPr="00DA708F" w:rsidRDefault="005711AB" w:rsidP="005711AB">
      <w:pPr>
        <w:pStyle w:val="ListParagraph"/>
        <w:numPr>
          <w:ilvl w:val="0"/>
          <w:numId w:val="2"/>
        </w:numPr>
        <w:rPr>
          <w:rFonts w:ascii="Arial" w:hAnsi="Arial" w:cs="Arial"/>
          <w:b/>
          <w:bCs/>
          <w:sz w:val="22"/>
          <w:lang w:val="en-GB"/>
        </w:rPr>
      </w:pPr>
      <w:r w:rsidRPr="00DA708F">
        <w:rPr>
          <w:rFonts w:ascii="Arial" w:hAnsi="Arial" w:cs="Arial"/>
          <w:b/>
          <w:bCs/>
          <w:sz w:val="22"/>
          <w:lang w:val="en-GB"/>
        </w:rPr>
        <w:t>Improve Diagnosis and Classification</w:t>
      </w:r>
    </w:p>
    <w:p w14:paraId="5691B746" w14:textId="563E3ED4" w:rsidR="005711AB" w:rsidRPr="00DA708F" w:rsidRDefault="005711AB" w:rsidP="008D5875">
      <w:pPr>
        <w:ind w:left="720"/>
        <w:rPr>
          <w:rFonts w:ascii="Arial" w:hAnsi="Arial" w:cs="Arial"/>
          <w:sz w:val="22"/>
          <w:lang w:val="en-GB"/>
        </w:rPr>
      </w:pPr>
      <w:r w:rsidRPr="00DA708F">
        <w:rPr>
          <w:rFonts w:ascii="Arial" w:hAnsi="Arial" w:cs="Arial"/>
          <w:sz w:val="22"/>
          <w:lang w:val="en-GB"/>
        </w:rPr>
        <w:t xml:space="preserve">Involve service users in diagnostic formulation and use person-centred language to reduce stigma (Mitchell, Cribb and Entwistle, 2023). Clinicians should be trained in </w:t>
      </w:r>
      <w:r w:rsidRPr="00DA708F">
        <w:rPr>
          <w:rFonts w:ascii="Arial" w:hAnsi="Arial" w:cs="Arial"/>
          <w:sz w:val="22"/>
          <w:lang w:val="en-GB"/>
        </w:rPr>
        <w:lastRenderedPageBreak/>
        <w:t>neurodiversity and cultural competence, and early intervention services must be expanded to reduce delays.</w:t>
      </w:r>
    </w:p>
    <w:p w14:paraId="2F30DF3C" w14:textId="1B40C994" w:rsidR="005711AB" w:rsidRPr="00DA708F" w:rsidRDefault="005711AB" w:rsidP="005711AB">
      <w:pPr>
        <w:pStyle w:val="ListParagraph"/>
        <w:numPr>
          <w:ilvl w:val="0"/>
          <w:numId w:val="2"/>
        </w:numPr>
        <w:rPr>
          <w:rFonts w:ascii="Arial" w:hAnsi="Arial" w:cs="Arial"/>
          <w:b/>
          <w:bCs/>
          <w:sz w:val="22"/>
          <w:lang w:val="en-GB"/>
        </w:rPr>
      </w:pPr>
      <w:r w:rsidRPr="00DA708F">
        <w:rPr>
          <w:rFonts w:ascii="Arial" w:hAnsi="Arial" w:cs="Arial"/>
          <w:b/>
          <w:bCs/>
          <w:sz w:val="22"/>
          <w:lang w:val="en-GB"/>
        </w:rPr>
        <w:t>Enhance Treatment Access and Quality</w:t>
      </w:r>
    </w:p>
    <w:p w14:paraId="13EDBB4D" w14:textId="3D02A722" w:rsidR="005711AB" w:rsidRPr="00DA708F" w:rsidRDefault="005711AB" w:rsidP="008D5875">
      <w:pPr>
        <w:ind w:left="720"/>
        <w:rPr>
          <w:rFonts w:ascii="Arial" w:hAnsi="Arial" w:cs="Arial"/>
          <w:sz w:val="22"/>
          <w:lang w:val="en-GB"/>
        </w:rPr>
      </w:pPr>
      <w:r w:rsidRPr="00DA708F">
        <w:rPr>
          <w:rFonts w:ascii="Arial" w:hAnsi="Arial" w:cs="Arial"/>
          <w:sz w:val="22"/>
          <w:lang w:val="en-GB"/>
        </w:rPr>
        <w:t>Shared decision-making should be embedded across care pathways, with clear communication about medication side effects (Fiorillo et al., 2020). Digital platforms should be utilised to increase access to CBT and family interventions.</w:t>
      </w:r>
    </w:p>
    <w:p w14:paraId="22374165" w14:textId="23F3DECE" w:rsidR="005711AB" w:rsidRPr="00DA708F" w:rsidRDefault="005711AB" w:rsidP="005711AB">
      <w:pPr>
        <w:pStyle w:val="ListParagraph"/>
        <w:numPr>
          <w:ilvl w:val="0"/>
          <w:numId w:val="2"/>
        </w:numPr>
        <w:rPr>
          <w:rFonts w:ascii="Arial" w:hAnsi="Arial" w:cs="Arial"/>
          <w:b/>
          <w:bCs/>
          <w:sz w:val="22"/>
          <w:lang w:val="en-GB"/>
        </w:rPr>
      </w:pPr>
      <w:r w:rsidRPr="00DA708F">
        <w:rPr>
          <w:rFonts w:ascii="Arial" w:hAnsi="Arial" w:cs="Arial"/>
          <w:b/>
          <w:bCs/>
          <w:sz w:val="22"/>
          <w:lang w:val="en-GB"/>
        </w:rPr>
        <w:t>Strengthen Rehabilitation and Social Support</w:t>
      </w:r>
    </w:p>
    <w:p w14:paraId="7C95828E" w14:textId="75B8BC3D" w:rsidR="005711AB" w:rsidRPr="00DA708F" w:rsidRDefault="005711AB" w:rsidP="008D5875">
      <w:pPr>
        <w:ind w:left="720"/>
        <w:rPr>
          <w:rFonts w:ascii="Arial" w:hAnsi="Arial" w:cs="Arial"/>
          <w:sz w:val="22"/>
          <w:lang w:val="en-GB"/>
        </w:rPr>
      </w:pPr>
      <w:r w:rsidRPr="00DA708F">
        <w:rPr>
          <w:rFonts w:ascii="Arial" w:hAnsi="Arial" w:cs="Arial"/>
          <w:sz w:val="22"/>
          <w:lang w:val="en-GB"/>
        </w:rPr>
        <w:t>Reinvest in community-based rehabilitation and supported housing to end out-of-area placements. Legal reforms should reduce coercion and address racial inequalities (Every-Palmer et al., 2021).</w:t>
      </w:r>
    </w:p>
    <w:p w14:paraId="0EBE7128" w14:textId="439F7D16" w:rsidR="005711AB" w:rsidRPr="00DA708F" w:rsidRDefault="005711AB" w:rsidP="005711AB">
      <w:pPr>
        <w:pStyle w:val="ListParagraph"/>
        <w:numPr>
          <w:ilvl w:val="0"/>
          <w:numId w:val="2"/>
        </w:numPr>
        <w:rPr>
          <w:rFonts w:ascii="Arial" w:hAnsi="Arial" w:cs="Arial"/>
          <w:b/>
          <w:bCs/>
          <w:sz w:val="22"/>
          <w:lang w:val="en-GB"/>
        </w:rPr>
      </w:pPr>
      <w:r w:rsidRPr="00DA708F">
        <w:rPr>
          <w:rFonts w:ascii="Arial" w:hAnsi="Arial" w:cs="Arial"/>
          <w:b/>
          <w:bCs/>
          <w:sz w:val="22"/>
          <w:lang w:val="en-GB"/>
        </w:rPr>
        <w:t>Policy and Funding Reform</w:t>
      </w:r>
    </w:p>
    <w:p w14:paraId="35E3A29F" w14:textId="559A5FC8" w:rsidR="00E2348B" w:rsidRDefault="005711AB" w:rsidP="008D5875">
      <w:pPr>
        <w:ind w:left="720"/>
        <w:rPr>
          <w:rFonts w:ascii="Arial" w:hAnsi="Arial" w:cs="Arial"/>
          <w:sz w:val="22"/>
          <w:lang w:val="en-GB"/>
        </w:rPr>
      </w:pPr>
      <w:r w:rsidRPr="00DA708F">
        <w:rPr>
          <w:rFonts w:ascii="Arial" w:hAnsi="Arial" w:cs="Arial"/>
          <w:sz w:val="22"/>
          <w:lang w:val="en-GB"/>
        </w:rPr>
        <w:t>Sustainable funding and intersectoral collaboration between the NHS, local authorities, and voluntary organisations are essential. The Equality Act (2010) must be fully implemented to ensure workplace inclusion (NHS England, 2023).</w:t>
      </w:r>
    </w:p>
    <w:p w14:paraId="007BE4FF" w14:textId="77777777" w:rsidR="00C56935" w:rsidRDefault="00C56935" w:rsidP="008D5875">
      <w:pPr>
        <w:ind w:left="720"/>
        <w:rPr>
          <w:rFonts w:ascii="Arial" w:hAnsi="Arial" w:cs="Arial"/>
          <w:sz w:val="22"/>
          <w:lang w:val="en-GB"/>
        </w:rPr>
      </w:pPr>
    </w:p>
    <w:p w14:paraId="7CB5D4EF" w14:textId="20BFE21D" w:rsidR="00C56935" w:rsidRPr="00C56935" w:rsidRDefault="00C56935" w:rsidP="008D5875">
      <w:pPr>
        <w:ind w:left="720"/>
        <w:rPr>
          <w:rFonts w:ascii="Arial" w:hAnsi="Arial" w:cs="Arial"/>
          <w:b/>
          <w:bCs/>
          <w:sz w:val="22"/>
          <w:lang w:val="en-GB"/>
        </w:rPr>
      </w:pPr>
      <w:r w:rsidRPr="00C56935">
        <w:rPr>
          <w:rFonts w:ascii="Arial" w:hAnsi="Arial" w:cs="Arial"/>
          <w:b/>
          <w:bCs/>
          <w:sz w:val="22"/>
          <w:lang w:val="en-GB"/>
        </w:rPr>
        <w:t>CONCLUSION</w:t>
      </w:r>
    </w:p>
    <w:p w14:paraId="6100E41D" w14:textId="22297396" w:rsidR="00E2348B" w:rsidRPr="00DA708F" w:rsidRDefault="00E2348B" w:rsidP="004E701E">
      <w:pPr>
        <w:rPr>
          <w:rFonts w:ascii="Arial" w:hAnsi="Arial" w:cs="Arial"/>
          <w:sz w:val="22"/>
          <w:lang w:val="en-GB"/>
        </w:rPr>
      </w:pPr>
      <w:r w:rsidRPr="00DA708F">
        <w:rPr>
          <w:rFonts w:ascii="Arial" w:hAnsi="Arial" w:cs="Arial"/>
          <w:sz w:val="22"/>
          <w:lang w:val="en-GB"/>
        </w:rPr>
        <w:t xml:space="preserve">Schizophrenia is a complex disorder that affects roughly </w:t>
      </w:r>
      <w:r w:rsidRPr="00DA708F">
        <w:rPr>
          <w:rFonts w:ascii="Arial" w:hAnsi="Arial" w:cs="Arial"/>
          <w:bCs/>
          <w:sz w:val="22"/>
          <w:lang w:val="en-GB"/>
        </w:rPr>
        <w:t>1 %</w:t>
      </w:r>
      <w:r w:rsidRPr="00DA708F">
        <w:rPr>
          <w:rFonts w:ascii="Arial" w:hAnsi="Arial" w:cs="Arial"/>
          <w:sz w:val="22"/>
          <w:lang w:val="en-GB"/>
        </w:rPr>
        <w:t xml:space="preserve"> of people and places </w:t>
      </w:r>
      <w:r w:rsidR="004D1371" w:rsidRPr="00DA708F">
        <w:rPr>
          <w:rFonts w:ascii="Arial" w:hAnsi="Arial" w:cs="Arial"/>
          <w:sz w:val="22"/>
          <w:lang w:val="en-GB"/>
        </w:rPr>
        <w:t xml:space="preserve">a </w:t>
      </w:r>
      <w:r w:rsidRPr="00DA708F">
        <w:rPr>
          <w:rFonts w:ascii="Arial" w:hAnsi="Arial" w:cs="Arial"/>
          <w:sz w:val="22"/>
          <w:lang w:val="en-GB"/>
        </w:rPr>
        <w:t xml:space="preserve">significant </w:t>
      </w:r>
      <w:r w:rsidR="004D1371" w:rsidRPr="00DA708F">
        <w:rPr>
          <w:rFonts w:ascii="Arial" w:hAnsi="Arial" w:cs="Arial"/>
          <w:sz w:val="22"/>
          <w:lang w:val="en-GB"/>
        </w:rPr>
        <w:t>burden</w:t>
      </w:r>
      <w:r w:rsidRPr="00DA708F">
        <w:rPr>
          <w:rFonts w:ascii="Arial" w:hAnsi="Arial" w:cs="Arial"/>
          <w:sz w:val="22"/>
          <w:lang w:val="en-GB"/>
        </w:rPr>
        <w:t xml:space="preserve"> on individuals and society. </w:t>
      </w:r>
      <w:r w:rsidR="004D1371" w:rsidRPr="00DA708F">
        <w:rPr>
          <w:rFonts w:ascii="Arial" w:hAnsi="Arial" w:cs="Arial"/>
          <w:sz w:val="22"/>
          <w:lang w:val="en-GB"/>
        </w:rPr>
        <w:t>ICD-11’s</w:t>
      </w:r>
      <w:r w:rsidRPr="00DA708F">
        <w:rPr>
          <w:rFonts w:ascii="Arial" w:hAnsi="Arial" w:cs="Arial"/>
          <w:sz w:val="22"/>
          <w:lang w:val="en-GB"/>
        </w:rPr>
        <w:t xml:space="preserve"> </w:t>
      </w:r>
      <w:r w:rsidR="004D1371" w:rsidRPr="00DA708F">
        <w:rPr>
          <w:rFonts w:ascii="Arial" w:hAnsi="Arial" w:cs="Arial"/>
          <w:sz w:val="22"/>
          <w:lang w:val="en-GB"/>
        </w:rPr>
        <w:t>course-based</w:t>
      </w:r>
      <w:r w:rsidRPr="00DA708F">
        <w:rPr>
          <w:rFonts w:ascii="Arial" w:hAnsi="Arial" w:cs="Arial"/>
          <w:sz w:val="22"/>
          <w:lang w:val="en-GB"/>
        </w:rPr>
        <w:t xml:space="preserve"> classification offers a more dynamic framework for diagnosis, while </w:t>
      </w:r>
      <w:r w:rsidR="004D1371" w:rsidRPr="00DA708F">
        <w:rPr>
          <w:rFonts w:ascii="Arial" w:hAnsi="Arial" w:cs="Arial"/>
          <w:sz w:val="22"/>
          <w:lang w:val="en-GB"/>
        </w:rPr>
        <w:t>DSM-5</w:t>
      </w:r>
      <w:r w:rsidRPr="00DA708F">
        <w:rPr>
          <w:rFonts w:ascii="Arial" w:hAnsi="Arial" w:cs="Arial"/>
          <w:sz w:val="22"/>
          <w:lang w:val="en-GB"/>
        </w:rPr>
        <w:t xml:space="preserve"> retains </w:t>
      </w:r>
      <w:r w:rsidR="004D1371" w:rsidRPr="00DA708F">
        <w:rPr>
          <w:rFonts w:ascii="Arial" w:hAnsi="Arial" w:cs="Arial"/>
          <w:sz w:val="22"/>
          <w:lang w:val="en-GB"/>
        </w:rPr>
        <w:t>symptom-based</w:t>
      </w:r>
      <w:r w:rsidRPr="00DA708F">
        <w:rPr>
          <w:rFonts w:ascii="Arial" w:hAnsi="Arial" w:cs="Arial"/>
          <w:sz w:val="22"/>
          <w:lang w:val="en-GB"/>
        </w:rPr>
        <w:t xml:space="preserve"> criteria with longer duration requirements. In the UK, NICE guidelines advocate a combination of antipsychotic medication and psychological therapies, complemented by comprehensive physical health monitoring. Rehabilitation is crucial for those with persistent symptoms, yet service provision is inconsistent and often undermined by </w:t>
      </w:r>
      <w:r w:rsidR="004D1371" w:rsidRPr="00DA708F">
        <w:rPr>
          <w:rFonts w:ascii="Arial" w:hAnsi="Arial" w:cs="Arial"/>
          <w:sz w:val="22"/>
          <w:lang w:val="en-GB"/>
        </w:rPr>
        <w:t>out-of-area</w:t>
      </w:r>
      <w:r w:rsidRPr="00DA708F">
        <w:rPr>
          <w:rFonts w:ascii="Arial" w:hAnsi="Arial" w:cs="Arial"/>
          <w:sz w:val="22"/>
          <w:lang w:val="en-GB"/>
        </w:rPr>
        <w:t xml:space="preserve"> placements and bed closures. The Mental Health Act provides legal safeguards but requires reform </w:t>
      </w:r>
      <w:r w:rsidR="00E264CD" w:rsidRPr="00DA708F">
        <w:rPr>
          <w:rFonts w:ascii="Arial" w:hAnsi="Arial" w:cs="Arial"/>
          <w:sz w:val="22"/>
          <w:lang w:val="en-GB"/>
        </w:rPr>
        <w:t xml:space="preserve">to enhance equity and autonomy. </w:t>
      </w:r>
      <w:r w:rsidRPr="00DA708F">
        <w:rPr>
          <w:rFonts w:ascii="Arial" w:hAnsi="Arial" w:cs="Arial"/>
          <w:sz w:val="22"/>
          <w:lang w:val="en-GB"/>
        </w:rPr>
        <w:t>Future progress hinges on integrated care</w:t>
      </w:r>
      <w:r w:rsidR="002277E0" w:rsidRPr="00DA708F">
        <w:rPr>
          <w:rFonts w:ascii="Arial" w:hAnsi="Arial" w:cs="Arial"/>
          <w:sz w:val="22"/>
          <w:lang w:val="en-GB"/>
        </w:rPr>
        <w:t>, which combines clinical, social,</w:t>
      </w:r>
      <w:r w:rsidRPr="00DA708F">
        <w:rPr>
          <w:rFonts w:ascii="Arial" w:hAnsi="Arial" w:cs="Arial"/>
          <w:sz w:val="22"/>
          <w:lang w:val="en-GB"/>
        </w:rPr>
        <w:t xml:space="preserve"> and legal reforms. Addressing stigma, cultural competence, community rehabilitation</w:t>
      </w:r>
      <w:r w:rsidR="004D1371" w:rsidRPr="00DA708F">
        <w:rPr>
          <w:rFonts w:ascii="Arial" w:hAnsi="Arial" w:cs="Arial"/>
          <w:sz w:val="22"/>
          <w:lang w:val="en-GB"/>
        </w:rPr>
        <w:t>,</w:t>
      </w:r>
      <w:r w:rsidRPr="00DA708F">
        <w:rPr>
          <w:rFonts w:ascii="Arial" w:hAnsi="Arial" w:cs="Arial"/>
          <w:sz w:val="22"/>
          <w:lang w:val="en-GB"/>
        </w:rPr>
        <w:t xml:space="preserve"> and digital innovation will help people with schizophrenia lead fulfilling lives, and coordinated policy, funding and societal commitment are needed for compassionate, effective care.</w:t>
      </w:r>
    </w:p>
    <w:p w14:paraId="7A3C1222" w14:textId="77777777" w:rsidR="00E264CD" w:rsidRPr="00DA708F" w:rsidRDefault="00E264CD" w:rsidP="004E701E">
      <w:pPr>
        <w:spacing w:after="160"/>
        <w:jc w:val="left"/>
        <w:rPr>
          <w:rFonts w:ascii="Arial" w:eastAsiaTheme="majorEastAsia" w:hAnsi="Arial" w:cs="Arial"/>
          <w:b/>
          <w:color w:val="000000" w:themeColor="text1"/>
          <w:sz w:val="22"/>
          <w:lang w:val="en-GB"/>
        </w:rPr>
      </w:pPr>
      <w:r w:rsidRPr="00DA708F">
        <w:rPr>
          <w:rFonts w:ascii="Arial" w:hAnsi="Arial" w:cs="Arial"/>
          <w:sz w:val="22"/>
          <w:lang w:val="en-GB"/>
        </w:rPr>
        <w:br w:type="page"/>
      </w:r>
    </w:p>
    <w:p w14:paraId="6D90AE3D" w14:textId="77777777" w:rsidR="00E264CD" w:rsidRPr="00DA708F" w:rsidRDefault="00E264CD" w:rsidP="004E701E">
      <w:pPr>
        <w:pStyle w:val="Heading1"/>
        <w:rPr>
          <w:rFonts w:ascii="Arial" w:hAnsi="Arial" w:cs="Arial"/>
          <w:sz w:val="22"/>
          <w:szCs w:val="22"/>
          <w:lang w:val="en-GB"/>
        </w:rPr>
      </w:pPr>
      <w:bookmarkStart w:id="15" w:name="_Toc210660731"/>
      <w:r w:rsidRPr="00DA708F">
        <w:rPr>
          <w:rFonts w:ascii="Arial" w:hAnsi="Arial" w:cs="Arial"/>
          <w:sz w:val="22"/>
          <w:szCs w:val="22"/>
          <w:lang w:val="en-GB"/>
        </w:rPr>
        <w:lastRenderedPageBreak/>
        <w:t>References</w:t>
      </w:r>
      <w:bookmarkEnd w:id="15"/>
    </w:p>
    <w:p w14:paraId="62795F28" w14:textId="575D3194"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Ahmad (2022). </w:t>
      </w:r>
      <w:r w:rsidRPr="00DA708F">
        <w:rPr>
          <w:rFonts w:ascii="Arial" w:hAnsi="Arial" w:cs="Arial"/>
          <w:i/>
          <w:iCs/>
          <w:sz w:val="22"/>
          <w:lang w:val="en-GB"/>
        </w:rPr>
        <w:t>ICD-11 Criteria for Schizophrenia (6A</w:t>
      </w:r>
      <w:r w:rsidR="000A3536" w:rsidRPr="00DA708F">
        <w:rPr>
          <w:rFonts w:ascii="Arial" w:hAnsi="Arial" w:cs="Arial"/>
          <w:i/>
          <w:iCs/>
          <w:sz w:val="22"/>
          <w:lang w:val="en-GB"/>
        </w:rPr>
        <w:t>20)</w:t>
      </w:r>
      <w:r w:rsidRPr="00DA708F">
        <w:rPr>
          <w:rFonts w:ascii="Arial" w:hAnsi="Arial" w:cs="Arial"/>
          <w:sz w:val="22"/>
          <w:lang w:val="en-GB"/>
        </w:rPr>
        <w:t xml:space="preserve">. [online] Mrcpsych.uk. Available at: </w:t>
      </w:r>
      <w:hyperlink r:id="rId8" w:anchor=":~:text=Schizophrenia%20is%20characterised%20by%20disturbances,and%20are%20not%20due" w:history="1">
        <w:r w:rsidRPr="00DA708F">
          <w:rPr>
            <w:rStyle w:val="Hyperlink"/>
            <w:rFonts w:ascii="Arial" w:hAnsi="Arial" w:cs="Arial"/>
            <w:sz w:val="22"/>
            <w:lang w:val="en-GB"/>
          </w:rPr>
          <w:t>https://www.mrcpsych.uk/2022/05/icd-11criteria-for-schizophrenia-6a02.html#:~:text=Schizophrenia%20is%20characterised%20by%20disturbances,and%20are%20not%20due</w:t>
        </w:r>
      </w:hyperlink>
      <w:r w:rsidRPr="00DA708F">
        <w:rPr>
          <w:rFonts w:ascii="Arial" w:hAnsi="Arial" w:cs="Arial"/>
          <w:sz w:val="22"/>
          <w:lang w:val="en-GB"/>
        </w:rPr>
        <w:t xml:space="preserve"> [Accessed 6 Oct. 2025].</w:t>
      </w:r>
    </w:p>
    <w:p w14:paraId="65446B41"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Bailey, A.J., Quinn, P.D. and McHugh, R.K. (2024). Implications of the shift to DSM</w:t>
      </w:r>
      <w:r w:rsidRPr="00DA708F">
        <w:rPr>
          <w:rFonts w:ascii="Cambria Math" w:hAnsi="Cambria Math" w:cs="Cambria Math"/>
          <w:sz w:val="22"/>
          <w:lang w:val="en-GB"/>
        </w:rPr>
        <w:t>‐</w:t>
      </w:r>
      <w:r w:rsidRPr="00DA708F">
        <w:rPr>
          <w:rFonts w:ascii="Arial" w:hAnsi="Arial" w:cs="Arial"/>
          <w:sz w:val="22"/>
          <w:lang w:val="en-GB"/>
        </w:rPr>
        <w:t xml:space="preserve">5 for alcohol use disorder prevalence estimates in the National Survey on Drug Use and Health. </w:t>
      </w:r>
      <w:r w:rsidRPr="00DA708F">
        <w:rPr>
          <w:rFonts w:ascii="Arial" w:hAnsi="Arial" w:cs="Arial"/>
          <w:i/>
          <w:iCs/>
          <w:sz w:val="22"/>
          <w:lang w:val="en-GB"/>
        </w:rPr>
        <w:t>Addiction</w:t>
      </w:r>
      <w:r w:rsidRPr="00DA708F">
        <w:rPr>
          <w:rFonts w:ascii="Arial" w:hAnsi="Arial" w:cs="Arial"/>
          <w:sz w:val="22"/>
          <w:lang w:val="en-GB"/>
        </w:rPr>
        <w:t xml:space="preserve">. </w:t>
      </w:r>
      <w:hyperlink r:id="rId9" w:history="1">
        <w:r w:rsidRPr="00DA708F">
          <w:rPr>
            <w:rStyle w:val="Hyperlink"/>
            <w:rFonts w:ascii="Arial" w:hAnsi="Arial" w:cs="Arial"/>
            <w:sz w:val="22"/>
            <w:lang w:val="en-GB"/>
          </w:rPr>
          <w:t>https://doi.org/10.1111/add.16670</w:t>
        </w:r>
      </w:hyperlink>
      <w:r w:rsidRPr="00DA708F">
        <w:rPr>
          <w:rFonts w:ascii="Arial" w:hAnsi="Arial" w:cs="Arial"/>
          <w:sz w:val="22"/>
          <w:lang w:val="en-GB"/>
        </w:rPr>
        <w:t xml:space="preserve">. </w:t>
      </w:r>
    </w:p>
    <w:p w14:paraId="0CD381C5"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Baker, C. and Kirk-Wade, E. (2024). </w:t>
      </w:r>
      <w:r w:rsidRPr="00DA708F">
        <w:rPr>
          <w:rFonts w:ascii="Arial" w:hAnsi="Arial" w:cs="Arial"/>
          <w:i/>
          <w:iCs/>
          <w:sz w:val="22"/>
          <w:lang w:val="en-GB"/>
        </w:rPr>
        <w:t>Mental Health Statistics for England: prevalence, Services and Funding</w:t>
      </w:r>
      <w:r w:rsidRPr="00DA708F">
        <w:rPr>
          <w:rFonts w:ascii="Arial" w:hAnsi="Arial" w:cs="Arial"/>
          <w:sz w:val="22"/>
          <w:lang w:val="en-GB"/>
        </w:rPr>
        <w:t xml:space="preserve">. [online] Parliament.uk. Available at: </w:t>
      </w:r>
      <w:hyperlink r:id="rId10" w:history="1">
        <w:r w:rsidR="00F3324C" w:rsidRPr="00DA708F">
          <w:rPr>
            <w:rStyle w:val="Hyperlink"/>
            <w:rFonts w:ascii="Arial" w:hAnsi="Arial" w:cs="Arial"/>
            <w:sz w:val="22"/>
            <w:lang w:val="en-GB"/>
          </w:rPr>
          <w:t>https://researchbriefings.files.parliament.uk/documents/SN06988/SN06988.pdf</w:t>
        </w:r>
      </w:hyperlink>
      <w:r w:rsidRPr="00DA708F">
        <w:rPr>
          <w:rFonts w:ascii="Arial" w:hAnsi="Arial" w:cs="Arial"/>
          <w:sz w:val="22"/>
          <w:lang w:val="en-GB"/>
        </w:rPr>
        <w:t>.</w:t>
      </w:r>
      <w:r w:rsidR="00F3324C" w:rsidRPr="00DA708F">
        <w:rPr>
          <w:rFonts w:ascii="Arial" w:hAnsi="Arial" w:cs="Arial"/>
          <w:sz w:val="22"/>
          <w:lang w:val="en-GB"/>
        </w:rPr>
        <w:t xml:space="preserve"> </w:t>
      </w:r>
    </w:p>
    <w:p w14:paraId="29261E49" w14:textId="0C176D7E"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Beach, S.R., Gross, A.F., Hartney, K.E., Taylor, </w:t>
      </w:r>
      <w:r w:rsidR="000A3536" w:rsidRPr="00DA708F">
        <w:rPr>
          <w:rFonts w:ascii="Arial" w:hAnsi="Arial" w:cs="Arial"/>
          <w:sz w:val="22"/>
          <w:lang w:val="en-GB"/>
        </w:rPr>
        <w:t>J.B.,</w:t>
      </w:r>
      <w:r w:rsidRPr="00DA708F">
        <w:rPr>
          <w:rFonts w:ascii="Arial" w:hAnsi="Arial" w:cs="Arial"/>
          <w:sz w:val="22"/>
          <w:lang w:val="en-GB"/>
        </w:rPr>
        <w:t xml:space="preserve"> and Rundell, J.R. (2020). Intravenous haloperidol: A systematic review of side effects and recommendations for clinical use. </w:t>
      </w:r>
      <w:r w:rsidRPr="00DA708F">
        <w:rPr>
          <w:rFonts w:ascii="Arial" w:hAnsi="Arial" w:cs="Arial"/>
          <w:i/>
          <w:iCs/>
          <w:sz w:val="22"/>
          <w:lang w:val="en-GB"/>
        </w:rPr>
        <w:t>General Hospital Psychiatry</w:t>
      </w:r>
      <w:r w:rsidR="00F3324C" w:rsidRPr="00DA708F">
        <w:rPr>
          <w:rFonts w:ascii="Arial" w:hAnsi="Arial" w:cs="Arial"/>
          <w:sz w:val="22"/>
          <w:lang w:val="en-GB"/>
        </w:rPr>
        <w:t xml:space="preserve">, [online] 67, pp.42–50. </w:t>
      </w:r>
      <w:hyperlink r:id="rId11" w:history="1">
        <w:r w:rsidR="00F3324C" w:rsidRPr="00DA708F">
          <w:rPr>
            <w:rStyle w:val="Hyperlink"/>
            <w:rFonts w:ascii="Arial" w:hAnsi="Arial" w:cs="Arial"/>
            <w:sz w:val="22"/>
            <w:lang w:val="en-GB"/>
          </w:rPr>
          <w:t>https://doi.org/10.1016/j.genhosppsych.2020.08.008</w:t>
        </w:r>
      </w:hyperlink>
      <w:r w:rsidRPr="00DA708F">
        <w:rPr>
          <w:rFonts w:ascii="Arial" w:hAnsi="Arial" w:cs="Arial"/>
          <w:sz w:val="22"/>
          <w:lang w:val="en-GB"/>
        </w:rPr>
        <w:t>.</w:t>
      </w:r>
      <w:r w:rsidR="00F3324C" w:rsidRPr="00DA708F">
        <w:rPr>
          <w:rFonts w:ascii="Arial" w:hAnsi="Arial" w:cs="Arial"/>
          <w:sz w:val="22"/>
          <w:lang w:val="en-GB"/>
        </w:rPr>
        <w:t xml:space="preserve"> </w:t>
      </w:r>
    </w:p>
    <w:p w14:paraId="3664A771"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Bingley, W. (2015). Mental Health Act code of practice. </w:t>
      </w:r>
      <w:r w:rsidRPr="00DA708F">
        <w:rPr>
          <w:rFonts w:ascii="Arial" w:hAnsi="Arial" w:cs="Arial"/>
          <w:i/>
          <w:iCs/>
          <w:sz w:val="22"/>
          <w:lang w:val="en-GB"/>
        </w:rPr>
        <w:t>BMJ</w:t>
      </w:r>
      <w:r w:rsidRPr="00DA708F">
        <w:rPr>
          <w:rFonts w:ascii="Arial" w:hAnsi="Arial" w:cs="Arial"/>
          <w:sz w:val="22"/>
          <w:lang w:val="en-GB"/>
        </w:rPr>
        <w:t>, [onlin</w:t>
      </w:r>
      <w:r w:rsidR="00F3324C" w:rsidRPr="00DA708F">
        <w:rPr>
          <w:rFonts w:ascii="Arial" w:hAnsi="Arial" w:cs="Arial"/>
          <w:sz w:val="22"/>
          <w:lang w:val="en-GB"/>
        </w:rPr>
        <w:t xml:space="preserve">e] 300(6732), pp.1139–1139. </w:t>
      </w:r>
      <w:hyperlink r:id="rId12" w:history="1">
        <w:r w:rsidR="00F3324C" w:rsidRPr="00DA708F">
          <w:rPr>
            <w:rStyle w:val="Hyperlink"/>
            <w:rFonts w:ascii="Arial" w:hAnsi="Arial" w:cs="Arial"/>
            <w:sz w:val="22"/>
            <w:lang w:val="en-GB"/>
          </w:rPr>
          <w:t>https://doi.org/10.1136/bmj.300.6732.1139-b</w:t>
        </w:r>
      </w:hyperlink>
      <w:r w:rsidRPr="00DA708F">
        <w:rPr>
          <w:rFonts w:ascii="Arial" w:hAnsi="Arial" w:cs="Arial"/>
          <w:sz w:val="22"/>
          <w:lang w:val="en-GB"/>
        </w:rPr>
        <w:t>.</w:t>
      </w:r>
      <w:r w:rsidR="00F3324C" w:rsidRPr="00DA708F">
        <w:rPr>
          <w:rFonts w:ascii="Arial" w:hAnsi="Arial" w:cs="Arial"/>
          <w:sz w:val="22"/>
          <w:lang w:val="en-GB"/>
        </w:rPr>
        <w:t xml:space="preserve"> </w:t>
      </w:r>
    </w:p>
    <w:p w14:paraId="4E787A7C" w14:textId="77777777" w:rsidR="00B968B2" w:rsidRPr="00DA708F" w:rsidRDefault="0059454E" w:rsidP="004E701E">
      <w:pPr>
        <w:ind w:left="720" w:hanging="720"/>
        <w:rPr>
          <w:rFonts w:ascii="Arial" w:hAnsi="Arial" w:cs="Arial"/>
          <w:sz w:val="22"/>
          <w:lang w:val="en-GB"/>
        </w:rPr>
      </w:pPr>
      <w:r w:rsidRPr="00DA708F">
        <w:rPr>
          <w:rFonts w:ascii="Arial" w:hAnsi="Arial" w:cs="Arial"/>
          <w:sz w:val="22"/>
          <w:lang w:val="en-GB"/>
        </w:rPr>
        <w:t xml:space="preserve">NHS </w:t>
      </w:r>
      <w:r w:rsidR="00B968B2" w:rsidRPr="00DA708F">
        <w:rPr>
          <w:rFonts w:ascii="Arial" w:hAnsi="Arial" w:cs="Arial"/>
          <w:sz w:val="22"/>
          <w:lang w:val="en-GB"/>
        </w:rPr>
        <w:t xml:space="preserve">England, N. (2023). </w:t>
      </w:r>
      <w:r w:rsidR="00B968B2" w:rsidRPr="00DA708F">
        <w:rPr>
          <w:rFonts w:ascii="Arial" w:hAnsi="Arial" w:cs="Arial"/>
          <w:i/>
          <w:iCs/>
          <w:sz w:val="22"/>
          <w:lang w:val="en-GB"/>
        </w:rPr>
        <w:t>NHS England» NHS equality, diversity, and inclusion improvement plan</w:t>
      </w:r>
      <w:r w:rsidR="00B968B2" w:rsidRPr="00DA708F">
        <w:rPr>
          <w:rFonts w:ascii="Arial" w:hAnsi="Arial" w:cs="Arial"/>
          <w:sz w:val="22"/>
          <w:lang w:val="en-GB"/>
        </w:rPr>
        <w:t xml:space="preserve">. [online] England.nhs.uk. Available at: </w:t>
      </w:r>
      <w:hyperlink r:id="rId13" w:history="1">
        <w:r w:rsidR="00F3324C" w:rsidRPr="00DA708F">
          <w:rPr>
            <w:rStyle w:val="Hyperlink"/>
            <w:rFonts w:ascii="Arial" w:hAnsi="Arial" w:cs="Arial"/>
            <w:sz w:val="22"/>
            <w:lang w:val="en-GB"/>
          </w:rPr>
          <w:t>https://www.england.nhs.uk/long-read/nhs-equality-diversity-and-inclusion-improvement-plan/</w:t>
        </w:r>
      </w:hyperlink>
      <w:r w:rsidR="00F3324C" w:rsidRPr="00DA708F">
        <w:rPr>
          <w:rFonts w:ascii="Arial" w:hAnsi="Arial" w:cs="Arial"/>
          <w:sz w:val="22"/>
          <w:lang w:val="en-GB"/>
        </w:rPr>
        <w:t xml:space="preserve"> </w:t>
      </w:r>
      <w:r w:rsidR="00B968B2" w:rsidRPr="00DA708F">
        <w:rPr>
          <w:rFonts w:ascii="Arial" w:hAnsi="Arial" w:cs="Arial"/>
          <w:sz w:val="22"/>
          <w:lang w:val="en-GB"/>
        </w:rPr>
        <w:t>[Accessed 6 Oct. 2025].</w:t>
      </w:r>
    </w:p>
    <w:p w14:paraId="7EFFB81E" w14:textId="6F988CE8"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Every-Palmer, S., Kininmonth, L., Giles Newton-</w:t>
      </w:r>
      <w:r w:rsidR="000A3536" w:rsidRPr="00DA708F">
        <w:rPr>
          <w:rFonts w:ascii="Arial" w:hAnsi="Arial" w:cs="Arial"/>
          <w:sz w:val="22"/>
          <w:lang w:val="en-GB"/>
        </w:rPr>
        <w:t>Howes,</w:t>
      </w:r>
      <w:r w:rsidRPr="00DA708F">
        <w:rPr>
          <w:rFonts w:ascii="Arial" w:hAnsi="Arial" w:cs="Arial"/>
          <w:sz w:val="22"/>
          <w:lang w:val="en-GB"/>
        </w:rPr>
        <w:t xml:space="preserve"> and Gordon, S. (2021). Applying Human Rights and Reducing Coercion in Psychiatry following Service User-Led Education: A Qualitative Study. </w:t>
      </w:r>
      <w:r w:rsidRPr="00DA708F">
        <w:rPr>
          <w:rFonts w:ascii="Arial" w:hAnsi="Arial" w:cs="Arial"/>
          <w:i/>
          <w:iCs/>
          <w:sz w:val="22"/>
          <w:lang w:val="en-GB"/>
        </w:rPr>
        <w:t>Health and Human Rights</w:t>
      </w:r>
      <w:r w:rsidRPr="00DA708F">
        <w:rPr>
          <w:rFonts w:ascii="Arial" w:hAnsi="Arial" w:cs="Arial"/>
          <w:sz w:val="22"/>
          <w:lang w:val="en-GB"/>
        </w:rPr>
        <w:t xml:space="preserve">, [online] 23(2), p.239. Available at: </w:t>
      </w:r>
      <w:hyperlink r:id="rId14" w:history="1">
        <w:r w:rsidR="00F3324C" w:rsidRPr="00DA708F">
          <w:rPr>
            <w:rStyle w:val="Hyperlink"/>
            <w:rFonts w:ascii="Arial" w:hAnsi="Arial" w:cs="Arial"/>
            <w:sz w:val="22"/>
            <w:lang w:val="en-GB"/>
          </w:rPr>
          <w:t>https://pmc.ncbi.nlm.nih.gov/articles/PMC8694306/</w:t>
        </w:r>
      </w:hyperlink>
      <w:r w:rsidR="00F3324C" w:rsidRPr="00DA708F">
        <w:rPr>
          <w:rFonts w:ascii="Arial" w:hAnsi="Arial" w:cs="Arial"/>
          <w:sz w:val="22"/>
          <w:lang w:val="en-GB"/>
        </w:rPr>
        <w:t xml:space="preserve"> </w:t>
      </w:r>
      <w:r w:rsidRPr="00DA708F">
        <w:rPr>
          <w:rFonts w:ascii="Arial" w:hAnsi="Arial" w:cs="Arial"/>
          <w:sz w:val="22"/>
          <w:lang w:val="en-GB"/>
        </w:rPr>
        <w:t>[Accessed 6 Oct. 2025].</w:t>
      </w:r>
    </w:p>
    <w:p w14:paraId="33474545"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Fiorillo, A., Barlati, S., Bellomo, A., Corrivetti, G., Nicolò, G., Sampogna, G., Stanga, V., Veltro, F., Maina, G. and Vita, A. (2020). The role of shared decision-making in improving adherence to pharmacological treatments in patients with schizophrenia: a clinical review. </w:t>
      </w:r>
      <w:r w:rsidRPr="00DA708F">
        <w:rPr>
          <w:rFonts w:ascii="Arial" w:hAnsi="Arial" w:cs="Arial"/>
          <w:i/>
          <w:iCs/>
          <w:sz w:val="22"/>
          <w:lang w:val="en-GB"/>
        </w:rPr>
        <w:t>Annals of General Psychiatry</w:t>
      </w:r>
      <w:r w:rsidR="00F3324C" w:rsidRPr="00DA708F">
        <w:rPr>
          <w:rFonts w:ascii="Arial" w:hAnsi="Arial" w:cs="Arial"/>
          <w:sz w:val="22"/>
          <w:lang w:val="en-GB"/>
        </w:rPr>
        <w:t xml:space="preserve">, [online] 19(1). </w:t>
      </w:r>
      <w:hyperlink r:id="rId15" w:history="1">
        <w:r w:rsidR="00F3324C" w:rsidRPr="00DA708F">
          <w:rPr>
            <w:rStyle w:val="Hyperlink"/>
            <w:rFonts w:ascii="Arial" w:hAnsi="Arial" w:cs="Arial"/>
            <w:sz w:val="22"/>
            <w:lang w:val="en-GB"/>
          </w:rPr>
          <w:t>https://doi.org/10.1186/s12991-020-00293-4</w:t>
        </w:r>
      </w:hyperlink>
      <w:r w:rsidRPr="00DA708F">
        <w:rPr>
          <w:rFonts w:ascii="Arial" w:hAnsi="Arial" w:cs="Arial"/>
          <w:sz w:val="22"/>
          <w:lang w:val="en-GB"/>
        </w:rPr>
        <w:t>.</w:t>
      </w:r>
      <w:r w:rsidR="00F3324C" w:rsidRPr="00DA708F">
        <w:rPr>
          <w:rFonts w:ascii="Arial" w:hAnsi="Arial" w:cs="Arial"/>
          <w:sz w:val="22"/>
          <w:lang w:val="en-GB"/>
        </w:rPr>
        <w:t xml:space="preserve"> </w:t>
      </w:r>
    </w:p>
    <w:p w14:paraId="503930F9" w14:textId="716982B5"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Fond, G.B., Yon, D.K., Tran, B., Mallet, J., Urbach, M., Sylvain Leignier, Rey, R., Misdrahi, D., Llorca, P.-M., Franck Schürhoff, Berna, </w:t>
      </w:r>
      <w:r w:rsidR="000A3536" w:rsidRPr="00DA708F">
        <w:rPr>
          <w:rFonts w:ascii="Arial" w:hAnsi="Arial" w:cs="Arial"/>
          <w:sz w:val="22"/>
          <w:lang w:val="en-GB"/>
        </w:rPr>
        <w:t>F.,</w:t>
      </w:r>
      <w:r w:rsidRPr="00DA708F">
        <w:rPr>
          <w:rFonts w:ascii="Arial" w:hAnsi="Arial" w:cs="Arial"/>
          <w:sz w:val="22"/>
          <w:lang w:val="en-GB"/>
        </w:rPr>
        <w:t xml:space="preserve"> and Boyer, L. (2023). Poverty and inequality in </w:t>
      </w:r>
      <w:r w:rsidRPr="00DA708F">
        <w:rPr>
          <w:rFonts w:ascii="Arial" w:hAnsi="Arial" w:cs="Arial"/>
          <w:sz w:val="22"/>
          <w:lang w:val="en-GB"/>
        </w:rPr>
        <w:lastRenderedPageBreak/>
        <w:t xml:space="preserve">real-world schizophrenia: a national study. </w:t>
      </w:r>
      <w:r w:rsidRPr="00DA708F">
        <w:rPr>
          <w:rFonts w:ascii="Arial" w:hAnsi="Arial" w:cs="Arial"/>
          <w:i/>
          <w:iCs/>
          <w:sz w:val="22"/>
          <w:lang w:val="en-GB"/>
        </w:rPr>
        <w:t>Frontiers in Public Health</w:t>
      </w:r>
      <w:r w:rsidR="00F3324C" w:rsidRPr="00DA708F">
        <w:rPr>
          <w:rFonts w:ascii="Arial" w:hAnsi="Arial" w:cs="Arial"/>
          <w:sz w:val="22"/>
          <w:lang w:val="en-GB"/>
        </w:rPr>
        <w:t xml:space="preserve">, [online] 11. </w:t>
      </w:r>
      <w:hyperlink r:id="rId16" w:history="1">
        <w:r w:rsidR="00F3324C" w:rsidRPr="00DA708F">
          <w:rPr>
            <w:rStyle w:val="Hyperlink"/>
            <w:rFonts w:ascii="Arial" w:hAnsi="Arial" w:cs="Arial"/>
            <w:sz w:val="22"/>
            <w:lang w:val="en-GB"/>
          </w:rPr>
          <w:t>https://doi.org/10.3389/fpubh.2023.1182441</w:t>
        </w:r>
      </w:hyperlink>
      <w:r w:rsidRPr="00DA708F">
        <w:rPr>
          <w:rFonts w:ascii="Arial" w:hAnsi="Arial" w:cs="Arial"/>
          <w:sz w:val="22"/>
          <w:lang w:val="en-GB"/>
        </w:rPr>
        <w:t>.</w:t>
      </w:r>
      <w:r w:rsidR="00F3324C" w:rsidRPr="00DA708F">
        <w:rPr>
          <w:rFonts w:ascii="Arial" w:hAnsi="Arial" w:cs="Arial"/>
          <w:sz w:val="22"/>
          <w:lang w:val="en-GB"/>
        </w:rPr>
        <w:t xml:space="preserve"> </w:t>
      </w:r>
    </w:p>
    <w:p w14:paraId="3D18902E" w14:textId="49994E5E"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Haines, A., Perkins, E., Evans, E.A. and McCabe, R. (2018). Multidisciplinary team functioning and </w:t>
      </w:r>
      <w:r w:rsidR="002277E0" w:rsidRPr="00DA708F">
        <w:rPr>
          <w:rFonts w:ascii="Arial" w:hAnsi="Arial" w:cs="Arial"/>
          <w:sz w:val="22"/>
          <w:lang w:val="en-GB"/>
        </w:rPr>
        <w:t>decision-making</w:t>
      </w:r>
      <w:r w:rsidRPr="00DA708F">
        <w:rPr>
          <w:rFonts w:ascii="Arial" w:hAnsi="Arial" w:cs="Arial"/>
          <w:sz w:val="22"/>
          <w:lang w:val="en-GB"/>
        </w:rPr>
        <w:t xml:space="preserve"> within forensic mental health. </w:t>
      </w:r>
      <w:r w:rsidRPr="00DA708F">
        <w:rPr>
          <w:rFonts w:ascii="Arial" w:hAnsi="Arial" w:cs="Arial"/>
          <w:i/>
          <w:iCs/>
          <w:sz w:val="22"/>
          <w:lang w:val="en-GB"/>
        </w:rPr>
        <w:t>Mental Health Review Journal</w:t>
      </w:r>
      <w:r w:rsidRPr="00DA708F">
        <w:rPr>
          <w:rFonts w:ascii="Arial" w:hAnsi="Arial" w:cs="Arial"/>
          <w:sz w:val="22"/>
          <w:lang w:val="en-GB"/>
        </w:rPr>
        <w:t xml:space="preserve">, </w:t>
      </w:r>
      <w:r w:rsidR="00F3324C" w:rsidRPr="00DA708F">
        <w:rPr>
          <w:rFonts w:ascii="Arial" w:hAnsi="Arial" w:cs="Arial"/>
          <w:sz w:val="22"/>
          <w:lang w:val="en-GB"/>
        </w:rPr>
        <w:t xml:space="preserve">[online] 23(3), pp.185–196. </w:t>
      </w:r>
      <w:hyperlink r:id="rId17" w:history="1">
        <w:r w:rsidR="00F3324C" w:rsidRPr="00DA708F">
          <w:rPr>
            <w:rStyle w:val="Hyperlink"/>
            <w:rFonts w:ascii="Arial" w:hAnsi="Arial" w:cs="Arial"/>
            <w:sz w:val="22"/>
            <w:lang w:val="en-GB"/>
          </w:rPr>
          <w:t>https://doi.org/10.1108/mhrj-01-2018-0001</w:t>
        </w:r>
      </w:hyperlink>
      <w:r w:rsidRPr="00DA708F">
        <w:rPr>
          <w:rFonts w:ascii="Arial" w:hAnsi="Arial" w:cs="Arial"/>
          <w:sz w:val="22"/>
          <w:lang w:val="en-GB"/>
        </w:rPr>
        <w:t>.</w:t>
      </w:r>
      <w:r w:rsidR="00F3324C" w:rsidRPr="00DA708F">
        <w:rPr>
          <w:rFonts w:ascii="Arial" w:hAnsi="Arial" w:cs="Arial"/>
          <w:sz w:val="22"/>
          <w:lang w:val="en-GB"/>
        </w:rPr>
        <w:t xml:space="preserve"> </w:t>
      </w:r>
    </w:p>
    <w:p w14:paraId="726018BD"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Haslam, N., Jesse and Deyne, S.D. (2021). Concept Creep and Psychiatrization. </w:t>
      </w:r>
      <w:r w:rsidRPr="00DA708F">
        <w:rPr>
          <w:rFonts w:ascii="Arial" w:hAnsi="Arial" w:cs="Arial"/>
          <w:i/>
          <w:iCs/>
          <w:sz w:val="22"/>
          <w:lang w:val="en-GB"/>
        </w:rPr>
        <w:t>Frontiers in Sociology</w:t>
      </w:r>
      <w:r w:rsidR="00F3324C" w:rsidRPr="00DA708F">
        <w:rPr>
          <w:rFonts w:ascii="Arial" w:hAnsi="Arial" w:cs="Arial"/>
          <w:sz w:val="22"/>
          <w:lang w:val="en-GB"/>
        </w:rPr>
        <w:t xml:space="preserve">, [online] 6. </w:t>
      </w:r>
      <w:hyperlink r:id="rId18" w:history="1">
        <w:r w:rsidR="00F3324C" w:rsidRPr="00DA708F">
          <w:rPr>
            <w:rStyle w:val="Hyperlink"/>
            <w:rFonts w:ascii="Arial" w:hAnsi="Arial" w:cs="Arial"/>
            <w:sz w:val="22"/>
            <w:lang w:val="en-GB"/>
          </w:rPr>
          <w:t>https://doi.org/10.3389/fsoc.2021.806147</w:t>
        </w:r>
      </w:hyperlink>
      <w:r w:rsidRPr="00DA708F">
        <w:rPr>
          <w:rFonts w:ascii="Arial" w:hAnsi="Arial" w:cs="Arial"/>
          <w:sz w:val="22"/>
          <w:lang w:val="en-GB"/>
        </w:rPr>
        <w:t>.</w:t>
      </w:r>
      <w:r w:rsidR="00F3324C" w:rsidRPr="00DA708F">
        <w:rPr>
          <w:rFonts w:ascii="Arial" w:hAnsi="Arial" w:cs="Arial"/>
          <w:sz w:val="22"/>
          <w:lang w:val="en-GB"/>
        </w:rPr>
        <w:t xml:space="preserve"> </w:t>
      </w:r>
    </w:p>
    <w:p w14:paraId="6BA1F74E"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Henriksen, M.G., Nordgaard, J. and Jansson, L.B. (2017). Genetics of Schizophrenia: Overview of Methods, Findings and Limitations. </w:t>
      </w:r>
      <w:r w:rsidRPr="00DA708F">
        <w:rPr>
          <w:rFonts w:ascii="Arial" w:hAnsi="Arial" w:cs="Arial"/>
          <w:i/>
          <w:iCs/>
          <w:sz w:val="22"/>
          <w:lang w:val="en-GB"/>
        </w:rPr>
        <w:t>Frontiers in Human Neuroscience</w:t>
      </w:r>
      <w:r w:rsidR="00F3324C" w:rsidRPr="00DA708F">
        <w:rPr>
          <w:rFonts w:ascii="Arial" w:hAnsi="Arial" w:cs="Arial"/>
          <w:sz w:val="22"/>
          <w:lang w:val="en-GB"/>
        </w:rPr>
        <w:t xml:space="preserve">, [online] 11. </w:t>
      </w:r>
      <w:hyperlink r:id="rId19" w:history="1">
        <w:r w:rsidR="00F3324C" w:rsidRPr="00DA708F">
          <w:rPr>
            <w:rStyle w:val="Hyperlink"/>
            <w:rFonts w:ascii="Arial" w:hAnsi="Arial" w:cs="Arial"/>
            <w:sz w:val="22"/>
            <w:lang w:val="en-GB"/>
          </w:rPr>
          <w:t>https://doi.org/10.3389/fnhum.2017.00322</w:t>
        </w:r>
      </w:hyperlink>
      <w:r w:rsidRPr="00DA708F">
        <w:rPr>
          <w:rFonts w:ascii="Arial" w:hAnsi="Arial" w:cs="Arial"/>
          <w:sz w:val="22"/>
          <w:lang w:val="en-GB"/>
        </w:rPr>
        <w:t>.</w:t>
      </w:r>
      <w:r w:rsidR="00F3324C" w:rsidRPr="00DA708F">
        <w:rPr>
          <w:rFonts w:ascii="Arial" w:hAnsi="Arial" w:cs="Arial"/>
          <w:sz w:val="22"/>
          <w:lang w:val="en-GB"/>
        </w:rPr>
        <w:t xml:space="preserve"> </w:t>
      </w:r>
    </w:p>
    <w:p w14:paraId="3F9953DC" w14:textId="7B9062E1"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Lasalvia, </w:t>
      </w:r>
      <w:r w:rsidR="000A3536" w:rsidRPr="00DA708F">
        <w:rPr>
          <w:rFonts w:ascii="Arial" w:hAnsi="Arial" w:cs="Arial"/>
          <w:sz w:val="22"/>
          <w:lang w:val="en-GB"/>
        </w:rPr>
        <w:t>A.,</w:t>
      </w:r>
      <w:r w:rsidRPr="00DA708F">
        <w:rPr>
          <w:rFonts w:ascii="Arial" w:hAnsi="Arial" w:cs="Arial"/>
          <w:sz w:val="22"/>
          <w:lang w:val="en-GB"/>
        </w:rPr>
        <w:t xml:space="preserve"> and Ruggeri, M. (2018). Renaming schizophrenia: benefits, </w:t>
      </w:r>
      <w:r w:rsidR="000A3536" w:rsidRPr="00DA708F">
        <w:rPr>
          <w:rFonts w:ascii="Arial" w:hAnsi="Arial" w:cs="Arial"/>
          <w:sz w:val="22"/>
          <w:lang w:val="en-GB"/>
        </w:rPr>
        <w:t>challenges,</w:t>
      </w:r>
      <w:r w:rsidRPr="00DA708F">
        <w:rPr>
          <w:rFonts w:ascii="Arial" w:hAnsi="Arial" w:cs="Arial"/>
          <w:sz w:val="22"/>
          <w:lang w:val="en-GB"/>
        </w:rPr>
        <w:t xml:space="preserve"> and barriers. </w:t>
      </w:r>
      <w:r w:rsidRPr="00DA708F">
        <w:rPr>
          <w:rFonts w:ascii="Arial" w:hAnsi="Arial" w:cs="Arial"/>
          <w:i/>
          <w:iCs/>
          <w:sz w:val="22"/>
          <w:lang w:val="en-GB"/>
        </w:rPr>
        <w:t>Epidemiology and Psychiatric Sciences</w:t>
      </w:r>
      <w:r w:rsidRPr="00DA708F">
        <w:rPr>
          <w:rFonts w:ascii="Arial" w:hAnsi="Arial" w:cs="Arial"/>
          <w:sz w:val="22"/>
          <w:lang w:val="en-GB"/>
        </w:rPr>
        <w:t>, [</w:t>
      </w:r>
      <w:r w:rsidR="00F3324C" w:rsidRPr="00DA708F">
        <w:rPr>
          <w:rFonts w:ascii="Arial" w:hAnsi="Arial" w:cs="Arial"/>
          <w:sz w:val="22"/>
          <w:lang w:val="en-GB"/>
        </w:rPr>
        <w:t xml:space="preserve">online] 28(03), pp.251–253. </w:t>
      </w:r>
      <w:hyperlink r:id="rId20" w:history="1">
        <w:r w:rsidR="00F3324C" w:rsidRPr="00DA708F">
          <w:rPr>
            <w:rStyle w:val="Hyperlink"/>
            <w:rFonts w:ascii="Arial" w:hAnsi="Arial" w:cs="Arial"/>
            <w:sz w:val="22"/>
            <w:lang w:val="en-GB"/>
          </w:rPr>
          <w:t>https://doi.org/10.1017/s2045796018000677</w:t>
        </w:r>
      </w:hyperlink>
      <w:r w:rsidRPr="00DA708F">
        <w:rPr>
          <w:rFonts w:ascii="Arial" w:hAnsi="Arial" w:cs="Arial"/>
          <w:sz w:val="22"/>
          <w:lang w:val="en-GB"/>
        </w:rPr>
        <w:t>.</w:t>
      </w:r>
      <w:r w:rsidR="00F3324C" w:rsidRPr="00DA708F">
        <w:rPr>
          <w:rFonts w:ascii="Arial" w:hAnsi="Arial" w:cs="Arial"/>
          <w:sz w:val="22"/>
          <w:lang w:val="en-GB"/>
        </w:rPr>
        <w:t xml:space="preserve"> </w:t>
      </w:r>
    </w:p>
    <w:p w14:paraId="783307BE"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Lehto, K., Hägg, S., Lu, D., Karlsson, R., Pedersen, N.L. and Mosing, M.A. (2020). Childhood Adoption and Mental Health in Adulthood: The Role of Gene-Environment Correlations and Interactions in the UK Biobank. </w:t>
      </w:r>
      <w:r w:rsidRPr="00DA708F">
        <w:rPr>
          <w:rFonts w:ascii="Arial" w:hAnsi="Arial" w:cs="Arial"/>
          <w:i/>
          <w:iCs/>
          <w:sz w:val="22"/>
          <w:lang w:val="en-GB"/>
        </w:rPr>
        <w:t>Biological Psychiatry</w:t>
      </w:r>
      <w:r w:rsidRPr="00DA708F">
        <w:rPr>
          <w:rFonts w:ascii="Arial" w:hAnsi="Arial" w:cs="Arial"/>
          <w:sz w:val="22"/>
          <w:lang w:val="en-GB"/>
        </w:rPr>
        <w:t xml:space="preserve">, </w:t>
      </w:r>
      <w:r w:rsidR="00F3324C" w:rsidRPr="00DA708F">
        <w:rPr>
          <w:rFonts w:ascii="Arial" w:hAnsi="Arial" w:cs="Arial"/>
          <w:sz w:val="22"/>
          <w:lang w:val="en-GB"/>
        </w:rPr>
        <w:t xml:space="preserve">[online] 87(8), pp.708–716. </w:t>
      </w:r>
      <w:hyperlink r:id="rId21" w:history="1">
        <w:r w:rsidR="00F3324C" w:rsidRPr="00DA708F">
          <w:rPr>
            <w:rStyle w:val="Hyperlink"/>
            <w:rFonts w:ascii="Arial" w:hAnsi="Arial" w:cs="Arial"/>
            <w:sz w:val="22"/>
            <w:lang w:val="en-GB"/>
          </w:rPr>
          <w:t>https://doi.org/10.1016/j.biopsych.2019.10.016</w:t>
        </w:r>
      </w:hyperlink>
      <w:r w:rsidRPr="00DA708F">
        <w:rPr>
          <w:rFonts w:ascii="Arial" w:hAnsi="Arial" w:cs="Arial"/>
          <w:sz w:val="22"/>
          <w:lang w:val="en-GB"/>
        </w:rPr>
        <w:t>.</w:t>
      </w:r>
      <w:r w:rsidR="00F3324C" w:rsidRPr="00DA708F">
        <w:rPr>
          <w:rFonts w:ascii="Arial" w:hAnsi="Arial" w:cs="Arial"/>
          <w:sz w:val="22"/>
          <w:lang w:val="en-GB"/>
        </w:rPr>
        <w:t xml:space="preserve"> </w:t>
      </w:r>
    </w:p>
    <w:p w14:paraId="58BD08A5" w14:textId="1FEF3C95"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Living With Schizophrenia. (2017). </w:t>
      </w:r>
      <w:r w:rsidRPr="00DA708F">
        <w:rPr>
          <w:rFonts w:ascii="Arial" w:hAnsi="Arial" w:cs="Arial"/>
          <w:i/>
          <w:iCs/>
          <w:sz w:val="22"/>
          <w:lang w:val="en-GB"/>
        </w:rPr>
        <w:t xml:space="preserve">Facts and Figures - Living </w:t>
      </w:r>
      <w:r w:rsidR="000A3536" w:rsidRPr="00DA708F">
        <w:rPr>
          <w:rFonts w:ascii="Arial" w:hAnsi="Arial" w:cs="Arial"/>
          <w:i/>
          <w:iCs/>
          <w:sz w:val="22"/>
          <w:lang w:val="en-GB"/>
        </w:rPr>
        <w:t>with</w:t>
      </w:r>
      <w:r w:rsidRPr="00DA708F">
        <w:rPr>
          <w:rFonts w:ascii="Arial" w:hAnsi="Arial" w:cs="Arial"/>
          <w:i/>
          <w:iCs/>
          <w:sz w:val="22"/>
          <w:lang w:val="en-GB"/>
        </w:rPr>
        <w:t xml:space="preserve"> Schizophrenia</w:t>
      </w:r>
      <w:r w:rsidRPr="00DA708F">
        <w:rPr>
          <w:rFonts w:ascii="Arial" w:hAnsi="Arial" w:cs="Arial"/>
          <w:sz w:val="22"/>
          <w:lang w:val="en-GB"/>
        </w:rPr>
        <w:t xml:space="preserve">. [online] Available at: </w:t>
      </w:r>
      <w:hyperlink r:id="rId22" w:anchor=":~:text=1,1" w:history="1">
        <w:r w:rsidR="00F3324C" w:rsidRPr="00DA708F">
          <w:rPr>
            <w:rStyle w:val="Hyperlink"/>
            <w:rFonts w:ascii="Arial" w:hAnsi="Arial" w:cs="Arial"/>
            <w:sz w:val="22"/>
            <w:lang w:val="en-GB"/>
          </w:rPr>
          <w:t>https://livingwithschizophreniauk.org/facts-and-figures/#:~:text=1,1</w:t>
        </w:r>
      </w:hyperlink>
      <w:r w:rsidR="00F3324C" w:rsidRPr="00DA708F">
        <w:rPr>
          <w:rFonts w:ascii="Arial" w:hAnsi="Arial" w:cs="Arial"/>
          <w:sz w:val="22"/>
          <w:lang w:val="en-GB"/>
        </w:rPr>
        <w:t xml:space="preserve"> </w:t>
      </w:r>
      <w:r w:rsidRPr="00DA708F">
        <w:rPr>
          <w:rFonts w:ascii="Arial" w:hAnsi="Arial" w:cs="Arial"/>
          <w:sz w:val="22"/>
          <w:lang w:val="en-GB"/>
        </w:rPr>
        <w:t>[Accessed 6 Oct. 2025].</w:t>
      </w:r>
    </w:p>
    <w:p w14:paraId="67018F42" w14:textId="4C787CC2"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Mitchell, P., Cribb, A. and Entwistle, V. (2023). A wide vocabulary for person-</w:t>
      </w:r>
      <w:r w:rsidR="000A3536" w:rsidRPr="00DA708F">
        <w:rPr>
          <w:rFonts w:ascii="Arial" w:hAnsi="Arial" w:cs="Arial"/>
          <w:sz w:val="22"/>
          <w:lang w:val="en-GB"/>
        </w:rPr>
        <w:t>cent red</w:t>
      </w:r>
      <w:r w:rsidRPr="00DA708F">
        <w:rPr>
          <w:rFonts w:ascii="Arial" w:hAnsi="Arial" w:cs="Arial"/>
          <w:sz w:val="22"/>
          <w:lang w:val="en-GB"/>
        </w:rPr>
        <w:t xml:space="preserve"> care. </w:t>
      </w:r>
      <w:r w:rsidRPr="00DA708F">
        <w:rPr>
          <w:rFonts w:ascii="Arial" w:hAnsi="Arial" w:cs="Arial"/>
          <w:i/>
          <w:iCs/>
          <w:sz w:val="22"/>
          <w:lang w:val="en-GB"/>
        </w:rPr>
        <w:t>Future Healthcare Journal</w:t>
      </w:r>
      <w:r w:rsidR="00F3324C" w:rsidRPr="00DA708F">
        <w:rPr>
          <w:rFonts w:ascii="Arial" w:hAnsi="Arial" w:cs="Arial"/>
          <w:sz w:val="22"/>
          <w:lang w:val="en-GB"/>
        </w:rPr>
        <w:t xml:space="preserve">, [online] 10(1), pp.82–84. </w:t>
      </w:r>
      <w:hyperlink r:id="rId23" w:history="1">
        <w:r w:rsidR="00F3324C" w:rsidRPr="00DA708F">
          <w:rPr>
            <w:rStyle w:val="Hyperlink"/>
            <w:rFonts w:ascii="Arial" w:hAnsi="Arial" w:cs="Arial"/>
            <w:sz w:val="22"/>
            <w:lang w:val="en-GB"/>
          </w:rPr>
          <w:t>https://doi.org/10.7861/fhj.2022-0096</w:t>
        </w:r>
      </w:hyperlink>
      <w:r w:rsidRPr="00DA708F">
        <w:rPr>
          <w:rFonts w:ascii="Arial" w:hAnsi="Arial" w:cs="Arial"/>
          <w:sz w:val="22"/>
          <w:lang w:val="en-GB"/>
        </w:rPr>
        <w:t>.</w:t>
      </w:r>
      <w:r w:rsidR="00F3324C" w:rsidRPr="00DA708F">
        <w:rPr>
          <w:rFonts w:ascii="Arial" w:hAnsi="Arial" w:cs="Arial"/>
          <w:sz w:val="22"/>
          <w:lang w:val="en-GB"/>
        </w:rPr>
        <w:t xml:space="preserve"> </w:t>
      </w:r>
    </w:p>
    <w:p w14:paraId="41E1D7B4"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National Institute of Mental Health (NIMH). (2018). </w:t>
      </w:r>
      <w:r w:rsidRPr="00DA708F">
        <w:rPr>
          <w:rFonts w:ascii="Arial" w:hAnsi="Arial" w:cs="Arial"/>
          <w:i/>
          <w:iCs/>
          <w:sz w:val="22"/>
          <w:lang w:val="en-GB"/>
        </w:rPr>
        <w:t>Schizophrenia</w:t>
      </w:r>
      <w:r w:rsidRPr="00DA708F">
        <w:rPr>
          <w:rFonts w:ascii="Arial" w:hAnsi="Arial" w:cs="Arial"/>
          <w:sz w:val="22"/>
          <w:lang w:val="en-GB"/>
        </w:rPr>
        <w:t xml:space="preserve">. [online] Available at: </w:t>
      </w:r>
      <w:hyperlink r:id="rId24" w:anchor=":~:text=diabetes%2C%20contribute%20to%20the%20higher,9" w:history="1">
        <w:r w:rsidR="00F3324C" w:rsidRPr="00DA708F">
          <w:rPr>
            <w:rStyle w:val="Hyperlink"/>
            <w:rFonts w:ascii="Arial" w:hAnsi="Arial" w:cs="Arial"/>
            <w:sz w:val="22"/>
            <w:lang w:val="en-GB"/>
          </w:rPr>
          <w:t>https://www.nimh.nih.gov/health/statistics/schizophrenia#:~:text=diabetes%2C%20contribute%20to%20the%20higher,9</w:t>
        </w:r>
      </w:hyperlink>
      <w:r w:rsidR="00F3324C" w:rsidRPr="00DA708F">
        <w:rPr>
          <w:rFonts w:ascii="Arial" w:hAnsi="Arial" w:cs="Arial"/>
          <w:sz w:val="22"/>
          <w:lang w:val="en-GB"/>
        </w:rPr>
        <w:t xml:space="preserve"> </w:t>
      </w:r>
      <w:r w:rsidRPr="00DA708F">
        <w:rPr>
          <w:rFonts w:ascii="Arial" w:hAnsi="Arial" w:cs="Arial"/>
          <w:sz w:val="22"/>
          <w:lang w:val="en-GB"/>
        </w:rPr>
        <w:t>[Accessed 6 Oct. 2025].</w:t>
      </w:r>
    </w:p>
    <w:p w14:paraId="101CF07B" w14:textId="77777777" w:rsidR="00B968B2" w:rsidRPr="00DA708F" w:rsidRDefault="00B968B2" w:rsidP="004E701E">
      <w:pPr>
        <w:ind w:left="720" w:hanging="720"/>
        <w:rPr>
          <w:rFonts w:ascii="Arial" w:hAnsi="Arial" w:cs="Arial"/>
          <w:sz w:val="22"/>
          <w:lang w:val="en-GB"/>
        </w:rPr>
      </w:pPr>
      <w:r w:rsidRPr="00DA708F">
        <w:rPr>
          <w:rFonts w:ascii="Arial" w:hAnsi="Arial" w:cs="Arial"/>
          <w:color w:val="000000"/>
          <w:sz w:val="22"/>
          <w:lang w:val="en-GB"/>
        </w:rPr>
        <w:t>NHS (2021). </w:t>
      </w:r>
      <w:r w:rsidRPr="00DA708F">
        <w:rPr>
          <w:rFonts w:ascii="Arial" w:hAnsi="Arial" w:cs="Arial"/>
          <w:i/>
          <w:iCs/>
          <w:color w:val="000000"/>
          <w:sz w:val="22"/>
          <w:lang w:val="en-GB"/>
        </w:rPr>
        <w:t>Mental Health Act</w:t>
      </w:r>
      <w:r w:rsidRPr="00DA708F">
        <w:rPr>
          <w:rFonts w:ascii="Arial" w:hAnsi="Arial" w:cs="Arial"/>
          <w:color w:val="000000"/>
          <w:sz w:val="22"/>
          <w:lang w:val="en-GB"/>
        </w:rPr>
        <w:t xml:space="preserve">. [online] nhs.uk. Available at: </w:t>
      </w:r>
      <w:hyperlink r:id="rId25" w:history="1">
        <w:r w:rsidR="00F3324C" w:rsidRPr="00DA708F">
          <w:rPr>
            <w:rStyle w:val="Hyperlink"/>
            <w:rFonts w:ascii="Arial" w:hAnsi="Arial" w:cs="Arial"/>
            <w:sz w:val="22"/>
            <w:lang w:val="en-GB"/>
          </w:rPr>
          <w:t>https://www.nhs.uk/mental-health/social-care-and-your-rights/mental-health-and-the-law/mental-health-act/</w:t>
        </w:r>
      </w:hyperlink>
      <w:r w:rsidR="00F3324C" w:rsidRPr="00DA708F">
        <w:rPr>
          <w:rFonts w:ascii="Arial" w:hAnsi="Arial" w:cs="Arial"/>
          <w:color w:val="000000"/>
          <w:sz w:val="22"/>
          <w:lang w:val="en-GB"/>
        </w:rPr>
        <w:t xml:space="preserve"> </w:t>
      </w:r>
      <w:r w:rsidRPr="00DA708F">
        <w:rPr>
          <w:rFonts w:ascii="Arial" w:hAnsi="Arial" w:cs="Arial"/>
          <w:color w:val="000000"/>
          <w:sz w:val="22"/>
          <w:lang w:val="en-GB"/>
        </w:rPr>
        <w:t>[Accessed 6 Oct. 2025].</w:t>
      </w:r>
    </w:p>
    <w:p w14:paraId="41425B3A" w14:textId="77777777" w:rsidR="00B968B2" w:rsidRPr="00DA708F" w:rsidRDefault="0059454E" w:rsidP="004E701E">
      <w:pPr>
        <w:ind w:left="720" w:hanging="720"/>
        <w:rPr>
          <w:rFonts w:ascii="Arial" w:hAnsi="Arial" w:cs="Arial"/>
          <w:sz w:val="22"/>
          <w:lang w:val="en-GB"/>
        </w:rPr>
      </w:pPr>
      <w:r w:rsidRPr="00DA708F">
        <w:rPr>
          <w:rFonts w:ascii="Arial" w:hAnsi="Arial" w:cs="Arial"/>
          <w:sz w:val="22"/>
          <w:lang w:val="en-GB"/>
        </w:rPr>
        <w:t>NHS</w:t>
      </w:r>
      <w:r w:rsidR="00B968B2" w:rsidRPr="00DA708F">
        <w:rPr>
          <w:rFonts w:ascii="Arial" w:hAnsi="Arial" w:cs="Arial"/>
          <w:sz w:val="22"/>
          <w:lang w:val="en-GB"/>
        </w:rPr>
        <w:t xml:space="preserve"> (2021). </w:t>
      </w:r>
      <w:r w:rsidR="00B968B2" w:rsidRPr="00DA708F">
        <w:rPr>
          <w:rFonts w:ascii="Arial" w:hAnsi="Arial" w:cs="Arial"/>
          <w:i/>
          <w:iCs/>
          <w:sz w:val="22"/>
          <w:lang w:val="en-GB"/>
        </w:rPr>
        <w:t>Causes - Schizophrenia</w:t>
      </w:r>
      <w:r w:rsidR="00B968B2" w:rsidRPr="00DA708F">
        <w:rPr>
          <w:rFonts w:ascii="Arial" w:hAnsi="Arial" w:cs="Arial"/>
          <w:sz w:val="22"/>
          <w:lang w:val="en-GB"/>
        </w:rPr>
        <w:t xml:space="preserve">. [online] nhs.uk. Available at: </w:t>
      </w:r>
      <w:hyperlink r:id="rId26" w:anchor=":~:text=The%20exact%20causes%20of%20schizophrenia,likely%20to%20develop%20the%20condition" w:history="1">
        <w:r w:rsidR="00F3324C" w:rsidRPr="00DA708F">
          <w:rPr>
            <w:rStyle w:val="Hyperlink"/>
            <w:rFonts w:ascii="Arial" w:hAnsi="Arial" w:cs="Arial"/>
            <w:sz w:val="22"/>
            <w:lang w:val="en-GB"/>
          </w:rPr>
          <w:t>https://www.nhs.uk/mental-health/conditions/schizophrenia/causes/#:~:text=The%20exact%20causes%20of%20schizophrenia,likely%20to%20develop%20the%20condition</w:t>
        </w:r>
      </w:hyperlink>
      <w:r w:rsidR="00F3324C" w:rsidRPr="00DA708F">
        <w:rPr>
          <w:rFonts w:ascii="Arial" w:hAnsi="Arial" w:cs="Arial"/>
          <w:sz w:val="22"/>
          <w:lang w:val="en-GB"/>
        </w:rPr>
        <w:t xml:space="preserve"> </w:t>
      </w:r>
      <w:r w:rsidR="00B968B2" w:rsidRPr="00DA708F">
        <w:rPr>
          <w:rFonts w:ascii="Arial" w:hAnsi="Arial" w:cs="Arial"/>
          <w:sz w:val="22"/>
          <w:lang w:val="en-GB"/>
        </w:rPr>
        <w:t>[Accessed 6 Oct. 2025].</w:t>
      </w:r>
    </w:p>
    <w:p w14:paraId="29B290EB"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lastRenderedPageBreak/>
        <w:t xml:space="preserve">Nice.org.uk. (2014). </w:t>
      </w:r>
      <w:r w:rsidRPr="00DA708F">
        <w:rPr>
          <w:rFonts w:ascii="Arial" w:hAnsi="Arial" w:cs="Arial"/>
          <w:i/>
          <w:iCs/>
          <w:sz w:val="22"/>
          <w:lang w:val="en-GB"/>
        </w:rPr>
        <w:t>Recommendations | Psychosis and schizophrenia in adults: prevention and management | Guidance | NICE</w:t>
      </w:r>
      <w:r w:rsidRPr="00DA708F">
        <w:rPr>
          <w:rFonts w:ascii="Arial" w:hAnsi="Arial" w:cs="Arial"/>
          <w:sz w:val="22"/>
          <w:lang w:val="en-GB"/>
        </w:rPr>
        <w:t xml:space="preserve">. [online] Available at: </w:t>
      </w:r>
      <w:hyperlink r:id="rId27" w:anchor=":~:text=Before%20starting%20antipsychotic%20medication%2C%20undertake,record%20the%20following%20baseline%20investigations" w:history="1">
        <w:r w:rsidR="00F3324C" w:rsidRPr="00DA708F">
          <w:rPr>
            <w:rStyle w:val="Hyperlink"/>
            <w:rFonts w:ascii="Arial" w:hAnsi="Arial" w:cs="Arial"/>
            <w:sz w:val="22"/>
            <w:lang w:val="en-GB"/>
          </w:rPr>
          <w:t>https://www.nice.org.uk/guidance/cg178/chapter/Recommendations#:~:text=Before%20starting%20antipsychotic%20medication%2C%20undertake,record%20the%20following%20baseline%20investigations</w:t>
        </w:r>
      </w:hyperlink>
      <w:r w:rsidR="00F3324C" w:rsidRPr="00DA708F">
        <w:rPr>
          <w:rFonts w:ascii="Arial" w:hAnsi="Arial" w:cs="Arial"/>
          <w:sz w:val="22"/>
          <w:lang w:val="en-GB"/>
        </w:rPr>
        <w:t xml:space="preserve"> </w:t>
      </w:r>
      <w:r w:rsidRPr="00DA708F">
        <w:rPr>
          <w:rFonts w:ascii="Arial" w:hAnsi="Arial" w:cs="Arial"/>
          <w:sz w:val="22"/>
          <w:lang w:val="en-GB"/>
        </w:rPr>
        <w:t>[Accessed 6 Oct. 2025].</w:t>
      </w:r>
    </w:p>
    <w:p w14:paraId="426E60D6"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Nice.org.uk. (2020). </w:t>
      </w:r>
      <w:r w:rsidRPr="00DA708F">
        <w:rPr>
          <w:rFonts w:ascii="Arial" w:hAnsi="Arial" w:cs="Arial"/>
          <w:i/>
          <w:iCs/>
          <w:sz w:val="22"/>
          <w:lang w:val="en-GB"/>
        </w:rPr>
        <w:t>Overview | Rehabilitation for adults with complex psychosis | Guidance | NICE</w:t>
      </w:r>
      <w:r w:rsidRPr="00DA708F">
        <w:rPr>
          <w:rFonts w:ascii="Arial" w:hAnsi="Arial" w:cs="Arial"/>
          <w:sz w:val="22"/>
          <w:lang w:val="en-GB"/>
        </w:rPr>
        <w:t xml:space="preserve">. [online] Available at: </w:t>
      </w:r>
      <w:hyperlink r:id="rId28" w:history="1">
        <w:r w:rsidR="00F3324C" w:rsidRPr="00DA708F">
          <w:rPr>
            <w:rStyle w:val="Hyperlink"/>
            <w:rFonts w:ascii="Arial" w:hAnsi="Arial" w:cs="Arial"/>
            <w:sz w:val="22"/>
            <w:lang w:val="en-GB"/>
          </w:rPr>
          <w:t>https://www.nice.org.uk/guidance/ng181</w:t>
        </w:r>
      </w:hyperlink>
      <w:r w:rsidR="00F3324C" w:rsidRPr="00DA708F">
        <w:rPr>
          <w:rFonts w:ascii="Arial" w:hAnsi="Arial" w:cs="Arial"/>
          <w:sz w:val="22"/>
          <w:lang w:val="en-GB"/>
        </w:rPr>
        <w:t xml:space="preserve"> </w:t>
      </w:r>
      <w:r w:rsidRPr="00DA708F">
        <w:rPr>
          <w:rFonts w:ascii="Arial" w:hAnsi="Arial" w:cs="Arial"/>
          <w:sz w:val="22"/>
          <w:lang w:val="en-GB"/>
        </w:rPr>
        <w:t>[Accessed 6 Oct. 2025].</w:t>
      </w:r>
    </w:p>
    <w:p w14:paraId="1F85C6F0"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Nikola Houngbedji, Dalton-Locke, C., Hughes, A. and Killaspy, H. (2025). Mental health rehabilitation models for people with complex psychosis: a systematic review. </w:t>
      </w:r>
      <w:r w:rsidRPr="00DA708F">
        <w:rPr>
          <w:rFonts w:ascii="Arial" w:hAnsi="Arial" w:cs="Arial"/>
          <w:i/>
          <w:iCs/>
          <w:sz w:val="22"/>
          <w:lang w:val="en-GB"/>
        </w:rPr>
        <w:t>BMC Psychiatry</w:t>
      </w:r>
      <w:r w:rsidR="00F3324C" w:rsidRPr="00DA708F">
        <w:rPr>
          <w:rFonts w:ascii="Arial" w:hAnsi="Arial" w:cs="Arial"/>
          <w:sz w:val="22"/>
          <w:lang w:val="en-GB"/>
        </w:rPr>
        <w:t xml:space="preserve">, [online] 25(1). </w:t>
      </w:r>
      <w:hyperlink r:id="rId29" w:history="1">
        <w:r w:rsidR="00F3324C" w:rsidRPr="00DA708F">
          <w:rPr>
            <w:rStyle w:val="Hyperlink"/>
            <w:rFonts w:ascii="Arial" w:hAnsi="Arial" w:cs="Arial"/>
            <w:sz w:val="22"/>
            <w:lang w:val="en-GB"/>
          </w:rPr>
          <w:t>https://doi.org/10.1186/s12888-025-07174-8</w:t>
        </w:r>
      </w:hyperlink>
      <w:r w:rsidRPr="00DA708F">
        <w:rPr>
          <w:rFonts w:ascii="Arial" w:hAnsi="Arial" w:cs="Arial"/>
          <w:sz w:val="22"/>
          <w:lang w:val="en-GB"/>
        </w:rPr>
        <w:t>.</w:t>
      </w:r>
      <w:r w:rsidR="00F3324C" w:rsidRPr="00DA708F">
        <w:rPr>
          <w:rFonts w:ascii="Arial" w:hAnsi="Arial" w:cs="Arial"/>
          <w:sz w:val="22"/>
          <w:lang w:val="en-GB"/>
        </w:rPr>
        <w:t xml:space="preserve"> </w:t>
      </w:r>
    </w:p>
    <w:p w14:paraId="6A2DACD1" w14:textId="2511790B"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Norton, M.J. and Cuskelly, K. (2021). Family Recovery Interventions with Families of Mental Health Service Users: A Systematic Review of </w:t>
      </w:r>
      <w:r w:rsidR="000A3536" w:rsidRPr="00DA708F">
        <w:rPr>
          <w:rFonts w:ascii="Arial" w:hAnsi="Arial" w:cs="Arial"/>
          <w:sz w:val="22"/>
          <w:lang w:val="en-GB"/>
        </w:rPr>
        <w:t>Literature</w:t>
      </w:r>
      <w:r w:rsidRPr="00DA708F">
        <w:rPr>
          <w:rFonts w:ascii="Arial" w:hAnsi="Arial" w:cs="Arial"/>
          <w:sz w:val="22"/>
          <w:lang w:val="en-GB"/>
        </w:rPr>
        <w:t xml:space="preserve">. </w:t>
      </w:r>
      <w:r w:rsidRPr="00DA708F">
        <w:rPr>
          <w:rFonts w:ascii="Arial" w:hAnsi="Arial" w:cs="Arial"/>
          <w:i/>
          <w:iCs/>
          <w:sz w:val="22"/>
          <w:lang w:val="en-GB"/>
        </w:rPr>
        <w:t>International Journal of Environmental Research and Public Health</w:t>
      </w:r>
      <w:r w:rsidR="00F3324C" w:rsidRPr="00DA708F">
        <w:rPr>
          <w:rFonts w:ascii="Arial" w:hAnsi="Arial" w:cs="Arial"/>
          <w:sz w:val="22"/>
          <w:lang w:val="en-GB"/>
        </w:rPr>
        <w:t xml:space="preserve">, [online] 18(15), p.7858. </w:t>
      </w:r>
      <w:hyperlink r:id="rId30" w:history="1">
        <w:r w:rsidR="00F3324C" w:rsidRPr="00DA708F">
          <w:rPr>
            <w:rStyle w:val="Hyperlink"/>
            <w:rFonts w:ascii="Arial" w:hAnsi="Arial" w:cs="Arial"/>
            <w:sz w:val="22"/>
            <w:lang w:val="en-GB"/>
          </w:rPr>
          <w:t>https://doi.org/10.3390/ijerph18157858</w:t>
        </w:r>
      </w:hyperlink>
      <w:r w:rsidRPr="00DA708F">
        <w:rPr>
          <w:rFonts w:ascii="Arial" w:hAnsi="Arial" w:cs="Arial"/>
          <w:sz w:val="22"/>
          <w:lang w:val="en-GB"/>
        </w:rPr>
        <w:t>.</w:t>
      </w:r>
      <w:r w:rsidR="00F3324C" w:rsidRPr="00DA708F">
        <w:rPr>
          <w:rFonts w:ascii="Arial" w:hAnsi="Arial" w:cs="Arial"/>
          <w:sz w:val="22"/>
          <w:lang w:val="en-GB"/>
        </w:rPr>
        <w:t xml:space="preserve"> </w:t>
      </w:r>
    </w:p>
    <w:p w14:paraId="754BC0A3" w14:textId="77777777" w:rsidR="00B968B2" w:rsidRPr="00DA708F" w:rsidRDefault="00B968B2" w:rsidP="004E701E">
      <w:pPr>
        <w:ind w:left="720" w:hanging="720"/>
        <w:rPr>
          <w:rFonts w:ascii="Arial" w:hAnsi="Arial" w:cs="Arial"/>
          <w:sz w:val="22"/>
          <w:lang w:val="en-GB"/>
        </w:rPr>
      </w:pPr>
      <w:r w:rsidRPr="00DA708F">
        <w:rPr>
          <w:rFonts w:ascii="Arial" w:hAnsi="Arial" w:cs="Arial"/>
          <w:color w:val="000000"/>
          <w:sz w:val="22"/>
          <w:lang w:val="en-GB"/>
        </w:rPr>
        <w:t xml:space="preserve">rethink.org (2020). In sight and in mind: Making good on the promise of mental health rehabilitation. (2020). Available at: </w:t>
      </w:r>
      <w:hyperlink r:id="rId31" w:history="1">
        <w:r w:rsidRPr="00DA708F">
          <w:rPr>
            <w:rStyle w:val="Hyperlink"/>
            <w:rFonts w:ascii="Arial" w:hAnsi="Arial" w:cs="Arial"/>
            <w:sz w:val="22"/>
            <w:lang w:val="en-GB"/>
          </w:rPr>
          <w:t>https://www.rethink.org/media/3571/insightandinmind_rehabreport_rethinkmentalillness_rcpsych_february-2020.pdf</w:t>
        </w:r>
      </w:hyperlink>
      <w:r w:rsidRPr="00DA708F">
        <w:rPr>
          <w:rFonts w:ascii="Arial" w:hAnsi="Arial" w:cs="Arial"/>
          <w:color w:val="000000"/>
          <w:sz w:val="22"/>
          <w:lang w:val="en-GB"/>
        </w:rPr>
        <w:t>.</w:t>
      </w:r>
    </w:p>
    <w:p w14:paraId="762A30F0" w14:textId="68C04760"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Saini, R., Chail, A., Bhat, P., Srivastava, </w:t>
      </w:r>
      <w:r w:rsidR="000A3536" w:rsidRPr="00DA708F">
        <w:rPr>
          <w:rFonts w:ascii="Arial" w:hAnsi="Arial" w:cs="Arial"/>
          <w:sz w:val="22"/>
          <w:lang w:val="en-GB"/>
        </w:rPr>
        <w:t>K.,</w:t>
      </w:r>
      <w:r w:rsidRPr="00DA708F">
        <w:rPr>
          <w:rFonts w:ascii="Arial" w:hAnsi="Arial" w:cs="Arial"/>
          <w:sz w:val="22"/>
          <w:lang w:val="en-GB"/>
        </w:rPr>
        <w:t xml:space="preserve"> and Chauhan, V. (2018). Transcranial magnetic stimulation: A review of its evolution and current applications. </w:t>
      </w:r>
      <w:r w:rsidRPr="00DA708F">
        <w:rPr>
          <w:rFonts w:ascii="Arial" w:hAnsi="Arial" w:cs="Arial"/>
          <w:i/>
          <w:iCs/>
          <w:sz w:val="22"/>
          <w:lang w:val="en-GB"/>
        </w:rPr>
        <w:t>Industrial Psychiatry Journal</w:t>
      </w:r>
      <w:r w:rsidR="00F3324C" w:rsidRPr="00DA708F">
        <w:rPr>
          <w:rFonts w:ascii="Arial" w:hAnsi="Arial" w:cs="Arial"/>
          <w:sz w:val="22"/>
          <w:lang w:val="en-GB"/>
        </w:rPr>
        <w:t xml:space="preserve">, [online] 27(2), p.172. </w:t>
      </w:r>
      <w:hyperlink r:id="rId32" w:history="1">
        <w:r w:rsidR="00F3324C" w:rsidRPr="00DA708F">
          <w:rPr>
            <w:rStyle w:val="Hyperlink"/>
            <w:rFonts w:ascii="Arial" w:hAnsi="Arial" w:cs="Arial"/>
            <w:sz w:val="22"/>
            <w:lang w:val="en-GB"/>
          </w:rPr>
          <w:t>https://doi.org/10.4103/ipj.ipj_88_18</w:t>
        </w:r>
      </w:hyperlink>
      <w:r w:rsidRPr="00DA708F">
        <w:rPr>
          <w:rFonts w:ascii="Arial" w:hAnsi="Arial" w:cs="Arial"/>
          <w:sz w:val="22"/>
          <w:lang w:val="en-GB"/>
        </w:rPr>
        <w:t>.</w:t>
      </w:r>
      <w:r w:rsidR="00F3324C" w:rsidRPr="00DA708F">
        <w:rPr>
          <w:rFonts w:ascii="Arial" w:hAnsi="Arial" w:cs="Arial"/>
          <w:sz w:val="22"/>
          <w:lang w:val="en-GB"/>
        </w:rPr>
        <w:t xml:space="preserve"> </w:t>
      </w:r>
    </w:p>
    <w:p w14:paraId="4BA44D9D" w14:textId="4AE0528D"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Stockton, M.A., Kramer, J., Chienda, J., Morrison, A.M., Tikhiwa, H.A., Sansbury, G., Zumazuma, A., Mortensen, H., Mwawi Ng'oma, Nyirongo, P., Mtonga, I., Devadas, J., Bonginkosi Chiliza, Sefasi, A.P., Patani Mhango, Gaynes, B.N., Pence, B.W. and Kazione Kulisewa (2025). Applying the Health Stigma and Discrimination Framework to psychosis stigma in Malawi. </w:t>
      </w:r>
      <w:r w:rsidRPr="00DA708F">
        <w:rPr>
          <w:rFonts w:ascii="Arial" w:hAnsi="Arial" w:cs="Arial"/>
          <w:i/>
          <w:iCs/>
          <w:sz w:val="22"/>
          <w:lang w:val="en-GB"/>
        </w:rPr>
        <w:t>PLOS mental health.</w:t>
      </w:r>
      <w:r w:rsidRPr="00DA708F">
        <w:rPr>
          <w:rFonts w:ascii="Arial" w:hAnsi="Arial" w:cs="Arial"/>
          <w:sz w:val="22"/>
          <w:lang w:val="en-GB"/>
        </w:rPr>
        <w:t xml:space="preserve">, [online] </w:t>
      </w:r>
      <w:r w:rsidR="00F3324C" w:rsidRPr="00DA708F">
        <w:rPr>
          <w:rFonts w:ascii="Arial" w:hAnsi="Arial" w:cs="Arial"/>
          <w:sz w:val="22"/>
          <w:lang w:val="en-GB"/>
        </w:rPr>
        <w:t xml:space="preserve">2(5), </w:t>
      </w:r>
      <w:r w:rsidR="000A3536" w:rsidRPr="00DA708F">
        <w:rPr>
          <w:rFonts w:ascii="Arial" w:hAnsi="Arial" w:cs="Arial"/>
          <w:sz w:val="22"/>
          <w:lang w:val="en-GB"/>
        </w:rPr>
        <w:t>pp. e</w:t>
      </w:r>
      <w:r w:rsidR="00F3324C" w:rsidRPr="00DA708F">
        <w:rPr>
          <w:rFonts w:ascii="Arial" w:hAnsi="Arial" w:cs="Arial"/>
          <w:sz w:val="22"/>
          <w:lang w:val="en-GB"/>
        </w:rPr>
        <w:t xml:space="preserve">0000306–e0000306. </w:t>
      </w:r>
      <w:hyperlink r:id="rId33" w:history="1">
        <w:r w:rsidR="00F3324C" w:rsidRPr="00DA708F">
          <w:rPr>
            <w:rStyle w:val="Hyperlink"/>
            <w:rFonts w:ascii="Arial" w:hAnsi="Arial" w:cs="Arial"/>
            <w:sz w:val="22"/>
            <w:lang w:val="en-GB"/>
          </w:rPr>
          <w:t>https://doi.org/10.1371/journal.pmen.0000306</w:t>
        </w:r>
      </w:hyperlink>
      <w:r w:rsidRPr="00DA708F">
        <w:rPr>
          <w:rFonts w:ascii="Arial" w:hAnsi="Arial" w:cs="Arial"/>
          <w:sz w:val="22"/>
          <w:lang w:val="en-GB"/>
        </w:rPr>
        <w:t>.</w:t>
      </w:r>
      <w:r w:rsidR="00F3324C" w:rsidRPr="00DA708F">
        <w:rPr>
          <w:rFonts w:ascii="Arial" w:hAnsi="Arial" w:cs="Arial"/>
          <w:sz w:val="22"/>
          <w:lang w:val="en-GB"/>
        </w:rPr>
        <w:t xml:space="preserve"> </w:t>
      </w:r>
    </w:p>
    <w:p w14:paraId="7942658F"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The King’s Fund. (2024). </w:t>
      </w:r>
      <w:r w:rsidRPr="00DA708F">
        <w:rPr>
          <w:rFonts w:ascii="Arial" w:hAnsi="Arial" w:cs="Arial"/>
          <w:i/>
          <w:iCs/>
          <w:sz w:val="22"/>
          <w:lang w:val="en-GB"/>
        </w:rPr>
        <w:t>Mental Health 360 | Access | The King’s Fund</w:t>
      </w:r>
      <w:r w:rsidRPr="00DA708F">
        <w:rPr>
          <w:rFonts w:ascii="Arial" w:hAnsi="Arial" w:cs="Arial"/>
          <w:sz w:val="22"/>
          <w:lang w:val="en-GB"/>
        </w:rPr>
        <w:t xml:space="preserve">. [online] Available at: </w:t>
      </w:r>
      <w:hyperlink r:id="rId34" w:anchor=":~:text=National%20access%20and%20waiting%20time,and%20young%20people%E2%80%99s%20mental%20health" w:history="1">
        <w:r w:rsidR="00F3324C" w:rsidRPr="00DA708F">
          <w:rPr>
            <w:rStyle w:val="Hyperlink"/>
            <w:rFonts w:ascii="Arial" w:hAnsi="Arial" w:cs="Arial"/>
            <w:sz w:val="22"/>
            <w:lang w:val="en-GB"/>
          </w:rPr>
          <w:t>https://www.kingsfund.org.uk/insight-and-analysis/long-reads/mental-health-360-access#:~:text=National%20access%20and%20waiting%20time,and%20young%20people%E2%80%99s%20mental%20health</w:t>
        </w:r>
      </w:hyperlink>
      <w:r w:rsidR="00F3324C" w:rsidRPr="00DA708F">
        <w:rPr>
          <w:rFonts w:ascii="Arial" w:hAnsi="Arial" w:cs="Arial"/>
          <w:sz w:val="22"/>
          <w:lang w:val="en-GB"/>
        </w:rPr>
        <w:t xml:space="preserve"> </w:t>
      </w:r>
      <w:r w:rsidRPr="00DA708F">
        <w:rPr>
          <w:rFonts w:ascii="Arial" w:hAnsi="Arial" w:cs="Arial"/>
          <w:sz w:val="22"/>
          <w:lang w:val="en-GB"/>
        </w:rPr>
        <w:t>[Accessed 6 Oct. 2025].</w:t>
      </w:r>
    </w:p>
    <w:p w14:paraId="033F23E0"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lastRenderedPageBreak/>
        <w:t xml:space="preserve">van, Arulpragasam, A.R., Faucher, C., Aiken, E., Shea, M.T., Jones, R.N., Greenberg, B.D. and Philip, N.S. (2024). Virtual Reality and Transcranial Direct Current Stimulation for Posttraumatic Stress Disorder. </w:t>
      </w:r>
      <w:r w:rsidRPr="00DA708F">
        <w:rPr>
          <w:rFonts w:ascii="Arial" w:hAnsi="Arial" w:cs="Arial"/>
          <w:i/>
          <w:iCs/>
          <w:sz w:val="22"/>
          <w:lang w:val="en-GB"/>
        </w:rPr>
        <w:t>JAMA Psychiatry</w:t>
      </w:r>
      <w:r w:rsidRPr="00DA708F">
        <w:rPr>
          <w:rFonts w:ascii="Arial" w:hAnsi="Arial" w:cs="Arial"/>
          <w:sz w:val="22"/>
          <w:lang w:val="en-GB"/>
        </w:rPr>
        <w:t xml:space="preserve">, </w:t>
      </w:r>
      <w:r w:rsidR="00F3324C" w:rsidRPr="00DA708F">
        <w:rPr>
          <w:rFonts w:ascii="Arial" w:hAnsi="Arial" w:cs="Arial"/>
          <w:sz w:val="22"/>
          <w:lang w:val="en-GB"/>
        </w:rPr>
        <w:t xml:space="preserve">[online] 81(5), pp.437–437. </w:t>
      </w:r>
      <w:hyperlink r:id="rId35" w:history="1">
        <w:r w:rsidR="00F3324C" w:rsidRPr="00DA708F">
          <w:rPr>
            <w:rStyle w:val="Hyperlink"/>
            <w:rFonts w:ascii="Arial" w:hAnsi="Arial" w:cs="Arial"/>
            <w:sz w:val="22"/>
            <w:lang w:val="en-GB"/>
          </w:rPr>
          <w:t>https://doi.org/10.1001/jamapsychiatry.2023.5661</w:t>
        </w:r>
      </w:hyperlink>
      <w:r w:rsidRPr="00DA708F">
        <w:rPr>
          <w:rFonts w:ascii="Arial" w:hAnsi="Arial" w:cs="Arial"/>
          <w:sz w:val="22"/>
          <w:lang w:val="en-GB"/>
        </w:rPr>
        <w:t>.</w:t>
      </w:r>
      <w:r w:rsidR="00F3324C" w:rsidRPr="00DA708F">
        <w:rPr>
          <w:rFonts w:ascii="Arial" w:hAnsi="Arial" w:cs="Arial"/>
          <w:sz w:val="22"/>
          <w:lang w:val="en-GB"/>
        </w:rPr>
        <w:t xml:space="preserve"> </w:t>
      </w:r>
    </w:p>
    <w:p w14:paraId="285004D8" w14:textId="77777777"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World (2022). </w:t>
      </w:r>
      <w:r w:rsidRPr="00DA708F">
        <w:rPr>
          <w:rFonts w:ascii="Arial" w:hAnsi="Arial" w:cs="Arial"/>
          <w:i/>
          <w:iCs/>
          <w:sz w:val="22"/>
          <w:lang w:val="en-GB"/>
        </w:rPr>
        <w:t>Schizophrenia</w:t>
      </w:r>
      <w:r w:rsidRPr="00DA708F">
        <w:rPr>
          <w:rFonts w:ascii="Arial" w:hAnsi="Arial" w:cs="Arial"/>
          <w:sz w:val="22"/>
          <w:lang w:val="en-GB"/>
        </w:rPr>
        <w:t xml:space="preserve">. [online] Who.int. Available at: </w:t>
      </w:r>
      <w:hyperlink r:id="rId36" w:anchor=":~:text=Schizophrenia%20affects%20approximately%2024%20million,among%20men%20than%20among%20women" w:history="1">
        <w:r w:rsidR="00F3324C" w:rsidRPr="00DA708F">
          <w:rPr>
            <w:rStyle w:val="Hyperlink"/>
            <w:rFonts w:ascii="Arial" w:hAnsi="Arial" w:cs="Arial"/>
            <w:sz w:val="22"/>
            <w:lang w:val="en-GB"/>
          </w:rPr>
          <w:t>https://www.who.int/news-room/fact-sheets/detail/schizophrenia#:~:text=Schizophrenia%20affects%20approximately%2024%20million,among%20men%20than%20among%20women</w:t>
        </w:r>
      </w:hyperlink>
      <w:r w:rsidR="00F3324C" w:rsidRPr="00DA708F">
        <w:rPr>
          <w:rFonts w:ascii="Arial" w:hAnsi="Arial" w:cs="Arial"/>
          <w:sz w:val="22"/>
          <w:lang w:val="en-GB"/>
        </w:rPr>
        <w:t xml:space="preserve"> </w:t>
      </w:r>
      <w:r w:rsidRPr="00DA708F">
        <w:rPr>
          <w:rFonts w:ascii="Arial" w:hAnsi="Arial" w:cs="Arial"/>
          <w:sz w:val="22"/>
          <w:lang w:val="en-GB"/>
        </w:rPr>
        <w:t>[Accessed 6 Oct. 2025].</w:t>
      </w:r>
    </w:p>
    <w:p w14:paraId="20D69C5A" w14:textId="77777777" w:rsidR="00E264CD" w:rsidRPr="00DA708F" w:rsidRDefault="00E264CD" w:rsidP="004E701E">
      <w:pPr>
        <w:pStyle w:val="NormalWeb"/>
        <w:spacing w:line="360" w:lineRule="auto"/>
        <w:rPr>
          <w:rFonts w:ascii="Arial" w:hAnsi="Arial" w:cs="Arial"/>
          <w:color w:val="000000"/>
          <w:sz w:val="22"/>
          <w:szCs w:val="22"/>
          <w:lang w:val="en-GB"/>
        </w:rPr>
      </w:pPr>
      <w:r w:rsidRPr="00DA708F">
        <w:rPr>
          <w:rFonts w:ascii="Arial" w:hAnsi="Arial" w:cs="Arial"/>
          <w:color w:val="000000"/>
          <w:sz w:val="22"/>
          <w:szCs w:val="22"/>
          <w:lang w:val="en-GB"/>
        </w:rPr>
        <w:t>‌</w:t>
      </w:r>
    </w:p>
    <w:p w14:paraId="6438F6EB" w14:textId="77777777" w:rsidR="00E264CD" w:rsidRPr="00DA708F" w:rsidRDefault="00E264CD" w:rsidP="004E701E">
      <w:pPr>
        <w:pStyle w:val="NormalWeb"/>
        <w:spacing w:before="0" w:beforeAutospacing="0" w:after="240" w:afterAutospacing="0" w:line="360" w:lineRule="auto"/>
        <w:rPr>
          <w:rFonts w:ascii="Arial" w:hAnsi="Arial" w:cs="Arial"/>
          <w:color w:val="000000"/>
          <w:sz w:val="22"/>
          <w:szCs w:val="22"/>
          <w:lang w:val="en-GB"/>
        </w:rPr>
      </w:pPr>
    </w:p>
    <w:p w14:paraId="7865877C" w14:textId="77777777" w:rsidR="00E264CD" w:rsidRPr="00DA708F" w:rsidRDefault="00E264CD" w:rsidP="004E701E">
      <w:pPr>
        <w:pStyle w:val="NormalWeb"/>
        <w:spacing w:line="360" w:lineRule="auto"/>
        <w:rPr>
          <w:rFonts w:ascii="Arial" w:hAnsi="Arial" w:cs="Arial"/>
          <w:color w:val="000000"/>
          <w:sz w:val="22"/>
          <w:szCs w:val="22"/>
          <w:lang w:val="en-GB"/>
        </w:rPr>
      </w:pPr>
      <w:r w:rsidRPr="00DA708F">
        <w:rPr>
          <w:rFonts w:ascii="Arial" w:hAnsi="Arial" w:cs="Arial"/>
          <w:color w:val="000000"/>
          <w:sz w:val="22"/>
          <w:szCs w:val="22"/>
          <w:lang w:val="en-GB"/>
        </w:rPr>
        <w:t>‌</w:t>
      </w:r>
    </w:p>
    <w:p w14:paraId="6A0B9263" w14:textId="77777777" w:rsidR="00E264CD" w:rsidRPr="00DA708F" w:rsidRDefault="00E264CD" w:rsidP="004E701E">
      <w:pPr>
        <w:rPr>
          <w:rFonts w:ascii="Arial" w:hAnsi="Arial" w:cs="Arial"/>
          <w:sz w:val="22"/>
          <w:lang w:val="en-GB"/>
        </w:rPr>
      </w:pPr>
    </w:p>
    <w:p w14:paraId="58FBC0FF" w14:textId="77777777" w:rsidR="00780C8B" w:rsidRPr="00DA708F" w:rsidRDefault="00780C8B" w:rsidP="004E701E">
      <w:pPr>
        <w:rPr>
          <w:rFonts w:ascii="Arial" w:hAnsi="Arial" w:cs="Arial"/>
          <w:sz w:val="22"/>
          <w:lang w:val="en-GB"/>
        </w:rPr>
      </w:pPr>
    </w:p>
    <w:sectPr w:rsidR="00780C8B" w:rsidRPr="00DA708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B907E" w14:textId="77777777" w:rsidR="00592123" w:rsidRDefault="00592123" w:rsidP="007F29D0">
      <w:pPr>
        <w:spacing w:after="0" w:line="240" w:lineRule="auto"/>
      </w:pPr>
      <w:r>
        <w:separator/>
      </w:r>
    </w:p>
  </w:endnote>
  <w:endnote w:type="continuationSeparator" w:id="0">
    <w:p w14:paraId="370C5CB7" w14:textId="77777777" w:rsidR="00592123" w:rsidRDefault="00592123" w:rsidP="007F2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7F658" w14:textId="77777777" w:rsidR="00592123" w:rsidRDefault="00592123" w:rsidP="007F29D0">
      <w:pPr>
        <w:spacing w:after="0" w:line="240" w:lineRule="auto"/>
      </w:pPr>
      <w:r>
        <w:separator/>
      </w:r>
    </w:p>
  </w:footnote>
  <w:footnote w:type="continuationSeparator" w:id="0">
    <w:p w14:paraId="29F2728E" w14:textId="77777777" w:rsidR="00592123" w:rsidRDefault="00592123" w:rsidP="007F29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22593D"/>
    <w:multiLevelType w:val="hybridMultilevel"/>
    <w:tmpl w:val="7CA8C964"/>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74C74402"/>
    <w:multiLevelType w:val="multilevel"/>
    <w:tmpl w:val="83CA7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7270226">
    <w:abstractNumId w:val="1"/>
  </w:num>
  <w:num w:numId="2" w16cid:durableId="906694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48B"/>
    <w:rsid w:val="000005EC"/>
    <w:rsid w:val="00023E54"/>
    <w:rsid w:val="00044147"/>
    <w:rsid w:val="00054632"/>
    <w:rsid w:val="000905BC"/>
    <w:rsid w:val="000A3536"/>
    <w:rsid w:val="00103B90"/>
    <w:rsid w:val="00165A4E"/>
    <w:rsid w:val="001B251E"/>
    <w:rsid w:val="001E0905"/>
    <w:rsid w:val="002108C1"/>
    <w:rsid w:val="002277E0"/>
    <w:rsid w:val="00255DE1"/>
    <w:rsid w:val="002A64D8"/>
    <w:rsid w:val="002D6CBB"/>
    <w:rsid w:val="00395557"/>
    <w:rsid w:val="003C6989"/>
    <w:rsid w:val="004002FF"/>
    <w:rsid w:val="0048793A"/>
    <w:rsid w:val="00491560"/>
    <w:rsid w:val="004B0C3C"/>
    <w:rsid w:val="004D09FE"/>
    <w:rsid w:val="004D1371"/>
    <w:rsid w:val="004E701E"/>
    <w:rsid w:val="004F1650"/>
    <w:rsid w:val="00504AF0"/>
    <w:rsid w:val="00522710"/>
    <w:rsid w:val="00553E30"/>
    <w:rsid w:val="00555EA5"/>
    <w:rsid w:val="005711AB"/>
    <w:rsid w:val="00592123"/>
    <w:rsid w:val="0059454E"/>
    <w:rsid w:val="005A203D"/>
    <w:rsid w:val="005F0F60"/>
    <w:rsid w:val="00600BDC"/>
    <w:rsid w:val="00610326"/>
    <w:rsid w:val="00613347"/>
    <w:rsid w:val="006248F0"/>
    <w:rsid w:val="006419A9"/>
    <w:rsid w:val="006A0FC5"/>
    <w:rsid w:val="006D16D3"/>
    <w:rsid w:val="006E458B"/>
    <w:rsid w:val="006F79FE"/>
    <w:rsid w:val="007036A3"/>
    <w:rsid w:val="0073333A"/>
    <w:rsid w:val="00741927"/>
    <w:rsid w:val="0075720B"/>
    <w:rsid w:val="00761FD5"/>
    <w:rsid w:val="00775BCE"/>
    <w:rsid w:val="00780C8B"/>
    <w:rsid w:val="00780E49"/>
    <w:rsid w:val="00792826"/>
    <w:rsid w:val="007D2684"/>
    <w:rsid w:val="007F29D0"/>
    <w:rsid w:val="00810305"/>
    <w:rsid w:val="00833B7F"/>
    <w:rsid w:val="008655E4"/>
    <w:rsid w:val="008D0C90"/>
    <w:rsid w:val="008D5875"/>
    <w:rsid w:val="00925E58"/>
    <w:rsid w:val="009675C5"/>
    <w:rsid w:val="00A116E9"/>
    <w:rsid w:val="00A13DC2"/>
    <w:rsid w:val="00A92A45"/>
    <w:rsid w:val="00AC03F2"/>
    <w:rsid w:val="00AC07FB"/>
    <w:rsid w:val="00AC5892"/>
    <w:rsid w:val="00AF5976"/>
    <w:rsid w:val="00B34D7A"/>
    <w:rsid w:val="00B518FA"/>
    <w:rsid w:val="00B52685"/>
    <w:rsid w:val="00B65964"/>
    <w:rsid w:val="00B93391"/>
    <w:rsid w:val="00B968B2"/>
    <w:rsid w:val="00C351D0"/>
    <w:rsid w:val="00C56935"/>
    <w:rsid w:val="00C8369F"/>
    <w:rsid w:val="00CC418D"/>
    <w:rsid w:val="00D10A23"/>
    <w:rsid w:val="00D25C76"/>
    <w:rsid w:val="00D34663"/>
    <w:rsid w:val="00D63478"/>
    <w:rsid w:val="00DA708F"/>
    <w:rsid w:val="00E2348B"/>
    <w:rsid w:val="00E264CD"/>
    <w:rsid w:val="00E478B4"/>
    <w:rsid w:val="00E61489"/>
    <w:rsid w:val="00F07B20"/>
    <w:rsid w:val="00F3324C"/>
    <w:rsid w:val="00F94341"/>
    <w:rsid w:val="00FA157A"/>
    <w:rsid w:val="00FB2C97"/>
    <w:rsid w:val="00FC2AC4"/>
    <w:rsid w:val="00FD292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A7103F"/>
  <w15:chartTrackingRefBased/>
  <w15:docId w15:val="{DE3E8501-B34F-9449-8C98-7F03BF18D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632"/>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54632"/>
    <w:pPr>
      <w:keepNext/>
      <w:keepLines/>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054632"/>
    <w:pPr>
      <w:keepNext/>
      <w:keepLines/>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B65964"/>
    <w:pPr>
      <w:keepNext/>
      <w:keepLines/>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632"/>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54632"/>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sid w:val="00B65964"/>
    <w:rPr>
      <w:rFonts w:ascii="Times New Roman" w:eastAsiaTheme="majorEastAsia" w:hAnsi="Times New Roman" w:cstheme="majorBidi"/>
      <w:i/>
      <w:sz w:val="24"/>
      <w:szCs w:val="24"/>
    </w:rPr>
  </w:style>
  <w:style w:type="character" w:styleId="Hyperlink">
    <w:name w:val="Hyperlink"/>
    <w:basedOn w:val="DefaultParagraphFont"/>
    <w:uiPriority w:val="99"/>
    <w:unhideWhenUsed/>
    <w:rsid w:val="00E2348B"/>
    <w:rPr>
      <w:color w:val="0563C1" w:themeColor="hyperlink"/>
      <w:u w:val="single"/>
    </w:rPr>
  </w:style>
  <w:style w:type="paragraph" w:styleId="NormalWeb">
    <w:name w:val="Normal (Web)"/>
    <w:basedOn w:val="Normal"/>
    <w:uiPriority w:val="99"/>
    <w:unhideWhenUsed/>
    <w:rsid w:val="00E264CD"/>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7F29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9D0"/>
    <w:rPr>
      <w:rFonts w:ascii="Times New Roman" w:hAnsi="Times New Roman"/>
      <w:sz w:val="24"/>
    </w:rPr>
  </w:style>
  <w:style w:type="paragraph" w:styleId="Footer">
    <w:name w:val="footer"/>
    <w:basedOn w:val="Normal"/>
    <w:link w:val="FooterChar"/>
    <w:uiPriority w:val="99"/>
    <w:unhideWhenUsed/>
    <w:rsid w:val="007F29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9D0"/>
    <w:rPr>
      <w:rFonts w:ascii="Times New Roman" w:hAnsi="Times New Roman"/>
      <w:sz w:val="24"/>
    </w:rPr>
  </w:style>
  <w:style w:type="paragraph" w:styleId="TOC1">
    <w:name w:val="toc 1"/>
    <w:basedOn w:val="Normal"/>
    <w:next w:val="Normal"/>
    <w:autoRedefine/>
    <w:uiPriority w:val="39"/>
    <w:unhideWhenUsed/>
    <w:rsid w:val="007F29D0"/>
    <w:pPr>
      <w:spacing w:after="100"/>
    </w:pPr>
  </w:style>
  <w:style w:type="paragraph" w:styleId="TOC2">
    <w:name w:val="toc 2"/>
    <w:basedOn w:val="Normal"/>
    <w:next w:val="Normal"/>
    <w:autoRedefine/>
    <w:uiPriority w:val="39"/>
    <w:unhideWhenUsed/>
    <w:rsid w:val="007F29D0"/>
    <w:pPr>
      <w:spacing w:after="100"/>
      <w:ind w:left="240"/>
    </w:pPr>
  </w:style>
  <w:style w:type="paragraph" w:styleId="ListParagraph">
    <w:name w:val="List Paragraph"/>
    <w:basedOn w:val="Normal"/>
    <w:uiPriority w:val="34"/>
    <w:qFormat/>
    <w:rsid w:val="00103B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080932">
      <w:bodyDiv w:val="1"/>
      <w:marLeft w:val="0"/>
      <w:marRight w:val="0"/>
      <w:marTop w:val="0"/>
      <w:marBottom w:val="0"/>
      <w:divBdr>
        <w:top w:val="none" w:sz="0" w:space="0" w:color="auto"/>
        <w:left w:val="none" w:sz="0" w:space="0" w:color="auto"/>
        <w:bottom w:val="none" w:sz="0" w:space="0" w:color="auto"/>
        <w:right w:val="none" w:sz="0" w:space="0" w:color="auto"/>
      </w:divBdr>
      <w:divsChild>
        <w:div w:id="1560241629">
          <w:marLeft w:val="0"/>
          <w:marRight w:val="0"/>
          <w:marTop w:val="0"/>
          <w:marBottom w:val="0"/>
          <w:divBdr>
            <w:top w:val="none" w:sz="0" w:space="0" w:color="auto"/>
            <w:left w:val="none" w:sz="0" w:space="0" w:color="auto"/>
            <w:bottom w:val="none" w:sz="0" w:space="0" w:color="auto"/>
            <w:right w:val="none" w:sz="0" w:space="0" w:color="auto"/>
          </w:divBdr>
          <w:divsChild>
            <w:div w:id="1022171180">
              <w:marLeft w:val="0"/>
              <w:marRight w:val="0"/>
              <w:marTop w:val="0"/>
              <w:marBottom w:val="0"/>
              <w:divBdr>
                <w:top w:val="none" w:sz="0" w:space="0" w:color="auto"/>
                <w:left w:val="none" w:sz="0" w:space="0" w:color="auto"/>
                <w:bottom w:val="none" w:sz="0" w:space="0" w:color="auto"/>
                <w:right w:val="none" w:sz="0" w:space="0" w:color="auto"/>
              </w:divBdr>
              <w:divsChild>
                <w:div w:id="2076581538">
                  <w:marLeft w:val="0"/>
                  <w:marRight w:val="0"/>
                  <w:marTop w:val="0"/>
                  <w:marBottom w:val="0"/>
                  <w:divBdr>
                    <w:top w:val="none" w:sz="0" w:space="0" w:color="auto"/>
                    <w:left w:val="none" w:sz="0" w:space="0" w:color="auto"/>
                    <w:bottom w:val="none" w:sz="0" w:space="0" w:color="auto"/>
                    <w:right w:val="none" w:sz="0" w:space="0" w:color="auto"/>
                  </w:divBdr>
                  <w:divsChild>
                    <w:div w:id="123471912">
                      <w:marLeft w:val="0"/>
                      <w:marRight w:val="0"/>
                      <w:marTop w:val="0"/>
                      <w:marBottom w:val="0"/>
                      <w:divBdr>
                        <w:top w:val="none" w:sz="0" w:space="0" w:color="auto"/>
                        <w:left w:val="none" w:sz="0" w:space="0" w:color="auto"/>
                        <w:bottom w:val="none" w:sz="0" w:space="0" w:color="auto"/>
                        <w:right w:val="none" w:sz="0" w:space="0" w:color="auto"/>
                      </w:divBdr>
                      <w:divsChild>
                        <w:div w:id="1526138353">
                          <w:marLeft w:val="0"/>
                          <w:marRight w:val="0"/>
                          <w:marTop w:val="0"/>
                          <w:marBottom w:val="0"/>
                          <w:divBdr>
                            <w:top w:val="none" w:sz="0" w:space="0" w:color="auto"/>
                            <w:left w:val="none" w:sz="0" w:space="0" w:color="auto"/>
                            <w:bottom w:val="none" w:sz="0" w:space="0" w:color="auto"/>
                            <w:right w:val="none" w:sz="0" w:space="0" w:color="auto"/>
                          </w:divBdr>
                          <w:divsChild>
                            <w:div w:id="153835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598436">
      <w:bodyDiv w:val="1"/>
      <w:marLeft w:val="0"/>
      <w:marRight w:val="0"/>
      <w:marTop w:val="0"/>
      <w:marBottom w:val="0"/>
      <w:divBdr>
        <w:top w:val="none" w:sz="0" w:space="0" w:color="auto"/>
        <w:left w:val="none" w:sz="0" w:space="0" w:color="auto"/>
        <w:bottom w:val="none" w:sz="0" w:space="0" w:color="auto"/>
        <w:right w:val="none" w:sz="0" w:space="0" w:color="auto"/>
      </w:divBdr>
    </w:div>
    <w:div w:id="198904139">
      <w:bodyDiv w:val="1"/>
      <w:marLeft w:val="0"/>
      <w:marRight w:val="0"/>
      <w:marTop w:val="0"/>
      <w:marBottom w:val="0"/>
      <w:divBdr>
        <w:top w:val="none" w:sz="0" w:space="0" w:color="auto"/>
        <w:left w:val="none" w:sz="0" w:space="0" w:color="auto"/>
        <w:bottom w:val="none" w:sz="0" w:space="0" w:color="auto"/>
        <w:right w:val="none" w:sz="0" w:space="0" w:color="auto"/>
      </w:divBdr>
    </w:div>
    <w:div w:id="561523784">
      <w:bodyDiv w:val="1"/>
      <w:marLeft w:val="0"/>
      <w:marRight w:val="0"/>
      <w:marTop w:val="0"/>
      <w:marBottom w:val="0"/>
      <w:divBdr>
        <w:top w:val="none" w:sz="0" w:space="0" w:color="auto"/>
        <w:left w:val="none" w:sz="0" w:space="0" w:color="auto"/>
        <w:bottom w:val="none" w:sz="0" w:space="0" w:color="auto"/>
        <w:right w:val="none" w:sz="0" w:space="0" w:color="auto"/>
      </w:divBdr>
      <w:divsChild>
        <w:div w:id="920913287">
          <w:marLeft w:val="0"/>
          <w:marRight w:val="0"/>
          <w:marTop w:val="0"/>
          <w:marBottom w:val="0"/>
          <w:divBdr>
            <w:top w:val="none" w:sz="0" w:space="0" w:color="auto"/>
            <w:left w:val="none" w:sz="0" w:space="0" w:color="auto"/>
            <w:bottom w:val="none" w:sz="0" w:space="0" w:color="auto"/>
            <w:right w:val="none" w:sz="0" w:space="0" w:color="auto"/>
          </w:divBdr>
          <w:divsChild>
            <w:div w:id="828591928">
              <w:marLeft w:val="0"/>
              <w:marRight w:val="0"/>
              <w:marTop w:val="0"/>
              <w:marBottom w:val="0"/>
              <w:divBdr>
                <w:top w:val="none" w:sz="0" w:space="0" w:color="auto"/>
                <w:left w:val="none" w:sz="0" w:space="0" w:color="auto"/>
                <w:bottom w:val="none" w:sz="0" w:space="0" w:color="auto"/>
                <w:right w:val="none" w:sz="0" w:space="0" w:color="auto"/>
              </w:divBdr>
              <w:divsChild>
                <w:div w:id="578058893">
                  <w:marLeft w:val="0"/>
                  <w:marRight w:val="0"/>
                  <w:marTop w:val="0"/>
                  <w:marBottom w:val="0"/>
                  <w:divBdr>
                    <w:top w:val="none" w:sz="0" w:space="0" w:color="auto"/>
                    <w:left w:val="none" w:sz="0" w:space="0" w:color="auto"/>
                    <w:bottom w:val="none" w:sz="0" w:space="0" w:color="auto"/>
                    <w:right w:val="none" w:sz="0" w:space="0" w:color="auto"/>
                  </w:divBdr>
                  <w:divsChild>
                    <w:div w:id="1256209960">
                      <w:marLeft w:val="0"/>
                      <w:marRight w:val="0"/>
                      <w:marTop w:val="0"/>
                      <w:marBottom w:val="0"/>
                      <w:divBdr>
                        <w:top w:val="none" w:sz="0" w:space="0" w:color="auto"/>
                        <w:left w:val="none" w:sz="0" w:space="0" w:color="auto"/>
                        <w:bottom w:val="none" w:sz="0" w:space="0" w:color="auto"/>
                        <w:right w:val="none" w:sz="0" w:space="0" w:color="auto"/>
                      </w:divBdr>
                      <w:divsChild>
                        <w:div w:id="515925768">
                          <w:marLeft w:val="0"/>
                          <w:marRight w:val="0"/>
                          <w:marTop w:val="0"/>
                          <w:marBottom w:val="0"/>
                          <w:divBdr>
                            <w:top w:val="none" w:sz="0" w:space="0" w:color="auto"/>
                            <w:left w:val="none" w:sz="0" w:space="0" w:color="auto"/>
                            <w:bottom w:val="none" w:sz="0" w:space="0" w:color="auto"/>
                            <w:right w:val="none" w:sz="0" w:space="0" w:color="auto"/>
                          </w:divBdr>
                          <w:divsChild>
                            <w:div w:id="94164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7825822">
      <w:bodyDiv w:val="1"/>
      <w:marLeft w:val="0"/>
      <w:marRight w:val="0"/>
      <w:marTop w:val="0"/>
      <w:marBottom w:val="0"/>
      <w:divBdr>
        <w:top w:val="none" w:sz="0" w:space="0" w:color="auto"/>
        <w:left w:val="none" w:sz="0" w:space="0" w:color="auto"/>
        <w:bottom w:val="none" w:sz="0" w:space="0" w:color="auto"/>
        <w:right w:val="none" w:sz="0" w:space="0" w:color="auto"/>
      </w:divBdr>
      <w:divsChild>
        <w:div w:id="1597521208">
          <w:marLeft w:val="0"/>
          <w:marRight w:val="0"/>
          <w:marTop w:val="0"/>
          <w:marBottom w:val="0"/>
          <w:divBdr>
            <w:top w:val="none" w:sz="0" w:space="0" w:color="auto"/>
            <w:left w:val="none" w:sz="0" w:space="0" w:color="auto"/>
            <w:bottom w:val="none" w:sz="0" w:space="0" w:color="auto"/>
            <w:right w:val="none" w:sz="0" w:space="0" w:color="auto"/>
          </w:divBdr>
        </w:div>
      </w:divsChild>
    </w:div>
    <w:div w:id="1240291949">
      <w:bodyDiv w:val="1"/>
      <w:marLeft w:val="0"/>
      <w:marRight w:val="0"/>
      <w:marTop w:val="0"/>
      <w:marBottom w:val="0"/>
      <w:divBdr>
        <w:top w:val="none" w:sz="0" w:space="0" w:color="auto"/>
        <w:left w:val="none" w:sz="0" w:space="0" w:color="auto"/>
        <w:bottom w:val="none" w:sz="0" w:space="0" w:color="auto"/>
        <w:right w:val="none" w:sz="0" w:space="0" w:color="auto"/>
      </w:divBdr>
    </w:div>
    <w:div w:id="1267031863">
      <w:bodyDiv w:val="1"/>
      <w:marLeft w:val="0"/>
      <w:marRight w:val="0"/>
      <w:marTop w:val="0"/>
      <w:marBottom w:val="0"/>
      <w:divBdr>
        <w:top w:val="none" w:sz="0" w:space="0" w:color="auto"/>
        <w:left w:val="none" w:sz="0" w:space="0" w:color="auto"/>
        <w:bottom w:val="none" w:sz="0" w:space="0" w:color="auto"/>
        <w:right w:val="none" w:sz="0" w:space="0" w:color="auto"/>
      </w:divBdr>
    </w:div>
    <w:div w:id="1312177155">
      <w:bodyDiv w:val="1"/>
      <w:marLeft w:val="0"/>
      <w:marRight w:val="0"/>
      <w:marTop w:val="0"/>
      <w:marBottom w:val="0"/>
      <w:divBdr>
        <w:top w:val="none" w:sz="0" w:space="0" w:color="auto"/>
        <w:left w:val="none" w:sz="0" w:space="0" w:color="auto"/>
        <w:bottom w:val="none" w:sz="0" w:space="0" w:color="auto"/>
        <w:right w:val="none" w:sz="0" w:space="0" w:color="auto"/>
      </w:divBdr>
    </w:div>
    <w:div w:id="1625190061">
      <w:bodyDiv w:val="1"/>
      <w:marLeft w:val="0"/>
      <w:marRight w:val="0"/>
      <w:marTop w:val="0"/>
      <w:marBottom w:val="0"/>
      <w:divBdr>
        <w:top w:val="none" w:sz="0" w:space="0" w:color="auto"/>
        <w:left w:val="none" w:sz="0" w:space="0" w:color="auto"/>
        <w:bottom w:val="none" w:sz="0" w:space="0" w:color="auto"/>
        <w:right w:val="none" w:sz="0" w:space="0" w:color="auto"/>
      </w:divBdr>
    </w:div>
    <w:div w:id="1907452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rcpsych.uk/2022/05/icd-11criteria-for-schizophrenia-6a02.html" TargetMode="External" /><Relationship Id="rId13" Type="http://schemas.openxmlformats.org/officeDocument/2006/relationships/hyperlink" Target="https://www.england.nhs.uk/long-read/nhs-equality-diversity-and-inclusion-improvement-plan/" TargetMode="External" /><Relationship Id="rId18" Type="http://schemas.openxmlformats.org/officeDocument/2006/relationships/hyperlink" Target="https://doi.org/10.3389/fsoc.2021.806147" TargetMode="External" /><Relationship Id="rId26" Type="http://schemas.openxmlformats.org/officeDocument/2006/relationships/hyperlink" Target="https://www.nhs.uk/mental-health/conditions/schizophrenia/causes/" TargetMode="External" /><Relationship Id="rId3" Type="http://schemas.openxmlformats.org/officeDocument/2006/relationships/styles" Target="styles.xml" /><Relationship Id="rId21" Type="http://schemas.openxmlformats.org/officeDocument/2006/relationships/hyperlink" Target="https://doi.org/10.1016/j.biopsych.2019.10.016" TargetMode="External" /><Relationship Id="rId34" Type="http://schemas.openxmlformats.org/officeDocument/2006/relationships/hyperlink" Target="https://www.kingsfund.org.uk/insight-and-analysis/long-reads/mental-health-360-access" TargetMode="External" /><Relationship Id="rId7" Type="http://schemas.openxmlformats.org/officeDocument/2006/relationships/endnotes" Target="endnotes.xml" /><Relationship Id="rId12" Type="http://schemas.openxmlformats.org/officeDocument/2006/relationships/hyperlink" Target="https://doi.org/10.1136/bmj.300.6732.1139-b" TargetMode="External" /><Relationship Id="rId17" Type="http://schemas.openxmlformats.org/officeDocument/2006/relationships/hyperlink" Target="https://doi.org/10.1108/mhrj-01-2018-0001" TargetMode="External" /><Relationship Id="rId25" Type="http://schemas.openxmlformats.org/officeDocument/2006/relationships/hyperlink" Target="https://www.nhs.uk/mental-health/social-care-and-your-rights/mental-health-and-the-law/mental-health-act/" TargetMode="External" /><Relationship Id="rId33" Type="http://schemas.openxmlformats.org/officeDocument/2006/relationships/hyperlink" Target="https://doi.org/10.1371/journal.pmen.0000306" TargetMode="External" /><Relationship Id="rId38"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doi.org/10.3389/fpubh.2023.1182441" TargetMode="External" /><Relationship Id="rId20" Type="http://schemas.openxmlformats.org/officeDocument/2006/relationships/hyperlink" Target="https://doi.org/10.1017/s2045796018000677" TargetMode="External" /><Relationship Id="rId29" Type="http://schemas.openxmlformats.org/officeDocument/2006/relationships/hyperlink" Target="https://doi.org/10.1186/s12888-025-07174-8"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16/j.genhosppsych.2020.08.008" TargetMode="External" /><Relationship Id="rId24" Type="http://schemas.openxmlformats.org/officeDocument/2006/relationships/hyperlink" Target="https://www.nimh.nih.gov/health/statistics/schizophrenia" TargetMode="External" /><Relationship Id="rId32" Type="http://schemas.openxmlformats.org/officeDocument/2006/relationships/hyperlink" Target="https://doi.org/10.4103/ipj.ipj_88_18" TargetMode="External" /><Relationship Id="rId37"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doi.org/10.1186/s12991-020-00293-4" TargetMode="External" /><Relationship Id="rId23" Type="http://schemas.openxmlformats.org/officeDocument/2006/relationships/hyperlink" Target="https://doi.org/10.7861/fhj.2022-0096" TargetMode="External" /><Relationship Id="rId28" Type="http://schemas.openxmlformats.org/officeDocument/2006/relationships/hyperlink" Target="https://www.nice.org.uk/guidance/ng181" TargetMode="External" /><Relationship Id="rId36" Type="http://schemas.openxmlformats.org/officeDocument/2006/relationships/hyperlink" Target="https://www.who.int/news-room/fact-sheets/detail/schizophrenia" TargetMode="External" /><Relationship Id="rId10" Type="http://schemas.openxmlformats.org/officeDocument/2006/relationships/hyperlink" Target="https://researchbriefings.files.parliament.uk/documents/SN06988/SN06988.pdf" TargetMode="External" /><Relationship Id="rId19" Type="http://schemas.openxmlformats.org/officeDocument/2006/relationships/hyperlink" Target="https://doi.org/10.3389/fnhum.2017.00322" TargetMode="External" /><Relationship Id="rId31" Type="http://schemas.openxmlformats.org/officeDocument/2006/relationships/hyperlink" Target="https://www.rethink.org/media/3571/insightandinmind_rehabreport_rethinkmentalillness_rcpsych_february-2020.pdf" TargetMode="External" /><Relationship Id="rId4" Type="http://schemas.openxmlformats.org/officeDocument/2006/relationships/settings" Target="settings.xml" /><Relationship Id="rId9" Type="http://schemas.openxmlformats.org/officeDocument/2006/relationships/hyperlink" Target="https://doi.org/10.1111/add.16670" TargetMode="External" /><Relationship Id="rId14" Type="http://schemas.openxmlformats.org/officeDocument/2006/relationships/hyperlink" Target="https://pmc.ncbi.nlm.nih.gov/articles/PMC8694306/" TargetMode="External" /><Relationship Id="rId22" Type="http://schemas.openxmlformats.org/officeDocument/2006/relationships/hyperlink" Target="https://livingwithschizophreniauk.org/facts-and-figures/" TargetMode="External" /><Relationship Id="rId27" Type="http://schemas.openxmlformats.org/officeDocument/2006/relationships/hyperlink" Target="https://www.nice.org.uk/guidance/cg178/chapter/Recommendations" TargetMode="External" /><Relationship Id="rId30" Type="http://schemas.openxmlformats.org/officeDocument/2006/relationships/hyperlink" Target="https://doi.org/10.3390/ijerph18157858" TargetMode="External" /><Relationship Id="rId35" Type="http://schemas.openxmlformats.org/officeDocument/2006/relationships/hyperlink" Target="https://doi.org/10.1001/jamapsychiatry.2023.566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45AFBF-2D2D-43F4-ACF0-9EED585D0E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4053</Words>
  <Characters>23103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Sameena Iqbal (2315950)</dc:creator>
  <cp:keywords/>
  <dc:description/>
  <cp:lastModifiedBy>Sam Iqbal 368351</cp:lastModifiedBy>
  <cp:revision>2</cp:revision>
  <dcterms:created xsi:type="dcterms:W3CDTF">2025-11-03T14:18:00Z</dcterms:created>
  <dcterms:modified xsi:type="dcterms:W3CDTF">2025-11-03T14:18:00Z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8965f77d-65a2-403d-bca0-90056b7f3c0e</vt:lpwstr>
  </property>
</Properties>
</file>