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gif" ContentType="image/gif"/>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588DB83" wp14:paraId="471D0B63" wp14:textId="0BF5A667">
      <w:pPr>
        <w:spacing w:line="360" w:lineRule="auto"/>
        <w:ind w:left="0"/>
        <w:jc w:val="center"/>
        <w:rPr>
          <w:rFonts w:ascii="Times New Roman" w:hAnsi="Times New Roman" w:eastAsia="Times New Roman" w:cs="Times New Roman"/>
          <w:noProof w:val="0"/>
          <w:sz w:val="36"/>
          <w:szCs w:val="36"/>
          <w:lang w:val="en-GB"/>
        </w:rPr>
      </w:pPr>
      <w:r w:rsidRPr="5588DB83" w:rsidR="51A78129">
        <w:rPr>
          <w:rFonts w:ascii="Times New Roman" w:hAnsi="Times New Roman" w:eastAsia="Times New Roman" w:cs="Times New Roman"/>
          <w:noProof w:val="0"/>
          <w:sz w:val="36"/>
          <w:szCs w:val="36"/>
          <w:lang w:val="en-GB"/>
        </w:rPr>
        <w:t>BSC Health &amp; Social Care</w:t>
      </w:r>
    </w:p>
    <w:p xmlns:wp14="http://schemas.microsoft.com/office/word/2010/wordml" w:rsidP="5588DB83" wp14:paraId="2AFAA65F" wp14:textId="2868D28D">
      <w:pPr>
        <w:spacing w:line="360" w:lineRule="auto"/>
        <w:ind w:left="0"/>
        <w:jc w:val="center"/>
        <w:rPr>
          <w:rFonts w:ascii="Times New Roman" w:hAnsi="Times New Roman" w:eastAsia="Times New Roman" w:cs="Times New Roman"/>
          <w:noProof w:val="0"/>
          <w:sz w:val="36"/>
          <w:szCs w:val="36"/>
          <w:lang w:val="en-GB"/>
        </w:rPr>
      </w:pPr>
      <w:r w:rsidRPr="5588DB83" w:rsidR="51A78129">
        <w:rPr>
          <w:rFonts w:ascii="Times New Roman" w:hAnsi="Times New Roman" w:eastAsia="Times New Roman" w:cs="Times New Roman"/>
          <w:noProof w:val="0"/>
          <w:sz w:val="36"/>
          <w:szCs w:val="36"/>
          <w:lang w:val="en-GB"/>
        </w:rPr>
        <w:t xml:space="preserve">Bmphp5016: Introduction to physiology </w:t>
      </w:r>
    </w:p>
    <w:p xmlns:wp14="http://schemas.microsoft.com/office/word/2010/wordml" w:rsidP="5588DB83" wp14:paraId="687FE521" wp14:textId="37CA9CB2">
      <w:pPr>
        <w:spacing w:line="360" w:lineRule="auto"/>
        <w:ind w:left="0"/>
        <w:jc w:val="center"/>
        <w:rPr>
          <w:rFonts w:ascii="Times New Roman" w:hAnsi="Times New Roman" w:eastAsia="Times New Roman" w:cs="Times New Roman"/>
          <w:noProof w:val="0"/>
          <w:sz w:val="36"/>
          <w:szCs w:val="36"/>
          <w:lang w:val="en-GB"/>
        </w:rPr>
      </w:pPr>
      <w:r w:rsidRPr="5588DB83" w:rsidR="51A78129">
        <w:rPr>
          <w:rFonts w:ascii="Times New Roman" w:hAnsi="Times New Roman" w:eastAsia="Times New Roman" w:cs="Times New Roman"/>
          <w:noProof w:val="0"/>
          <w:sz w:val="36"/>
          <w:szCs w:val="36"/>
          <w:lang w:val="en-GB"/>
        </w:rPr>
        <w:t>Student number: 2420336</w:t>
      </w:r>
    </w:p>
    <w:p xmlns:wp14="http://schemas.microsoft.com/office/word/2010/wordml" w:rsidP="5588DB83" wp14:paraId="2E0D4432" wp14:textId="5EBB0576">
      <w:pPr>
        <w:spacing w:line="360" w:lineRule="auto"/>
        <w:ind w:left="0"/>
        <w:jc w:val="center"/>
        <w:rPr>
          <w:rFonts w:ascii="Times New Roman" w:hAnsi="Times New Roman" w:eastAsia="Times New Roman" w:cs="Times New Roman"/>
          <w:noProof w:val="0"/>
          <w:sz w:val="36"/>
          <w:szCs w:val="36"/>
          <w:lang w:val="en-GB"/>
        </w:rPr>
      </w:pPr>
      <w:r w:rsidRPr="5588DB83" w:rsidR="51A78129">
        <w:rPr>
          <w:rFonts w:ascii="Times New Roman" w:hAnsi="Times New Roman" w:eastAsia="Times New Roman" w:cs="Times New Roman"/>
          <w:noProof w:val="0"/>
          <w:sz w:val="36"/>
          <w:szCs w:val="36"/>
          <w:lang w:val="en-GB"/>
        </w:rPr>
        <w:t>Student name: Leanne Jarvis</w:t>
      </w:r>
    </w:p>
    <w:p xmlns:wp14="http://schemas.microsoft.com/office/word/2010/wordml" w:rsidP="5588DB83" wp14:paraId="56BE6D63" wp14:textId="7C4EB279">
      <w:pPr>
        <w:spacing w:line="360" w:lineRule="auto"/>
        <w:ind w:left="0"/>
        <w:jc w:val="center"/>
        <w:rPr>
          <w:rFonts w:ascii="Times New Roman" w:hAnsi="Times New Roman" w:eastAsia="Times New Roman" w:cs="Times New Roman"/>
          <w:noProof w:val="0"/>
          <w:color w:val="1D2125"/>
          <w:sz w:val="36"/>
          <w:szCs w:val="36"/>
          <w:lang w:val="en-GB"/>
        </w:rPr>
      </w:pPr>
      <w:r w:rsidRPr="5588DB83" w:rsidR="51A78129">
        <w:rPr>
          <w:rFonts w:ascii="Times New Roman" w:hAnsi="Times New Roman" w:eastAsia="Times New Roman" w:cs="Times New Roman"/>
          <w:noProof w:val="0"/>
          <w:sz w:val="36"/>
          <w:szCs w:val="36"/>
          <w:lang w:val="en-GB"/>
        </w:rPr>
        <w:t xml:space="preserve">Tutor details: </w:t>
      </w:r>
      <w:r w:rsidRPr="5588DB83" w:rsidR="51A78129">
        <w:rPr>
          <w:rFonts w:ascii="Times New Roman" w:hAnsi="Times New Roman" w:eastAsia="Times New Roman" w:cs="Times New Roman"/>
          <w:noProof w:val="0"/>
          <w:color w:val="1D2125"/>
          <w:sz w:val="36"/>
          <w:szCs w:val="36"/>
          <w:lang w:val="en-GB"/>
        </w:rPr>
        <w:t>Azida Zainol</w:t>
      </w:r>
    </w:p>
    <w:p xmlns:wp14="http://schemas.microsoft.com/office/word/2010/wordml" w:rsidP="5588DB83" wp14:paraId="4E998786" wp14:textId="1A26EEB7">
      <w:pPr>
        <w:spacing w:line="360" w:lineRule="auto"/>
        <w:ind w:left="0"/>
        <w:jc w:val="center"/>
        <w:rPr>
          <w:rFonts w:ascii="Times New Roman" w:hAnsi="Times New Roman" w:eastAsia="Times New Roman" w:cs="Times New Roman"/>
          <w:noProof w:val="0"/>
          <w:sz w:val="36"/>
          <w:szCs w:val="36"/>
          <w:lang w:val="en-GB"/>
        </w:rPr>
      </w:pPr>
      <w:r w:rsidRPr="5588DB83" w:rsidR="51A78129">
        <w:rPr>
          <w:rFonts w:ascii="Times New Roman" w:hAnsi="Times New Roman" w:eastAsia="Times New Roman" w:cs="Times New Roman"/>
          <w:noProof w:val="0"/>
          <w:sz w:val="36"/>
          <w:szCs w:val="36"/>
          <w:lang w:val="en-GB"/>
        </w:rPr>
        <w:t>Module leader: Chloe Harries</w:t>
      </w:r>
    </w:p>
    <w:p xmlns:wp14="http://schemas.microsoft.com/office/word/2010/wordml" w:rsidP="5588DB83" wp14:paraId="324FE132" wp14:textId="62B65DCE">
      <w:pPr>
        <w:spacing w:line="360" w:lineRule="auto"/>
        <w:ind w:left="0"/>
        <w:jc w:val="center"/>
        <w:rPr>
          <w:rFonts w:ascii="Times New Roman" w:hAnsi="Times New Roman" w:eastAsia="Times New Roman" w:cs="Times New Roman"/>
          <w:noProof w:val="0"/>
          <w:sz w:val="36"/>
          <w:szCs w:val="36"/>
          <w:lang w:val="en-GB"/>
        </w:rPr>
      </w:pPr>
      <w:r w:rsidRPr="5588DB83" w:rsidR="51A78129">
        <w:rPr>
          <w:rFonts w:ascii="Times New Roman" w:hAnsi="Times New Roman" w:eastAsia="Times New Roman" w:cs="Times New Roman"/>
          <w:noProof w:val="0"/>
          <w:sz w:val="36"/>
          <w:szCs w:val="36"/>
          <w:lang w:val="en-GB"/>
        </w:rPr>
        <w:t>Portfolio –  report</w:t>
      </w:r>
    </w:p>
    <w:p xmlns:wp14="http://schemas.microsoft.com/office/word/2010/wordml" w:rsidP="5588DB83" wp14:paraId="6BB95C7A" wp14:textId="285793A3">
      <w:pPr>
        <w:spacing w:line="360" w:lineRule="auto"/>
        <w:ind w:left="0"/>
        <w:jc w:val="center"/>
        <w:rPr>
          <w:rFonts w:ascii="Times New Roman" w:hAnsi="Times New Roman" w:eastAsia="Times New Roman" w:cs="Times New Roman"/>
          <w:noProof w:val="0"/>
          <w:sz w:val="36"/>
          <w:szCs w:val="36"/>
          <w:lang w:val="en-GB"/>
        </w:rPr>
      </w:pPr>
      <w:r w:rsidRPr="5588DB83" w:rsidR="51A78129">
        <w:rPr>
          <w:rFonts w:ascii="Times New Roman" w:hAnsi="Times New Roman" w:eastAsia="Times New Roman" w:cs="Times New Roman"/>
          <w:noProof w:val="0"/>
          <w:sz w:val="36"/>
          <w:szCs w:val="36"/>
          <w:lang w:val="en-GB"/>
        </w:rPr>
        <w:t>Submission date: Sunday 26</w:t>
      </w:r>
      <w:r w:rsidRPr="5588DB83" w:rsidR="51A78129">
        <w:rPr>
          <w:rFonts w:ascii="Times New Roman" w:hAnsi="Times New Roman" w:eastAsia="Times New Roman" w:cs="Times New Roman"/>
          <w:noProof w:val="0"/>
          <w:sz w:val="36"/>
          <w:szCs w:val="36"/>
          <w:vertAlign w:val="superscript"/>
          <w:lang w:val="en-GB"/>
        </w:rPr>
        <w:t>th</w:t>
      </w:r>
      <w:r w:rsidRPr="5588DB83" w:rsidR="51A78129">
        <w:rPr>
          <w:rFonts w:ascii="Times New Roman" w:hAnsi="Times New Roman" w:eastAsia="Times New Roman" w:cs="Times New Roman"/>
          <w:noProof w:val="0"/>
          <w:sz w:val="36"/>
          <w:szCs w:val="36"/>
          <w:lang w:val="en-GB"/>
        </w:rPr>
        <w:t xml:space="preserve"> July 2026</w:t>
      </w:r>
    </w:p>
    <w:p xmlns:wp14="http://schemas.microsoft.com/office/word/2010/wordml" w:rsidP="5588DB83" wp14:paraId="67051718" wp14:textId="3DD56B5B">
      <w:pPr>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5D5D6755" wp14:textId="0D8025A2">
      <w:pPr>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225C575C" wp14:textId="1FFC69FD">
      <w:pPr>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73A3C05C" wp14:textId="48A05544">
      <w:pPr>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41988827" wp14:textId="184C0E14">
      <w:pPr>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79535C9A" wp14:textId="3D2014CB">
      <w:pPr>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03EB16B4" wp14:textId="60DF6C3E">
      <w:pPr>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44613FA0" wp14:textId="74E8F16C">
      <w:pPr>
        <w:spacing w:before="360" w:beforeAutospacing="off" w:after="180" w:afterAutospacing="off"/>
        <w:rPr>
          <w:rFonts w:ascii="Helvetica Neue" w:hAnsi="Helvetica Neue" w:eastAsia="Helvetica Neue" w:cs="Helvetica Neue"/>
          <w:b w:val="1"/>
          <w:bCs w:val="1"/>
          <w:noProof w:val="0"/>
          <w:color w:val="242424"/>
          <w:sz w:val="30"/>
          <w:szCs w:val="30"/>
          <w:lang w:val="en-GB"/>
        </w:rPr>
      </w:pPr>
    </w:p>
    <w:p w:rsidR="451AB04B" w:rsidP="451AB04B" w:rsidRDefault="451AB04B" w14:paraId="0A377235" w14:textId="078E03F5">
      <w:pPr>
        <w:pStyle w:val="Normal"/>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451AB04B" wp14:paraId="03E8F838" wp14:textId="2AAE7BC8">
      <w:pPr>
        <w:pStyle w:val="Normal"/>
        <w:spacing w:before="360" w:beforeAutospacing="off" w:after="180" w:afterAutospacing="off"/>
      </w:pPr>
      <w:r w:rsidRPr="451AB04B" w:rsidR="6E7D6804">
        <w:rPr>
          <w:rFonts w:ascii="Helvetica Neue" w:hAnsi="Helvetica Neue" w:eastAsia="Helvetica Neue" w:cs="Helvetica Neue"/>
          <w:b w:val="1"/>
          <w:bCs w:val="1"/>
          <w:noProof w:val="0"/>
          <w:color w:val="242424"/>
          <w:sz w:val="30"/>
          <w:szCs w:val="30"/>
          <w:lang w:val="en-GB"/>
        </w:rPr>
        <w:t>Evaluating Person-Centred Care and Partnership Working in Health and Social Care</w:t>
      </w:r>
    </w:p>
    <w:p xmlns:wp14="http://schemas.microsoft.com/office/word/2010/wordml" w:rsidP="2025B616" wp14:paraId="13988F6A" wp14:textId="7E57A601">
      <w:pPr>
        <w:spacing w:before="360" w:beforeAutospacing="off" w:after="180" w:afterAutospacing="off"/>
      </w:pPr>
      <w:r w:rsidRPr="451AB04B" w:rsidR="33A1D1CF">
        <w:rPr>
          <w:rFonts w:ascii="Helvetica Neue" w:hAnsi="Helvetica Neue" w:eastAsia="Helvetica Neue" w:cs="Helvetica Neue"/>
          <w:b w:val="1"/>
          <w:bCs w:val="1"/>
          <w:noProof w:val="0"/>
          <w:color w:val="242424"/>
          <w:sz w:val="30"/>
          <w:szCs w:val="30"/>
          <w:lang w:val="en-GB"/>
        </w:rPr>
        <w:t>Introduction</w:t>
      </w:r>
    </w:p>
    <w:p xmlns:wp14="http://schemas.microsoft.com/office/word/2010/wordml" w:rsidP="451AB04B" wp14:paraId="42465C78" wp14:textId="21296984">
      <w:pPr>
        <w:spacing w:before="180" w:beforeAutospacing="off" w:after="240" w:afterAutospacing="off" w:line="360" w:lineRule="auto"/>
        <w:rPr>
          <w:rFonts w:ascii="Arial" w:hAnsi="Arial" w:eastAsia="Arial" w:cs="Arial"/>
          <w:noProof w:val="0"/>
          <w:color w:val="242424"/>
          <w:sz w:val="22"/>
          <w:szCs w:val="22"/>
          <w:lang w:val="en-GB"/>
        </w:rPr>
      </w:pPr>
      <w:r w:rsidRPr="451AB04B" w:rsidR="33A1D1CF">
        <w:rPr>
          <w:rFonts w:ascii="Arial" w:hAnsi="Arial" w:eastAsia="Arial" w:cs="Arial"/>
          <w:noProof w:val="0"/>
          <w:color w:val="242424"/>
          <w:sz w:val="22"/>
          <w:szCs w:val="22"/>
          <w:lang w:val="en-GB"/>
        </w:rPr>
        <w:t xml:space="preserve">This comprehensive academic report provides a critical evaluation of both person-centred care and partnership working as they </w:t>
      </w:r>
      <w:r w:rsidRPr="451AB04B" w:rsidR="33A1D1CF">
        <w:rPr>
          <w:rFonts w:ascii="Arial" w:hAnsi="Arial" w:eastAsia="Arial" w:cs="Arial"/>
          <w:noProof w:val="0"/>
          <w:color w:val="242424"/>
          <w:sz w:val="22"/>
          <w:szCs w:val="22"/>
          <w:lang w:val="en-GB"/>
        </w:rPr>
        <w:t>operate</w:t>
      </w:r>
      <w:r w:rsidRPr="451AB04B" w:rsidR="33A1D1CF">
        <w:rPr>
          <w:rFonts w:ascii="Arial" w:hAnsi="Arial" w:eastAsia="Arial" w:cs="Arial"/>
          <w:noProof w:val="0"/>
          <w:color w:val="242424"/>
          <w:sz w:val="22"/>
          <w:szCs w:val="22"/>
          <w:lang w:val="en-GB"/>
        </w:rPr>
        <w:t xml:space="preserve"> within the contemporary UK statutory landscape. Structurally, the </w:t>
      </w:r>
      <w:r w:rsidRPr="451AB04B" w:rsidR="03D14255">
        <w:rPr>
          <w:rFonts w:ascii="Arial" w:hAnsi="Arial" w:eastAsia="Arial" w:cs="Arial"/>
          <w:noProof w:val="0"/>
          <w:color w:val="242424"/>
          <w:sz w:val="22"/>
          <w:szCs w:val="22"/>
          <w:lang w:val="en-GB"/>
        </w:rPr>
        <w:t xml:space="preserve">report </w:t>
      </w:r>
      <w:r w:rsidRPr="451AB04B" w:rsidR="33A1D1CF">
        <w:rPr>
          <w:rFonts w:ascii="Arial" w:hAnsi="Arial" w:eastAsia="Arial" w:cs="Arial"/>
          <w:noProof w:val="0"/>
          <w:color w:val="242424"/>
          <w:sz w:val="22"/>
          <w:szCs w:val="22"/>
          <w:lang w:val="en-GB"/>
        </w:rPr>
        <w:t xml:space="preserve">defines the parameters of person-centred care, dissecting its documented clinical benefits alongside its systemic operational limitations. It then explores the humanistic theoretical framework of Carl Rogers, evaluating its application to modern, high-pressure professional environments. The text further examines the ethical baseline of practice through the prism of Beauchamp and Childress’ </w:t>
      </w:r>
      <w:r w:rsidRPr="451AB04B" w:rsidR="579315F5">
        <w:rPr>
          <w:rFonts w:ascii="Arial" w:hAnsi="Arial" w:eastAsia="Arial" w:cs="Arial"/>
          <w:noProof w:val="0"/>
          <w:color w:val="242424"/>
          <w:sz w:val="22"/>
          <w:szCs w:val="22"/>
          <w:lang w:val="en-GB"/>
        </w:rPr>
        <w:t>principals</w:t>
      </w:r>
      <w:r w:rsidRPr="451AB04B" w:rsidR="33A1D1CF">
        <w:rPr>
          <w:rFonts w:ascii="Arial" w:hAnsi="Arial" w:eastAsia="Arial" w:cs="Arial"/>
          <w:noProof w:val="0"/>
          <w:color w:val="242424"/>
          <w:sz w:val="22"/>
          <w:szCs w:val="22"/>
          <w:lang w:val="en-GB"/>
        </w:rPr>
        <w:t xml:space="preserve">, before providing an exhaustive critique of the institutional advantages and structural barriers that define multi-agency partnership working. Finally, these concepts are anchored </w:t>
      </w:r>
      <w:r w:rsidRPr="451AB04B" w:rsidR="33A1D1CF">
        <w:rPr>
          <w:rFonts w:ascii="Arial" w:hAnsi="Arial" w:eastAsia="Arial" w:cs="Arial"/>
          <w:noProof w:val="0"/>
          <w:color w:val="242424"/>
          <w:sz w:val="22"/>
          <w:szCs w:val="22"/>
          <w:lang w:val="en-GB"/>
        </w:rPr>
        <w:t>practically through</w:t>
      </w:r>
      <w:r w:rsidRPr="451AB04B" w:rsidR="33A1D1CF">
        <w:rPr>
          <w:rFonts w:ascii="Arial" w:hAnsi="Arial" w:eastAsia="Arial" w:cs="Arial"/>
          <w:noProof w:val="0"/>
          <w:color w:val="242424"/>
          <w:sz w:val="22"/>
          <w:szCs w:val="22"/>
          <w:lang w:val="en-GB"/>
        </w:rPr>
        <w:t xml:space="preserve"> an operational case study of adult community mental health services, accompanied by an explicit analysis of current UK legislation and a series of strategic recommendations designed to enhance service delivery for future practice.</w:t>
      </w:r>
    </w:p>
    <w:p xmlns:wp14="http://schemas.microsoft.com/office/word/2010/wordml" w:rsidP="2025B616" wp14:paraId="1EE1A53F" wp14:textId="1F208E42">
      <w:pPr>
        <w:spacing w:before="360" w:beforeAutospacing="off" w:after="180" w:afterAutospacing="off"/>
      </w:pPr>
      <w:r w:rsidRPr="451AB04B" w:rsidR="33A1D1CF">
        <w:rPr>
          <w:rFonts w:ascii="Helvetica Neue" w:hAnsi="Helvetica Neue" w:eastAsia="Helvetica Neue" w:cs="Helvetica Neue"/>
          <w:b w:val="1"/>
          <w:bCs w:val="1"/>
          <w:noProof w:val="0"/>
          <w:color w:val="242424"/>
          <w:sz w:val="30"/>
          <w:szCs w:val="30"/>
          <w:lang w:val="en-GB"/>
        </w:rPr>
        <w:t>Person-Centred Care: Definition, Benefits and Limitations</w:t>
      </w:r>
    </w:p>
    <w:p xmlns:wp14="http://schemas.microsoft.com/office/word/2010/wordml" w:rsidP="451AB04B" wp14:paraId="7E53984C" wp14:textId="3E2AD7FB">
      <w:pPr>
        <w:spacing w:before="300" w:beforeAutospacing="off" w:after="180" w:afterAutospacing="off" w:line="360" w:lineRule="auto"/>
        <w:rPr>
          <w:rFonts w:ascii="Arial" w:hAnsi="Arial" w:eastAsia="Arial" w:cs="Arial"/>
          <w:noProof w:val="0"/>
          <w:color w:val="242424"/>
          <w:sz w:val="22"/>
          <w:szCs w:val="22"/>
          <w:lang w:val="en-GB"/>
        </w:rPr>
      </w:pPr>
      <w:r w:rsidRPr="451AB04B" w:rsidR="75E1E93B">
        <w:rPr>
          <w:rFonts w:ascii="Arial" w:hAnsi="Arial" w:eastAsia="Arial" w:cs="Arial"/>
          <w:noProof w:val="0"/>
          <w:color w:val="242424"/>
          <w:sz w:val="22"/>
          <w:szCs w:val="22"/>
          <w:lang w:val="en-GB"/>
        </w:rPr>
        <w:t>Person-centred care (PCC) is an approach that places the individual at the centre of all decisions about their care. Rather than focusing solely on illness or disability, it considers the person’s physical, emotional, social, cultural and spiritual needs. Service users are encouraged to participate actively in planning and reviewing their care, promoting choice, independence and dignity. NHS England describes person-centred care as enabling people to have greater choice, control and involvement in decisions affecting their health and wellbeing.</w:t>
      </w:r>
    </w:p>
    <w:p xmlns:wp14="http://schemas.microsoft.com/office/word/2010/wordml" w:rsidP="451AB04B" wp14:paraId="24C77EE9" wp14:textId="111805E0">
      <w:pPr>
        <w:spacing w:before="300" w:beforeAutospacing="off" w:after="180" w:afterAutospacing="off" w:line="360" w:lineRule="auto"/>
        <w:rPr>
          <w:rFonts w:ascii="Arial" w:hAnsi="Arial" w:eastAsia="Arial" w:cs="Arial"/>
          <w:noProof w:val="0"/>
          <w:color w:val="242424"/>
          <w:sz w:val="22"/>
          <w:szCs w:val="22"/>
          <w:lang w:val="en-GB"/>
        </w:rPr>
      </w:pPr>
      <w:r w:rsidRPr="451AB04B" w:rsidR="75E1E93B">
        <w:rPr>
          <w:rFonts w:ascii="Arial" w:hAnsi="Arial" w:eastAsia="Arial" w:cs="Arial"/>
          <w:noProof w:val="0"/>
          <w:color w:val="242424"/>
          <w:sz w:val="22"/>
          <w:szCs w:val="22"/>
          <w:lang w:val="en-GB"/>
        </w:rPr>
        <w:t>Unlike the traditional medical model, where healthcare professionals make most decisions, person-centred care recognises the individual as an expert in their own life. Effective PCC is based on respectful communication, shared decision-making and collaborative relationships between professionals, service users and, where appropriate, families and carers.</w:t>
      </w:r>
    </w:p>
    <w:p xmlns:wp14="http://schemas.microsoft.com/office/word/2010/wordml" w:rsidP="451AB04B" wp14:paraId="0CD4D5A6" wp14:textId="484B77DC">
      <w:pPr>
        <w:pStyle w:val="Normal"/>
        <w:spacing w:before="0" w:beforeAutospacing="off" w:after="0" w:afterAutospacing="off" w:line="360" w:lineRule="auto"/>
        <w:rPr>
          <w:rFonts w:ascii="Arial" w:hAnsi="Arial" w:eastAsia="Arial" w:cs="Arial"/>
          <w:sz w:val="22"/>
          <w:szCs w:val="22"/>
        </w:rPr>
      </w:pPr>
    </w:p>
    <w:p xmlns:wp14="http://schemas.microsoft.com/office/word/2010/wordml" w:rsidP="2025B616" wp14:paraId="3B908C7B" wp14:textId="07662ACD">
      <w:pPr>
        <w:spacing w:before="360" w:beforeAutospacing="off" w:after="180" w:afterAutospacing="off"/>
        <w:rPr>
          <w:rFonts w:ascii="Helvetica Neue" w:hAnsi="Helvetica Neue" w:eastAsia="Helvetica Neue" w:cs="Helvetica Neue"/>
          <w:b w:val="1"/>
          <w:bCs w:val="1"/>
          <w:noProof w:val="0"/>
          <w:color w:val="242424"/>
          <w:sz w:val="30"/>
          <w:szCs w:val="30"/>
          <w:lang w:val="en-GB"/>
        </w:rPr>
      </w:pPr>
      <w:r w:rsidR="2025B616">
        <w:drawing>
          <wp:anchor xmlns:wp14="http://schemas.microsoft.com/office/word/2010/wordprocessingDrawing" distT="0" distB="0" distL="114300" distR="114300" simplePos="0" relativeHeight="251658240" behindDoc="0" locked="0" layoutInCell="1" allowOverlap="1" wp14:anchorId="02365FA1" wp14:editId="5A0BE068">
            <wp:simplePos x="0" y="0"/>
            <wp:positionH relativeFrom="column">
              <wp:align>left</wp:align>
            </wp:positionH>
            <wp:positionV relativeFrom="paragraph">
              <wp:posOffset>0</wp:posOffset>
            </wp:positionV>
            <wp:extent cx="4181475" cy="3057525"/>
            <wp:effectExtent l="0" t="0" r="0" b="0"/>
            <wp:wrapSquare wrapText="bothSides"/>
            <wp:docPr id="1800087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0087376" name="Picture 1800087376"/>
                    <pic:cNvPicPr/>
                  </pic:nvPicPr>
                  <pic:blipFill>
                    <a:blip xmlns:r="http://schemas.openxmlformats.org/officeDocument/2006/relationships" r:embed="rId354042014">
                      <a:extLst>
                        <a:ext uri="{28A0092B-C50C-407E-A947-70E740481C1C}">
                          <a14:useLocalDpi xmlns:a14="http://schemas.microsoft.com/office/drawing/2010/main"/>
                        </a:ext>
                      </a:extLst>
                    </a:blip>
                    <a:stretch>
                      <a:fillRect/>
                    </a:stretch>
                  </pic:blipFill>
                  <pic:spPr>
                    <a:xfrm rot="0">
                      <a:off x="0" y="0"/>
                      <a:ext cx="4181475" cy="3057525"/>
                    </a:xfrm>
                    <a:prstGeom prst="rect">
                      <a:avLst/>
                    </a:prstGeom>
                  </pic:spPr>
                </pic:pic>
              </a:graphicData>
            </a:graphic>
            <wp14:sizeRelH relativeFrom="page">
              <wp14:pctWidth>0</wp14:pctWidth>
            </wp14:sizeRelH>
            <wp14:sizeRelV relativeFrom="page">
              <wp14:pctHeight>0</wp14:pctHeight>
            </wp14:sizeRelV>
          </wp:anchor>
        </w:drawing>
      </w:r>
    </w:p>
    <w:p w:rsidR="451AB04B" w:rsidP="451AB04B" w:rsidRDefault="451AB04B" w14:paraId="66AAD3F5" w14:textId="5A383A22">
      <w:pPr>
        <w:bidi w:val="0"/>
        <w:spacing w:before="180" w:beforeAutospacing="off" w:after="240" w:afterAutospacing="off"/>
        <w:rPr>
          <w:rFonts w:ascii="Helvetica Neue" w:hAnsi="Helvetica Neue" w:eastAsia="Helvetica Neue" w:cs="Helvetica Neue"/>
          <w:noProof w:val="0"/>
          <w:color w:val="242424"/>
          <w:sz w:val="24"/>
          <w:szCs w:val="24"/>
          <w:lang w:val="en-GB"/>
        </w:rPr>
      </w:pPr>
    </w:p>
    <w:p xmlns:wp14="http://schemas.microsoft.com/office/word/2010/wordml" w:rsidP="5588DB83" wp14:paraId="21DEAD5B" wp14:textId="1C77CB00">
      <w:pPr>
        <w:bidi w:val="0"/>
        <w:spacing w:before="360" w:beforeAutospacing="off" w:after="180" w:afterAutospacing="off"/>
      </w:pPr>
      <w:r w:rsidRPr="451AB04B" w:rsidR="06D6AAC5">
        <w:rPr>
          <w:rFonts w:ascii="Helvetica Neue" w:hAnsi="Helvetica Neue" w:eastAsia="Helvetica Neue" w:cs="Helvetica Neue"/>
          <w:b w:val="1"/>
          <w:bCs w:val="1"/>
          <w:noProof w:val="0"/>
          <w:color w:val="242424"/>
          <w:sz w:val="30"/>
          <w:szCs w:val="30"/>
          <w:lang w:val="en-GB"/>
        </w:rPr>
        <w:t>Benefits of Person-Centred Care</w:t>
      </w:r>
    </w:p>
    <w:p xmlns:wp14="http://schemas.microsoft.com/office/word/2010/wordml" w:rsidP="451AB04B" wp14:paraId="642C94F4" wp14:textId="6B67E9B0">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FD1234E">
        <w:rPr>
          <w:rFonts w:ascii="Arial" w:hAnsi="Arial" w:eastAsia="Arial" w:cs="Arial"/>
          <w:noProof w:val="0"/>
          <w:color w:val="242424"/>
          <w:sz w:val="22"/>
          <w:szCs w:val="22"/>
          <w:lang w:val="en-GB"/>
        </w:rPr>
        <w:t>Person-centred care offers several benefits for both service users and healthcare providers.</w:t>
      </w:r>
    </w:p>
    <w:p xmlns:wp14="http://schemas.microsoft.com/office/word/2010/wordml" w:rsidP="451AB04B" wp14:paraId="2625F2AB" wp14:textId="2150C767">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FD1234E">
        <w:rPr>
          <w:rFonts w:ascii="Arial" w:hAnsi="Arial" w:eastAsia="Arial" w:cs="Arial"/>
          <w:noProof w:val="0"/>
          <w:color w:val="242424"/>
          <w:sz w:val="22"/>
          <w:szCs w:val="22"/>
          <w:lang w:val="en-GB"/>
        </w:rPr>
        <w:t>Firstly, it improves service-user satisfaction by ensuring individuals feel listened to, respected and involved in decisions about their treatment. This helps build trust between professionals and service users, reducing anxiety and improving the overall care experience.</w:t>
      </w:r>
    </w:p>
    <w:p xmlns:wp14="http://schemas.microsoft.com/office/word/2010/wordml" w:rsidP="451AB04B" wp14:paraId="04D1AA42" wp14:textId="40C80537">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FD1234E">
        <w:rPr>
          <w:rFonts w:ascii="Arial" w:hAnsi="Arial" w:eastAsia="Arial" w:cs="Arial"/>
          <w:noProof w:val="0"/>
          <w:color w:val="242424"/>
          <w:sz w:val="22"/>
          <w:szCs w:val="22"/>
          <w:lang w:val="en-GB"/>
        </w:rPr>
        <w:t>Secondly, involving individuals in care planning can lead to better health outcomes. When care plans reflect a person’s goals, preferences and lifestyle, they are more likely to follow treatment, manage long-term conditions effectively and engage with support services. This can improve wellbeing and reduce avoidable hospital admissions.</w:t>
      </w:r>
    </w:p>
    <w:p xmlns:wp14="http://schemas.microsoft.com/office/word/2010/wordml" w:rsidP="451AB04B" wp14:paraId="2FFFBFD9" wp14:textId="22BC81D3">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FD1234E">
        <w:rPr>
          <w:rFonts w:ascii="Arial" w:hAnsi="Arial" w:eastAsia="Arial" w:cs="Arial"/>
          <w:noProof w:val="0"/>
          <w:color w:val="242424"/>
          <w:sz w:val="22"/>
          <w:szCs w:val="22"/>
          <w:lang w:val="en-GB"/>
        </w:rPr>
        <w:t>Another important benefit is the promotion of autonomy and human rights. By supporting informed choice and independence, person-centred care empowers individuals to maintain as much control as possible over their lives, particularly those who may be vulnerable or marginalised.</w:t>
      </w:r>
    </w:p>
    <w:p xmlns:wp14="http://schemas.microsoft.com/office/word/2010/wordml" w:rsidP="451AB04B" wp14:paraId="25DCBC40" wp14:textId="259D81CA">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FD1234E">
        <w:rPr>
          <w:rFonts w:ascii="Arial" w:hAnsi="Arial" w:eastAsia="Arial" w:cs="Arial"/>
          <w:noProof w:val="0"/>
          <w:color w:val="242424"/>
          <w:sz w:val="22"/>
          <w:szCs w:val="22"/>
          <w:lang w:val="en-GB"/>
        </w:rPr>
        <w:t>Finally, PCC encourages holistic assessment. Professionals consider wider factors such as mental health, family support, culture, finances and living conditions, enabling interventions that address the social determinants of health rather than focusing only on medical symptoms.</w:t>
      </w:r>
    </w:p>
    <w:p xmlns:wp14="http://schemas.microsoft.com/office/word/2010/wordml" w:rsidP="451AB04B" wp14:paraId="0DA86D56" wp14:textId="2BAF401A">
      <w:pPr>
        <w:pStyle w:val="Normal"/>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451AB04B" wp14:paraId="085BAA5F" wp14:textId="0EFF03AD">
      <w:pPr>
        <w:pStyle w:val="Normal"/>
        <w:bidi w:val="0"/>
        <w:spacing w:before="360" w:beforeAutospacing="off" w:after="180" w:afterAutospacing="off"/>
      </w:pPr>
      <w:r w:rsidRPr="451AB04B" w:rsidR="06D6AAC5">
        <w:rPr>
          <w:rFonts w:ascii="Helvetica Neue" w:hAnsi="Helvetica Neue" w:eastAsia="Helvetica Neue" w:cs="Helvetica Neue"/>
          <w:b w:val="1"/>
          <w:bCs w:val="1"/>
          <w:noProof w:val="0"/>
          <w:color w:val="242424"/>
          <w:sz w:val="30"/>
          <w:szCs w:val="30"/>
          <w:lang w:val="en-GB"/>
        </w:rPr>
        <w:t>Limitations of Person-Centred Care</w:t>
      </w:r>
    </w:p>
    <w:p xmlns:wp14="http://schemas.microsoft.com/office/word/2010/wordml" w:rsidP="451AB04B" wp14:paraId="6EDCDA44" wp14:textId="17F9E517">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1CDC154">
        <w:rPr>
          <w:rFonts w:ascii="Arial" w:hAnsi="Arial" w:eastAsia="Arial" w:cs="Arial"/>
          <w:noProof w:val="0"/>
          <w:color w:val="242424"/>
          <w:sz w:val="22"/>
          <w:szCs w:val="22"/>
          <w:lang w:val="en-GB"/>
        </w:rPr>
        <w:t>Despite its advantages, implementing person-centred care can be challenging.</w:t>
      </w:r>
    </w:p>
    <w:p xmlns:wp14="http://schemas.microsoft.com/office/word/2010/wordml" w:rsidP="451AB04B" wp14:paraId="3894B897" wp14:textId="14EA13F3">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1CDC154">
        <w:rPr>
          <w:rFonts w:ascii="Arial" w:hAnsi="Arial" w:eastAsia="Arial" w:cs="Arial"/>
          <w:noProof w:val="0"/>
          <w:color w:val="242424"/>
          <w:sz w:val="22"/>
          <w:szCs w:val="22"/>
          <w:lang w:val="en-GB"/>
        </w:rPr>
        <w:t>A major limitation is workforce and resource pressures. High staff shortages and increasing workloads within health and social care often leave professionals with insufficient time to develop meaningful relationships or involve service users fully in decision-making. As a result, care may become task-focused rather than personalised.</w:t>
      </w:r>
    </w:p>
    <w:p xmlns:wp14="http://schemas.microsoft.com/office/word/2010/wordml" w:rsidP="451AB04B" wp14:paraId="08F55A05" wp14:textId="7BE5EC0E">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1CDC154">
        <w:rPr>
          <w:rFonts w:ascii="Arial" w:hAnsi="Arial" w:eastAsia="Arial" w:cs="Arial"/>
          <w:noProof w:val="0"/>
          <w:color w:val="242424"/>
          <w:sz w:val="22"/>
          <w:szCs w:val="22"/>
          <w:lang w:val="en-GB"/>
        </w:rPr>
        <w:t>Communication barriers can also reduce the effectiveness of PCC. Individuals with dementia, learning disabilities, severe mental illness or communication difficulties may struggle to express their wishes. Although advocacy services and alternative communication methods can help, these resources are not always available.</w:t>
      </w:r>
    </w:p>
    <w:p xmlns:wp14="http://schemas.microsoft.com/office/word/2010/wordml" w:rsidP="451AB04B" wp14:paraId="20B7B41F" wp14:textId="2484EC0D">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1CDC154">
        <w:rPr>
          <w:rFonts w:ascii="Arial" w:hAnsi="Arial" w:eastAsia="Arial" w:cs="Arial"/>
          <w:noProof w:val="0"/>
          <w:color w:val="242424"/>
          <w:sz w:val="22"/>
          <w:szCs w:val="22"/>
          <w:lang w:val="en-GB"/>
        </w:rPr>
        <w:t>Conflicts may also arise between respecting a person’s choices and maintaining professional responsibilities. For example, a service user may choose an option that places them at significant risk, requiring practitioners to balance autonomy with safeguarding and their duty of care.</w:t>
      </w:r>
    </w:p>
    <w:p xmlns:wp14="http://schemas.microsoft.com/office/word/2010/wordml" w:rsidP="451AB04B" wp14:paraId="4C45ED47" wp14:textId="7F796534">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51CDC154">
        <w:rPr>
          <w:rFonts w:ascii="Arial" w:hAnsi="Arial" w:eastAsia="Arial" w:cs="Arial"/>
          <w:noProof w:val="0"/>
          <w:color w:val="242424"/>
          <w:sz w:val="22"/>
          <w:szCs w:val="22"/>
          <w:lang w:val="en-GB"/>
        </w:rPr>
        <w:t>Finally, inequalities in funding and service availability can limit genuine choice. Even where individuals have personal budgets or personalised care plans, suitable local services may not exist, making person-centred care difficult to achieve in practice.</w:t>
      </w:r>
    </w:p>
    <w:p xmlns:wp14="http://schemas.microsoft.com/office/word/2010/wordml" w:rsidP="451AB04B" wp14:paraId="2B65C6BD" wp14:textId="0799637D">
      <w:pPr>
        <w:pStyle w:val="Normal"/>
        <w:bidi w:val="0"/>
        <w:spacing w:before="360" w:beforeAutospacing="off" w:after="180" w:afterAutospacing="off"/>
      </w:pPr>
    </w:p>
    <w:p xmlns:wp14="http://schemas.microsoft.com/office/word/2010/wordml" w:rsidP="5588DB83" wp14:paraId="5AB80FDC" wp14:textId="683DA132">
      <w:pPr>
        <w:bidi w:val="0"/>
        <w:spacing w:before="360" w:beforeAutospacing="off" w:after="180" w:afterAutospacing="off"/>
      </w:pPr>
      <w:r w:rsidRPr="451AB04B" w:rsidR="06D6AAC5">
        <w:rPr>
          <w:rFonts w:ascii="Helvetica Neue" w:hAnsi="Helvetica Neue" w:eastAsia="Helvetica Neue" w:cs="Helvetica Neue"/>
          <w:b w:val="1"/>
          <w:bCs w:val="1"/>
          <w:noProof w:val="0"/>
          <w:color w:val="242424"/>
          <w:sz w:val="30"/>
          <w:szCs w:val="30"/>
          <w:lang w:val="en-GB"/>
        </w:rPr>
        <w:t>Theory Underpinning Person-Centred Care</w:t>
      </w:r>
    </w:p>
    <w:p w:rsidR="378A7FFF" w:rsidP="451AB04B" w:rsidRDefault="378A7FFF" w14:paraId="2DC856F5" w14:textId="2F2CBA72">
      <w:pPr>
        <w:pStyle w:val="Normal"/>
        <w:bidi w:val="0"/>
        <w:spacing w:before="360" w:beforeAutospacing="off" w:after="180" w:afterAutospacing="off" w:line="360" w:lineRule="auto"/>
        <w:rPr>
          <w:rFonts w:ascii="Arial" w:hAnsi="Arial" w:eastAsia="Arial" w:cs="Arial"/>
          <w:noProof w:val="0"/>
          <w:color w:val="242424"/>
          <w:sz w:val="22"/>
          <w:szCs w:val="22"/>
          <w:lang w:val="en-GB"/>
        </w:rPr>
      </w:pPr>
      <w:r w:rsidRPr="451AB04B" w:rsidR="378A7FFF">
        <w:rPr>
          <w:rFonts w:ascii="Arial" w:hAnsi="Arial" w:eastAsia="Arial" w:cs="Arial"/>
          <w:noProof w:val="0"/>
          <w:color w:val="242424"/>
          <w:sz w:val="22"/>
          <w:szCs w:val="22"/>
          <w:lang w:val="en-GB"/>
        </w:rPr>
        <w:t xml:space="preserve">Person-centred care is underpinned by </w:t>
      </w:r>
      <w:r w:rsidRPr="451AB04B" w:rsidR="378A7FFF">
        <w:rPr>
          <w:rFonts w:ascii="Arial" w:hAnsi="Arial" w:eastAsia="Arial" w:cs="Arial"/>
          <w:b w:val="1"/>
          <w:bCs w:val="1"/>
          <w:noProof w:val="0"/>
          <w:color w:val="242424"/>
          <w:sz w:val="22"/>
          <w:szCs w:val="22"/>
          <w:lang w:val="en-GB"/>
        </w:rPr>
        <w:t>Carl Rogers’ Person-Centred Theory (1951)</w:t>
      </w:r>
      <w:r w:rsidRPr="451AB04B" w:rsidR="378A7FFF">
        <w:rPr>
          <w:rFonts w:ascii="Arial" w:hAnsi="Arial" w:eastAsia="Arial" w:cs="Arial"/>
          <w:noProof w:val="0"/>
          <w:color w:val="242424"/>
          <w:sz w:val="22"/>
          <w:szCs w:val="22"/>
          <w:lang w:val="en-GB"/>
        </w:rPr>
        <w:t>. Rogers, a humanistic psychologist, believed that every individual has an innate capacity for growth and self-actualisation when supported in a positive environment. He argued that healthcare professionals should build therapeutic relationships that enable people to make informed decisions and take an active role in their care.</w:t>
      </w:r>
    </w:p>
    <w:p xmlns:wp14="http://schemas.microsoft.com/office/word/2010/wordml" w:rsidP="5588DB83" wp14:paraId="5B451AF6" wp14:textId="61DFF5C4">
      <w:pPr>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r w:rsidR="36AEFA8D">
        <w:drawing>
          <wp:inline xmlns:wp14="http://schemas.microsoft.com/office/word/2010/wordprocessingDrawing" wp14:editId="4BBBDF92" wp14:anchorId="0F1F2884">
            <wp:extent cx="3533775" cy="2438400"/>
            <wp:effectExtent l="0" t="0" r="0" b="0"/>
            <wp:docPr id="1275564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556412" name="Picture 127556412"/>
                    <pic:cNvPicPr/>
                  </pic:nvPicPr>
                  <pic:blipFill>
                    <a:blip xmlns:r="http://schemas.openxmlformats.org/officeDocument/2006/relationships" r:embed="rId1780972095">
                      <a:extLst>
                        <a:ext uri="{28A0092B-C50C-407E-A947-70E740481C1C}">
                          <a14:useLocalDpi xmlns:a14="http://schemas.microsoft.com/office/drawing/2010/main"/>
                        </a:ext>
                      </a:extLst>
                    </a:blip>
                    <a:stretch>
                      <a:fillRect/>
                    </a:stretch>
                  </pic:blipFill>
                  <pic:spPr>
                    <a:xfrm>
                      <a:off x="0" y="0"/>
                      <a:ext cx="3533775" cy="2438400"/>
                    </a:xfrm>
                    <a:prstGeom prst="rect">
                      <a:avLst/>
                    </a:prstGeom>
                  </pic:spPr>
                </pic:pic>
              </a:graphicData>
            </a:graphic>
          </wp:inline>
        </w:drawing>
      </w:r>
    </w:p>
    <w:p xmlns:wp14="http://schemas.microsoft.com/office/word/2010/wordml" w:rsidP="451AB04B" wp14:paraId="0332D837" wp14:textId="7CEFC0B4">
      <w:pPr>
        <w:bidi w:val="0"/>
        <w:spacing w:before="300" w:beforeAutospacing="off" w:after="180" w:afterAutospacing="off"/>
      </w:pPr>
      <w:r w:rsidRPr="451AB04B" w:rsidR="685C1AF6">
        <w:rPr>
          <w:rFonts w:ascii="Times New Roman" w:hAnsi="Times New Roman" w:eastAsia="Times New Roman" w:cs="Times New Roman"/>
          <w:b w:val="1"/>
          <w:bCs w:val="1"/>
          <w:i w:val="1"/>
          <w:iCs w:val="1"/>
          <w:noProof w:val="0"/>
          <w:color w:val="242424"/>
          <w:sz w:val="30"/>
          <w:szCs w:val="30"/>
          <w:lang w:val="en-GB"/>
        </w:rPr>
        <w:t>Rogers identified three core conditions that promote effective helping relationsh</w:t>
      </w:r>
      <w:r w:rsidRPr="451AB04B" w:rsidR="685C1AF6">
        <w:rPr>
          <w:rFonts w:ascii="Times New Roman" w:hAnsi="Times New Roman" w:eastAsia="Times New Roman" w:cs="Times New Roman"/>
          <w:b w:val="1"/>
          <w:bCs w:val="1"/>
          <w:i w:val="1"/>
          <w:iCs w:val="1"/>
          <w:noProof w:val="0"/>
          <w:color w:val="242424"/>
          <w:sz w:val="30"/>
          <w:szCs w:val="30"/>
          <w:lang w:val="en-GB"/>
        </w:rPr>
        <w:t>ip</w:t>
      </w:r>
      <w:r w:rsidRPr="451AB04B" w:rsidR="685C1AF6">
        <w:rPr>
          <w:rFonts w:ascii="Times New Roman" w:hAnsi="Times New Roman" w:eastAsia="Times New Roman" w:cs="Times New Roman"/>
          <w:b w:val="1"/>
          <w:bCs w:val="1"/>
          <w:i w:val="1"/>
          <w:iCs w:val="1"/>
          <w:noProof w:val="0"/>
          <w:color w:val="242424"/>
          <w:sz w:val="30"/>
          <w:szCs w:val="30"/>
          <w:lang w:val="en-GB"/>
        </w:rPr>
        <w:t>s</w:t>
      </w:r>
      <w:r w:rsidRPr="451AB04B" w:rsidR="685C1AF6">
        <w:rPr>
          <w:rFonts w:ascii="Times New Roman" w:hAnsi="Times New Roman" w:eastAsia="Times New Roman" w:cs="Times New Roman"/>
          <w:noProof w:val="0"/>
          <w:color w:val="242424"/>
          <w:sz w:val="30"/>
          <w:szCs w:val="30"/>
          <w:lang w:val="en-GB"/>
        </w:rPr>
        <w:t>:</w:t>
      </w:r>
    </w:p>
    <w:p xmlns:wp14="http://schemas.microsoft.com/office/word/2010/wordml" w:rsidP="451AB04B" wp14:paraId="6C887893" wp14:textId="7644C61F">
      <w:pPr>
        <w:pStyle w:val="ListParagraph"/>
        <w:numPr>
          <w:ilvl w:val="0"/>
          <w:numId w:val="21"/>
        </w:numPr>
        <w:bidi w:val="0"/>
        <w:spacing w:before="0" w:beforeAutospacing="off" w:after="0" w:afterAutospacing="off"/>
        <w:rPr>
          <w:rFonts w:ascii="Arial" w:hAnsi="Arial" w:eastAsia="Arial" w:cs="Arial"/>
          <w:noProof w:val="0"/>
          <w:color w:val="242424"/>
          <w:sz w:val="22"/>
          <w:szCs w:val="22"/>
          <w:lang w:val="en-GB"/>
        </w:rPr>
      </w:pPr>
      <w:r w:rsidRPr="451AB04B" w:rsidR="685C1AF6">
        <w:rPr>
          <w:rFonts w:ascii="TimesNewRomanPS-BoldMT" w:hAnsi="TimesNewRomanPS-BoldMT" w:eastAsia="TimesNewRomanPS-BoldMT" w:cs="TimesNewRomanPS-BoldMT"/>
          <w:b w:val="1"/>
          <w:bCs w:val="1"/>
          <w:noProof w:val="0"/>
          <w:color w:val="242424"/>
          <w:sz w:val="30"/>
          <w:szCs w:val="30"/>
          <w:lang w:val="en-GB"/>
        </w:rPr>
        <w:t>Empathy</w:t>
      </w:r>
      <w:r w:rsidRPr="451AB04B" w:rsidR="685C1AF6">
        <w:rPr>
          <w:rFonts w:ascii="Times New Roman" w:hAnsi="Times New Roman" w:eastAsia="Times New Roman" w:cs="Times New Roman"/>
          <w:noProof w:val="0"/>
          <w:color w:val="242424"/>
          <w:sz w:val="30"/>
          <w:szCs w:val="30"/>
          <w:lang w:val="en-GB"/>
        </w:rPr>
        <w:t xml:space="preserve"> –</w:t>
      </w:r>
      <w:r w:rsidRPr="451AB04B" w:rsidR="685C1AF6">
        <w:rPr>
          <w:rFonts w:ascii="Arial" w:hAnsi="Arial" w:eastAsia="Arial" w:cs="Arial"/>
          <w:noProof w:val="0"/>
          <w:color w:val="242424"/>
          <w:sz w:val="22"/>
          <w:szCs w:val="22"/>
          <w:lang w:val="en-GB"/>
        </w:rPr>
        <w:t xml:space="preserve"> the ability to understand the service user’s experiences, feelings and perspectives without judgement. Empathy enables practitioners to build trust and provide care that reflects the individual’s needs.</w:t>
      </w:r>
    </w:p>
    <w:p xmlns:wp14="http://schemas.microsoft.com/office/word/2010/wordml" w:rsidP="451AB04B" wp14:paraId="3443A3EC" wp14:textId="1C539480">
      <w:pPr>
        <w:pStyle w:val="ListParagraph"/>
        <w:numPr>
          <w:ilvl w:val="0"/>
          <w:numId w:val="21"/>
        </w:numPr>
        <w:bidi w:val="0"/>
        <w:spacing w:before="0" w:beforeAutospacing="off" w:after="0" w:afterAutospacing="off" w:line="360" w:lineRule="auto"/>
        <w:rPr>
          <w:rFonts w:ascii="Arial" w:hAnsi="Arial" w:eastAsia="Arial" w:cs="Arial"/>
          <w:noProof w:val="0"/>
          <w:color w:val="242424"/>
          <w:sz w:val="22"/>
          <w:szCs w:val="22"/>
          <w:lang w:val="en-GB"/>
        </w:rPr>
      </w:pPr>
      <w:r w:rsidRPr="451AB04B" w:rsidR="685C1AF6">
        <w:rPr>
          <w:rFonts w:ascii="TimesNewRomanPS-BoldMT" w:hAnsi="TimesNewRomanPS-BoldMT" w:eastAsia="TimesNewRomanPS-BoldMT" w:cs="TimesNewRomanPS-BoldMT"/>
          <w:b w:val="1"/>
          <w:bCs w:val="1"/>
          <w:noProof w:val="0"/>
          <w:color w:val="242424"/>
          <w:sz w:val="30"/>
          <w:szCs w:val="30"/>
          <w:lang w:val="en-GB"/>
        </w:rPr>
        <w:t>Unconditional Positive Regard (UPR)</w:t>
      </w:r>
      <w:r w:rsidRPr="451AB04B" w:rsidR="685C1AF6">
        <w:rPr>
          <w:rFonts w:ascii="Times New Roman" w:hAnsi="Times New Roman" w:eastAsia="Times New Roman" w:cs="Times New Roman"/>
          <w:noProof w:val="0"/>
          <w:color w:val="242424"/>
          <w:sz w:val="30"/>
          <w:szCs w:val="30"/>
          <w:lang w:val="en-GB"/>
        </w:rPr>
        <w:t xml:space="preserve"> – </w:t>
      </w:r>
      <w:r w:rsidRPr="451AB04B" w:rsidR="685C1AF6">
        <w:rPr>
          <w:rFonts w:ascii="Arial" w:hAnsi="Arial" w:eastAsia="Arial" w:cs="Arial"/>
          <w:noProof w:val="0"/>
          <w:color w:val="242424"/>
          <w:sz w:val="22"/>
          <w:szCs w:val="22"/>
          <w:lang w:val="en-GB"/>
        </w:rPr>
        <w:t>accepting and respecting the individual regardless of their background, beliefs or circumstances. This promotes dignity, equality and person-centred practice.</w:t>
      </w:r>
    </w:p>
    <w:p xmlns:wp14="http://schemas.microsoft.com/office/word/2010/wordml" w:rsidP="451AB04B" wp14:paraId="3A8BDBFB" wp14:textId="482DBBCD">
      <w:pPr>
        <w:pStyle w:val="ListParagraph"/>
        <w:numPr>
          <w:ilvl w:val="0"/>
          <w:numId w:val="21"/>
        </w:numPr>
        <w:bidi w:val="0"/>
        <w:spacing w:before="0" w:beforeAutospacing="off" w:after="0" w:afterAutospacing="off" w:line="360" w:lineRule="auto"/>
        <w:rPr>
          <w:rFonts w:ascii="Arial" w:hAnsi="Arial" w:eastAsia="Arial" w:cs="Arial"/>
          <w:noProof w:val="0"/>
          <w:color w:val="242424"/>
          <w:sz w:val="22"/>
          <w:szCs w:val="22"/>
          <w:lang w:val="en-GB"/>
        </w:rPr>
      </w:pPr>
      <w:r w:rsidRPr="451AB04B" w:rsidR="685C1AF6">
        <w:rPr>
          <w:rFonts w:ascii="TimesNewRomanPS-BoldMT" w:hAnsi="TimesNewRomanPS-BoldMT" w:eastAsia="TimesNewRomanPS-BoldMT" w:cs="TimesNewRomanPS-BoldMT"/>
          <w:b w:val="1"/>
          <w:bCs w:val="1"/>
          <w:noProof w:val="0"/>
          <w:color w:val="242424"/>
          <w:sz w:val="30"/>
          <w:szCs w:val="30"/>
          <w:lang w:val="en-GB"/>
        </w:rPr>
        <w:t>Congruence (Genuineness)</w:t>
      </w:r>
      <w:r w:rsidRPr="451AB04B" w:rsidR="685C1AF6">
        <w:rPr>
          <w:rFonts w:ascii="Times New Roman" w:hAnsi="Times New Roman" w:eastAsia="Times New Roman" w:cs="Times New Roman"/>
          <w:noProof w:val="0"/>
          <w:color w:val="242424"/>
          <w:sz w:val="30"/>
          <w:szCs w:val="30"/>
          <w:lang w:val="en-GB"/>
        </w:rPr>
        <w:t xml:space="preserve"> – </w:t>
      </w:r>
      <w:r w:rsidRPr="451AB04B" w:rsidR="685C1AF6">
        <w:rPr>
          <w:rFonts w:ascii="Arial" w:hAnsi="Arial" w:eastAsia="Arial" w:cs="Arial"/>
          <w:noProof w:val="0"/>
          <w:color w:val="242424"/>
          <w:sz w:val="22"/>
          <w:szCs w:val="22"/>
          <w:lang w:val="en-GB"/>
        </w:rPr>
        <w:t>professionals should be honest, authentic and transparent in their interactions. Genuine communication strengthens therapeutic relationships and encourages openness between practitioners and service users.</w:t>
      </w:r>
    </w:p>
    <w:p xmlns:wp14="http://schemas.microsoft.com/office/word/2010/wordml" w:rsidP="451AB04B" wp14:paraId="749D9F6F" wp14:textId="4700081C">
      <w:pPr>
        <w:bidi w:val="0"/>
        <w:spacing w:before="300" w:beforeAutospacing="off" w:after="180" w:afterAutospacing="off" w:line="360" w:lineRule="auto"/>
      </w:pPr>
      <w:r w:rsidRPr="451AB04B" w:rsidR="685C1AF6">
        <w:rPr>
          <w:rFonts w:ascii="Arial" w:hAnsi="Arial" w:eastAsia="Arial" w:cs="Arial"/>
          <w:noProof w:val="0"/>
          <w:color w:val="242424"/>
          <w:sz w:val="22"/>
          <w:szCs w:val="22"/>
          <w:lang w:val="en-GB"/>
        </w:rPr>
        <w:t>These principles support modern health and social care by encouraging collaborative decision-making, effective communication and respect for individual preferences</w:t>
      </w:r>
      <w:r w:rsidRPr="451AB04B" w:rsidR="685C1AF6">
        <w:rPr>
          <w:rFonts w:ascii="Times New Roman" w:hAnsi="Times New Roman" w:eastAsia="Times New Roman" w:cs="Times New Roman"/>
          <w:noProof w:val="0"/>
          <w:color w:val="242424"/>
          <w:sz w:val="30"/>
          <w:szCs w:val="30"/>
          <w:lang w:val="en-GB"/>
        </w:rPr>
        <w:t>.</w:t>
      </w:r>
    </w:p>
    <w:p xmlns:wp14="http://schemas.microsoft.com/office/word/2010/wordml" w:rsidP="451AB04B" wp14:paraId="1EDB8690" wp14:textId="18DA09E8">
      <w:pPr>
        <w:pStyle w:val="Normal"/>
        <w:bidi w:val="0"/>
        <w:spacing w:before="360" w:beforeAutospacing="off" w:after="180" w:afterAutospacing="off"/>
      </w:pPr>
      <w:r w:rsidRPr="451AB04B" w:rsidR="22436DE3">
        <w:rPr>
          <w:rFonts w:ascii="Helvetica Neue" w:hAnsi="Helvetica Neue" w:eastAsia="Helvetica Neue" w:cs="Helvetica Neue"/>
          <w:b w:val="1"/>
          <w:bCs w:val="1"/>
          <w:noProof w:val="0"/>
          <w:color w:val="242424"/>
          <w:sz w:val="30"/>
          <w:szCs w:val="30"/>
          <w:lang w:val="en-GB"/>
        </w:rPr>
        <w:t>Critical Evaluation of Rogers’ Theory</w:t>
      </w:r>
    </w:p>
    <w:p xmlns:wp14="http://schemas.microsoft.com/office/word/2010/wordml" w:rsidP="451AB04B" wp14:paraId="4D883BB9" wp14:textId="1A2C43B5">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0E795685">
        <w:rPr>
          <w:rFonts w:ascii="Arial" w:hAnsi="Arial" w:eastAsia="Arial" w:cs="Arial"/>
          <w:noProof w:val="0"/>
          <w:color w:val="242424"/>
          <w:sz w:val="22"/>
          <w:szCs w:val="22"/>
          <w:lang w:val="en-GB"/>
        </w:rPr>
        <w:t>A key strength of Rogers’ theory is that it shifts the focus of care from the professional to the individual. It recognises service users as experts in their own lives and supports empowerment, shared decision-making and personalised care. The emphasis on empathy and respect also improves therapeutic relationships, increasing trust, satisfaction and engagement with treatment.</w:t>
      </w:r>
    </w:p>
    <w:p xmlns:wp14="http://schemas.microsoft.com/office/word/2010/wordml" w:rsidP="451AB04B" wp14:paraId="5FEA08A9" wp14:textId="7FDB1E08">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0E795685">
        <w:rPr>
          <w:rFonts w:ascii="Arial" w:hAnsi="Arial" w:eastAsia="Arial" w:cs="Arial"/>
          <w:noProof w:val="0"/>
          <w:color w:val="242424"/>
          <w:sz w:val="22"/>
          <w:szCs w:val="22"/>
          <w:lang w:val="en-GB"/>
        </w:rPr>
        <w:t>However, the theory has limitations when applied in contemporary healthcare settings. It was originally developed for counselling and assumes that individuals can actively participate in decisions about their care. In practice, some service users may have impaired decision-making capacity because of severe mental illness, dementia or acute medical conditions. In these situations, professionals may need to adopt a more directive approach while still acting in the person’s best interests.</w:t>
      </w:r>
    </w:p>
    <w:p xmlns:wp14="http://schemas.microsoft.com/office/word/2010/wordml" w:rsidP="451AB04B" wp14:paraId="0D96D2A8" wp14:textId="0A567C32">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0E795685">
        <w:rPr>
          <w:rFonts w:ascii="Arial" w:hAnsi="Arial" w:eastAsia="Arial" w:cs="Arial"/>
          <w:noProof w:val="0"/>
          <w:color w:val="242424"/>
          <w:sz w:val="22"/>
          <w:szCs w:val="22"/>
          <w:lang w:val="en-GB"/>
        </w:rPr>
        <w:t xml:space="preserve">Additionally, modern health and social care services are often characterised by heavy workloads, limited </w:t>
      </w:r>
      <w:r w:rsidRPr="451AB04B" w:rsidR="0E795685">
        <w:rPr>
          <w:rFonts w:ascii="Arial" w:hAnsi="Arial" w:eastAsia="Arial" w:cs="Arial"/>
          <w:noProof w:val="0"/>
          <w:color w:val="242424"/>
          <w:sz w:val="22"/>
          <w:szCs w:val="22"/>
          <w:lang w:val="en-GB"/>
        </w:rPr>
        <w:t>resources</w:t>
      </w:r>
      <w:r w:rsidRPr="451AB04B" w:rsidR="0E795685">
        <w:rPr>
          <w:rFonts w:ascii="Arial" w:hAnsi="Arial" w:eastAsia="Arial" w:cs="Arial"/>
          <w:noProof w:val="0"/>
          <w:color w:val="242424"/>
          <w:sz w:val="22"/>
          <w:szCs w:val="22"/>
          <w:lang w:val="en-GB"/>
        </w:rPr>
        <w:t xml:space="preserve"> and strict clinical guidelines. These pressures can restrict the time available to develop the meaningful therapeutic relationships that Rogers considered essential. Consequently, although the theory provides a valuable foundation for person-centred care, it must be balanced with professional judgement, evidence-based </w:t>
      </w:r>
      <w:r w:rsidRPr="451AB04B" w:rsidR="0E795685">
        <w:rPr>
          <w:rFonts w:ascii="Arial" w:hAnsi="Arial" w:eastAsia="Arial" w:cs="Arial"/>
          <w:noProof w:val="0"/>
          <w:color w:val="242424"/>
          <w:sz w:val="22"/>
          <w:szCs w:val="22"/>
          <w:lang w:val="en-GB"/>
        </w:rPr>
        <w:t>practice</w:t>
      </w:r>
      <w:r w:rsidRPr="451AB04B" w:rsidR="0E795685">
        <w:rPr>
          <w:rFonts w:ascii="Arial" w:hAnsi="Arial" w:eastAsia="Arial" w:cs="Arial"/>
          <w:noProof w:val="0"/>
          <w:color w:val="242424"/>
          <w:sz w:val="22"/>
          <w:szCs w:val="22"/>
          <w:lang w:val="en-GB"/>
        </w:rPr>
        <w:t xml:space="preserve"> and legal responsibilities.</w:t>
      </w:r>
    </w:p>
    <w:p xmlns:wp14="http://schemas.microsoft.com/office/word/2010/wordml" w:rsidP="5588DB83" wp14:paraId="464FD2E0" wp14:textId="34F263A6">
      <w:pPr>
        <w:bidi w:val="0"/>
        <w:spacing w:before="360" w:beforeAutospacing="off" w:after="180" w:afterAutospacing="off"/>
      </w:pPr>
      <w:r w:rsidRPr="451AB04B" w:rsidR="22436DE3">
        <w:rPr>
          <w:rFonts w:ascii="Helvetica Neue" w:hAnsi="Helvetica Neue" w:eastAsia="Helvetica Neue" w:cs="Helvetica Neue"/>
          <w:b w:val="1"/>
          <w:bCs w:val="1"/>
          <w:noProof w:val="0"/>
          <w:color w:val="242424"/>
          <w:sz w:val="30"/>
          <w:szCs w:val="30"/>
          <w:lang w:val="en-GB"/>
        </w:rPr>
        <w:t>Ethical Foundations of Health and Social Care</w:t>
      </w:r>
    </w:p>
    <w:p xmlns:wp14="http://schemas.microsoft.com/office/word/2010/wordml" w:rsidP="451AB04B" wp14:paraId="1FDDFC23" wp14:textId="35F1103E">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2C3D17EE">
        <w:rPr>
          <w:rFonts w:ascii="Arial" w:hAnsi="Arial" w:eastAsia="Arial" w:cs="Arial"/>
          <w:noProof w:val="0"/>
          <w:color w:val="242424"/>
          <w:sz w:val="22"/>
          <w:szCs w:val="22"/>
          <w:lang w:val="en-GB"/>
        </w:rPr>
        <w:t xml:space="preserve">Ethical practice is fundamental to health and social care, guiding professionals to make decisions that protect the rights, wellbeing and dignity of service users. A widely recognised framework is </w:t>
      </w:r>
      <w:r w:rsidRPr="451AB04B" w:rsidR="2C3D17EE">
        <w:rPr>
          <w:rFonts w:ascii="Arial" w:hAnsi="Arial" w:eastAsia="Arial" w:cs="Arial"/>
          <w:b w:val="1"/>
          <w:bCs w:val="1"/>
          <w:noProof w:val="0"/>
          <w:color w:val="242424"/>
          <w:sz w:val="22"/>
          <w:szCs w:val="22"/>
          <w:lang w:val="en-GB"/>
        </w:rPr>
        <w:t>Beauchamp and Childress’ Four Principles of Biomedical Ethics</w:t>
      </w:r>
      <w:r w:rsidRPr="451AB04B" w:rsidR="2C3D17EE">
        <w:rPr>
          <w:rFonts w:ascii="Arial" w:hAnsi="Arial" w:eastAsia="Arial" w:cs="Arial"/>
          <w:noProof w:val="0"/>
          <w:color w:val="242424"/>
          <w:sz w:val="22"/>
          <w:szCs w:val="22"/>
          <w:lang w:val="en-GB"/>
        </w:rPr>
        <w:t>, which provides a structured approach to resolving ethical dilemmas in practice.</w:t>
      </w:r>
    </w:p>
    <w:p xmlns:wp14="http://schemas.microsoft.com/office/word/2010/wordml" w:rsidP="451AB04B" wp14:paraId="77C2A142" wp14:textId="3DE5756E">
      <w:pPr>
        <w:bidi w:val="0"/>
        <w:spacing w:before="360" w:beforeAutospacing="off" w:after="223" w:afterAutospacing="off"/>
      </w:pPr>
      <w:r w:rsidRPr="451AB04B" w:rsidR="2C3D17EE">
        <w:rPr>
          <w:rFonts w:ascii="TimesNewRomanPS-BoldMT" w:hAnsi="TimesNewRomanPS-BoldMT" w:eastAsia="TimesNewRomanPS-BoldMT" w:cs="TimesNewRomanPS-BoldMT"/>
          <w:b w:val="1"/>
          <w:bCs w:val="1"/>
          <w:noProof w:val="0"/>
          <w:color w:val="242424"/>
          <w:sz w:val="36"/>
          <w:szCs w:val="36"/>
          <w:lang w:val="en-GB"/>
        </w:rPr>
        <w:t>The Four Ethical Principles</w:t>
      </w:r>
    </w:p>
    <w:p xmlns:wp14="http://schemas.microsoft.com/office/word/2010/wordml" w:rsidP="451AB04B" wp14:paraId="7D35FC25" wp14:textId="593FBB94">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2C3D17EE">
        <w:rPr>
          <w:rFonts w:ascii="TimesNewRomanPS-BoldMT" w:hAnsi="TimesNewRomanPS-BoldMT" w:eastAsia="TimesNewRomanPS-BoldMT" w:cs="TimesNewRomanPS-BoldMT"/>
          <w:b w:val="1"/>
          <w:bCs w:val="1"/>
          <w:noProof w:val="0"/>
          <w:color w:val="242424"/>
          <w:sz w:val="30"/>
          <w:szCs w:val="30"/>
          <w:lang w:val="en-GB"/>
        </w:rPr>
        <w:t>Autonomy</w:t>
      </w:r>
      <w:r w:rsidRPr="451AB04B" w:rsidR="2EDABB9A">
        <w:rPr>
          <w:rFonts w:ascii="TimesNewRomanPS-BoldMT" w:hAnsi="TimesNewRomanPS-BoldMT" w:eastAsia="TimesNewRomanPS-BoldMT" w:cs="TimesNewRomanPS-BoldMT"/>
          <w:b w:val="1"/>
          <w:bCs w:val="1"/>
          <w:noProof w:val="0"/>
          <w:color w:val="242424"/>
          <w:sz w:val="30"/>
          <w:szCs w:val="30"/>
          <w:lang w:val="en-GB"/>
        </w:rPr>
        <w:t>:</w:t>
      </w:r>
      <w:r w:rsidRPr="451AB04B" w:rsidR="2C3D17EE">
        <w:rPr>
          <w:rFonts w:ascii="Times New Roman" w:hAnsi="Times New Roman" w:eastAsia="Times New Roman" w:cs="Times New Roman"/>
          <w:noProof w:val="0"/>
          <w:color w:val="242424"/>
          <w:sz w:val="30"/>
          <w:szCs w:val="30"/>
          <w:lang w:val="en-GB"/>
        </w:rPr>
        <w:t xml:space="preserve"> </w:t>
      </w:r>
      <w:r w:rsidRPr="451AB04B" w:rsidR="2C3D17EE">
        <w:rPr>
          <w:rFonts w:ascii="Arial" w:hAnsi="Arial" w:eastAsia="Arial" w:cs="Arial"/>
          <w:noProof w:val="0"/>
          <w:color w:val="242424"/>
          <w:sz w:val="22"/>
          <w:szCs w:val="22"/>
          <w:lang w:val="en-GB"/>
        </w:rPr>
        <w:t>refers to an individual’s right to make informed decisions about their own care. Professionals must respect service users’ values, beliefs and preferences while ensuring they receive sufficient information to provide informed consent. This principle supports person-centred care by promoting independence and shared decision-making.</w:t>
      </w:r>
    </w:p>
    <w:p xmlns:wp14="http://schemas.microsoft.com/office/word/2010/wordml" w:rsidP="451AB04B" wp14:paraId="7F629C0C" wp14:textId="6DECC9F3">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2C3D17EE">
        <w:rPr>
          <w:rFonts w:ascii="TimesNewRomanPS-BoldMT" w:hAnsi="TimesNewRomanPS-BoldMT" w:eastAsia="TimesNewRomanPS-BoldMT" w:cs="TimesNewRomanPS-BoldMT"/>
          <w:b w:val="1"/>
          <w:bCs w:val="1"/>
          <w:noProof w:val="0"/>
          <w:color w:val="242424"/>
          <w:sz w:val="30"/>
          <w:szCs w:val="30"/>
          <w:lang w:val="en-GB"/>
        </w:rPr>
        <w:t>Beneficence</w:t>
      </w:r>
      <w:r w:rsidRPr="451AB04B" w:rsidR="73FCEB0B">
        <w:rPr>
          <w:rFonts w:ascii="TimesNewRomanPS-BoldMT" w:hAnsi="TimesNewRomanPS-BoldMT" w:eastAsia="TimesNewRomanPS-BoldMT" w:cs="TimesNewRomanPS-BoldMT"/>
          <w:b w:val="1"/>
          <w:bCs w:val="1"/>
          <w:noProof w:val="0"/>
          <w:color w:val="242424"/>
          <w:sz w:val="30"/>
          <w:szCs w:val="30"/>
          <w:lang w:val="en-GB"/>
        </w:rPr>
        <w:t>:</w:t>
      </w:r>
      <w:r w:rsidRPr="451AB04B" w:rsidR="2C3D17EE">
        <w:rPr>
          <w:rFonts w:ascii="Times New Roman" w:hAnsi="Times New Roman" w:eastAsia="Times New Roman" w:cs="Times New Roman"/>
          <w:noProof w:val="0"/>
          <w:color w:val="242424"/>
          <w:sz w:val="30"/>
          <w:szCs w:val="30"/>
          <w:lang w:val="en-GB"/>
        </w:rPr>
        <w:t xml:space="preserve"> </w:t>
      </w:r>
      <w:r w:rsidRPr="451AB04B" w:rsidR="2C3D17EE">
        <w:rPr>
          <w:rFonts w:ascii="Arial" w:hAnsi="Arial" w:eastAsia="Arial" w:cs="Arial"/>
          <w:noProof w:val="0"/>
          <w:color w:val="242424"/>
          <w:sz w:val="22"/>
          <w:szCs w:val="22"/>
          <w:lang w:val="en-GB"/>
        </w:rPr>
        <w:t xml:space="preserve">requires practitioners to act in the best interests of service users by promoting their health, </w:t>
      </w:r>
      <w:r w:rsidRPr="451AB04B" w:rsidR="2C3D17EE">
        <w:rPr>
          <w:rFonts w:ascii="Arial" w:hAnsi="Arial" w:eastAsia="Arial" w:cs="Arial"/>
          <w:noProof w:val="0"/>
          <w:color w:val="242424"/>
          <w:sz w:val="22"/>
          <w:szCs w:val="22"/>
          <w:lang w:val="en-GB"/>
        </w:rPr>
        <w:t>wellbeing</w:t>
      </w:r>
      <w:r w:rsidRPr="451AB04B" w:rsidR="2C3D17EE">
        <w:rPr>
          <w:rFonts w:ascii="Arial" w:hAnsi="Arial" w:eastAsia="Arial" w:cs="Arial"/>
          <w:noProof w:val="0"/>
          <w:color w:val="242424"/>
          <w:sz w:val="22"/>
          <w:szCs w:val="22"/>
          <w:lang w:val="en-GB"/>
        </w:rPr>
        <w:t xml:space="preserve"> and quality of life. This includes delivering evidence-based care that aims to achieve the best possible outcomes.</w:t>
      </w:r>
    </w:p>
    <w:p xmlns:wp14="http://schemas.microsoft.com/office/word/2010/wordml" w:rsidP="451AB04B" wp14:paraId="6FB1C47C" wp14:textId="073ABEE6">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2C3D17EE">
        <w:rPr>
          <w:rFonts w:ascii="TimesNewRomanPS-BoldMT" w:hAnsi="TimesNewRomanPS-BoldMT" w:eastAsia="TimesNewRomanPS-BoldMT" w:cs="TimesNewRomanPS-BoldMT"/>
          <w:b w:val="1"/>
          <w:bCs w:val="1"/>
          <w:noProof w:val="0"/>
          <w:color w:val="242424"/>
          <w:sz w:val="30"/>
          <w:szCs w:val="30"/>
          <w:lang w:val="en-GB"/>
        </w:rPr>
        <w:t>Non-maleficence</w:t>
      </w:r>
      <w:r w:rsidRPr="451AB04B" w:rsidR="5A062A06">
        <w:rPr>
          <w:rFonts w:ascii="TimesNewRomanPS-BoldMT" w:hAnsi="TimesNewRomanPS-BoldMT" w:eastAsia="TimesNewRomanPS-BoldMT" w:cs="TimesNewRomanPS-BoldMT"/>
          <w:b w:val="1"/>
          <w:bCs w:val="1"/>
          <w:noProof w:val="0"/>
          <w:color w:val="242424"/>
          <w:sz w:val="30"/>
          <w:szCs w:val="30"/>
          <w:lang w:val="en-GB"/>
        </w:rPr>
        <w:t>:</w:t>
      </w:r>
      <w:r w:rsidRPr="451AB04B" w:rsidR="2C3D17EE">
        <w:rPr>
          <w:rFonts w:ascii="Arial" w:hAnsi="Arial" w:eastAsia="Arial" w:cs="Arial"/>
          <w:noProof w:val="0"/>
          <w:color w:val="242424"/>
          <w:sz w:val="22"/>
          <w:szCs w:val="22"/>
          <w:lang w:val="en-GB"/>
        </w:rPr>
        <w:t xml:space="preserve"> often summarised as “do no harm</w:t>
      </w:r>
      <w:r w:rsidRPr="451AB04B" w:rsidR="2C3D17EE">
        <w:rPr>
          <w:rFonts w:ascii="Arial" w:hAnsi="Arial" w:eastAsia="Arial" w:cs="Arial"/>
          <w:noProof w:val="0"/>
          <w:color w:val="242424"/>
          <w:sz w:val="22"/>
          <w:szCs w:val="22"/>
          <w:lang w:val="en-GB"/>
        </w:rPr>
        <w:t>”,</w:t>
      </w:r>
      <w:r w:rsidRPr="451AB04B" w:rsidR="2C3D17EE">
        <w:rPr>
          <w:rFonts w:ascii="Arial" w:hAnsi="Arial" w:eastAsia="Arial" w:cs="Arial"/>
          <w:noProof w:val="0"/>
          <w:color w:val="242424"/>
          <w:sz w:val="22"/>
          <w:szCs w:val="22"/>
          <w:lang w:val="en-GB"/>
        </w:rPr>
        <w:t xml:space="preserve"> requires professionals to avoid causing unnecessary physical or psychological harm. Practitioners must carefully consider the risks and benefits of interventions to ensure care is safe and </w:t>
      </w:r>
      <w:r w:rsidRPr="451AB04B" w:rsidR="2C3D17EE">
        <w:rPr>
          <w:rFonts w:ascii="Arial" w:hAnsi="Arial" w:eastAsia="Arial" w:cs="Arial"/>
          <w:noProof w:val="0"/>
          <w:color w:val="242424"/>
          <w:sz w:val="22"/>
          <w:szCs w:val="22"/>
          <w:lang w:val="en-GB"/>
        </w:rPr>
        <w:t>appropriate</w:t>
      </w:r>
      <w:r w:rsidRPr="451AB04B" w:rsidR="2C3D17EE">
        <w:rPr>
          <w:rFonts w:ascii="Arial" w:hAnsi="Arial" w:eastAsia="Arial" w:cs="Arial"/>
          <w:noProof w:val="0"/>
          <w:color w:val="242424"/>
          <w:sz w:val="22"/>
          <w:szCs w:val="22"/>
          <w:lang w:val="en-GB"/>
        </w:rPr>
        <w:t>.</w:t>
      </w:r>
    </w:p>
    <w:p xmlns:wp14="http://schemas.microsoft.com/office/word/2010/wordml" w:rsidP="451AB04B" wp14:paraId="525912C1" wp14:textId="3028E598">
      <w:pPr>
        <w:bidi w:val="0"/>
        <w:spacing w:before="300" w:beforeAutospacing="off" w:after="180" w:afterAutospacing="off" w:line="360" w:lineRule="auto"/>
      </w:pPr>
      <w:r w:rsidRPr="451AB04B" w:rsidR="2C3D17EE">
        <w:rPr>
          <w:rFonts w:ascii="TimesNewRomanPS-BoldMT" w:hAnsi="TimesNewRomanPS-BoldMT" w:eastAsia="TimesNewRomanPS-BoldMT" w:cs="TimesNewRomanPS-BoldMT"/>
          <w:b w:val="1"/>
          <w:bCs w:val="1"/>
          <w:noProof w:val="0"/>
          <w:color w:val="242424"/>
          <w:sz w:val="30"/>
          <w:szCs w:val="30"/>
          <w:lang w:val="en-GB"/>
        </w:rPr>
        <w:t>Justice</w:t>
      </w:r>
      <w:r w:rsidRPr="451AB04B" w:rsidR="7E3FABA3">
        <w:rPr>
          <w:rFonts w:ascii="TimesNewRomanPS-BoldMT" w:hAnsi="TimesNewRomanPS-BoldMT" w:eastAsia="TimesNewRomanPS-BoldMT" w:cs="TimesNewRomanPS-BoldMT"/>
          <w:b w:val="1"/>
          <w:bCs w:val="1"/>
          <w:noProof w:val="0"/>
          <w:color w:val="242424"/>
          <w:sz w:val="30"/>
          <w:szCs w:val="30"/>
          <w:lang w:val="en-GB"/>
        </w:rPr>
        <w:t>:</w:t>
      </w:r>
      <w:r w:rsidRPr="451AB04B" w:rsidR="2C3D17EE">
        <w:rPr>
          <w:rFonts w:ascii="Times New Roman" w:hAnsi="Times New Roman" w:eastAsia="Times New Roman" w:cs="Times New Roman"/>
          <w:noProof w:val="0"/>
          <w:color w:val="242424"/>
          <w:sz w:val="30"/>
          <w:szCs w:val="30"/>
          <w:lang w:val="en-GB"/>
        </w:rPr>
        <w:t xml:space="preserve"> </w:t>
      </w:r>
      <w:r w:rsidRPr="451AB04B" w:rsidR="2C3D17EE">
        <w:rPr>
          <w:rFonts w:ascii="Arial" w:hAnsi="Arial" w:eastAsia="Arial" w:cs="Arial"/>
          <w:noProof w:val="0"/>
          <w:color w:val="242424"/>
          <w:sz w:val="22"/>
          <w:szCs w:val="22"/>
          <w:lang w:val="en-GB"/>
        </w:rPr>
        <w:t xml:space="preserve">focuses on fairness and equality in healthcare. It requires services and resources to be distributed without discrimination and ensures individuals have </w:t>
      </w:r>
      <w:r w:rsidRPr="451AB04B" w:rsidR="2C3D17EE">
        <w:rPr>
          <w:rFonts w:ascii="Arial" w:hAnsi="Arial" w:eastAsia="Arial" w:cs="Arial"/>
          <w:noProof w:val="0"/>
          <w:color w:val="242424"/>
          <w:sz w:val="22"/>
          <w:szCs w:val="22"/>
          <w:lang w:val="en-GB"/>
        </w:rPr>
        <w:t>equitable</w:t>
      </w:r>
      <w:r w:rsidRPr="451AB04B" w:rsidR="2C3D17EE">
        <w:rPr>
          <w:rFonts w:ascii="Arial" w:hAnsi="Arial" w:eastAsia="Arial" w:cs="Arial"/>
          <w:noProof w:val="0"/>
          <w:color w:val="242424"/>
          <w:sz w:val="22"/>
          <w:szCs w:val="22"/>
          <w:lang w:val="en-GB"/>
        </w:rPr>
        <w:t xml:space="preserve"> access to treatment regardless of age, gender, ethnicity, </w:t>
      </w:r>
      <w:r w:rsidRPr="451AB04B" w:rsidR="2C3D17EE">
        <w:rPr>
          <w:rFonts w:ascii="Arial" w:hAnsi="Arial" w:eastAsia="Arial" w:cs="Arial"/>
          <w:noProof w:val="0"/>
          <w:color w:val="242424"/>
          <w:sz w:val="22"/>
          <w:szCs w:val="22"/>
          <w:lang w:val="en-GB"/>
        </w:rPr>
        <w:t>disability</w:t>
      </w:r>
      <w:r w:rsidRPr="451AB04B" w:rsidR="2C3D17EE">
        <w:rPr>
          <w:rFonts w:ascii="Arial" w:hAnsi="Arial" w:eastAsia="Arial" w:cs="Arial"/>
          <w:noProof w:val="0"/>
          <w:color w:val="242424"/>
          <w:sz w:val="22"/>
          <w:szCs w:val="22"/>
          <w:lang w:val="en-GB"/>
        </w:rPr>
        <w:t xml:space="preserve"> or socio-economic background</w:t>
      </w:r>
      <w:r w:rsidRPr="451AB04B" w:rsidR="4AACF94A">
        <w:rPr>
          <w:rFonts w:ascii="Arial" w:hAnsi="Arial" w:eastAsia="Arial" w:cs="Arial"/>
          <w:noProof w:val="0"/>
          <w:color w:val="242424"/>
          <w:sz w:val="22"/>
          <w:szCs w:val="22"/>
          <w:lang w:val="en-GB"/>
        </w:rPr>
        <w:t>.</w:t>
      </w:r>
    </w:p>
    <w:p xmlns:wp14="http://schemas.microsoft.com/office/word/2010/wordml" w:rsidP="451AB04B" wp14:paraId="1E0CD722" wp14:textId="7B1A72BA">
      <w:pPr>
        <w:bidi w:val="0"/>
        <w:spacing w:before="300" w:beforeAutospacing="off" w:after="180" w:afterAutospacing="off" w:line="360" w:lineRule="auto"/>
      </w:pPr>
      <w:r w:rsidRPr="451AB04B" w:rsidR="2C3D17EE">
        <w:rPr>
          <w:rFonts w:ascii="TimesNewRomanPS-BoldMT" w:hAnsi="TimesNewRomanPS-BoldMT" w:eastAsia="TimesNewRomanPS-BoldMT" w:cs="TimesNewRomanPS-BoldMT"/>
          <w:b w:val="1"/>
          <w:bCs w:val="1"/>
          <w:noProof w:val="0"/>
          <w:color w:val="242424"/>
          <w:sz w:val="36"/>
          <w:szCs w:val="36"/>
          <w:lang w:val="en-GB"/>
        </w:rPr>
        <w:t>Ethical Challenges in Practice</w:t>
      </w:r>
    </w:p>
    <w:p xmlns:wp14="http://schemas.microsoft.com/office/word/2010/wordml" w:rsidP="451AB04B" wp14:paraId="192437DC" wp14:textId="0D630216">
      <w:pPr>
        <w:bidi w:val="0"/>
        <w:spacing w:before="360" w:beforeAutospacing="off" w:after="223" w:afterAutospacing="off" w:line="360" w:lineRule="auto"/>
        <w:rPr>
          <w:rFonts w:ascii="Arial" w:hAnsi="Arial" w:eastAsia="Arial" w:cs="Arial"/>
          <w:noProof w:val="0"/>
          <w:color w:val="242424"/>
          <w:sz w:val="22"/>
          <w:szCs w:val="22"/>
          <w:lang w:val="en-GB"/>
        </w:rPr>
      </w:pPr>
      <w:r w:rsidRPr="451AB04B" w:rsidR="2C3D17EE">
        <w:rPr>
          <w:rFonts w:ascii="Arial" w:hAnsi="Arial" w:eastAsia="Arial" w:cs="Arial"/>
          <w:noProof w:val="0"/>
          <w:color w:val="242424"/>
          <w:sz w:val="22"/>
          <w:szCs w:val="22"/>
          <w:lang w:val="en-GB"/>
        </w:rPr>
        <w:t xml:space="preserve">Although these principles guide professional decision-making, they often conflict in practice. A common example is the tension between </w:t>
      </w:r>
      <w:r w:rsidRPr="451AB04B" w:rsidR="2C3D17EE">
        <w:rPr>
          <w:rFonts w:ascii="Arial" w:hAnsi="Arial" w:eastAsia="Arial" w:cs="Arial"/>
          <w:b w:val="1"/>
          <w:bCs w:val="1"/>
          <w:noProof w:val="0"/>
          <w:color w:val="242424"/>
          <w:sz w:val="22"/>
          <w:szCs w:val="22"/>
          <w:lang w:val="en-GB"/>
        </w:rPr>
        <w:t>autonomy</w:t>
      </w:r>
      <w:r w:rsidRPr="451AB04B" w:rsidR="2C3D17EE">
        <w:rPr>
          <w:rFonts w:ascii="Arial" w:hAnsi="Arial" w:eastAsia="Arial" w:cs="Arial"/>
          <w:noProof w:val="0"/>
          <w:color w:val="242424"/>
          <w:sz w:val="22"/>
          <w:szCs w:val="22"/>
          <w:lang w:val="en-GB"/>
        </w:rPr>
        <w:t xml:space="preserve"> and </w:t>
      </w:r>
      <w:r w:rsidRPr="451AB04B" w:rsidR="2C3D17EE">
        <w:rPr>
          <w:rFonts w:ascii="Arial" w:hAnsi="Arial" w:eastAsia="Arial" w:cs="Arial"/>
          <w:b w:val="1"/>
          <w:bCs w:val="1"/>
          <w:noProof w:val="0"/>
          <w:color w:val="242424"/>
          <w:sz w:val="22"/>
          <w:szCs w:val="22"/>
          <w:lang w:val="en-GB"/>
        </w:rPr>
        <w:t>non-maleficence</w:t>
      </w:r>
      <w:r w:rsidRPr="451AB04B" w:rsidR="2C3D17EE">
        <w:rPr>
          <w:rFonts w:ascii="Arial" w:hAnsi="Arial" w:eastAsia="Arial" w:cs="Arial"/>
          <w:noProof w:val="0"/>
          <w:color w:val="242424"/>
          <w:sz w:val="22"/>
          <w:szCs w:val="22"/>
          <w:lang w:val="en-GB"/>
        </w:rPr>
        <w:t>. For instance, a person with dementia may wish to continue living independently despite significant risks such as falls or self-neglect. Respecting their wishes supports autonomy, while intervening to reduce harm reflects non-maleficence and safeguarding responsibilities.</w:t>
      </w:r>
    </w:p>
    <w:p xmlns:wp14="http://schemas.microsoft.com/office/word/2010/wordml" w:rsidP="451AB04B" wp14:paraId="603C464C" wp14:textId="3B2DC2D9">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2C3D17EE">
        <w:rPr>
          <w:rFonts w:ascii="Arial" w:hAnsi="Arial" w:eastAsia="Arial" w:cs="Arial"/>
          <w:noProof w:val="0"/>
          <w:color w:val="242424"/>
          <w:sz w:val="22"/>
          <w:szCs w:val="22"/>
          <w:lang w:val="en-GB"/>
        </w:rPr>
        <w:t>To manage these situations, professionals must assess the individual’s mental capacity, consider the least restrictive option and work collaboratively with the multidisciplinary team, the service user and their family where appropriate. Decisions should be person-centred, legally compliant and based on balancing individual rights with the duty to protect vulnerable people from harm.</w:t>
      </w:r>
    </w:p>
    <w:p xmlns:wp14="http://schemas.microsoft.com/office/word/2010/wordml" w:rsidP="451AB04B" wp14:paraId="0A6E491D" wp14:textId="00DF9399">
      <w:pPr>
        <w:bidi w:val="0"/>
        <w:spacing w:before="360" w:beforeAutospacing="off" w:after="241" w:afterAutospacing="off"/>
      </w:pPr>
      <w:r w:rsidRPr="451AB04B" w:rsidR="6C115DC3">
        <w:rPr>
          <w:rFonts w:ascii="TimesNewRomanPS-BoldMT" w:hAnsi="TimesNewRomanPS-BoldMT" w:eastAsia="TimesNewRomanPS-BoldMT" w:cs="TimesNewRomanPS-BoldMT"/>
          <w:b w:val="1"/>
          <w:bCs w:val="1"/>
          <w:noProof w:val="0"/>
          <w:color w:val="242424"/>
          <w:sz w:val="36"/>
          <w:szCs w:val="36"/>
          <w:lang w:val="en-GB"/>
        </w:rPr>
        <w:t>Evaluation of Partnership Working in Health and Social Care</w:t>
      </w:r>
    </w:p>
    <w:p xmlns:wp14="http://schemas.microsoft.com/office/word/2010/wordml" w:rsidP="451AB04B" wp14:paraId="33DBF48D" wp14:textId="214395F6">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C115DC3">
        <w:rPr>
          <w:rFonts w:ascii="Arial" w:hAnsi="Arial" w:eastAsia="Arial" w:cs="Arial"/>
          <w:noProof w:val="0"/>
          <w:color w:val="242424"/>
          <w:sz w:val="22"/>
          <w:szCs w:val="22"/>
          <w:lang w:val="en-GB"/>
        </w:rPr>
        <w:t>Partnership working refers to the collaboration between health professionals, social care providers, voluntary organisations, service users and carers to deliver coordinated, person-centred care. As many individuals have complex physical, psychological and social needs, no single organisation can meet all aspects of their care. Effective partnership working promotes communication, shared decision-making and integrated support to improve outcomes.</w:t>
      </w:r>
    </w:p>
    <w:p xmlns:wp14="http://schemas.microsoft.com/office/word/2010/wordml" w:rsidP="451AB04B" wp14:paraId="62B73A67" wp14:textId="32D60883">
      <w:pPr>
        <w:bidi w:val="0"/>
        <w:spacing w:before="360" w:beforeAutospacing="off" w:after="223" w:afterAutospacing="off"/>
      </w:pPr>
      <w:r w:rsidRPr="451AB04B" w:rsidR="6C115DC3">
        <w:rPr>
          <w:rFonts w:ascii="TimesNewRomanPS-BoldMT" w:hAnsi="TimesNewRomanPS-BoldMT" w:eastAsia="TimesNewRomanPS-BoldMT" w:cs="TimesNewRomanPS-BoldMT"/>
          <w:b w:val="1"/>
          <w:bCs w:val="1"/>
          <w:noProof w:val="0"/>
          <w:color w:val="242424"/>
          <w:sz w:val="36"/>
          <w:szCs w:val="36"/>
          <w:lang w:val="en-GB"/>
        </w:rPr>
        <w:t>Advantages of Partnership Working</w:t>
      </w:r>
    </w:p>
    <w:p xmlns:wp14="http://schemas.microsoft.com/office/word/2010/wordml" w:rsidP="451AB04B" wp14:paraId="4C6551B9" wp14:textId="3B0E29EA">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C115DC3">
        <w:rPr>
          <w:rFonts w:ascii="Arial" w:hAnsi="Arial" w:eastAsia="Arial" w:cs="Arial"/>
          <w:noProof w:val="0"/>
          <w:color w:val="242424"/>
          <w:sz w:val="22"/>
          <w:szCs w:val="22"/>
          <w:lang w:val="en-GB"/>
        </w:rPr>
        <w:t xml:space="preserve">One of the main benefits is </w:t>
      </w:r>
      <w:r w:rsidRPr="451AB04B" w:rsidR="6C115DC3">
        <w:rPr>
          <w:rFonts w:ascii="Arial" w:hAnsi="Arial" w:eastAsia="Arial" w:cs="Arial"/>
          <w:b w:val="1"/>
          <w:bCs w:val="1"/>
          <w:noProof w:val="0"/>
          <w:color w:val="242424"/>
          <w:sz w:val="22"/>
          <w:szCs w:val="22"/>
          <w:lang w:val="en-GB"/>
        </w:rPr>
        <w:t>continuity of care</w:t>
      </w:r>
      <w:r w:rsidRPr="451AB04B" w:rsidR="6C115DC3">
        <w:rPr>
          <w:rFonts w:ascii="Arial" w:hAnsi="Arial" w:eastAsia="Arial" w:cs="Arial"/>
          <w:noProof w:val="0"/>
          <w:color w:val="242424"/>
          <w:sz w:val="22"/>
          <w:szCs w:val="22"/>
          <w:lang w:val="en-GB"/>
        </w:rPr>
        <w:t>. Collaboration between NHS services, local authorities and community organisations helps ensure that individuals experience smooth transitions between services, reducing delays and preventing gaps in care.</w:t>
      </w:r>
    </w:p>
    <w:p xmlns:wp14="http://schemas.microsoft.com/office/word/2010/wordml" w:rsidP="451AB04B" wp14:paraId="1BEF4D2E" wp14:textId="4E6B9F36">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C115DC3">
        <w:rPr>
          <w:rFonts w:ascii="Arial" w:hAnsi="Arial" w:eastAsia="Arial" w:cs="Arial"/>
          <w:noProof w:val="0"/>
          <w:color w:val="242424"/>
          <w:sz w:val="22"/>
          <w:szCs w:val="22"/>
          <w:lang w:val="en-GB"/>
        </w:rPr>
        <w:t xml:space="preserve">Partnership working also improves </w:t>
      </w:r>
      <w:r w:rsidRPr="451AB04B" w:rsidR="6C115DC3">
        <w:rPr>
          <w:rFonts w:ascii="Arial" w:hAnsi="Arial" w:eastAsia="Arial" w:cs="Arial"/>
          <w:b w:val="1"/>
          <w:bCs w:val="1"/>
          <w:noProof w:val="0"/>
          <w:color w:val="242424"/>
          <w:sz w:val="22"/>
          <w:szCs w:val="22"/>
          <w:lang w:val="en-GB"/>
        </w:rPr>
        <w:t>information sharing and risk management</w:t>
      </w:r>
      <w:r w:rsidRPr="451AB04B" w:rsidR="6C115DC3">
        <w:rPr>
          <w:rFonts w:ascii="Arial" w:hAnsi="Arial" w:eastAsia="Arial" w:cs="Arial"/>
          <w:noProof w:val="0"/>
          <w:color w:val="242424"/>
          <w:sz w:val="22"/>
          <w:szCs w:val="22"/>
          <w:lang w:val="en-GB"/>
        </w:rPr>
        <w:t>. By sharing relevant information, professionals gain a more complete understanding of a service user’s needs, allowing risks to be identified earlier and interventions to be coordinated more effectively.</w:t>
      </w:r>
    </w:p>
    <w:p xmlns:wp14="http://schemas.microsoft.com/office/word/2010/wordml" w:rsidP="451AB04B" wp14:paraId="03C1C638" wp14:textId="7FA2295E">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C115DC3">
        <w:rPr>
          <w:rFonts w:ascii="Arial" w:hAnsi="Arial" w:eastAsia="Arial" w:cs="Arial"/>
          <w:noProof w:val="0"/>
          <w:color w:val="242424"/>
          <w:sz w:val="22"/>
          <w:szCs w:val="22"/>
          <w:lang w:val="en-GB"/>
        </w:rPr>
        <w:t xml:space="preserve">Another advantage is </w:t>
      </w:r>
      <w:r w:rsidRPr="451AB04B" w:rsidR="6C115DC3">
        <w:rPr>
          <w:rFonts w:ascii="Arial" w:hAnsi="Arial" w:eastAsia="Arial" w:cs="Arial"/>
          <w:b w:val="1"/>
          <w:bCs w:val="1"/>
          <w:noProof w:val="0"/>
          <w:color w:val="242424"/>
          <w:sz w:val="22"/>
          <w:szCs w:val="22"/>
          <w:lang w:val="en-GB"/>
        </w:rPr>
        <w:t>greater efficiency</w:t>
      </w:r>
      <w:r w:rsidRPr="451AB04B" w:rsidR="6C115DC3">
        <w:rPr>
          <w:rFonts w:ascii="Arial" w:hAnsi="Arial" w:eastAsia="Arial" w:cs="Arial"/>
          <w:noProof w:val="0"/>
          <w:color w:val="242424"/>
          <w:sz w:val="22"/>
          <w:szCs w:val="22"/>
          <w:lang w:val="en-GB"/>
        </w:rPr>
        <w:t xml:space="preserve">. Joint assessments, shared resources and coordinated care planning reduce duplication of work and make better use of limited healthcare resources. The </w:t>
      </w:r>
      <w:r w:rsidRPr="451AB04B" w:rsidR="6C115DC3">
        <w:rPr>
          <w:rFonts w:ascii="Arial" w:hAnsi="Arial" w:eastAsia="Arial" w:cs="Arial"/>
          <w:b w:val="1"/>
          <w:bCs w:val="1"/>
          <w:noProof w:val="0"/>
          <w:color w:val="242424"/>
          <w:sz w:val="22"/>
          <w:szCs w:val="22"/>
          <w:lang w:val="en-GB"/>
        </w:rPr>
        <w:t>Health and Care Act 2022</w:t>
      </w:r>
      <w:r w:rsidRPr="451AB04B" w:rsidR="6C115DC3">
        <w:rPr>
          <w:rFonts w:ascii="Arial" w:hAnsi="Arial" w:eastAsia="Arial" w:cs="Arial"/>
          <w:noProof w:val="0"/>
          <w:color w:val="242424"/>
          <w:sz w:val="22"/>
          <w:szCs w:val="22"/>
          <w:lang w:val="en-GB"/>
        </w:rPr>
        <w:t xml:space="preserve"> supports this approach through the establishment of Integrated Care Systems (ICSs), which encourage organisations to work together to improve population health.</w:t>
      </w:r>
    </w:p>
    <w:p xmlns:wp14="http://schemas.microsoft.com/office/word/2010/wordml" w:rsidP="451AB04B" wp14:paraId="624820DF" wp14:textId="30684AE1">
      <w:pPr>
        <w:bidi w:val="0"/>
        <w:spacing w:before="360" w:beforeAutospacing="off" w:after="223" w:afterAutospacing="off"/>
      </w:pPr>
      <w:r w:rsidRPr="451AB04B" w:rsidR="6C115DC3">
        <w:rPr>
          <w:rFonts w:ascii="TimesNewRomanPS-BoldMT" w:hAnsi="TimesNewRomanPS-BoldMT" w:eastAsia="TimesNewRomanPS-BoldMT" w:cs="TimesNewRomanPS-BoldMT"/>
          <w:b w:val="1"/>
          <w:bCs w:val="1"/>
          <w:noProof w:val="0"/>
          <w:color w:val="242424"/>
          <w:sz w:val="36"/>
          <w:szCs w:val="36"/>
          <w:lang w:val="en-GB"/>
        </w:rPr>
        <w:t>Challenges of Partnership Working</w:t>
      </w:r>
    </w:p>
    <w:p xmlns:wp14="http://schemas.microsoft.com/office/word/2010/wordml" w:rsidP="451AB04B" wp14:paraId="4CDFCCB2" wp14:textId="47B11F23">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C115DC3">
        <w:rPr>
          <w:rFonts w:ascii="Arial" w:hAnsi="Arial" w:eastAsia="Arial" w:cs="Arial"/>
          <w:noProof w:val="0"/>
          <w:color w:val="242424"/>
          <w:sz w:val="22"/>
          <w:szCs w:val="22"/>
          <w:lang w:val="en-GB"/>
        </w:rPr>
        <w:t>Despite its benefits, partnership working faces several challenges. Different organisations often have contrasting professional cultures, priorities and ways of working. For example, healthcare services may focus primarily on medical treatment, whereas social care services emphasise independence and social wellbeing. These differences can create misunderstandings and delay decision-making.</w:t>
      </w:r>
    </w:p>
    <w:p xmlns:wp14="http://schemas.microsoft.com/office/word/2010/wordml" w:rsidP="451AB04B" wp14:paraId="3A8FA2AA" wp14:textId="398F23B7">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C115DC3">
        <w:rPr>
          <w:rFonts w:ascii="Arial" w:hAnsi="Arial" w:eastAsia="Arial" w:cs="Arial"/>
          <w:noProof w:val="0"/>
          <w:color w:val="242424"/>
          <w:sz w:val="22"/>
          <w:szCs w:val="22"/>
          <w:lang w:val="en-GB"/>
        </w:rPr>
        <w:t>Information sharing can also be difficult because organisations often use incompatible digital systems or have concerns about confidentiality and data protection. As a result, important information may not always be shared promptly, affecting the quality and safety of care.</w:t>
      </w:r>
    </w:p>
    <w:p xmlns:wp14="http://schemas.microsoft.com/office/word/2010/wordml" w:rsidP="451AB04B" wp14:paraId="4F028487" wp14:textId="17220B11">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C115DC3">
        <w:rPr>
          <w:rFonts w:ascii="Arial" w:hAnsi="Arial" w:eastAsia="Arial" w:cs="Arial"/>
          <w:noProof w:val="0"/>
          <w:color w:val="242424"/>
          <w:sz w:val="22"/>
          <w:szCs w:val="22"/>
          <w:lang w:val="en-GB"/>
        </w:rPr>
        <w:t>Another challenge is ensuring that service users remain active partners in the decision-making process. Professional jargon, organisational priorities and unequal power relationships can sometimes limit meaningful involvement, leaving individuals and their families feeling excluded from decisions about their own care.</w:t>
      </w:r>
    </w:p>
    <w:p xmlns:wp14="http://schemas.microsoft.com/office/word/2010/wordml" w:rsidP="451AB04B" wp14:paraId="2DF7EA2E" wp14:textId="396FC9EF">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C115DC3">
        <w:rPr>
          <w:rFonts w:ascii="Arial" w:hAnsi="Arial" w:eastAsia="Arial" w:cs="Arial"/>
          <w:noProof w:val="0"/>
          <w:color w:val="242424"/>
          <w:sz w:val="22"/>
          <w:szCs w:val="22"/>
          <w:lang w:val="en-GB"/>
        </w:rPr>
        <w:t>Overall, partnership working improves the quality, safety and continuity of care, but its success depends on effective communication, mutual respect, shared goals and integrated systems that support collaborative practice.</w:t>
      </w:r>
    </w:p>
    <w:p xmlns:wp14="http://schemas.microsoft.com/office/word/2010/wordml" w:rsidP="451AB04B" wp14:paraId="3DF391DF" wp14:textId="49ED5CE2">
      <w:pPr>
        <w:bidi w:val="0"/>
        <w:spacing w:before="360" w:beforeAutospacing="off" w:after="241" w:afterAutospacing="off"/>
      </w:pPr>
      <w:r w:rsidRPr="451AB04B" w:rsidR="66EAE953">
        <w:rPr>
          <w:rFonts w:ascii="TimesNewRomanPS-BoldMT" w:hAnsi="TimesNewRomanPS-BoldMT" w:eastAsia="TimesNewRomanPS-BoldMT" w:cs="TimesNewRomanPS-BoldMT"/>
          <w:b w:val="1"/>
          <w:bCs w:val="1"/>
          <w:noProof w:val="0"/>
          <w:color w:val="242424"/>
          <w:sz w:val="36"/>
          <w:szCs w:val="36"/>
          <w:lang w:val="en-GB"/>
        </w:rPr>
        <w:t>Application of Partnership Working in Adult Mental Health Services</w:t>
      </w:r>
    </w:p>
    <w:p xmlns:wp14="http://schemas.microsoft.com/office/word/2010/wordml" w:rsidP="451AB04B" wp14:paraId="285272A7" wp14:textId="00DD3821">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6EAE953">
        <w:rPr>
          <w:rFonts w:ascii="Arial" w:hAnsi="Arial" w:eastAsia="Arial" w:cs="Arial"/>
          <w:noProof w:val="0"/>
          <w:color w:val="242424"/>
          <w:sz w:val="22"/>
          <w:szCs w:val="22"/>
          <w:lang w:val="en-GB"/>
        </w:rPr>
        <w:t xml:space="preserve">Partnership working is demonstrated effectively within </w:t>
      </w:r>
      <w:r w:rsidRPr="451AB04B" w:rsidR="66EAE953">
        <w:rPr>
          <w:rFonts w:ascii="Arial" w:hAnsi="Arial" w:eastAsia="Arial" w:cs="Arial"/>
          <w:b w:val="1"/>
          <w:bCs w:val="1"/>
          <w:noProof w:val="0"/>
          <w:color w:val="242424"/>
          <w:sz w:val="22"/>
          <w:szCs w:val="22"/>
          <w:lang w:val="en-GB"/>
        </w:rPr>
        <w:t>Community Mental Health Teams (CMHTs)</w:t>
      </w:r>
      <w:r w:rsidRPr="451AB04B" w:rsidR="66EAE953">
        <w:rPr>
          <w:rFonts w:ascii="Arial" w:hAnsi="Arial" w:eastAsia="Arial" w:cs="Arial"/>
          <w:noProof w:val="0"/>
          <w:color w:val="242424"/>
          <w:sz w:val="22"/>
          <w:szCs w:val="22"/>
          <w:lang w:val="en-GB"/>
        </w:rPr>
        <w:t>, where professionals from different organisations work together to support adults with complex mental health needs. Individuals with conditions such as schizophrenia, bipolar disorder or severe depression often require support that extends beyond medical treatment, including housing, employment, social care and community services.</w:t>
      </w:r>
    </w:p>
    <w:p xmlns:wp14="http://schemas.microsoft.com/office/word/2010/wordml" w:rsidP="451AB04B" wp14:paraId="52F767DD" wp14:textId="071491D2">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6EAE953">
        <w:rPr>
          <w:rFonts w:ascii="Arial" w:hAnsi="Arial" w:eastAsia="Arial" w:cs="Arial"/>
          <w:noProof w:val="0"/>
          <w:color w:val="242424"/>
          <w:sz w:val="22"/>
          <w:szCs w:val="22"/>
          <w:lang w:val="en-GB"/>
        </w:rPr>
        <w:t xml:space="preserve">For example, a person with bipolar disorder who is experiencing housing difficulties and social isolation may receive coordinated support from a multidisciplinary team. A </w:t>
      </w:r>
      <w:r w:rsidRPr="451AB04B" w:rsidR="66EAE953">
        <w:rPr>
          <w:rFonts w:ascii="Arial" w:hAnsi="Arial" w:eastAsia="Arial" w:cs="Arial"/>
          <w:b w:val="1"/>
          <w:bCs w:val="1"/>
          <w:noProof w:val="0"/>
          <w:color w:val="242424"/>
          <w:sz w:val="22"/>
          <w:szCs w:val="22"/>
          <w:lang w:val="en-GB"/>
        </w:rPr>
        <w:t>consultant psychiatrist</w:t>
      </w:r>
      <w:r w:rsidRPr="451AB04B" w:rsidR="2540000D">
        <w:rPr>
          <w:rFonts w:ascii="Arial" w:hAnsi="Arial" w:eastAsia="Arial" w:cs="Arial"/>
          <w:b w:val="1"/>
          <w:bCs w:val="1"/>
          <w:noProof w:val="0"/>
          <w:color w:val="242424"/>
          <w:sz w:val="22"/>
          <w:szCs w:val="22"/>
          <w:lang w:val="en-GB"/>
        </w:rPr>
        <w:t xml:space="preserve"> </w:t>
      </w:r>
      <w:r w:rsidRPr="451AB04B" w:rsidR="66EAE953">
        <w:rPr>
          <w:rFonts w:ascii="Arial" w:hAnsi="Arial" w:eastAsia="Arial" w:cs="Arial"/>
          <w:noProof w:val="0"/>
          <w:color w:val="242424"/>
          <w:sz w:val="22"/>
          <w:szCs w:val="22"/>
          <w:lang w:val="en-GB"/>
        </w:rPr>
        <w:t>and manages</w:t>
      </w:r>
      <w:r w:rsidRPr="451AB04B" w:rsidR="66EAE953">
        <w:rPr>
          <w:rFonts w:ascii="Times New Roman" w:hAnsi="Times New Roman" w:eastAsia="Times New Roman" w:cs="Times New Roman"/>
          <w:noProof w:val="0"/>
          <w:color w:val="242424"/>
          <w:sz w:val="30"/>
          <w:szCs w:val="30"/>
          <w:lang w:val="en-GB"/>
        </w:rPr>
        <w:t xml:space="preserve"> </w:t>
      </w:r>
      <w:r w:rsidRPr="451AB04B" w:rsidR="66EAE953">
        <w:rPr>
          <w:rFonts w:ascii="Arial" w:hAnsi="Arial" w:eastAsia="Arial" w:cs="Arial"/>
          <w:noProof w:val="0"/>
          <w:color w:val="242424"/>
          <w:sz w:val="22"/>
          <w:szCs w:val="22"/>
          <w:lang w:val="en-GB"/>
        </w:rPr>
        <w:t xml:space="preserve">the individual’s mental health through diagnosis and medication. A </w:t>
      </w:r>
      <w:r w:rsidRPr="451AB04B" w:rsidR="66EAE953">
        <w:rPr>
          <w:rFonts w:ascii="Arial" w:hAnsi="Arial" w:eastAsia="Arial" w:cs="Arial"/>
          <w:b w:val="1"/>
          <w:bCs w:val="1"/>
          <w:noProof w:val="0"/>
          <w:color w:val="242424"/>
          <w:sz w:val="22"/>
          <w:szCs w:val="22"/>
          <w:lang w:val="en-GB"/>
        </w:rPr>
        <w:t>Community Psychiatric Nurse (CPN)</w:t>
      </w:r>
      <w:r w:rsidRPr="451AB04B" w:rsidR="66EAE953">
        <w:rPr>
          <w:rFonts w:ascii="Arial" w:hAnsi="Arial" w:eastAsia="Arial" w:cs="Arial"/>
          <w:noProof w:val="0"/>
          <w:color w:val="242424"/>
          <w:sz w:val="22"/>
          <w:szCs w:val="22"/>
          <w:lang w:val="en-GB"/>
        </w:rPr>
        <w:t xml:space="preserve"> provides regular monitoring, medication </w:t>
      </w:r>
      <w:r w:rsidRPr="451AB04B" w:rsidR="66EAE953">
        <w:rPr>
          <w:rFonts w:ascii="Arial" w:hAnsi="Arial" w:eastAsia="Arial" w:cs="Arial"/>
          <w:noProof w:val="0"/>
          <w:color w:val="242424"/>
          <w:sz w:val="22"/>
          <w:szCs w:val="22"/>
          <w:lang w:val="en-GB"/>
        </w:rPr>
        <w:t>support</w:t>
      </w:r>
      <w:r w:rsidRPr="451AB04B" w:rsidR="66EAE953">
        <w:rPr>
          <w:rFonts w:ascii="Arial" w:hAnsi="Arial" w:eastAsia="Arial" w:cs="Arial"/>
          <w:noProof w:val="0"/>
          <w:color w:val="242424"/>
          <w:sz w:val="22"/>
          <w:szCs w:val="22"/>
          <w:lang w:val="en-GB"/>
        </w:rPr>
        <w:t xml:space="preserve"> and therapeutic interventions. A </w:t>
      </w:r>
      <w:r w:rsidRPr="451AB04B" w:rsidR="66EAE953">
        <w:rPr>
          <w:rFonts w:ascii="Arial" w:hAnsi="Arial" w:eastAsia="Arial" w:cs="Arial"/>
          <w:b w:val="1"/>
          <w:bCs w:val="1"/>
          <w:noProof w:val="0"/>
          <w:color w:val="242424"/>
          <w:sz w:val="22"/>
          <w:szCs w:val="22"/>
          <w:lang w:val="en-GB"/>
        </w:rPr>
        <w:t>social worker</w:t>
      </w:r>
      <w:r w:rsidRPr="451AB04B" w:rsidR="66EAE953">
        <w:rPr>
          <w:rFonts w:ascii="Arial" w:hAnsi="Arial" w:eastAsia="Arial" w:cs="Arial"/>
          <w:noProof w:val="0"/>
          <w:color w:val="242424"/>
          <w:sz w:val="22"/>
          <w:szCs w:val="22"/>
          <w:lang w:val="en-GB"/>
        </w:rPr>
        <w:t xml:space="preserve"> works with housing services to address tenancy issues and access </w:t>
      </w:r>
      <w:r w:rsidRPr="451AB04B" w:rsidR="66EAE953">
        <w:rPr>
          <w:rFonts w:ascii="Arial" w:hAnsi="Arial" w:eastAsia="Arial" w:cs="Arial"/>
          <w:noProof w:val="0"/>
          <w:color w:val="242424"/>
          <w:sz w:val="22"/>
          <w:szCs w:val="22"/>
          <w:lang w:val="en-GB"/>
        </w:rPr>
        <w:t>appropriate benefits</w:t>
      </w:r>
      <w:r w:rsidRPr="451AB04B" w:rsidR="66EAE953">
        <w:rPr>
          <w:rFonts w:ascii="Arial" w:hAnsi="Arial" w:eastAsia="Arial" w:cs="Arial"/>
          <w:noProof w:val="0"/>
          <w:color w:val="242424"/>
          <w:sz w:val="22"/>
          <w:szCs w:val="22"/>
          <w:lang w:val="en-GB"/>
        </w:rPr>
        <w:t xml:space="preserve"> or community support. In addition, voluntary organisations and mental health charities may offer peer-support groups and activities to reduce isolation and promote recovery.</w:t>
      </w:r>
    </w:p>
    <w:p xmlns:wp14="http://schemas.microsoft.com/office/word/2010/wordml" w:rsidP="451AB04B" wp14:paraId="10E1E932" wp14:textId="27C3AE97">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6EAE953">
        <w:rPr>
          <w:rFonts w:ascii="Arial" w:hAnsi="Arial" w:eastAsia="Arial" w:cs="Arial"/>
          <w:noProof w:val="0"/>
          <w:color w:val="242424"/>
          <w:sz w:val="22"/>
          <w:szCs w:val="22"/>
          <w:lang w:val="en-GB"/>
        </w:rPr>
        <w:t>This integrated approach places the individual at the centre of care, ensuring professionals work towards shared goals while addressing both clinical and social needs. It also improves communication between agencies, reduces service duplication and supports early intervention, helping to prevent unnecessary hospital admissions.</w:t>
      </w:r>
    </w:p>
    <w:p xmlns:wp14="http://schemas.microsoft.com/office/word/2010/wordml" w:rsidP="451AB04B" wp14:paraId="7B29907F" wp14:textId="555F2F8E">
      <w:pPr>
        <w:bidi w:val="0"/>
        <w:spacing w:before="210" w:beforeAutospacing="off" w:after="210" w:afterAutospacing="off" w:line="360" w:lineRule="auto"/>
        <w:rPr>
          <w:rFonts w:ascii="TimesNewRomanPS-BoldMT" w:hAnsi="TimesNewRomanPS-BoldMT" w:eastAsia="TimesNewRomanPS-BoldMT" w:cs="TimesNewRomanPS-BoldMT"/>
          <w:b w:val="1"/>
          <w:bCs w:val="1"/>
          <w:noProof w:val="0"/>
          <w:color w:val="242424"/>
          <w:sz w:val="32"/>
          <w:szCs w:val="32"/>
          <w:lang w:val="en-GB"/>
        </w:rPr>
      </w:pPr>
      <w:r w:rsidRPr="451AB04B" w:rsidR="66EAE953">
        <w:rPr>
          <w:rFonts w:ascii="TimesNewRomanPS-BoldMT" w:hAnsi="TimesNewRomanPS-BoldMT" w:eastAsia="TimesNewRomanPS-BoldMT" w:cs="TimesNewRomanPS-BoldMT"/>
          <w:b w:val="1"/>
          <w:bCs w:val="1"/>
          <w:noProof w:val="0"/>
          <w:color w:val="242424"/>
          <w:sz w:val="32"/>
          <w:szCs w:val="32"/>
          <w:lang w:val="en-GB"/>
        </w:rPr>
        <w:t>Critical Evaluation</w:t>
      </w:r>
    </w:p>
    <w:p xmlns:wp14="http://schemas.microsoft.com/office/word/2010/wordml" w:rsidP="451AB04B" wp14:paraId="491A8110" wp14:textId="0A85023D">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6EAE953">
        <w:rPr>
          <w:rFonts w:ascii="Arial" w:hAnsi="Arial" w:eastAsia="Arial" w:cs="Arial"/>
          <w:noProof w:val="0"/>
          <w:color w:val="242424"/>
          <w:sz w:val="22"/>
          <w:szCs w:val="22"/>
          <w:lang w:val="en-GB"/>
        </w:rPr>
        <w:t>Although Community Mental Health Teams demonstrate the benefits of partnership working, they also face significant challenges. Increasing demand, workforce shortages and limited funding can place pressure on services, making it difficult for professionals to communicate effectively and provide timely support. Differences in organisational priorities and incompatible information systems may also hinder collaboration.</w:t>
      </w:r>
    </w:p>
    <w:p xmlns:wp14="http://schemas.microsoft.com/office/word/2010/wordml" w:rsidP="451AB04B" wp14:paraId="5C733EF8" wp14:textId="6A1EC799">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66EAE953">
        <w:rPr>
          <w:rFonts w:ascii="Arial" w:hAnsi="Arial" w:eastAsia="Arial" w:cs="Arial"/>
          <w:noProof w:val="0"/>
          <w:color w:val="242424"/>
          <w:sz w:val="22"/>
          <w:szCs w:val="22"/>
          <w:lang w:val="en-GB"/>
        </w:rPr>
        <w:t>Despite these challenges, effective partnership working remains essential within adult mental health services. By combining the expertise of different professionals and organisations, CMHTs can provide holistic, person-centred care that improves recovery, promotes independence and enhances the overall wellbeing of service users.</w:t>
      </w:r>
    </w:p>
    <w:p xmlns:wp14="http://schemas.microsoft.com/office/word/2010/wordml" w:rsidP="451AB04B" wp14:paraId="29A87F84" wp14:textId="6F776F4C">
      <w:pPr>
        <w:bidi w:val="0"/>
        <w:spacing w:before="360" w:beforeAutospacing="off" w:after="241" w:afterAutospacing="off"/>
      </w:pPr>
      <w:r w:rsidRPr="451AB04B" w:rsidR="3D21387D">
        <w:rPr>
          <w:rFonts w:ascii="TimesNewRomanPS-BoldMT" w:hAnsi="TimesNewRomanPS-BoldMT" w:eastAsia="TimesNewRomanPS-BoldMT" w:cs="TimesNewRomanPS-BoldMT"/>
          <w:b w:val="1"/>
          <w:bCs w:val="1"/>
          <w:noProof w:val="0"/>
          <w:color w:val="242424"/>
          <w:sz w:val="36"/>
          <w:szCs w:val="36"/>
          <w:lang w:val="en-GB"/>
        </w:rPr>
        <w:t>Relevant Policy and Legislation Relating to Person-Centred Care and Partnership Working</w:t>
      </w:r>
    </w:p>
    <w:p xmlns:wp14="http://schemas.microsoft.com/office/word/2010/wordml" w:rsidP="451AB04B" wp14:paraId="3601F3D4" wp14:textId="5B51693A">
      <w:pPr>
        <w:bidi w:val="0"/>
        <w:spacing w:before="315" w:beforeAutospacing="off" w:after="210" w:afterAutospacing="off"/>
      </w:pPr>
      <w:r w:rsidRPr="451AB04B" w:rsidR="3D21387D">
        <w:rPr>
          <w:rFonts w:ascii="TimesNewRomanPS-BoldMT" w:hAnsi="TimesNewRomanPS-BoldMT" w:eastAsia="TimesNewRomanPS-BoldMT" w:cs="TimesNewRomanPS-BoldMT"/>
          <w:b w:val="1"/>
          <w:bCs w:val="1"/>
          <w:noProof w:val="0"/>
          <w:color w:val="242424"/>
          <w:sz w:val="31"/>
          <w:szCs w:val="31"/>
          <w:lang w:val="en-GB"/>
        </w:rPr>
        <w:t>Care Act 2014</w:t>
      </w:r>
    </w:p>
    <w:p xmlns:wp14="http://schemas.microsoft.com/office/word/2010/wordml" w:rsidP="451AB04B" wp14:paraId="3CEC316D" wp14:textId="3D3D2350">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3D21387D">
        <w:rPr>
          <w:rFonts w:ascii="Arial" w:hAnsi="Arial" w:eastAsia="Arial" w:cs="Arial"/>
          <w:noProof w:val="0"/>
          <w:color w:val="242424"/>
          <w:sz w:val="22"/>
          <w:szCs w:val="22"/>
          <w:lang w:val="en-GB"/>
        </w:rPr>
        <w:t xml:space="preserve">The </w:t>
      </w:r>
      <w:r w:rsidRPr="451AB04B" w:rsidR="3D21387D">
        <w:rPr>
          <w:rFonts w:ascii="Arial" w:hAnsi="Arial" w:eastAsia="Arial" w:cs="Arial"/>
          <w:b w:val="1"/>
          <w:bCs w:val="1"/>
          <w:noProof w:val="0"/>
          <w:color w:val="242424"/>
          <w:sz w:val="22"/>
          <w:szCs w:val="22"/>
          <w:lang w:val="en-GB"/>
        </w:rPr>
        <w:t>Care Act 2014</w:t>
      </w:r>
      <w:r w:rsidRPr="451AB04B" w:rsidR="3D21387D">
        <w:rPr>
          <w:rFonts w:ascii="Arial" w:hAnsi="Arial" w:eastAsia="Arial" w:cs="Arial"/>
          <w:noProof w:val="0"/>
          <w:color w:val="242424"/>
          <w:sz w:val="22"/>
          <w:szCs w:val="22"/>
          <w:lang w:val="en-GB"/>
        </w:rPr>
        <w:t xml:space="preserve"> places the wellbeing of individuals at the centre of adult social care. It requires local authorities to involve service users, carers and advocates in assessments and care planning, while promoting personal budgets and direct payments to increase choice and independence. The Act also requires cooperation between local authorities, the NHS and other agencies to support integrated care and safeguarding.</w:t>
      </w:r>
    </w:p>
    <w:p xmlns:wp14="http://schemas.microsoft.com/office/word/2010/wordml" w:rsidP="451AB04B" wp14:paraId="5EFAD885" wp14:textId="546F4591">
      <w:pPr>
        <w:bidi w:val="0"/>
        <w:spacing w:before="315" w:beforeAutospacing="off" w:after="210" w:afterAutospacing="off"/>
      </w:pPr>
      <w:r w:rsidRPr="451AB04B" w:rsidR="3D21387D">
        <w:rPr>
          <w:rFonts w:ascii="TimesNewRomanPS-BoldMT" w:hAnsi="TimesNewRomanPS-BoldMT" w:eastAsia="TimesNewRomanPS-BoldMT" w:cs="TimesNewRomanPS-BoldMT"/>
          <w:b w:val="1"/>
          <w:bCs w:val="1"/>
          <w:noProof w:val="0"/>
          <w:color w:val="242424"/>
          <w:sz w:val="31"/>
          <w:szCs w:val="31"/>
          <w:lang w:val="en-GB"/>
        </w:rPr>
        <w:t>Health and Care Act 2022</w:t>
      </w:r>
    </w:p>
    <w:p xmlns:wp14="http://schemas.microsoft.com/office/word/2010/wordml" w:rsidP="451AB04B" wp14:paraId="780597E8" wp14:textId="71C5B766">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3D21387D">
        <w:rPr>
          <w:rFonts w:ascii="Arial" w:hAnsi="Arial" w:eastAsia="Arial" w:cs="Arial"/>
          <w:noProof w:val="0"/>
          <w:color w:val="242424"/>
          <w:sz w:val="22"/>
          <w:szCs w:val="22"/>
          <w:lang w:val="en-GB"/>
        </w:rPr>
        <w:t xml:space="preserve">The </w:t>
      </w:r>
      <w:r w:rsidRPr="451AB04B" w:rsidR="3D21387D">
        <w:rPr>
          <w:rFonts w:ascii="Arial" w:hAnsi="Arial" w:eastAsia="Arial" w:cs="Arial"/>
          <w:b w:val="1"/>
          <w:bCs w:val="1"/>
          <w:noProof w:val="0"/>
          <w:color w:val="242424"/>
          <w:sz w:val="22"/>
          <w:szCs w:val="22"/>
          <w:lang w:val="en-GB"/>
        </w:rPr>
        <w:t>Health and Care Act 2022</w:t>
      </w:r>
      <w:r w:rsidRPr="451AB04B" w:rsidR="3D21387D">
        <w:rPr>
          <w:rFonts w:ascii="Arial" w:hAnsi="Arial" w:eastAsia="Arial" w:cs="Arial"/>
          <w:noProof w:val="0"/>
          <w:color w:val="242424"/>
          <w:sz w:val="22"/>
          <w:szCs w:val="22"/>
          <w:lang w:val="en-GB"/>
        </w:rPr>
        <w:t xml:space="preserve"> introduced </w:t>
      </w:r>
      <w:r w:rsidRPr="451AB04B" w:rsidR="3D21387D">
        <w:rPr>
          <w:rFonts w:ascii="Arial" w:hAnsi="Arial" w:eastAsia="Arial" w:cs="Arial"/>
          <w:b w:val="1"/>
          <w:bCs w:val="1"/>
          <w:noProof w:val="0"/>
          <w:color w:val="242424"/>
          <w:sz w:val="22"/>
          <w:szCs w:val="22"/>
          <w:lang w:val="en-GB"/>
        </w:rPr>
        <w:t>Integrated Care Systems (ICSs)</w:t>
      </w:r>
      <w:r w:rsidRPr="451AB04B" w:rsidR="3D21387D">
        <w:rPr>
          <w:rFonts w:ascii="Arial" w:hAnsi="Arial" w:eastAsia="Arial" w:cs="Arial"/>
          <w:noProof w:val="0"/>
          <w:color w:val="242424"/>
          <w:sz w:val="22"/>
          <w:szCs w:val="22"/>
          <w:lang w:val="en-GB"/>
        </w:rPr>
        <w:t xml:space="preserve"> to improve collaboration between NHS organisations, local authorities and partner agencies. The Act promotes joined-up services, reduces health inequalities and encourages service-user involvement in planning local healthcare.</w:t>
      </w:r>
    </w:p>
    <w:p xmlns:wp14="http://schemas.microsoft.com/office/word/2010/wordml" w:rsidP="451AB04B" wp14:paraId="572E8F19" wp14:textId="6662B2B3">
      <w:pPr>
        <w:bidi w:val="0"/>
        <w:spacing w:before="315" w:beforeAutospacing="off" w:after="210" w:afterAutospacing="off"/>
      </w:pPr>
      <w:r w:rsidRPr="451AB04B" w:rsidR="3D21387D">
        <w:rPr>
          <w:rFonts w:ascii="TimesNewRomanPS-BoldMT" w:hAnsi="TimesNewRomanPS-BoldMT" w:eastAsia="TimesNewRomanPS-BoldMT" w:cs="TimesNewRomanPS-BoldMT"/>
          <w:b w:val="1"/>
          <w:bCs w:val="1"/>
          <w:noProof w:val="0"/>
          <w:color w:val="242424"/>
          <w:sz w:val="31"/>
          <w:szCs w:val="31"/>
          <w:lang w:val="en-GB"/>
        </w:rPr>
        <w:t>Health and Social Care Act 2008 (Regulated Activities) Regulations 2014 – Regulation 9</w:t>
      </w:r>
    </w:p>
    <w:p xmlns:wp14="http://schemas.microsoft.com/office/word/2010/wordml" w:rsidP="451AB04B" wp14:paraId="1D7E2413" wp14:textId="5DD2FA52">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3D21387D">
        <w:rPr>
          <w:rFonts w:ascii="TimesNewRomanPS-BoldMT" w:hAnsi="TimesNewRomanPS-BoldMT" w:eastAsia="TimesNewRomanPS-BoldMT" w:cs="TimesNewRomanPS-BoldMT"/>
          <w:b w:val="1"/>
          <w:bCs w:val="1"/>
          <w:noProof w:val="0"/>
          <w:color w:val="242424"/>
          <w:sz w:val="30"/>
          <w:szCs w:val="30"/>
          <w:lang w:val="en-GB"/>
        </w:rPr>
        <w:t>Regulation 9</w:t>
      </w:r>
      <w:r w:rsidRPr="451AB04B" w:rsidR="3D21387D">
        <w:rPr>
          <w:rFonts w:ascii="Times New Roman" w:hAnsi="Times New Roman" w:eastAsia="Times New Roman" w:cs="Times New Roman"/>
          <w:noProof w:val="0"/>
          <w:color w:val="242424"/>
          <w:sz w:val="30"/>
          <w:szCs w:val="30"/>
          <w:lang w:val="en-GB"/>
        </w:rPr>
        <w:t xml:space="preserve">, </w:t>
      </w:r>
      <w:r w:rsidRPr="451AB04B" w:rsidR="3D21387D">
        <w:rPr>
          <w:rFonts w:ascii="Arial" w:hAnsi="Arial" w:eastAsia="Arial" w:cs="Arial"/>
          <w:noProof w:val="0"/>
          <w:color w:val="242424"/>
          <w:sz w:val="22"/>
          <w:szCs w:val="22"/>
          <w:lang w:val="en-GB"/>
        </w:rPr>
        <w:t xml:space="preserve">enforced by the </w:t>
      </w:r>
      <w:r w:rsidRPr="451AB04B" w:rsidR="3D21387D">
        <w:rPr>
          <w:rFonts w:ascii="Arial" w:hAnsi="Arial" w:eastAsia="Arial" w:cs="Arial"/>
          <w:b w:val="1"/>
          <w:bCs w:val="1"/>
          <w:noProof w:val="0"/>
          <w:color w:val="242424"/>
          <w:sz w:val="22"/>
          <w:szCs w:val="22"/>
          <w:lang w:val="en-GB"/>
        </w:rPr>
        <w:t>Care Quality Commission (CQC)</w:t>
      </w:r>
      <w:r w:rsidRPr="451AB04B" w:rsidR="3D21387D">
        <w:rPr>
          <w:rFonts w:ascii="Arial" w:hAnsi="Arial" w:eastAsia="Arial" w:cs="Arial"/>
          <w:noProof w:val="0"/>
          <w:color w:val="242424"/>
          <w:sz w:val="22"/>
          <w:szCs w:val="22"/>
          <w:lang w:val="en-GB"/>
        </w:rPr>
        <w:t>, requires providers to deliver person-centred care by assessing individual needs, involving service users in decisions and reviewing care plans regularly. Providers that fail to meet these standards may face enforcement action.</w:t>
      </w:r>
    </w:p>
    <w:p xmlns:wp14="http://schemas.microsoft.com/office/word/2010/wordml" w:rsidP="451AB04B" wp14:paraId="1CFAAC7F" wp14:textId="6BA9059A">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3D21387D">
        <w:rPr>
          <w:rFonts w:ascii="Arial" w:hAnsi="Arial" w:eastAsia="Arial" w:cs="Arial"/>
          <w:noProof w:val="0"/>
          <w:color w:val="242424"/>
          <w:sz w:val="22"/>
          <w:szCs w:val="22"/>
          <w:lang w:val="en-GB"/>
        </w:rPr>
        <w:t>Together, these laws ensure that health and social care organisations deliver personalised, coordinated and high-quality care through effective partnership working.</w:t>
      </w:r>
    </w:p>
    <w:p xmlns:wp14="http://schemas.microsoft.com/office/word/2010/wordml" w:rsidP="451AB04B" wp14:paraId="7CCA8628" wp14:textId="5C7915EA">
      <w:pPr>
        <w:bidi w:val="0"/>
        <w:spacing w:before="360" w:beforeAutospacing="off" w:after="241" w:afterAutospacing="off"/>
      </w:pPr>
      <w:r w:rsidRPr="451AB04B" w:rsidR="7F22F6C8">
        <w:rPr>
          <w:rFonts w:ascii="TimesNewRomanPS-BoldMT" w:hAnsi="TimesNewRomanPS-BoldMT" w:eastAsia="TimesNewRomanPS-BoldMT" w:cs="TimesNewRomanPS-BoldMT"/>
          <w:b w:val="1"/>
          <w:bCs w:val="1"/>
          <w:noProof w:val="0"/>
          <w:color w:val="242424"/>
          <w:sz w:val="36"/>
          <w:szCs w:val="36"/>
          <w:lang w:val="en-GB"/>
        </w:rPr>
        <w:t>Recommendations for Future Development of Person-Centred Care and Partnership Working</w:t>
      </w:r>
    </w:p>
    <w:p xmlns:wp14="http://schemas.microsoft.com/office/word/2010/wordml" w:rsidP="451AB04B" wp14:paraId="7C265C57" wp14:textId="507A1E51">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7F22F6C8">
        <w:rPr>
          <w:rFonts w:ascii="Arial" w:hAnsi="Arial" w:eastAsia="Arial" w:cs="Arial"/>
          <w:noProof w:val="0"/>
          <w:color w:val="242424"/>
          <w:sz w:val="22"/>
          <w:szCs w:val="22"/>
          <w:lang w:val="en-GB"/>
        </w:rPr>
        <w:t>To improve person-centred care and partnership working, three key changes are recommended.</w:t>
      </w:r>
    </w:p>
    <w:p xmlns:wp14="http://schemas.microsoft.com/office/word/2010/wordml" w:rsidP="451AB04B" wp14:paraId="7334BAB1" wp14:textId="0F8CBD29">
      <w:pPr>
        <w:pStyle w:val="ListParagraph"/>
        <w:numPr>
          <w:ilvl w:val="0"/>
          <w:numId w:val="22"/>
        </w:numPr>
        <w:bidi w:val="0"/>
        <w:spacing w:before="0" w:beforeAutospacing="off" w:after="0" w:afterAutospacing="off" w:line="360" w:lineRule="auto"/>
        <w:rPr>
          <w:rFonts w:ascii="Arial" w:hAnsi="Arial" w:eastAsia="Arial" w:cs="Arial"/>
          <w:noProof w:val="0"/>
          <w:color w:val="242424"/>
          <w:sz w:val="22"/>
          <w:szCs w:val="22"/>
          <w:lang w:val="en-GB"/>
        </w:rPr>
      </w:pPr>
      <w:r w:rsidRPr="451AB04B" w:rsidR="7F22F6C8">
        <w:rPr>
          <w:rFonts w:ascii="TimesNewRomanPS-BoldMT" w:hAnsi="TimesNewRomanPS-BoldMT" w:eastAsia="TimesNewRomanPS-BoldMT" w:cs="TimesNewRomanPS-BoldMT"/>
          <w:b w:val="1"/>
          <w:bCs w:val="1"/>
          <w:noProof w:val="0"/>
          <w:color w:val="242424"/>
          <w:sz w:val="30"/>
          <w:szCs w:val="30"/>
          <w:lang w:val="en-GB"/>
        </w:rPr>
        <w:t>Improve digital systems:</w:t>
      </w:r>
      <w:r w:rsidRPr="451AB04B" w:rsidR="7F22F6C8">
        <w:rPr>
          <w:rFonts w:ascii="Times New Roman" w:hAnsi="Times New Roman" w:eastAsia="Times New Roman" w:cs="Times New Roman"/>
          <w:noProof w:val="0"/>
          <w:color w:val="242424"/>
          <w:sz w:val="30"/>
          <w:szCs w:val="30"/>
          <w:lang w:val="en-GB"/>
        </w:rPr>
        <w:t xml:space="preserve"> </w:t>
      </w:r>
      <w:r w:rsidRPr="451AB04B" w:rsidR="7F22F6C8">
        <w:rPr>
          <w:rFonts w:ascii="Arial" w:hAnsi="Arial" w:eastAsia="Arial" w:cs="Arial"/>
          <w:noProof w:val="0"/>
          <w:color w:val="242424"/>
          <w:sz w:val="22"/>
          <w:szCs w:val="22"/>
          <w:lang w:val="en-GB"/>
        </w:rPr>
        <w:t>Introduce shared electronic care records to enable faster information sharing between health and social care organisations.</w:t>
      </w:r>
    </w:p>
    <w:p xmlns:wp14="http://schemas.microsoft.com/office/word/2010/wordml" w:rsidP="451AB04B" wp14:paraId="509628FE" wp14:textId="040C618D">
      <w:pPr>
        <w:pStyle w:val="ListParagraph"/>
        <w:numPr>
          <w:ilvl w:val="0"/>
          <w:numId w:val="22"/>
        </w:numPr>
        <w:bidi w:val="0"/>
        <w:spacing w:before="0" w:beforeAutospacing="off" w:after="0" w:afterAutospacing="off" w:line="360" w:lineRule="auto"/>
        <w:rPr>
          <w:rFonts w:ascii="Arial" w:hAnsi="Arial" w:eastAsia="Arial" w:cs="Arial"/>
          <w:noProof w:val="0"/>
          <w:color w:val="242424"/>
          <w:sz w:val="22"/>
          <w:szCs w:val="22"/>
          <w:lang w:val="en-GB"/>
        </w:rPr>
      </w:pPr>
      <w:r w:rsidRPr="451AB04B" w:rsidR="7F22F6C8">
        <w:rPr>
          <w:rFonts w:ascii="TimesNewRomanPS-BoldMT" w:hAnsi="TimesNewRomanPS-BoldMT" w:eastAsia="TimesNewRomanPS-BoldMT" w:cs="TimesNewRomanPS-BoldMT"/>
          <w:b w:val="1"/>
          <w:bCs w:val="1"/>
          <w:noProof w:val="0"/>
          <w:color w:val="242424"/>
          <w:sz w:val="30"/>
          <w:szCs w:val="30"/>
          <w:lang w:val="en-GB"/>
        </w:rPr>
        <w:t>Provide joint training:</w:t>
      </w:r>
      <w:r w:rsidRPr="451AB04B" w:rsidR="7F22F6C8">
        <w:rPr>
          <w:rFonts w:ascii="Times New Roman" w:hAnsi="Times New Roman" w:eastAsia="Times New Roman" w:cs="Times New Roman"/>
          <w:noProof w:val="0"/>
          <w:color w:val="242424"/>
          <w:sz w:val="30"/>
          <w:szCs w:val="30"/>
          <w:lang w:val="en-GB"/>
        </w:rPr>
        <w:t xml:space="preserve"> </w:t>
      </w:r>
      <w:r w:rsidRPr="451AB04B" w:rsidR="7F22F6C8">
        <w:rPr>
          <w:rFonts w:ascii="Arial" w:hAnsi="Arial" w:eastAsia="Arial" w:cs="Arial"/>
          <w:noProof w:val="0"/>
          <w:color w:val="242424"/>
          <w:sz w:val="22"/>
          <w:szCs w:val="22"/>
          <w:lang w:val="en-GB"/>
        </w:rPr>
        <w:t>Deliver inter-professional training to improve communication, teamwork and understanding between different disciplines.</w:t>
      </w:r>
    </w:p>
    <w:p xmlns:wp14="http://schemas.microsoft.com/office/word/2010/wordml" w:rsidP="451AB04B" wp14:paraId="21470CBD" wp14:textId="5365A779">
      <w:pPr>
        <w:pStyle w:val="ListParagraph"/>
        <w:numPr>
          <w:ilvl w:val="0"/>
          <w:numId w:val="22"/>
        </w:numPr>
        <w:bidi w:val="0"/>
        <w:spacing w:before="0" w:beforeAutospacing="off" w:after="0" w:afterAutospacing="off" w:line="360" w:lineRule="auto"/>
        <w:rPr>
          <w:rFonts w:ascii="Arial" w:hAnsi="Arial" w:eastAsia="Arial" w:cs="Arial"/>
          <w:noProof w:val="0"/>
          <w:color w:val="242424"/>
          <w:sz w:val="22"/>
          <w:szCs w:val="22"/>
          <w:lang w:val="en-GB"/>
        </w:rPr>
      </w:pPr>
      <w:r w:rsidRPr="451AB04B" w:rsidR="7F22F6C8">
        <w:rPr>
          <w:rFonts w:ascii="TimesNewRomanPS-BoldMT" w:hAnsi="TimesNewRomanPS-BoldMT" w:eastAsia="TimesNewRomanPS-BoldMT" w:cs="TimesNewRomanPS-BoldMT"/>
          <w:b w:val="1"/>
          <w:bCs w:val="1"/>
          <w:noProof w:val="0"/>
          <w:color w:val="242424"/>
          <w:sz w:val="30"/>
          <w:szCs w:val="30"/>
          <w:lang w:val="en-GB"/>
        </w:rPr>
        <w:t>Increase investment:</w:t>
      </w:r>
      <w:r w:rsidRPr="451AB04B" w:rsidR="7F22F6C8">
        <w:rPr>
          <w:rFonts w:ascii="Times New Roman" w:hAnsi="Times New Roman" w:eastAsia="Times New Roman" w:cs="Times New Roman"/>
          <w:noProof w:val="0"/>
          <w:color w:val="242424"/>
          <w:sz w:val="30"/>
          <w:szCs w:val="30"/>
          <w:lang w:val="en-GB"/>
        </w:rPr>
        <w:t xml:space="preserve"> </w:t>
      </w:r>
      <w:r w:rsidRPr="451AB04B" w:rsidR="7F22F6C8">
        <w:rPr>
          <w:rFonts w:ascii="Arial" w:hAnsi="Arial" w:eastAsia="Arial" w:cs="Arial"/>
          <w:noProof w:val="0"/>
          <w:color w:val="242424"/>
          <w:sz w:val="22"/>
          <w:szCs w:val="22"/>
          <w:lang w:val="en-GB"/>
        </w:rPr>
        <w:t>Provide sustainable funding for community services, personalised care initiatives and workforce development to ensure professionals have sufficient time and resources to deliver high-quality, person-centred care.</w:t>
      </w:r>
    </w:p>
    <w:p xmlns:wp14="http://schemas.microsoft.com/office/word/2010/wordml" w:rsidP="451AB04B" wp14:paraId="65644357" wp14:textId="39EC646E">
      <w:pPr>
        <w:bidi w:val="0"/>
        <w:spacing w:before="300" w:beforeAutospacing="off" w:after="180" w:afterAutospacing="off" w:line="360" w:lineRule="auto"/>
        <w:rPr>
          <w:rFonts w:ascii="Arial" w:hAnsi="Arial" w:eastAsia="Arial" w:cs="Arial"/>
          <w:noProof w:val="0"/>
          <w:color w:val="242424"/>
          <w:sz w:val="22"/>
          <w:szCs w:val="22"/>
          <w:lang w:val="en-GB"/>
        </w:rPr>
      </w:pPr>
      <w:r w:rsidRPr="451AB04B" w:rsidR="7F22F6C8">
        <w:rPr>
          <w:rFonts w:ascii="Arial" w:hAnsi="Arial" w:eastAsia="Arial" w:cs="Arial"/>
          <w:noProof w:val="0"/>
          <w:color w:val="242424"/>
          <w:sz w:val="22"/>
          <w:szCs w:val="22"/>
          <w:lang w:val="en-GB"/>
        </w:rPr>
        <w:t>Implementing these recommendations would strengthen collaboration, improve continuity of care and enhance outcomes for service users.</w:t>
      </w:r>
    </w:p>
    <w:p xmlns:wp14="http://schemas.microsoft.com/office/word/2010/wordml" w:rsidP="451AB04B" wp14:paraId="4DDB26E4" wp14:textId="3D9AF092">
      <w:pPr>
        <w:bidi w:val="0"/>
        <w:spacing w:before="360" w:beforeAutospacing="off" w:after="180" w:afterAutospacing="off"/>
        <w:rPr>
          <w:rFonts w:ascii="TimesNewRomanPS-BoldMT" w:hAnsi="TimesNewRomanPS-BoldMT" w:eastAsia="TimesNewRomanPS-BoldMT" w:cs="TimesNewRomanPS-BoldMT"/>
          <w:sz w:val="32"/>
          <w:szCs w:val="32"/>
        </w:rPr>
      </w:pPr>
    </w:p>
    <w:p xmlns:wp14="http://schemas.microsoft.com/office/word/2010/wordml" w:rsidP="451AB04B" wp14:paraId="009B4D12" wp14:textId="03D695FF">
      <w:pPr>
        <w:bidi w:val="0"/>
        <w:spacing w:before="360" w:beforeAutospacing="off" w:after="180" w:afterAutospacing="off"/>
        <w:rPr>
          <w:rFonts w:ascii="TimesNewRomanPS-BoldMT" w:hAnsi="TimesNewRomanPS-BoldMT" w:eastAsia="TimesNewRomanPS-BoldMT" w:cs="TimesNewRomanPS-BoldMT"/>
          <w:sz w:val="32"/>
          <w:szCs w:val="32"/>
        </w:rPr>
      </w:pPr>
    </w:p>
    <w:p xmlns:wp14="http://schemas.microsoft.com/office/word/2010/wordml" w:rsidP="451AB04B" wp14:paraId="4C576223" wp14:textId="706D59DE">
      <w:pPr>
        <w:bidi w:val="0"/>
        <w:spacing w:before="360" w:beforeAutospacing="off" w:after="180" w:afterAutospacing="off"/>
        <w:rPr>
          <w:rFonts w:ascii="TimesNewRomanPS-BoldMT" w:hAnsi="TimesNewRomanPS-BoldMT" w:eastAsia="TimesNewRomanPS-BoldMT" w:cs="TimesNewRomanPS-BoldMT"/>
          <w:sz w:val="32"/>
          <w:szCs w:val="32"/>
        </w:rPr>
      </w:pPr>
    </w:p>
    <w:p xmlns:wp14="http://schemas.microsoft.com/office/word/2010/wordml" w:rsidP="451AB04B" wp14:paraId="1B9FBAD0" wp14:textId="7EC58A49">
      <w:pPr>
        <w:bidi w:val="0"/>
        <w:spacing w:before="360" w:beforeAutospacing="off" w:after="180" w:afterAutospacing="off"/>
        <w:rPr>
          <w:rFonts w:ascii="TimesNewRomanPS-BoldMT" w:hAnsi="TimesNewRomanPS-BoldMT" w:eastAsia="TimesNewRomanPS-BoldMT" w:cs="TimesNewRomanPS-BoldMT"/>
          <w:sz w:val="32"/>
          <w:szCs w:val="32"/>
        </w:rPr>
      </w:pPr>
    </w:p>
    <w:p xmlns:wp14="http://schemas.microsoft.com/office/word/2010/wordml" w:rsidP="5588DB83" wp14:paraId="32B118B6" wp14:textId="13AD4392">
      <w:pPr>
        <w:bidi w:val="0"/>
        <w:spacing w:before="360" w:beforeAutospacing="off" w:after="180" w:afterAutospacing="off"/>
      </w:pPr>
      <w:r w:rsidRPr="451AB04B" w:rsidR="39D22557">
        <w:rPr>
          <w:rFonts w:ascii="TimesNewRomanPS-BoldMT" w:hAnsi="TimesNewRomanPS-BoldMT" w:eastAsia="TimesNewRomanPS-BoldMT" w:cs="TimesNewRomanPS-BoldMT"/>
          <w:sz w:val="32"/>
          <w:szCs w:val="32"/>
        </w:rPr>
        <w:t>Conclusion:</w:t>
      </w:r>
    </w:p>
    <w:p xmlns:wp14="http://schemas.microsoft.com/office/word/2010/wordml" w:rsidP="451AB04B" wp14:paraId="09580C76" wp14:textId="302AFDB0">
      <w:pPr>
        <w:pStyle w:val="Normal"/>
        <w:bidi w:val="0"/>
        <w:spacing w:before="360" w:beforeAutospacing="off" w:after="180" w:afterAutospacing="off" w:line="360" w:lineRule="auto"/>
        <w:rPr>
          <w:rFonts w:ascii="Arial" w:hAnsi="Arial" w:eastAsia="Arial" w:cs="Arial"/>
          <w:noProof w:val="0"/>
          <w:color w:val="000000" w:themeColor="text1" w:themeTint="FF" w:themeShade="FF"/>
          <w:sz w:val="22"/>
          <w:szCs w:val="22"/>
          <w:lang w:val="en-GB"/>
        </w:rPr>
      </w:pPr>
      <w:r w:rsidRPr="451AB04B" w:rsidR="39D22557">
        <w:rPr>
          <w:rFonts w:ascii="Arial" w:hAnsi="Arial" w:eastAsia="Arial" w:cs="Arial"/>
          <w:noProof w:val="0"/>
          <w:color w:val="000000" w:themeColor="text1" w:themeTint="FF" w:themeShade="FF"/>
          <w:sz w:val="22"/>
          <w:szCs w:val="22"/>
          <w:lang w:val="en-GB"/>
        </w:rPr>
        <w:t>Person-centred care and partnership working are essential to delivering effective, high-quality health and social care. They promote dignity, independence and better outcomes by involving service users in decisions and encouraging collaboration between professionals. Although challenges such as funding pressures, workforce shortages and communication barriers remain, legislation including the Care Act 2014 and the Health and Care Act 2022 provides a strong framework for integrated care. Continued investment in staff, technology and collaborative practice will help ensure services remain person-centred and responsive to individual needs.</w:t>
      </w:r>
    </w:p>
    <w:p xmlns:wp14="http://schemas.microsoft.com/office/word/2010/wordml" w:rsidP="5588DB83" wp14:paraId="56363857" wp14:textId="79874984">
      <w:pPr>
        <w:bidi w:val="0"/>
        <w:spacing w:before="360" w:beforeAutospacing="off" w:after="180" w:afterAutospacing="off"/>
      </w:pPr>
    </w:p>
    <w:p xmlns:wp14="http://schemas.microsoft.com/office/word/2010/wordml" w:rsidP="451AB04B" wp14:paraId="17CD79B0" wp14:textId="5CD7DC35">
      <w:pPr>
        <w:bidi w:val="0"/>
        <w:spacing w:before="300" w:beforeAutospacing="off" w:after="180" w:afterAutospacing="off"/>
        <w:rPr>
          <w:rFonts w:ascii="Times New Roman" w:hAnsi="Times New Roman" w:eastAsia="Times New Roman" w:cs="Times New Roman"/>
          <w:noProof w:val="0"/>
          <w:color w:val="242424"/>
          <w:sz w:val="30"/>
          <w:szCs w:val="30"/>
          <w:lang w:val="en-GB"/>
        </w:rPr>
      </w:pPr>
    </w:p>
    <w:p xmlns:wp14="http://schemas.microsoft.com/office/word/2010/wordml" w:rsidP="5588DB83" wp14:paraId="6CD96E33" wp14:textId="3859F2E9">
      <w:pPr>
        <w:bidi w:val="0"/>
        <w:spacing w:before="360" w:beforeAutospacing="off" w:after="180" w:afterAutospacing="off"/>
      </w:pPr>
    </w:p>
    <w:p xmlns:wp14="http://schemas.microsoft.com/office/word/2010/wordml" w:rsidP="451AB04B" wp14:paraId="350B8104" wp14:textId="56ABF464">
      <w:pPr>
        <w:bidi w:val="0"/>
        <w:spacing w:before="300" w:beforeAutospacing="off" w:after="180" w:afterAutospacing="off"/>
        <w:rPr>
          <w:rFonts w:ascii="Times New Roman" w:hAnsi="Times New Roman" w:eastAsia="Times New Roman" w:cs="Times New Roman"/>
          <w:noProof w:val="0"/>
          <w:color w:val="242424"/>
          <w:sz w:val="30"/>
          <w:szCs w:val="30"/>
          <w:lang w:val="en-GB"/>
        </w:rPr>
      </w:pPr>
    </w:p>
    <w:p xmlns:wp14="http://schemas.microsoft.com/office/word/2010/wordml" w:rsidP="5588DB83" wp14:paraId="0B85F694" wp14:textId="53B4B851">
      <w:pPr>
        <w:bidi w:val="0"/>
        <w:spacing w:before="360" w:beforeAutospacing="off" w:after="180" w:afterAutospacing="off"/>
      </w:pPr>
    </w:p>
    <w:p xmlns:wp14="http://schemas.microsoft.com/office/word/2010/wordml" w:rsidP="5588DB83" wp14:paraId="76103A95" wp14:textId="4202737E">
      <w:pPr>
        <w:bidi w:val="0"/>
        <w:spacing w:before="360" w:beforeAutospacing="off" w:after="180" w:afterAutospacing="off"/>
      </w:pPr>
    </w:p>
    <w:p xmlns:wp14="http://schemas.microsoft.com/office/word/2010/wordml" w:rsidP="5588DB83" wp14:paraId="23E5BDC6" wp14:textId="3D81AA54">
      <w:pPr>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726976A6" wp14:textId="5365F5E2">
      <w:pPr>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49DA5371" wp14:textId="6AE9CA79">
      <w:pPr>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3E507EE8" wp14:textId="7013537D">
      <w:pPr>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33F51017" wp14:textId="536C4366">
      <w:pPr>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5588DB83" wp14:paraId="33CC23FE" wp14:textId="4025DA0C">
      <w:pPr>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451AB04B" wp14:paraId="45981883" wp14:textId="5B6EBED2">
      <w:pPr>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451AB04B" wp14:paraId="79BE2670" wp14:textId="53E94B54">
      <w:pPr>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451AB04B" wp14:paraId="3C352B88" wp14:textId="6F28FB2A">
      <w:pPr>
        <w:pStyle w:val="Normal"/>
        <w:bidi w:val="0"/>
        <w:spacing w:before="360" w:beforeAutospacing="off" w:after="180" w:afterAutospacing="off"/>
        <w:rPr>
          <w:rFonts w:ascii="Helvetica Neue" w:hAnsi="Helvetica Neue" w:eastAsia="Helvetica Neue" w:cs="Helvetica Neue"/>
          <w:b w:val="1"/>
          <w:bCs w:val="1"/>
          <w:noProof w:val="0"/>
          <w:color w:val="242424"/>
          <w:sz w:val="30"/>
          <w:szCs w:val="30"/>
          <w:lang w:val="en-GB"/>
        </w:rPr>
      </w:pPr>
    </w:p>
    <w:p xmlns:wp14="http://schemas.microsoft.com/office/word/2010/wordml" w:rsidP="451AB04B" wp14:paraId="1E801115" wp14:textId="5E92C1EB">
      <w:pPr>
        <w:pStyle w:val="Normal"/>
        <w:bidi w:val="0"/>
        <w:spacing w:before="360" w:beforeAutospacing="off" w:after="180" w:afterAutospacing="off"/>
      </w:pPr>
      <w:r w:rsidRPr="451AB04B" w:rsidR="6E7D6804">
        <w:rPr>
          <w:rFonts w:ascii="Helvetica Neue" w:hAnsi="Helvetica Neue" w:eastAsia="Helvetica Neue" w:cs="Helvetica Neue"/>
          <w:b w:val="1"/>
          <w:bCs w:val="1"/>
          <w:noProof w:val="0"/>
          <w:color w:val="242424"/>
          <w:sz w:val="30"/>
          <w:szCs w:val="30"/>
          <w:lang w:val="en-GB"/>
        </w:rPr>
        <w:t>References</w:t>
      </w:r>
    </w:p>
    <w:p xmlns:wp14="http://schemas.microsoft.com/office/word/2010/wordml" w:rsidP="5588DB83" wp14:paraId="06C21B4B" wp14:textId="7671072C">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r w:rsidRPr="5588DB83" w:rsidR="6E7D6804">
        <w:rPr>
          <w:rFonts w:ascii="Helvetica Neue" w:hAnsi="Helvetica Neue" w:eastAsia="Helvetica Neue" w:cs="Helvetica Neue"/>
          <w:noProof w:val="0"/>
          <w:color w:val="242424"/>
          <w:sz w:val="24"/>
          <w:szCs w:val="24"/>
          <w:lang w:val="en-GB"/>
        </w:rPr>
        <w:t xml:space="preserve">Beauchamp, T.L. and Childress, J.F. (2019) </w:t>
      </w:r>
      <w:r w:rsidRPr="5588DB83" w:rsidR="6E7D6804">
        <w:rPr>
          <w:rFonts w:ascii="Helvetica Neue" w:hAnsi="Helvetica Neue" w:eastAsia="Helvetica Neue" w:cs="Helvetica Neue"/>
          <w:i w:val="1"/>
          <w:iCs w:val="1"/>
          <w:noProof w:val="0"/>
          <w:color w:val="242424"/>
          <w:sz w:val="24"/>
          <w:szCs w:val="24"/>
          <w:lang w:val="en-GB"/>
        </w:rPr>
        <w:t>Principles of Biomedical Ethics</w:t>
      </w:r>
      <w:r w:rsidRPr="5588DB83" w:rsidR="6E7D6804">
        <w:rPr>
          <w:rFonts w:ascii="Helvetica Neue" w:hAnsi="Helvetica Neue" w:eastAsia="Helvetica Neue" w:cs="Helvetica Neue"/>
          <w:noProof w:val="0"/>
          <w:color w:val="242424"/>
          <w:sz w:val="24"/>
          <w:szCs w:val="24"/>
          <w:lang w:val="en-GB"/>
        </w:rPr>
        <w:t>. 8th edn. New York: Oxford University Press.</w:t>
      </w:r>
    </w:p>
    <w:p xmlns:wp14="http://schemas.microsoft.com/office/word/2010/wordml" w:rsidP="5588DB83" wp14:paraId="33310D4A" wp14:textId="3A0D5E99">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p>
    <w:p xmlns:wp14="http://schemas.microsoft.com/office/word/2010/wordml" w:rsidP="5588DB83" wp14:paraId="0C216A8B" wp14:textId="58A0376C">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r w:rsidRPr="5588DB83" w:rsidR="6E7D6804">
        <w:rPr>
          <w:rFonts w:ascii="Helvetica Neue" w:hAnsi="Helvetica Neue" w:eastAsia="Helvetica Neue" w:cs="Helvetica Neue"/>
          <w:noProof w:val="0"/>
          <w:color w:val="242424"/>
          <w:sz w:val="24"/>
          <w:szCs w:val="24"/>
          <w:lang w:val="en-GB"/>
        </w:rPr>
        <w:t>Care Act 2014, c. 23. Available at: legislation.gov.uk (Accessed: 19 July 2026).</w:t>
      </w:r>
    </w:p>
    <w:p xmlns:wp14="http://schemas.microsoft.com/office/word/2010/wordml" w:rsidP="5588DB83" wp14:paraId="2AA23064" wp14:textId="02E5379C">
      <w:pPr>
        <w:pStyle w:val="ListParagraph"/>
        <w:bidi w:val="0"/>
        <w:spacing w:before="0" w:beforeAutospacing="off" w:after="180" w:afterAutospacing="off"/>
        <w:ind w:left="720"/>
      </w:pPr>
      <w:r w:rsidRPr="5588DB83" w:rsidR="6E7D6804">
        <w:rPr>
          <w:rFonts w:ascii="Helvetica Neue" w:hAnsi="Helvetica Neue" w:eastAsia="Helvetica Neue" w:cs="Helvetica Neue"/>
          <w:noProof w:val="0"/>
          <w:color w:val="242424"/>
          <w:sz w:val="24"/>
          <w:szCs w:val="24"/>
          <w:lang w:val="en-GB"/>
        </w:rPr>
        <w:t xml:space="preserve">Care Quality Commission (2025) </w:t>
      </w:r>
      <w:r w:rsidRPr="5588DB83" w:rsidR="6E7D6804">
        <w:rPr>
          <w:rFonts w:ascii="Helvetica Neue" w:hAnsi="Helvetica Neue" w:eastAsia="Helvetica Neue" w:cs="Helvetica Neue"/>
          <w:i w:val="1"/>
          <w:iCs w:val="1"/>
          <w:noProof w:val="0"/>
          <w:color w:val="242424"/>
          <w:sz w:val="24"/>
          <w:szCs w:val="24"/>
          <w:lang w:val="en-GB"/>
        </w:rPr>
        <w:t>The state of health care and adult social care in England 2024/25</w:t>
      </w:r>
      <w:r w:rsidRPr="5588DB83" w:rsidR="6E7D6804">
        <w:rPr>
          <w:rFonts w:ascii="Helvetica Neue" w:hAnsi="Helvetica Neue" w:eastAsia="Helvetica Neue" w:cs="Helvetica Neue"/>
          <w:noProof w:val="0"/>
          <w:color w:val="242424"/>
          <w:sz w:val="24"/>
          <w:szCs w:val="24"/>
          <w:lang w:val="en-GB"/>
        </w:rPr>
        <w:t>. Available at: cqc.org.uk (Accessed: 19 July 2026).</w:t>
      </w:r>
    </w:p>
    <w:p xmlns:wp14="http://schemas.microsoft.com/office/word/2010/wordml" w:rsidP="5588DB83" wp14:paraId="373864F2" wp14:textId="16DF4E9D">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p>
    <w:p xmlns:wp14="http://schemas.microsoft.com/office/word/2010/wordml" w:rsidP="5588DB83" wp14:paraId="2017AFD8" wp14:textId="563C6294">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r w:rsidRPr="5588DB83" w:rsidR="6E7D6804">
        <w:rPr>
          <w:rFonts w:ascii="Helvetica Neue" w:hAnsi="Helvetica Neue" w:eastAsia="Helvetica Neue" w:cs="Helvetica Neue"/>
          <w:noProof w:val="0"/>
          <w:color w:val="242424"/>
          <w:sz w:val="24"/>
          <w:szCs w:val="24"/>
          <w:lang w:val="en-GB"/>
        </w:rPr>
        <w:t>Health and Care Act 2022, c. 31. Available at: legislation.gov.uk (Accessed: 19 July 2026).</w:t>
      </w:r>
    </w:p>
    <w:p xmlns:wp14="http://schemas.microsoft.com/office/word/2010/wordml" w:rsidP="5588DB83" wp14:paraId="4D719B7D" wp14:textId="38B36B80">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p>
    <w:p xmlns:wp14="http://schemas.microsoft.com/office/word/2010/wordml" w:rsidP="5588DB83" wp14:paraId="670F6240" wp14:textId="6CE57E28">
      <w:pPr>
        <w:pStyle w:val="ListParagraph"/>
        <w:bidi w:val="0"/>
        <w:spacing w:before="0" w:beforeAutospacing="off" w:after="180" w:afterAutospacing="off"/>
        <w:ind w:left="720"/>
      </w:pPr>
      <w:r w:rsidRPr="5588DB83" w:rsidR="6E7D6804">
        <w:rPr>
          <w:rFonts w:ascii="Helvetica Neue" w:hAnsi="Helvetica Neue" w:eastAsia="Helvetica Neue" w:cs="Helvetica Neue"/>
          <w:noProof w:val="0"/>
          <w:color w:val="242424"/>
          <w:sz w:val="24"/>
          <w:szCs w:val="24"/>
          <w:lang w:val="en-GB"/>
        </w:rPr>
        <w:t>Health and Social Care Act 2008 (Regulated Activities) Regulations 2014 (SI 2014/2936). Available at: cqc.org.uk (Accessed: 19 July 2026).</w:t>
      </w:r>
    </w:p>
    <w:p xmlns:wp14="http://schemas.microsoft.com/office/word/2010/wordml" w:rsidP="5588DB83" wp14:paraId="4FDFA789" wp14:textId="0BFBCE0A">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p>
    <w:p xmlns:wp14="http://schemas.microsoft.com/office/word/2010/wordml" w:rsidP="5588DB83" wp14:paraId="79E85083" wp14:textId="75E8829D">
      <w:pPr>
        <w:pStyle w:val="ListParagraph"/>
        <w:bidi w:val="0"/>
        <w:spacing w:before="0" w:beforeAutospacing="off" w:after="180" w:afterAutospacing="off"/>
        <w:ind w:left="720"/>
      </w:pPr>
      <w:r w:rsidRPr="5588DB83" w:rsidR="6E7D6804">
        <w:rPr>
          <w:rFonts w:ascii="Helvetica Neue" w:hAnsi="Helvetica Neue" w:eastAsia="Helvetica Neue" w:cs="Helvetica Neue"/>
          <w:noProof w:val="0"/>
          <w:color w:val="242424"/>
          <w:sz w:val="24"/>
          <w:szCs w:val="24"/>
          <w:lang w:val="en-GB"/>
        </w:rPr>
        <w:t xml:space="preserve">NHS England (2024) </w:t>
      </w:r>
      <w:r w:rsidRPr="5588DB83" w:rsidR="6E7D6804">
        <w:rPr>
          <w:rFonts w:ascii="Helvetica Neue" w:hAnsi="Helvetica Neue" w:eastAsia="Helvetica Neue" w:cs="Helvetica Neue"/>
          <w:i w:val="1"/>
          <w:iCs w:val="1"/>
          <w:noProof w:val="0"/>
          <w:color w:val="242424"/>
          <w:sz w:val="24"/>
          <w:szCs w:val="24"/>
          <w:lang w:val="en-GB"/>
        </w:rPr>
        <w:t>Personalised Care</w:t>
      </w:r>
      <w:r w:rsidRPr="5588DB83" w:rsidR="6E7D6804">
        <w:rPr>
          <w:rFonts w:ascii="Helvetica Neue" w:hAnsi="Helvetica Neue" w:eastAsia="Helvetica Neue" w:cs="Helvetica Neue"/>
          <w:noProof w:val="0"/>
          <w:color w:val="242424"/>
          <w:sz w:val="24"/>
          <w:szCs w:val="24"/>
          <w:lang w:val="en-GB"/>
        </w:rPr>
        <w:t>. Available at: england.nhs.uk (Accessed: 19 July 2026).</w:t>
      </w:r>
    </w:p>
    <w:p xmlns:wp14="http://schemas.microsoft.com/office/word/2010/wordml" w:rsidP="5588DB83" wp14:paraId="5B05A618" wp14:textId="6904F1FD">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p>
    <w:p xmlns:wp14="http://schemas.microsoft.com/office/word/2010/wordml" w:rsidP="5588DB83" wp14:paraId="29B52032" wp14:textId="360BFCFC">
      <w:pPr>
        <w:pStyle w:val="ListParagraph"/>
        <w:bidi w:val="0"/>
        <w:spacing w:before="0" w:beforeAutospacing="off" w:after="180" w:afterAutospacing="off"/>
        <w:ind w:left="720"/>
      </w:pPr>
      <w:r w:rsidRPr="5588DB83" w:rsidR="6E7D6804">
        <w:rPr>
          <w:rFonts w:ascii="Helvetica Neue" w:hAnsi="Helvetica Neue" w:eastAsia="Helvetica Neue" w:cs="Helvetica Neue"/>
          <w:noProof w:val="0"/>
          <w:color w:val="242424"/>
          <w:sz w:val="24"/>
          <w:szCs w:val="24"/>
          <w:lang w:val="en-GB"/>
        </w:rPr>
        <w:t xml:space="preserve">Rogers, C.R. (1951) </w:t>
      </w:r>
      <w:r w:rsidRPr="5588DB83" w:rsidR="6E7D6804">
        <w:rPr>
          <w:rFonts w:ascii="Helvetica Neue" w:hAnsi="Helvetica Neue" w:eastAsia="Helvetica Neue" w:cs="Helvetica Neue"/>
          <w:i w:val="1"/>
          <w:iCs w:val="1"/>
          <w:noProof w:val="0"/>
          <w:color w:val="242424"/>
          <w:sz w:val="24"/>
          <w:szCs w:val="24"/>
          <w:lang w:val="en-GB"/>
        </w:rPr>
        <w:t>Client-Centered Therapy: Its Current Practice, Implications and Theory</w:t>
      </w:r>
      <w:r w:rsidRPr="5588DB83" w:rsidR="6E7D6804">
        <w:rPr>
          <w:rFonts w:ascii="Helvetica Neue" w:hAnsi="Helvetica Neue" w:eastAsia="Helvetica Neue" w:cs="Helvetica Neue"/>
          <w:noProof w:val="0"/>
          <w:color w:val="242424"/>
          <w:sz w:val="24"/>
          <w:szCs w:val="24"/>
          <w:lang w:val="en-GB"/>
        </w:rPr>
        <w:t>. London: Constable.</w:t>
      </w:r>
    </w:p>
    <w:p xmlns:wp14="http://schemas.microsoft.com/office/word/2010/wordml" w:rsidP="5588DB83" wp14:paraId="2B158C09" wp14:textId="4DDB7769">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p>
    <w:p xmlns:wp14="http://schemas.microsoft.com/office/word/2010/wordml" w:rsidP="5588DB83" wp14:paraId="44447D16" wp14:textId="55011FCA">
      <w:pPr>
        <w:pStyle w:val="ListParagraph"/>
        <w:bidi w:val="0"/>
        <w:spacing w:before="0" w:beforeAutospacing="off" w:after="180" w:afterAutospacing="off"/>
        <w:ind w:left="720"/>
        <w:rPr>
          <w:rFonts w:ascii="Helvetica Neue" w:hAnsi="Helvetica Neue" w:eastAsia="Helvetica Neue" w:cs="Helvetica Neue"/>
          <w:noProof w:val="0"/>
          <w:color w:val="242424"/>
          <w:sz w:val="24"/>
          <w:szCs w:val="24"/>
          <w:lang w:val="en-GB"/>
        </w:rPr>
      </w:pPr>
      <w:r w:rsidRPr="5588DB83" w:rsidR="6E7D6804">
        <w:rPr>
          <w:rFonts w:ascii="Helvetica Neue" w:hAnsi="Helvetica Neue" w:eastAsia="Helvetica Neue" w:cs="Helvetica Neue"/>
          <w:noProof w:val="0"/>
          <w:color w:val="242424"/>
          <w:sz w:val="24"/>
          <w:szCs w:val="24"/>
          <w:lang w:val="en-GB"/>
        </w:rPr>
        <w:t xml:space="preserve">The King's Fund (2026) </w:t>
      </w:r>
      <w:r w:rsidRPr="5588DB83" w:rsidR="6E7D6804">
        <w:rPr>
          <w:rFonts w:ascii="Helvetica Neue" w:hAnsi="Helvetica Neue" w:eastAsia="Helvetica Neue" w:cs="Helvetica Neue"/>
          <w:i w:val="1"/>
          <w:iCs w:val="1"/>
          <w:noProof w:val="0"/>
          <w:color w:val="242424"/>
          <w:sz w:val="24"/>
          <w:szCs w:val="24"/>
          <w:lang w:val="en-GB"/>
        </w:rPr>
        <w:t>Social Care 360: Workforce and Carers</w:t>
      </w:r>
      <w:r w:rsidRPr="5588DB83" w:rsidR="6E7D6804">
        <w:rPr>
          <w:rFonts w:ascii="Helvetica Neue" w:hAnsi="Helvetica Neue" w:eastAsia="Helvetica Neue" w:cs="Helvetica Neue"/>
          <w:noProof w:val="0"/>
          <w:color w:val="242424"/>
          <w:sz w:val="24"/>
          <w:szCs w:val="24"/>
          <w:lang w:val="en-GB"/>
        </w:rPr>
        <w:t>. Available at: kingsfund.org.uk (Accessed: 19 July 2026).</w:t>
      </w:r>
    </w:p>
    <w:p xmlns:wp14="http://schemas.microsoft.com/office/word/2010/wordml" wp14:paraId="4668BE03" wp14:textId="4157DDCA"/>
    <w:p xmlns:wp14="http://schemas.microsoft.com/office/word/2010/wordml" wp14:paraId="5E5787A5" wp14:textId="40E5759C"/>
    <w:sectPr>
      <w:pgSz w:w="11906" w:h="16838" w:orient="portrait"/>
      <w:pgMar w:top="1440" w:right="1440" w:bottom="1440" w:left="1440" w:header="720" w:footer="720" w:gutter="0"/>
      <w:cols w:space="720"/>
      <w:docGrid w:linePitch="360"/>
      <w:headerReference w:type="default" r:id="R1b069dd9706647e4"/>
      <w:footerReference w:type="default" r:id="R764f5f1e4f7a4a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88DB83" w:rsidTr="5588DB83" w14:paraId="70C34A38">
      <w:trPr>
        <w:trHeight w:val="300"/>
      </w:trPr>
      <w:tc>
        <w:tcPr>
          <w:tcW w:w="3005" w:type="dxa"/>
          <w:tcMar/>
        </w:tcPr>
        <w:p w:rsidR="5588DB83" w:rsidP="5588DB83" w:rsidRDefault="5588DB83" w14:paraId="5F0BDAB3" w14:textId="12FD1C7E">
          <w:pPr>
            <w:pStyle w:val="Header"/>
            <w:bidi w:val="0"/>
            <w:ind w:left="-115"/>
            <w:jc w:val="left"/>
          </w:pPr>
        </w:p>
      </w:tc>
      <w:tc>
        <w:tcPr>
          <w:tcW w:w="3005" w:type="dxa"/>
          <w:tcMar/>
        </w:tcPr>
        <w:p w:rsidR="5588DB83" w:rsidP="5588DB83" w:rsidRDefault="5588DB83" w14:paraId="3C63FAFB" w14:textId="492D16BE">
          <w:pPr>
            <w:pStyle w:val="Header"/>
            <w:bidi w:val="0"/>
            <w:jc w:val="center"/>
          </w:pPr>
          <w:r>
            <w:fldChar w:fldCharType="begin"/>
          </w:r>
          <w:r>
            <w:instrText xml:space="preserve">PAGE</w:instrText>
          </w:r>
          <w:r>
            <w:fldChar w:fldCharType="separate"/>
          </w:r>
          <w:r>
            <w:fldChar w:fldCharType="end"/>
          </w:r>
        </w:p>
      </w:tc>
      <w:tc>
        <w:tcPr>
          <w:tcW w:w="3005" w:type="dxa"/>
          <w:tcMar/>
        </w:tcPr>
        <w:p w:rsidR="5588DB83" w:rsidP="5588DB83" w:rsidRDefault="5588DB83" w14:paraId="25DBEF96" w14:textId="26647066">
          <w:pPr>
            <w:pStyle w:val="Header"/>
            <w:bidi w:val="0"/>
            <w:ind w:right="-115"/>
            <w:jc w:val="right"/>
          </w:pPr>
        </w:p>
      </w:tc>
    </w:tr>
  </w:tbl>
  <w:p w:rsidR="5588DB83" w:rsidP="5588DB83" w:rsidRDefault="5588DB83" w14:paraId="0AA28B9A" w14:textId="7875360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88DB83" w:rsidTr="5588DB83" w14:paraId="5F6DF9E6">
      <w:trPr>
        <w:trHeight w:val="300"/>
      </w:trPr>
      <w:tc>
        <w:tcPr>
          <w:tcW w:w="3005" w:type="dxa"/>
          <w:tcMar/>
        </w:tcPr>
        <w:p w:rsidR="5588DB83" w:rsidP="5588DB83" w:rsidRDefault="5588DB83" w14:paraId="0A7B9A66" w14:textId="2F7729DF">
          <w:pPr>
            <w:pStyle w:val="Header"/>
            <w:bidi w:val="0"/>
            <w:ind w:left="-115"/>
            <w:jc w:val="left"/>
          </w:pPr>
        </w:p>
      </w:tc>
      <w:tc>
        <w:tcPr>
          <w:tcW w:w="3005" w:type="dxa"/>
          <w:tcMar/>
        </w:tcPr>
        <w:p w:rsidR="5588DB83" w:rsidP="5588DB83" w:rsidRDefault="5588DB83" w14:paraId="06BCA540" w14:textId="670480B0">
          <w:pPr>
            <w:pStyle w:val="Header"/>
            <w:bidi w:val="0"/>
            <w:jc w:val="center"/>
          </w:pPr>
        </w:p>
      </w:tc>
      <w:tc>
        <w:tcPr>
          <w:tcW w:w="3005" w:type="dxa"/>
          <w:tcMar/>
        </w:tcPr>
        <w:p w:rsidR="5588DB83" w:rsidP="5588DB83" w:rsidRDefault="5588DB83" w14:paraId="3FFEC430" w14:textId="0C563CAB">
          <w:pPr>
            <w:pStyle w:val="Header"/>
            <w:bidi w:val="0"/>
            <w:ind w:right="-115"/>
            <w:jc w:val="right"/>
          </w:pPr>
        </w:p>
      </w:tc>
    </w:tr>
  </w:tbl>
  <w:p w:rsidR="5588DB83" w:rsidP="5588DB83" w:rsidRDefault="5588DB83" w14:paraId="791D928D" w14:textId="3917CCBD">
    <w:pPr>
      <w:pStyle w:val="Header"/>
      <w:bidi w:val="0"/>
    </w:pPr>
  </w:p>
</w:hdr>
</file>

<file path=word/intelligence2.xml><?xml version="1.0" encoding="utf-8"?>
<int2:intelligence xmlns:int2="http://schemas.microsoft.com/office/intelligence/2020/intelligence">
  <int2:observations>
    <int2:bookmark int2:bookmarkName="_Int_SiZ5ysqM" int2:invalidationBookmarkName="" int2:hashCode="uBqSiUAgwUzzn+" int2:id="EO6ZL01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41d404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3453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d1738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98ba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c9ae6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301f7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4cb7a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1034f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49c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8b03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881d2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c4b9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d22d6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84487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659a4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c9bca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570c9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f113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149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d57b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392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9e4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5A1973"/>
    <w:rsid w:val="018D3594"/>
    <w:rsid w:val="03D14255"/>
    <w:rsid w:val="05738031"/>
    <w:rsid w:val="06479E37"/>
    <w:rsid w:val="067B0EA0"/>
    <w:rsid w:val="06CEA2E4"/>
    <w:rsid w:val="06D6AAC5"/>
    <w:rsid w:val="083EA8ED"/>
    <w:rsid w:val="0869203E"/>
    <w:rsid w:val="08F71A75"/>
    <w:rsid w:val="0BB25548"/>
    <w:rsid w:val="0BF3C275"/>
    <w:rsid w:val="0C4311D3"/>
    <w:rsid w:val="0D0E128E"/>
    <w:rsid w:val="0E6D5D68"/>
    <w:rsid w:val="0E795685"/>
    <w:rsid w:val="1007E18B"/>
    <w:rsid w:val="109838EA"/>
    <w:rsid w:val="11D296A1"/>
    <w:rsid w:val="11D65D75"/>
    <w:rsid w:val="122B367D"/>
    <w:rsid w:val="130EB334"/>
    <w:rsid w:val="13C518AC"/>
    <w:rsid w:val="147EB89B"/>
    <w:rsid w:val="1589DCEF"/>
    <w:rsid w:val="15C551BF"/>
    <w:rsid w:val="16717E0E"/>
    <w:rsid w:val="18B73726"/>
    <w:rsid w:val="18E61269"/>
    <w:rsid w:val="19E05CC8"/>
    <w:rsid w:val="1A927F99"/>
    <w:rsid w:val="1C93D6E4"/>
    <w:rsid w:val="1F3FAD47"/>
    <w:rsid w:val="2025B616"/>
    <w:rsid w:val="208794FC"/>
    <w:rsid w:val="21A77D9C"/>
    <w:rsid w:val="22436DE3"/>
    <w:rsid w:val="22E06FD8"/>
    <w:rsid w:val="2321CE9D"/>
    <w:rsid w:val="2343AC8D"/>
    <w:rsid w:val="2449FF01"/>
    <w:rsid w:val="2449FF01"/>
    <w:rsid w:val="2540000D"/>
    <w:rsid w:val="25DFD2D7"/>
    <w:rsid w:val="2632AC91"/>
    <w:rsid w:val="26822390"/>
    <w:rsid w:val="270C7DDD"/>
    <w:rsid w:val="285A1973"/>
    <w:rsid w:val="29A31EBE"/>
    <w:rsid w:val="29C6E29A"/>
    <w:rsid w:val="29C6E29A"/>
    <w:rsid w:val="2A57053C"/>
    <w:rsid w:val="2C3D17EE"/>
    <w:rsid w:val="2EDABB9A"/>
    <w:rsid w:val="2FDF3531"/>
    <w:rsid w:val="302A43DB"/>
    <w:rsid w:val="3065640D"/>
    <w:rsid w:val="30DFA4D4"/>
    <w:rsid w:val="3122849C"/>
    <w:rsid w:val="33A1D1CF"/>
    <w:rsid w:val="36AEFA8D"/>
    <w:rsid w:val="36C3BC5A"/>
    <w:rsid w:val="36DB5495"/>
    <w:rsid w:val="36F0BDBF"/>
    <w:rsid w:val="374E4F6E"/>
    <w:rsid w:val="378A7FFF"/>
    <w:rsid w:val="37BF167E"/>
    <w:rsid w:val="38C3BE23"/>
    <w:rsid w:val="38E09F49"/>
    <w:rsid w:val="39D22557"/>
    <w:rsid w:val="3AF19964"/>
    <w:rsid w:val="3C9077AD"/>
    <w:rsid w:val="3D21387D"/>
    <w:rsid w:val="3DC01DE2"/>
    <w:rsid w:val="3E8EAA4B"/>
    <w:rsid w:val="3F25B71B"/>
    <w:rsid w:val="3F78E63C"/>
    <w:rsid w:val="451AB04B"/>
    <w:rsid w:val="45597E91"/>
    <w:rsid w:val="4599DC6F"/>
    <w:rsid w:val="46795089"/>
    <w:rsid w:val="475DA24A"/>
    <w:rsid w:val="48B71F17"/>
    <w:rsid w:val="4A4ED02A"/>
    <w:rsid w:val="4AACF94A"/>
    <w:rsid w:val="4B0F8B04"/>
    <w:rsid w:val="4BFED7A3"/>
    <w:rsid w:val="4C3440D5"/>
    <w:rsid w:val="4D2E4EF9"/>
    <w:rsid w:val="4E54649A"/>
    <w:rsid w:val="51A78129"/>
    <w:rsid w:val="51CDC154"/>
    <w:rsid w:val="52F861CF"/>
    <w:rsid w:val="53493539"/>
    <w:rsid w:val="54349111"/>
    <w:rsid w:val="54845B04"/>
    <w:rsid w:val="55110F4A"/>
    <w:rsid w:val="551E1549"/>
    <w:rsid w:val="5588DB83"/>
    <w:rsid w:val="55EF788D"/>
    <w:rsid w:val="56AF3F3B"/>
    <w:rsid w:val="579315F5"/>
    <w:rsid w:val="57FE6B7C"/>
    <w:rsid w:val="5801411E"/>
    <w:rsid w:val="584B3E05"/>
    <w:rsid w:val="5A062A06"/>
    <w:rsid w:val="5AB788ED"/>
    <w:rsid w:val="5BB95701"/>
    <w:rsid w:val="5C9FBC3C"/>
    <w:rsid w:val="5CD93CF0"/>
    <w:rsid w:val="5DACF46E"/>
    <w:rsid w:val="5DF2FCB9"/>
    <w:rsid w:val="5E8A73A5"/>
    <w:rsid w:val="5F00E5F0"/>
    <w:rsid w:val="5FD1234E"/>
    <w:rsid w:val="600C6DDB"/>
    <w:rsid w:val="602BC19A"/>
    <w:rsid w:val="608CC249"/>
    <w:rsid w:val="60B13BA9"/>
    <w:rsid w:val="61250538"/>
    <w:rsid w:val="61E9470B"/>
    <w:rsid w:val="620BE09E"/>
    <w:rsid w:val="6229644E"/>
    <w:rsid w:val="62430403"/>
    <w:rsid w:val="64817112"/>
    <w:rsid w:val="66136063"/>
    <w:rsid w:val="6699D8C6"/>
    <w:rsid w:val="66EAE953"/>
    <w:rsid w:val="67125E43"/>
    <w:rsid w:val="685C1AF6"/>
    <w:rsid w:val="6914B241"/>
    <w:rsid w:val="69171E9C"/>
    <w:rsid w:val="6C110430"/>
    <w:rsid w:val="6C115DC3"/>
    <w:rsid w:val="6D2A58A4"/>
    <w:rsid w:val="6D2D4A5C"/>
    <w:rsid w:val="6E53A579"/>
    <w:rsid w:val="6E7D6804"/>
    <w:rsid w:val="6EB6F58F"/>
    <w:rsid w:val="717F4213"/>
    <w:rsid w:val="730FE47B"/>
    <w:rsid w:val="73FCEB0B"/>
    <w:rsid w:val="75264F73"/>
    <w:rsid w:val="7583ED5A"/>
    <w:rsid w:val="75E1E93B"/>
    <w:rsid w:val="7664A5A6"/>
    <w:rsid w:val="767EC098"/>
    <w:rsid w:val="78645054"/>
    <w:rsid w:val="78AB5345"/>
    <w:rsid w:val="79DAD9ED"/>
    <w:rsid w:val="7A7F0CFA"/>
    <w:rsid w:val="7BEFAB1B"/>
    <w:rsid w:val="7D0393F9"/>
    <w:rsid w:val="7D4288A9"/>
    <w:rsid w:val="7D51AE7E"/>
    <w:rsid w:val="7DD934C8"/>
    <w:rsid w:val="7E3FABA3"/>
    <w:rsid w:val="7EF4D641"/>
    <w:rsid w:val="7F22F6C8"/>
    <w:rsid w:val="7F855191"/>
    <w:rsid w:val="7FF65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5D32E"/>
  <w15:chartTrackingRefBased/>
  <w15:docId w15:val="{E14BE9D2-595F-4CB9-A1C9-62246279C3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588DB83"/>
    <w:pPr>
      <w:spacing/>
      <w:ind w:left="720"/>
      <w:contextualSpacing/>
    </w:pPr>
  </w:style>
  <w:style w:type="character" w:styleId="Hyperlink">
    <w:uiPriority w:val="99"/>
    <w:name w:val="Hyperlink"/>
    <w:basedOn w:val="DefaultParagraphFont"/>
    <w:unhideWhenUsed/>
    <w:rsid w:val="5588DB83"/>
    <w:rPr>
      <w:color w:val="467886"/>
      <w:u w:val="single"/>
    </w:rPr>
  </w:style>
  <w:style w:type="paragraph" w:styleId="Header">
    <w:uiPriority w:val="99"/>
    <w:name w:val="header"/>
    <w:basedOn w:val="Normal"/>
    <w:unhideWhenUsed/>
    <w:rsid w:val="5588DB83"/>
    <w:pPr>
      <w:tabs>
        <w:tab w:val="center" w:leader="none" w:pos="4680"/>
        <w:tab w:val="right" w:leader="none" w:pos="9360"/>
      </w:tabs>
      <w:spacing w:after="0" w:line="240" w:lineRule="auto"/>
    </w:pPr>
  </w:style>
  <w:style w:type="paragraph" w:styleId="Footer">
    <w:uiPriority w:val="99"/>
    <w:name w:val="footer"/>
    <w:basedOn w:val="Normal"/>
    <w:unhideWhenUsed/>
    <w:rsid w:val="5588DB8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b069dd9706647e4" /><Relationship Type="http://schemas.openxmlformats.org/officeDocument/2006/relationships/footer" Target="/word/footer.xml" Id="R764f5f1e4f7a4af0" /><Relationship Type="http://schemas.openxmlformats.org/officeDocument/2006/relationships/numbering" Target="/word/numbering.xml" Id="R19d414dbc7a642d9" /><Relationship Type="http://schemas.openxmlformats.org/officeDocument/2006/relationships/image" Target="/media/image.gif" Id="rId354042014" /><Relationship Type="http://schemas.openxmlformats.org/officeDocument/2006/relationships/image" Target="/media/image.jpg" Id="rId1780972095" /><Relationship Type="http://schemas.microsoft.com/office/2020/10/relationships/intelligence" Target="/word/intelligence2.xml" Id="R586b209a8a4643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Leanne Toni Jarvis (2420336)</dc:creator>
  <keywords/>
  <dc:description/>
  <lastModifiedBy>Leanne Toni Jarvis (2420336)</lastModifiedBy>
  <revision>4</revision>
  <dcterms:created xsi:type="dcterms:W3CDTF">2026-07-19T14:36:46.3727704Z</dcterms:created>
  <dcterms:modified xsi:type="dcterms:W3CDTF">2026-07-25T11:16:59.2760861Z</dcterms:modified>
</coreProperties>
</file>